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224A8" wp14:editId="1FB53C5E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-38100</wp:posOffset>
                </wp:positionV>
                <wp:extent cx="912495" cy="7969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HelveticaLT" w:hAnsi="HelveticaLT"/>
                                <w:lang w:val="en-US"/>
                              </w:rPr>
                              <w:drawing>
                                <wp:inline distT="0" distB="0" distL="0" distR="0" wp14:anchorId="64312E17" wp14:editId="4DC20497">
                                  <wp:extent cx="719455" cy="694690"/>
                                  <wp:effectExtent l="0" t="0" r="0" b="0"/>
                                  <wp:docPr id="4" name="Paveikslėlis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455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3pt;width:71.85pt;height: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lHGiggIAAA4FAAAOAAAAZHJzL2Uyb0RvYy54bWysVNtu3CAQfa/Uf0C8b3yp92Ir3iiXuqqU XqSkH8ACXqNioMCunVb99w54N9n0IlVV/YC5DGfOzJzh/GLsJdpz64RWNc7OUoy4opoJta3xp/tm tsLIeaIYkVrxGj9why/WL1+cD6biue60ZNwiAFGuGkyNO+9NlSSOdrwn7kwbruCw1bYnHpZ2mzBL BkDvZZKn6SIZtGXGasqdg92b6RCvI37bcuo/tK3jHskaAzcfRxvHTRiT9TmptpaYTtADDfIPLHoi FDh9hLohnqCdFb9A9YJa7XTrz6juE922gvIYA0STpT9Fc9cRw2MskBxnHtPk/h8sfb//aJFgNX6F kSI9lOiejx5d6RHlITuDcRUY3Rkw8yNsQ5VjpM7cavrZIaWvO6K2/NJaPXScMGCXhZvJydUJxwWQ zfBOM3BDdl5HoLG1fUgdJAMBOlTp4bEygQqFzTLLi3KOEYWjZbko83n0QKrjZWOdf8N1j8KkxhYK H8HJ/tb5QIZUR5Pgy2kpWCOkjAu73VxLi/YERNLE74D+zEyqYKx0uDYhTjvAEXyEs8A2Fv1b4Jte 5eWsWayWs6Ip5rNyma5maVZelYu0KIub5nsgmBVVJxjj6lYofhRgVvxdgQ+tMEknShANkKs5ZCfG 9ccgU/ia5ndB9sJDP0rR13gVrA4dEur6WjEIm1SeCDnNk+f0Y5YhB8d/zEpUQSj8JAE/bkZACdLY aPYAerAa6gVFh0cEJp22XzEaoCFr7L7siOUYybcKNFVmRRE6OC6K+TKHhT092ZyeEEUBqsYeo2l6 7aeu3xkrth14mlSs9CXosBVRI0+sDuqFpovBHB6I0NWn62j19IytfwAAAP//AwBQSwMEFAAGAAgA AAAhAIsTOxDeAAAACgEAAA8AAABkcnMvZG93bnJldi54bWxMj8FOwzAMhu9IvENkJC5oS0e1sZam 04S0y06w8QBZY9qIxilJtpa3n3eCk2X51+fvrzaT68UFQ7SeFCzmGQikxhtLrYLP4262BhGTJqN7 T6jgFyNs6vu7SpfGj/SBl0NqBUMollpBl9JQShmbDp2Ocz8g8e3LB6cTr6GVJuiR4a6Xz1m2kk5b 4g+dHvCtw+b7cHYK8rgbQr5u2idrpQ378f0nyK1Sjw/T9hVEwin9heGmz+pQs9PJn8lE0TOjWHGX pGB2mxxY5sULiBMnF8USZF3J/xXqKwAAAP//AwBQSwECLQAUAAYACAAAACEAtoM4kv4AAADhAQAA EwAAAAAAAAAAAAAAAAAAAAAAW0NvbnRlbnRfVHlwZXNdLnhtbFBLAQItABQABgAIAAAAIQA4/SH/ 1gAAAJQBAAALAAAAAAAAAAAAAAAAAC8BAABfcmVscy8ucmVsc1BLAQItABQABgAIAAAAIQA6lHGi ggIAAA4FAAAOAAAAAAAAAAAAAAAAAC4CAABkcnMvZTJvRG9jLnhtbFBLAQItABQABgAIAAAAIQCL EzsQ3gAAAAoBAAAPAAAAAAAAAAAAAAAAANwEAABkcnMvZG93bnJldi54bWxQSwUGAAAAAAQABADz AAAA5wUAAAAA " stroked="f" strokecolor="blue">
                <v:textbox>
                  <w:txbxContent>
                    <w:p>
                      <w:pPr>
                        <w:rPr>
                          <w:rFonts w:ascii="Times New Roman" w:hAnsi="Times New Roman" w:eastAsia="Times New Roman" w:cs="Times New Roman"/>
                        </w:rPr>
                      </w:pPr>
                      <w:r>
                        <w:rPr>
                          <w:rFonts w:ascii="HelveticaLT" w:hAnsi="HelveticaLT" w:eastAsia="Times New Roman" w:cs="Times New Roman"/>
                          <w:lang w:val="en-US"/>
                        </w:rPr>
                        <w:drawing>
                          <wp:inline distT="0" distB="0" distL="0" distR="0" wp14:anchorId="64312E17" wp14:editId="4DC20497">
                            <wp:extent cx="719455" cy="694690"/>
                            <wp:effectExtent l="0" t="0" r="0" b="0"/>
                            <wp:docPr id="4" name="Paveikslėlis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455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10"/>
        </w:rPr>
      </w:pPr>
    </w:p>
    <w:p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>
      <w:pPr>
        <w:tabs>
          <w:tab w:val="center" w:pos="4153"/>
          <w:tab w:val="right" w:pos="8306"/>
        </w:tabs>
        <w:jc w:val="center"/>
      </w:pPr>
    </w:p>
    <w:p>
      <w:pPr>
        <w:jc w:val="center"/>
        <w:rPr>
          <w:b/>
          <w:caps/>
        </w:rPr>
      </w:pPr>
      <w:r>
        <w:rPr>
          <w:b/>
          <w:caps/>
        </w:rPr>
        <w:t>Sprendimas</w:t>
      </w:r>
    </w:p>
    <w:p>
      <w:pPr>
        <w:jc w:val="center"/>
        <w:rPr>
          <w:b/>
          <w:bCs/>
        </w:rPr>
      </w:pPr>
      <w:r>
        <w:rPr>
          <w:b/>
          <w:bCs/>
          <w:caps/>
        </w:rPr>
        <w:t xml:space="preserve">Dėl </w:t>
      </w:r>
      <w:r>
        <w:rPr>
          <w:b/>
          <w:bCs/>
        </w:rPr>
        <w:t xml:space="preserve">UŽDAROSIOS AKCINĖS BENDROVĖS „PASVALIO VANDENYS“ </w:t>
      </w:r>
    </w:p>
    <w:p>
      <w:pPr>
        <w:jc w:val="center"/>
        <w:rPr>
          <w:b/>
          <w:bCs/>
        </w:rPr>
      </w:pPr>
      <w:r>
        <w:rPr>
          <w:b/>
          <w:bCs/>
        </w:rPr>
        <w:t>2018 METŲ FINANSINIŲ ATASKAITŲ RINKINIO PATVIRTINIMO</w:t>
      </w:r>
    </w:p>
    <w:p>
      <w:pPr>
        <w:jc w:val="center"/>
      </w:pPr>
    </w:p>
    <w:p>
      <w:pPr>
        <w:jc w:val="center"/>
      </w:pPr>
      <w:r>
        <w:t>2019 m. balandžio 30 d.</w:t>
        <w:tab/>
        <w:t>Nr. T1-74</w:t>
      </w:r>
    </w:p>
    <w:p>
      <w:pPr>
        <w:jc w:val="center"/>
      </w:pPr>
      <w:r>
        <w:t>Pasvalys</w:t>
      </w:r>
    </w:p>
    <w:p/>
    <w:p>
      <w:p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>
      <w:pPr>
        <w:tabs>
          <w:tab w:val="center" w:pos="4153"/>
          <w:tab w:val="right" w:pos="8306"/>
        </w:tabs>
      </w:pPr>
    </w:p>
    <w:p>
      <w:pPr>
        <w:ind w:left="283" w:firstLine="720"/>
        <w:jc w:val="both"/>
        <w:rPr>
          <w:spacing w:val="40"/>
          <w:lang w:eastAsia="x-none"/>
        </w:rPr>
      </w:pPr>
      <w:r>
        <w:rPr>
          <w:lang w:eastAsia="x-none"/>
        </w:rPr>
        <w:t>Vadovaudamasi Lietuvos Respublikos vietos savivaldos įstatymo 16 straipsnio 2 dalies 19 punktu</w:t>
      </w:r>
      <w:r>
        <w:rPr>
          <w:szCs w:val="24"/>
          <w:lang w:eastAsia="x-none"/>
        </w:rPr>
        <w:t>,</w:t>
      </w:r>
      <w:r>
        <w:rPr>
          <w:lang w:eastAsia="x-none"/>
        </w:rPr>
        <w:t xml:space="preserve"> 4 dalimi, Lietuvos Respublikos akcinių bendrovių įstatymo 20 straipsnio 1 dalies 10 ir 11 punktais, 24 straipsnio 1 dalimi, 29 straipsnio 6 dalimi, 58 ir 59 straipsniais, UAB „Pasvalio vandenys“ įstatų, patvirtintų Pasvalio rajono savivaldybės tarybos 2016 m. spalio 26 d. sprendimu Nr. T1-208 „Dėl UAB „Pasvalio vandenys“ įstatų patvirtinimo“, 13 punktu, </w:t>
      </w:r>
      <w:r>
        <w:rPr>
          <w:szCs w:val="24"/>
          <w:lang w:eastAsia="x-none"/>
        </w:rPr>
        <w:t xml:space="preserve">Pasvalio rajono savivaldybės tarybos veiklos reglamento, patvirtinto Pasvalio rajono savivaldybės tarybos 20019 m. gegužės 13 d. sprendimu Nr. T1-86 „Dėl Pasvalio rajono savivaldybės tarybos veiklos reglamento patvirtinimo“ (Pasvalio rajono savivaldybės tarybos 2015 m. rugpjūčio 27 d. sprendimo Nr. T1-93 redakcija) (su visais aktualiais pakeitimais), 230 ir 231 punktais, </w:t>
      </w:r>
      <w:r>
        <w:rPr>
          <w:lang w:eastAsia="x-none"/>
        </w:rPr>
        <w:t xml:space="preserve">atsižvelgdama į nepriklausomo auditoriaus uždarosios akcinės bendrovės „Audito nauda“ 2019 m. balandžio 5 d. išvadą, Pasvalio rajono savivaldybės taryba </w:t>
      </w:r>
      <w:r>
        <w:rPr>
          <w:spacing w:val="40"/>
          <w:lang w:eastAsia="x-none"/>
        </w:rPr>
        <w:t>nusprendžia: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1</w:t>
      </w:r>
      <w:r>
        <w:rPr>
          <w:lang w:eastAsia="x-none"/>
        </w:rPr>
        <w:t>. Pritarti UAB „Pasvalio vandenys“ 2018 m. metiniam pranešimui (pridedama).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2</w:t>
      </w:r>
      <w:r>
        <w:rPr>
          <w:lang w:eastAsia="x-none"/>
        </w:rPr>
        <w:t>. Patvirtinti UAB „Pasvalio vandenys“ 2018 metų finansinių ataskaitų rinkinį (pridedama).</w:t>
      </w:r>
    </w:p>
    <w:p>
      <w:pPr>
        <w:ind w:left="283" w:right="-468" w:firstLine="426"/>
        <w:jc w:val="both"/>
      </w:pPr>
      <w:r>
        <w:t>3</w:t>
      </w:r>
      <w:r>
        <w:t>. Paskirstyti UAB „Pasvalio vandenys“ 2018 metų paskirstytinąjį pelną (nuostolius) taip: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3.1</w:t>
      </w:r>
      <w:r>
        <w:rPr>
          <w:lang w:eastAsia="x-none"/>
        </w:rPr>
        <w:t>. ankstesnių finansinių metų nepaskirstytasis pelnas (nuostoliai) ataskaitinių finansinių metų pabaigoje – 132 009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3.2</w:t>
      </w:r>
      <w:r>
        <w:rPr>
          <w:lang w:eastAsia="x-none"/>
        </w:rPr>
        <w:t xml:space="preserve">. grynasis ataskaitinių finansinių metų pelnas (nuostoliai)  – 155 285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3.3</w:t>
      </w:r>
      <w:r>
        <w:rPr>
          <w:lang w:eastAsia="x-none"/>
        </w:rPr>
        <w:t>. pervedimai iš rezervų – 287 600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3.4</w:t>
      </w:r>
      <w:r>
        <w:rPr>
          <w:lang w:eastAsia="x-none"/>
        </w:rPr>
        <w:t>. akcininkų įnašai nuostoliams padengti – 0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3.5</w:t>
      </w:r>
      <w:r>
        <w:rPr>
          <w:lang w:eastAsia="x-none"/>
        </w:rPr>
        <w:t xml:space="preserve">. paskirstytinasis pelnas (nuostoliai) finansinių metų pabaigoje – 574 894 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3.6</w:t>
      </w:r>
      <w:r>
        <w:rPr>
          <w:lang w:eastAsia="x-none"/>
        </w:rPr>
        <w:t>. pelno paskirstymas: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3.6.1</w:t>
      </w:r>
      <w:r>
        <w:rPr>
          <w:lang w:eastAsia="x-none"/>
        </w:rPr>
        <w:t>. į privalomąjį rezervą – 7 765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3.6.2</w:t>
      </w:r>
      <w:r>
        <w:rPr>
          <w:lang w:eastAsia="x-none"/>
        </w:rPr>
        <w:t>. į kitus rezervus – 0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3.6.3</w:t>
      </w:r>
      <w:r>
        <w:rPr>
          <w:lang w:eastAsia="x-none"/>
        </w:rPr>
        <w:t>. dividendams – 20 000 Eur;</w:t>
      </w:r>
    </w:p>
    <w:p>
      <w:pPr>
        <w:ind w:left="283" w:firstLine="426"/>
        <w:rPr>
          <w:lang w:eastAsia="x-none"/>
        </w:rPr>
      </w:pPr>
      <w:r>
        <w:rPr>
          <w:lang w:eastAsia="x-none"/>
        </w:rPr>
        <w:t>3.6.4</w:t>
      </w:r>
      <w:r>
        <w:rPr>
          <w:lang w:eastAsia="x-none"/>
        </w:rPr>
        <w:t>. kiti pelno paskirstymo atvejai (darbuotojų premijoms, paramai) – 31 000 Eur;</w:t>
      </w:r>
    </w:p>
    <w:p>
      <w:pPr>
        <w:ind w:left="283" w:firstLine="426"/>
        <w:jc w:val="both"/>
        <w:rPr>
          <w:lang w:eastAsia="x-none"/>
        </w:rPr>
      </w:pPr>
      <w:r>
        <w:rPr>
          <w:lang w:eastAsia="x-none"/>
        </w:rPr>
        <w:t>3.7</w:t>
      </w:r>
      <w:r>
        <w:rPr>
          <w:lang w:eastAsia="x-none"/>
        </w:rPr>
        <w:t>. nepaskirstytasis pelnas (nuostoliai) 2018 m. gruodžio 31 d. – 516 129 Eur.</w:t>
      </w:r>
    </w:p>
    <w:p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>
      <w:pPr>
        <w:jc w:val="both"/>
      </w:pPr>
    </w:p>
    <w:p>
      <w:pPr>
        <w:ind w:firstLine="709"/>
        <w:jc w:val="both"/>
      </w:pPr>
    </w:p>
    <w:p>
      <w:pPr>
        <w:jc w:val="both"/>
      </w:pPr>
      <w:r>
        <w:t xml:space="preserve">Savivaldybės meras                                                                                           Gintautas Gegužinskas</w:t>
      </w:r>
    </w:p>
    <w:sectPr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10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2172</Characters>
  <Application>Microsoft Office Word</Application>
  <DocSecurity>4</DocSecurity>
  <Lines>42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2474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2019-05-22T13:56:00Z</dcterms:created>
  <dc:creator>Rasa</dc:creator>
  <lastModifiedBy>adlibuser</lastModifiedBy>
  <lastPrinted>2019-04-18T06:39:00Z</lastPrinted>
  <dcterms:modified xsi:type="dcterms:W3CDTF">2019-05-22T13:56:00Z</dcterms:modified>
  <revision>2</revision>
  <dc:title>Lietuvos Respublikos Sveikatos apsaugos ministerijai</dc:title>
</coreProperties>
</file>