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2EEE" w14:textId="77777777" w:rsidR="0056772F" w:rsidRDefault="0056772F">
      <w:pPr>
        <w:tabs>
          <w:tab w:val="center" w:pos="4153"/>
          <w:tab w:val="right" w:pos="8306"/>
        </w:tabs>
        <w:rPr>
          <w:rFonts w:ascii="TimesLT" w:hAnsi="TimesLT"/>
          <w:lang w:val="en-US"/>
        </w:rPr>
      </w:pPr>
    </w:p>
    <w:p w14:paraId="292A2EEF" w14:textId="77777777" w:rsidR="0056772F" w:rsidRDefault="00825651">
      <w:pPr>
        <w:jc w:val="center"/>
        <w:rPr>
          <w:caps/>
          <w:sz w:val="22"/>
        </w:rPr>
      </w:pPr>
      <w:r>
        <w:rPr>
          <w:caps/>
          <w:noProof/>
          <w:lang w:eastAsia="lt-LT"/>
        </w:rPr>
        <w:drawing>
          <wp:inline distT="0" distB="0" distL="0" distR="0" wp14:anchorId="292A2F33" wp14:editId="292A2F3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92A2EF0" w14:textId="77777777" w:rsidR="0056772F" w:rsidRDefault="0056772F">
      <w:pPr>
        <w:jc w:val="center"/>
        <w:rPr>
          <w:caps/>
          <w:sz w:val="12"/>
          <w:szCs w:val="12"/>
        </w:rPr>
      </w:pPr>
    </w:p>
    <w:p w14:paraId="292A2EF1" w14:textId="77777777" w:rsidR="0056772F" w:rsidRDefault="00825651">
      <w:pPr>
        <w:jc w:val="center"/>
        <w:rPr>
          <w:b/>
          <w:bCs/>
          <w:caps/>
        </w:rPr>
      </w:pPr>
      <w:r>
        <w:rPr>
          <w:b/>
          <w:bCs/>
          <w:caps/>
        </w:rPr>
        <w:t>LIETUVOS RESPUBLIKOS</w:t>
      </w:r>
    </w:p>
    <w:p w14:paraId="292A2EF2" w14:textId="77777777" w:rsidR="0056772F" w:rsidRDefault="00825651">
      <w:pPr>
        <w:jc w:val="center"/>
        <w:rPr>
          <w:b/>
          <w:caps/>
        </w:rPr>
      </w:pPr>
      <w:r>
        <w:rPr>
          <w:b/>
          <w:caps/>
        </w:rPr>
        <w:t>BAUDŽIAMOJO PROCESO KODEKSO 21, 22, 53, 54, 105, 188 STRAIPSNIŲ IR PRIEDO PAKEITIMO IR KODEKSO PAPILDYMO 27</w:t>
      </w:r>
      <w:r>
        <w:rPr>
          <w:b/>
          <w:caps/>
          <w:vertAlign w:val="superscript"/>
        </w:rPr>
        <w:t>2</w:t>
      </w:r>
      <w:r>
        <w:rPr>
          <w:b/>
          <w:caps/>
        </w:rPr>
        <w:t>, 189</w:t>
      </w:r>
      <w:r>
        <w:rPr>
          <w:b/>
          <w:caps/>
          <w:vertAlign w:val="superscript"/>
        </w:rPr>
        <w:t>1</w:t>
      </w:r>
      <w:r>
        <w:rPr>
          <w:b/>
          <w:caps/>
        </w:rPr>
        <w:t xml:space="preserve"> STRAIPSNIAIS</w:t>
      </w:r>
    </w:p>
    <w:p w14:paraId="292A2EF3" w14:textId="77777777" w:rsidR="0056772F" w:rsidRDefault="00825651">
      <w:pPr>
        <w:jc w:val="center"/>
        <w:rPr>
          <w:caps/>
        </w:rPr>
      </w:pPr>
      <w:r>
        <w:rPr>
          <w:b/>
          <w:caps/>
        </w:rPr>
        <w:t>ĮSTATYMAS</w:t>
      </w:r>
    </w:p>
    <w:p w14:paraId="292A2EF4" w14:textId="77777777" w:rsidR="0056772F" w:rsidRDefault="0056772F">
      <w:pPr>
        <w:jc w:val="center"/>
        <w:rPr>
          <w:b/>
          <w:caps/>
        </w:rPr>
      </w:pPr>
    </w:p>
    <w:p w14:paraId="292A2EF5" w14:textId="77777777" w:rsidR="0056772F" w:rsidRDefault="00825651">
      <w:pPr>
        <w:jc w:val="center"/>
        <w:rPr>
          <w:szCs w:val="24"/>
        </w:rPr>
      </w:pPr>
      <w:r>
        <w:rPr>
          <w:szCs w:val="24"/>
          <w:lang w:val="en-US"/>
        </w:rPr>
        <w:t>2019</w:t>
      </w:r>
      <w:r>
        <w:rPr>
          <w:szCs w:val="24"/>
        </w:rPr>
        <w:t xml:space="preserve"> m. </w:t>
      </w:r>
      <w:proofErr w:type="spellStart"/>
      <w:r>
        <w:rPr>
          <w:szCs w:val="24"/>
          <w:lang w:val="en-US"/>
        </w:rPr>
        <w:t>liepos</w:t>
      </w:r>
      <w:proofErr w:type="spellEnd"/>
      <w:r>
        <w:rPr>
          <w:szCs w:val="24"/>
        </w:rPr>
        <w:t xml:space="preserve"> </w:t>
      </w:r>
      <w:r>
        <w:rPr>
          <w:szCs w:val="24"/>
          <w:lang w:val="en-US"/>
        </w:rPr>
        <w:t>16</w:t>
      </w:r>
      <w:r>
        <w:rPr>
          <w:szCs w:val="24"/>
        </w:rPr>
        <w:t xml:space="preserve"> d. Nr. </w:t>
      </w:r>
      <w:r>
        <w:rPr>
          <w:szCs w:val="24"/>
          <w:lang w:val="en-US"/>
        </w:rPr>
        <w:t>XIII-2335</w:t>
      </w:r>
    </w:p>
    <w:p w14:paraId="292A2EF6" w14:textId="77777777" w:rsidR="0056772F" w:rsidRDefault="00825651">
      <w:pPr>
        <w:jc w:val="center"/>
        <w:rPr>
          <w:szCs w:val="24"/>
        </w:rPr>
      </w:pPr>
      <w:r>
        <w:rPr>
          <w:szCs w:val="24"/>
        </w:rPr>
        <w:t>Vilnius</w:t>
      </w:r>
    </w:p>
    <w:p w14:paraId="292A2EF7" w14:textId="77777777" w:rsidR="0056772F" w:rsidRDefault="0056772F">
      <w:pPr>
        <w:jc w:val="center"/>
        <w:rPr>
          <w:sz w:val="22"/>
        </w:rPr>
      </w:pPr>
    </w:p>
    <w:p w14:paraId="292A2EF8" w14:textId="77777777" w:rsidR="0056772F" w:rsidRDefault="0056772F">
      <w:pPr>
        <w:spacing w:line="360" w:lineRule="auto"/>
        <w:ind w:firstLine="720"/>
        <w:jc w:val="both"/>
        <w:rPr>
          <w:sz w:val="16"/>
          <w:szCs w:val="16"/>
        </w:rPr>
      </w:pPr>
    </w:p>
    <w:p w14:paraId="292A2EF9" w14:textId="77777777" w:rsidR="0056772F" w:rsidRDefault="0056772F">
      <w:pPr>
        <w:spacing w:line="360" w:lineRule="auto"/>
        <w:ind w:firstLine="720"/>
        <w:jc w:val="both"/>
        <w:sectPr w:rsidR="0056772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92A2EFA" w14:textId="77777777" w:rsidR="0056772F" w:rsidRDefault="0056772F">
      <w:pPr>
        <w:tabs>
          <w:tab w:val="center" w:pos="4153"/>
          <w:tab w:val="right" w:pos="8306"/>
        </w:tabs>
        <w:rPr>
          <w:rFonts w:ascii="TimesLT" w:hAnsi="TimesLT"/>
          <w:lang w:val="en-US"/>
        </w:rPr>
      </w:pPr>
    </w:p>
    <w:p w14:paraId="292A2EFB" w14:textId="77777777" w:rsidR="0056772F" w:rsidRDefault="00825651">
      <w:pPr>
        <w:spacing w:line="360" w:lineRule="auto"/>
        <w:ind w:firstLine="720"/>
        <w:jc w:val="both"/>
        <w:rPr>
          <w:b/>
          <w:szCs w:val="24"/>
        </w:rPr>
      </w:pPr>
      <w:r>
        <w:rPr>
          <w:b/>
          <w:szCs w:val="24"/>
        </w:rPr>
        <w:t>1</w:t>
      </w:r>
      <w:r>
        <w:rPr>
          <w:b/>
          <w:szCs w:val="24"/>
        </w:rPr>
        <w:t xml:space="preserve"> straipsnis. </w:t>
      </w:r>
      <w:r>
        <w:rPr>
          <w:b/>
          <w:szCs w:val="24"/>
        </w:rPr>
        <w:t>21 straipsnio pakeitimas</w:t>
      </w:r>
    </w:p>
    <w:p w14:paraId="292A2EFC" w14:textId="77777777" w:rsidR="0056772F" w:rsidRDefault="00825651">
      <w:pPr>
        <w:spacing w:line="360" w:lineRule="auto"/>
        <w:ind w:firstLine="720"/>
        <w:jc w:val="both"/>
        <w:rPr>
          <w:bCs/>
          <w:szCs w:val="24"/>
          <w:lang w:eastAsia="lt-LT"/>
        </w:rPr>
      </w:pPr>
      <w:r>
        <w:rPr>
          <w:bCs/>
          <w:szCs w:val="24"/>
          <w:lang w:eastAsia="lt-LT"/>
        </w:rPr>
        <w:t>Pakeisti 21 straipsnio 4 dalį ir ją išdėstyti taip:</w:t>
      </w:r>
    </w:p>
    <w:p w14:paraId="292A2EFD" w14:textId="77777777" w:rsidR="0056772F" w:rsidRDefault="00825651">
      <w:pPr>
        <w:spacing w:line="360" w:lineRule="auto"/>
        <w:ind w:firstLine="720"/>
        <w:jc w:val="both"/>
        <w:rPr>
          <w:bCs/>
          <w:szCs w:val="24"/>
          <w:lang w:eastAsia="lt-LT"/>
        </w:rPr>
      </w:pPr>
      <w:r>
        <w:rPr>
          <w:szCs w:val="24"/>
        </w:rPr>
        <w:t>„</w:t>
      </w:r>
      <w:r>
        <w:rPr>
          <w:szCs w:val="24"/>
        </w:rPr>
        <w:t>4</w:t>
      </w:r>
      <w:r>
        <w:rPr>
          <w:szCs w:val="24"/>
        </w:rPr>
        <w:t xml:space="preserve">. Įtariamasis turi teisę: gauti </w:t>
      </w:r>
      <w:r>
        <w:rPr>
          <w:szCs w:val="24"/>
        </w:rPr>
        <w:t>informaciją apie su juo susijusio baudžiamojo proceso padėtį,</w:t>
      </w:r>
      <w:r>
        <w:rPr>
          <w:b/>
          <w:szCs w:val="24"/>
        </w:rPr>
        <w:t xml:space="preserve"> </w:t>
      </w:r>
      <w:r>
        <w:rPr>
          <w:szCs w:val="24"/>
        </w:rPr>
        <w:t>žinoti, kuo jis įtariamas; nuo sulaikymo ar pirmosios apklausos momento turėti gynėją; gauti vertimą žodžiu ir raštu; informuoti konsulines įstaigas ir vieną asmenį; gauti skubią medicinos pagal</w:t>
      </w:r>
      <w:r>
        <w:rPr>
          <w:szCs w:val="24"/>
        </w:rPr>
        <w:t>bą; žinoti maksimalų terminą, kiek valandų (dienų) gali būti ribojama jo laisvė iki bylos nagrinėjimo teisminėje institucijoje pradžios; duoti parodymus; tylėti ir (ar) atsisakyti duoti parodymus apie savo paties galimai padarytą nusikalstamą veiką; pateik</w:t>
      </w:r>
      <w:r>
        <w:rPr>
          <w:szCs w:val="24"/>
        </w:rPr>
        <w:t>ti tyrimui reikšmingus dokumentus ir daiktus; pateikti prašymus; pareikšti nušalinimus; susipažinti su ikiteisminio tyrimo medžiaga; apskųsti ikiteisminio tyrimo pareigūno, prokuroro ar ikiteisminio tyrimo teisėjo veiksmus bei sprendimus; būti lydimas atst</w:t>
      </w:r>
      <w:r>
        <w:rPr>
          <w:szCs w:val="24"/>
        </w:rPr>
        <w:t>ovo pagal įstatymą teismo posėdžiuose ir atliekant kitus proceso veiksmus, taip pat teisę į privatumo apsaugą, kai įtariamasis yra nepilnametis.“</w:t>
      </w:r>
    </w:p>
    <w:p w14:paraId="292A2EFE" w14:textId="77777777" w:rsidR="0056772F" w:rsidRDefault="00825651">
      <w:pPr>
        <w:spacing w:line="360" w:lineRule="auto"/>
        <w:ind w:firstLine="720"/>
        <w:jc w:val="both"/>
        <w:rPr>
          <w:bCs/>
          <w:szCs w:val="24"/>
          <w:lang w:eastAsia="lt-LT"/>
        </w:rPr>
      </w:pPr>
    </w:p>
    <w:p w14:paraId="292A2EFF" w14:textId="77777777" w:rsidR="0056772F" w:rsidRDefault="00825651">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22 straipsnio pakeitimas</w:t>
      </w:r>
    </w:p>
    <w:p w14:paraId="292A2F00" w14:textId="77777777" w:rsidR="0056772F" w:rsidRDefault="00825651">
      <w:pPr>
        <w:tabs>
          <w:tab w:val="left" w:pos="318"/>
        </w:tabs>
        <w:spacing w:line="360" w:lineRule="auto"/>
        <w:ind w:firstLine="720"/>
        <w:jc w:val="both"/>
        <w:rPr>
          <w:szCs w:val="24"/>
        </w:rPr>
      </w:pPr>
      <w:r>
        <w:rPr>
          <w:szCs w:val="24"/>
        </w:rPr>
        <w:t>Pakeisti 22 straipsnio 3 dalį ir ją išdėstyti taip:</w:t>
      </w:r>
    </w:p>
    <w:p w14:paraId="292A2F01" w14:textId="77777777" w:rsidR="0056772F" w:rsidRDefault="00825651">
      <w:pPr>
        <w:tabs>
          <w:tab w:val="left" w:pos="318"/>
        </w:tabs>
        <w:spacing w:line="360" w:lineRule="auto"/>
        <w:ind w:firstLine="720"/>
        <w:jc w:val="both"/>
        <w:rPr>
          <w:szCs w:val="24"/>
        </w:rPr>
      </w:pPr>
      <w:r>
        <w:rPr>
          <w:szCs w:val="24"/>
        </w:rPr>
        <w:t>„</w:t>
      </w:r>
      <w:r>
        <w:rPr>
          <w:szCs w:val="24"/>
        </w:rPr>
        <w:t>3</w:t>
      </w:r>
      <w:r>
        <w:rPr>
          <w:szCs w:val="24"/>
        </w:rPr>
        <w:t xml:space="preserve">. </w:t>
      </w:r>
      <w:r>
        <w:rPr>
          <w:szCs w:val="24"/>
        </w:rPr>
        <w:t>Kaltinamasis turi teisę: gauti informaciją apie su juo susijusio baudžiamojo proceso padėtį, žinoti, kuo jis kaltinamas, ir gauti kaltinamojo akto nuorašą; susipažinti teisme su byla; nustatyta tvarka pasidaryti reikiamų dokumentų išrašus arba nuorašus; tu</w:t>
      </w:r>
      <w:r>
        <w:rPr>
          <w:szCs w:val="24"/>
        </w:rPr>
        <w:t>rėti gynėją; gauti vertimą žodžiu ir raštu; informuoti konsulines įstaigas ir vieną asmenį; gauti skubią medicinos pagalbą; pateikti prašymus; pareikšti nušalinimus; teikti įrodymus ir dalyvauti juos tiriant; nagrinėjimo teisme metu duoti parodymus ir uždu</w:t>
      </w:r>
      <w:r>
        <w:rPr>
          <w:szCs w:val="24"/>
        </w:rPr>
        <w:t>oti klausimus; duoti paaiškinimus apie teismo tiriamas bylos aplinkybes ir pareikšti savo nuomonę dėl kitų nagrinėjimo teisme dalyvių pareikštų prašymų; tylėti ir (ar) atsisakyti duoti parodymus apie savo paties galimai padarytą nusikalstamą veiką; dalyvau</w:t>
      </w:r>
      <w:r>
        <w:rPr>
          <w:szCs w:val="24"/>
        </w:rPr>
        <w:t xml:space="preserve">ti baigiamosiose kalbose, kai nėra gynėjo; kreiptis į teismą </w:t>
      </w:r>
      <w:r>
        <w:rPr>
          <w:szCs w:val="24"/>
        </w:rPr>
        <w:lastRenderedPageBreak/>
        <w:t>paskutiniu žodžiu; apskųsti teismo nuosprendį ir nutartis; būti lydimas atstovo pagal įstatymą teismo posėdžiuose ir atliekant kitus proceso veiksmus, taip pat teisę į privatumo apsaugą, kai kalt</w:t>
      </w:r>
      <w:r>
        <w:rPr>
          <w:szCs w:val="24"/>
        </w:rPr>
        <w:t>inamasis yra nepilnametis.“</w:t>
      </w:r>
    </w:p>
    <w:p w14:paraId="292A2F02" w14:textId="77777777" w:rsidR="0056772F" w:rsidRDefault="00825651">
      <w:pPr>
        <w:tabs>
          <w:tab w:val="left" w:pos="318"/>
        </w:tabs>
        <w:spacing w:line="360" w:lineRule="auto"/>
        <w:ind w:firstLine="720"/>
        <w:jc w:val="both"/>
        <w:rPr>
          <w:szCs w:val="24"/>
        </w:rPr>
      </w:pPr>
    </w:p>
    <w:p w14:paraId="292A2F03" w14:textId="77777777" w:rsidR="0056772F" w:rsidRDefault="00825651">
      <w:pPr>
        <w:tabs>
          <w:tab w:val="left" w:pos="318"/>
        </w:tabs>
        <w:spacing w:line="360" w:lineRule="auto"/>
        <w:ind w:firstLine="720"/>
        <w:jc w:val="both"/>
        <w:rPr>
          <w:b/>
          <w:szCs w:val="24"/>
        </w:rPr>
      </w:pPr>
      <w:r>
        <w:rPr>
          <w:b/>
          <w:szCs w:val="24"/>
        </w:rPr>
        <w:t>3</w:t>
      </w:r>
      <w:r>
        <w:rPr>
          <w:b/>
          <w:szCs w:val="24"/>
        </w:rPr>
        <w:t xml:space="preserve"> straipsnis. </w:t>
      </w:r>
      <w:r>
        <w:rPr>
          <w:b/>
          <w:szCs w:val="24"/>
        </w:rPr>
        <w:t>Kodekso papildymas 27</w:t>
      </w:r>
      <w:r>
        <w:rPr>
          <w:b/>
          <w:szCs w:val="24"/>
          <w:vertAlign w:val="superscript"/>
        </w:rPr>
        <w:t>2</w:t>
      </w:r>
      <w:r>
        <w:rPr>
          <w:b/>
          <w:szCs w:val="24"/>
        </w:rPr>
        <w:t xml:space="preserve"> straipsniu</w:t>
      </w:r>
    </w:p>
    <w:p w14:paraId="292A2F04" w14:textId="77777777" w:rsidR="0056772F" w:rsidRDefault="00825651">
      <w:pPr>
        <w:tabs>
          <w:tab w:val="left" w:pos="318"/>
        </w:tabs>
        <w:spacing w:line="360" w:lineRule="auto"/>
        <w:ind w:firstLine="720"/>
        <w:jc w:val="both"/>
        <w:rPr>
          <w:szCs w:val="24"/>
        </w:rPr>
      </w:pPr>
      <w:r>
        <w:rPr>
          <w:szCs w:val="24"/>
        </w:rPr>
        <w:t>Papildyti Kodeksą 27</w:t>
      </w:r>
      <w:r>
        <w:rPr>
          <w:szCs w:val="24"/>
          <w:vertAlign w:val="superscript"/>
        </w:rPr>
        <w:t>2</w:t>
      </w:r>
      <w:r>
        <w:rPr>
          <w:szCs w:val="24"/>
        </w:rPr>
        <w:t xml:space="preserve"> straipsniu:</w:t>
      </w:r>
    </w:p>
    <w:p w14:paraId="292A2F05" w14:textId="77777777" w:rsidR="0056772F" w:rsidRDefault="00825651">
      <w:pPr>
        <w:spacing w:line="360" w:lineRule="auto"/>
        <w:ind w:firstLine="720"/>
        <w:jc w:val="both"/>
        <w:rPr>
          <w:b/>
          <w:szCs w:val="24"/>
        </w:rPr>
      </w:pPr>
      <w:r>
        <w:rPr>
          <w:szCs w:val="24"/>
        </w:rPr>
        <w:t>„</w:t>
      </w:r>
      <w:r>
        <w:rPr>
          <w:b/>
          <w:szCs w:val="24"/>
        </w:rPr>
        <w:t>27</w:t>
      </w:r>
      <w:r>
        <w:rPr>
          <w:b/>
          <w:szCs w:val="24"/>
          <w:vertAlign w:val="superscript"/>
        </w:rPr>
        <w:t>2</w:t>
      </w:r>
      <w:r>
        <w:rPr>
          <w:b/>
          <w:szCs w:val="24"/>
        </w:rPr>
        <w:t xml:space="preserve"> straipsnis. </w:t>
      </w:r>
      <w:r>
        <w:rPr>
          <w:b/>
          <w:szCs w:val="24"/>
        </w:rPr>
        <w:t>Nepilnamečio individualus vertinimas</w:t>
      </w:r>
    </w:p>
    <w:p w14:paraId="292A2F06" w14:textId="77777777" w:rsidR="0056772F" w:rsidRDefault="00825651">
      <w:pPr>
        <w:spacing w:line="360" w:lineRule="auto"/>
        <w:ind w:firstLine="720"/>
        <w:jc w:val="both"/>
        <w:rPr>
          <w:szCs w:val="24"/>
        </w:rPr>
      </w:pPr>
      <w:r>
        <w:rPr>
          <w:szCs w:val="24"/>
        </w:rPr>
        <w:t>Nepilnamečio įtariamojo ar kaltinamojo individualus vertinimas yra informac</w:t>
      </w:r>
      <w:r>
        <w:rPr>
          <w:szCs w:val="24"/>
        </w:rPr>
        <w:t>ijos apie nepilnamečio įtariamojo ar kaltinamojo asmenybę, jo aplinką ir poreikius apsaugos, švietimo ir socialinės integracijos srityse apibendrinimas, kurį atlieka valstybinė vaiko teisių apsaugos institucija ar laisvės atėmimo įstaiga, kurioje nepilname</w:t>
      </w:r>
      <w:r>
        <w:rPr>
          <w:szCs w:val="24"/>
        </w:rPr>
        <w:t>tis laikomas.“</w:t>
      </w:r>
    </w:p>
    <w:p w14:paraId="292A2F07" w14:textId="77777777" w:rsidR="0056772F" w:rsidRDefault="00825651">
      <w:pPr>
        <w:spacing w:line="360" w:lineRule="auto"/>
        <w:ind w:firstLine="720"/>
        <w:jc w:val="both"/>
        <w:rPr>
          <w:b/>
          <w:szCs w:val="24"/>
        </w:rPr>
      </w:pPr>
    </w:p>
    <w:p w14:paraId="292A2F08" w14:textId="77777777" w:rsidR="0056772F" w:rsidRDefault="00825651">
      <w:pPr>
        <w:spacing w:line="360" w:lineRule="auto"/>
        <w:ind w:firstLine="720"/>
        <w:jc w:val="both"/>
        <w:rPr>
          <w:b/>
          <w:szCs w:val="24"/>
        </w:rPr>
      </w:pPr>
      <w:r>
        <w:rPr>
          <w:b/>
          <w:szCs w:val="24"/>
        </w:rPr>
        <w:t>4</w:t>
      </w:r>
      <w:r>
        <w:rPr>
          <w:b/>
          <w:szCs w:val="24"/>
        </w:rPr>
        <w:t xml:space="preserve"> straipsnis. </w:t>
      </w:r>
      <w:r>
        <w:rPr>
          <w:b/>
          <w:szCs w:val="24"/>
        </w:rPr>
        <w:t xml:space="preserve">53 straipsnio </w:t>
      </w:r>
      <w:r>
        <w:rPr>
          <w:b/>
          <w:bCs/>
          <w:szCs w:val="24"/>
          <w:lang w:eastAsia="lt-LT"/>
        </w:rPr>
        <w:t>pakeitimas</w:t>
      </w:r>
    </w:p>
    <w:p w14:paraId="292A2F09" w14:textId="77777777" w:rsidR="0056772F" w:rsidRDefault="00825651">
      <w:pPr>
        <w:spacing w:line="360" w:lineRule="auto"/>
        <w:ind w:firstLine="720"/>
        <w:jc w:val="both"/>
        <w:rPr>
          <w:szCs w:val="24"/>
        </w:rPr>
      </w:pPr>
      <w:r>
        <w:rPr>
          <w:szCs w:val="24"/>
        </w:rPr>
        <w:t>1</w:t>
      </w:r>
      <w:r>
        <w:rPr>
          <w:szCs w:val="24"/>
        </w:rPr>
        <w:t>. Pakeisti 53 straipsnio 1 dalį ir ją išdėstyti taip:</w:t>
      </w:r>
    </w:p>
    <w:p w14:paraId="292A2F0A" w14:textId="77777777" w:rsidR="0056772F" w:rsidRDefault="00825651">
      <w:pPr>
        <w:spacing w:line="360" w:lineRule="auto"/>
        <w:ind w:firstLine="720"/>
        <w:jc w:val="both"/>
        <w:rPr>
          <w:szCs w:val="24"/>
          <w:lang w:eastAsia="lt-LT"/>
        </w:rPr>
      </w:pPr>
      <w:r>
        <w:rPr>
          <w:bCs/>
          <w:szCs w:val="24"/>
          <w:lang w:eastAsia="lt-LT"/>
        </w:rPr>
        <w:t>„</w:t>
      </w:r>
      <w:r>
        <w:rPr>
          <w:szCs w:val="24"/>
          <w:lang w:eastAsia="lt-LT"/>
        </w:rPr>
        <w:t>1</w:t>
      </w:r>
      <w:r>
        <w:rPr>
          <w:szCs w:val="24"/>
          <w:lang w:eastAsia="lt-LT"/>
        </w:rPr>
        <w:t xml:space="preserve">. Įtariamojo, kaltinamojo, nuteistojo arba nukentėjusiojo atstovai pagal įstatymą gali dalyvauti procese ir ginti savo </w:t>
      </w:r>
      <w:r>
        <w:rPr>
          <w:szCs w:val="24"/>
          <w:lang w:eastAsia="lt-LT"/>
        </w:rPr>
        <w:t>atstovaujamų proceso dalyvių interesus, jeigu šie yra nepilnamečiai arba nustatyta tvarka pripažinti neveiksniais, išskyrus atvejus, kai tai prieštarautų nepilnamečio ar neveiksnaus asmens interesams</w:t>
      </w:r>
      <w:r>
        <w:rPr>
          <w:szCs w:val="24"/>
        </w:rPr>
        <w:t xml:space="preserve"> ar pakenktų baudžiamajam procesui</w:t>
      </w:r>
      <w:r>
        <w:rPr>
          <w:szCs w:val="24"/>
          <w:lang w:eastAsia="lt-LT"/>
        </w:rPr>
        <w:t>.“</w:t>
      </w:r>
    </w:p>
    <w:p w14:paraId="292A2F0B" w14:textId="77777777" w:rsidR="0056772F" w:rsidRDefault="00825651">
      <w:pPr>
        <w:tabs>
          <w:tab w:val="left" w:pos="301"/>
        </w:tabs>
        <w:spacing w:line="360" w:lineRule="auto"/>
        <w:ind w:firstLine="720"/>
        <w:jc w:val="both"/>
        <w:rPr>
          <w:szCs w:val="24"/>
          <w:lang w:eastAsia="lt-LT"/>
        </w:rPr>
      </w:pPr>
      <w:r>
        <w:rPr>
          <w:szCs w:val="24"/>
          <w:lang w:eastAsia="lt-LT"/>
        </w:rPr>
        <w:t>2</w:t>
      </w:r>
      <w:r>
        <w:rPr>
          <w:szCs w:val="24"/>
          <w:lang w:eastAsia="lt-LT"/>
        </w:rPr>
        <w:t xml:space="preserve">. Pakeisti </w:t>
      </w:r>
      <w:r>
        <w:rPr>
          <w:szCs w:val="24"/>
          <w:lang w:eastAsia="lt-LT"/>
        </w:rPr>
        <w:t>53 straipsnio 3 dalį ir ją išdėstyti taip:</w:t>
      </w:r>
    </w:p>
    <w:p w14:paraId="292A2F0C" w14:textId="77777777" w:rsidR="0056772F" w:rsidRDefault="00825651">
      <w:pPr>
        <w:spacing w:line="360" w:lineRule="auto"/>
        <w:ind w:firstLine="720"/>
        <w:jc w:val="both"/>
        <w:rPr>
          <w:szCs w:val="24"/>
          <w:lang w:eastAsia="lt-LT"/>
        </w:rPr>
      </w:pPr>
      <w:r>
        <w:rPr>
          <w:szCs w:val="24"/>
          <w:lang w:eastAsia="lt-LT"/>
        </w:rPr>
        <w:t>„</w:t>
      </w:r>
      <w:r>
        <w:rPr>
          <w:szCs w:val="24"/>
          <w:lang w:eastAsia="lt-LT"/>
        </w:rPr>
        <w:t>3</w:t>
      </w:r>
      <w:r>
        <w:rPr>
          <w:szCs w:val="24"/>
          <w:lang w:eastAsia="lt-LT"/>
        </w:rPr>
        <w:t>. Atstovui pagal įstatymą, pateikusiam rašytinį ar žodinį prašymą, leidžiama dalyvauti procese, kai ikiteisminio tyrimo pareigūnas, prokuroras priima dėl to nutarimą, o teismas – nutartį. Atstovas pagal įstaty</w:t>
      </w:r>
      <w:r>
        <w:rPr>
          <w:szCs w:val="24"/>
          <w:lang w:eastAsia="lt-LT"/>
        </w:rPr>
        <w:t xml:space="preserve">mą paprastai dalyvauja procese kartu su asmeniu, kuriam atstovauja. </w:t>
      </w:r>
      <w:r>
        <w:rPr>
          <w:szCs w:val="24"/>
        </w:rPr>
        <w:t>Ikiteisminio tyrimo pareigūno, prokuroro nutarimu bei teismo nutartimi gali būti atsisakyta leisti atstovui pagal įstatymą dalyvauti procese kaip atstovui, jeigu tai prieštarautų nepilname</w:t>
      </w:r>
      <w:r>
        <w:rPr>
          <w:szCs w:val="24"/>
        </w:rPr>
        <w:t>čio ar neveiksnaus asmens interesams ar pakenktų baudžiamajam procesui. Tokiu atveju, taip pat kai nėra galimybės susisiekti su atstovu pagal įstatymą arba jo tapatybė nežinoma,</w:t>
      </w:r>
      <w:r>
        <w:rPr>
          <w:szCs w:val="24"/>
          <w:lang w:eastAsia="lt-LT"/>
        </w:rPr>
        <w:t xml:space="preserve"> </w:t>
      </w:r>
      <w:r>
        <w:rPr>
          <w:bCs/>
          <w:szCs w:val="24"/>
        </w:rPr>
        <w:t>nepilnamečio atstovu pagal įstatymą gali būti jo pasirinktas ir ikiteisminio t</w:t>
      </w:r>
      <w:r>
        <w:rPr>
          <w:bCs/>
          <w:szCs w:val="24"/>
        </w:rPr>
        <w:t>yrimo pareigūno, prokuroro ar teismo pripažintas tinkamu būti atstovu pagal įstatymą asmuo</w:t>
      </w:r>
      <w:r>
        <w:rPr>
          <w:szCs w:val="24"/>
        </w:rPr>
        <w:t xml:space="preserve">. Jeigu nepilnametis nepasirinko kito asmens arba jo pasirinktas asmuo nėra </w:t>
      </w:r>
      <w:r>
        <w:rPr>
          <w:bCs/>
          <w:szCs w:val="24"/>
        </w:rPr>
        <w:t>tinkamas būti atstovu pagal įstatymą, ikiteisminio tyrimo pareigūnas ar prokuroras, ikitei</w:t>
      </w:r>
      <w:r>
        <w:rPr>
          <w:bCs/>
          <w:szCs w:val="24"/>
        </w:rPr>
        <w:t xml:space="preserve">sminio tyrimo teisėjas ar teismas, atsižvelgdamas į nepilnamečio interesus, paskiria kitą asmenį, galintį tinkamai atstovauti nepilnamečiui. Kai atsisakyta leisti asmeniui dalyvauti baudžiamajame procese kaip neveiksnaus asmens atstovui pagal įstatymą, </w:t>
      </w:r>
      <w:r>
        <w:rPr>
          <w:szCs w:val="24"/>
          <w:lang w:eastAsia="lt-LT"/>
        </w:rPr>
        <w:t>iki</w:t>
      </w:r>
      <w:r>
        <w:rPr>
          <w:szCs w:val="24"/>
          <w:lang w:eastAsia="lt-LT"/>
        </w:rPr>
        <w:t xml:space="preserve">teisminio tyrimo pareigūnas, prokuroras ar teismas turi užtikrinti, kad procese dalyvautų kitas atstovas pagal įstatymą. Ikiteisminio tyrimo pareigūnas, prokuroras ar teismas </w:t>
      </w:r>
      <w:r>
        <w:rPr>
          <w:szCs w:val="24"/>
          <w:lang w:eastAsia="lt-LT"/>
        </w:rPr>
        <w:lastRenderedPageBreak/>
        <w:t>laikinai, kol bus išspręstas naujo atstovo pagal įstatymą klausimas, turi paskirt</w:t>
      </w:r>
      <w:r>
        <w:rPr>
          <w:szCs w:val="24"/>
          <w:lang w:eastAsia="lt-LT"/>
        </w:rPr>
        <w:t>i atstovu bet kokį kitą asmenį, galintį tinkamai atstovauti nepilnamečio ar neveiksnaus asmens interesams.“</w:t>
      </w:r>
    </w:p>
    <w:p w14:paraId="292A2F0D" w14:textId="77777777" w:rsidR="0056772F" w:rsidRDefault="00825651">
      <w:pPr>
        <w:spacing w:line="360" w:lineRule="auto"/>
        <w:ind w:firstLine="720"/>
        <w:rPr>
          <w:szCs w:val="24"/>
          <w:lang w:eastAsia="lt-LT"/>
        </w:rPr>
      </w:pPr>
    </w:p>
    <w:p w14:paraId="292A2F0E" w14:textId="77777777" w:rsidR="0056772F" w:rsidRDefault="00825651">
      <w:pPr>
        <w:spacing w:line="360" w:lineRule="auto"/>
        <w:ind w:firstLine="720"/>
        <w:rPr>
          <w:b/>
          <w:bCs/>
          <w:color w:val="000000"/>
          <w:szCs w:val="24"/>
          <w:lang w:eastAsia="lt-LT"/>
        </w:rPr>
      </w:pPr>
      <w:r>
        <w:rPr>
          <w:b/>
          <w:bCs/>
          <w:szCs w:val="24"/>
          <w:lang w:eastAsia="lt-LT"/>
        </w:rPr>
        <w:t>5</w:t>
      </w:r>
      <w:r>
        <w:rPr>
          <w:b/>
          <w:bCs/>
          <w:szCs w:val="24"/>
          <w:lang w:eastAsia="lt-LT"/>
        </w:rPr>
        <w:t xml:space="preserve"> straipsnis. </w:t>
      </w:r>
      <w:r>
        <w:rPr>
          <w:b/>
          <w:bCs/>
          <w:szCs w:val="24"/>
          <w:lang w:eastAsia="lt-LT"/>
        </w:rPr>
        <w:t xml:space="preserve">54 </w:t>
      </w:r>
      <w:r>
        <w:rPr>
          <w:b/>
          <w:bCs/>
          <w:color w:val="000000"/>
          <w:szCs w:val="24"/>
          <w:lang w:eastAsia="lt-LT"/>
        </w:rPr>
        <w:t>straipsnio pakeitimas</w:t>
      </w:r>
    </w:p>
    <w:p w14:paraId="292A2F0F" w14:textId="77777777" w:rsidR="0056772F" w:rsidRDefault="00825651">
      <w:pPr>
        <w:spacing w:line="360" w:lineRule="auto"/>
        <w:ind w:firstLine="720"/>
        <w:rPr>
          <w:bCs/>
          <w:color w:val="000000"/>
          <w:szCs w:val="24"/>
          <w:lang w:eastAsia="lt-LT"/>
        </w:rPr>
      </w:pPr>
      <w:r>
        <w:rPr>
          <w:bCs/>
          <w:color w:val="000000"/>
          <w:szCs w:val="24"/>
          <w:lang w:eastAsia="lt-LT"/>
        </w:rPr>
        <w:t>Pakeisti 54 straipsnio 1 dalį ir ją išdėstyti taip:</w:t>
      </w:r>
    </w:p>
    <w:p w14:paraId="292A2F10" w14:textId="77777777" w:rsidR="0056772F" w:rsidRDefault="00825651">
      <w:pPr>
        <w:spacing w:line="360" w:lineRule="auto"/>
        <w:ind w:firstLine="720"/>
        <w:jc w:val="both"/>
        <w:rPr>
          <w:szCs w:val="24"/>
          <w:lang w:eastAsia="lt-LT"/>
        </w:rPr>
      </w:pPr>
      <w:r>
        <w:rPr>
          <w:szCs w:val="24"/>
          <w:lang w:eastAsia="lt-LT"/>
        </w:rPr>
        <w:t>„</w:t>
      </w:r>
      <w:r>
        <w:rPr>
          <w:szCs w:val="24"/>
          <w:lang w:eastAsia="lt-LT"/>
        </w:rPr>
        <w:t>1</w:t>
      </w:r>
      <w:r>
        <w:rPr>
          <w:szCs w:val="24"/>
          <w:lang w:eastAsia="lt-LT"/>
        </w:rPr>
        <w:t>. Atstovas pagal įstatymą turi teisę lyd</w:t>
      </w:r>
      <w:r>
        <w:rPr>
          <w:szCs w:val="24"/>
          <w:lang w:eastAsia="lt-LT"/>
        </w:rPr>
        <w:t>ėti atstovaujamą asmenį viso baudžiamojo proceso metu, dalyvauti atliekant proceso veiksmus, kuriuose dalyvauja jo atstovaujamas asmuo, ir padėti šiam asmeniui pasinaudoti įstatymų suteiktomis teisėmis. Jeigu atstovaujamas asmuo yra suimtas, atstovas pagal</w:t>
      </w:r>
      <w:r>
        <w:rPr>
          <w:szCs w:val="24"/>
          <w:lang w:eastAsia="lt-LT"/>
        </w:rPr>
        <w:t xml:space="preserve"> įstatymą gali su juo pasimatyti ikiteisminio tyrimo pareigūno, prokuroro, teisėjo leidimu.</w:t>
      </w:r>
      <w:r>
        <w:rPr>
          <w:color w:val="000000"/>
          <w:szCs w:val="24"/>
        </w:rPr>
        <w:t xml:space="preserve"> Atstovas pagal įstatymą taip pat turi teisę gauti informaciją apie nepilnamečio teises baudžiamajame procese. Kai išnyksta šio Kodekso 53 straipsnio 3 dalyje nurody</w:t>
      </w:r>
      <w:r>
        <w:rPr>
          <w:color w:val="000000"/>
          <w:szCs w:val="24"/>
        </w:rPr>
        <w:t>tos aplinkybės, dėl kurių nepilnamečio atstovui pagal įstatymą atsisakyta leisti dalyvauti procese kaip atstovui, jam taip pat suteikiama informacija apie nepilnamečio teises baudžiamajame procese.“</w:t>
      </w:r>
    </w:p>
    <w:p w14:paraId="292A2F11" w14:textId="77777777" w:rsidR="0056772F" w:rsidRDefault="00825651">
      <w:pPr>
        <w:spacing w:line="360" w:lineRule="auto"/>
        <w:ind w:firstLine="720"/>
        <w:rPr>
          <w:szCs w:val="24"/>
        </w:rPr>
      </w:pPr>
    </w:p>
    <w:p w14:paraId="292A2F12" w14:textId="77777777" w:rsidR="0056772F" w:rsidRDefault="00825651">
      <w:pPr>
        <w:tabs>
          <w:tab w:val="left" w:pos="301"/>
        </w:tabs>
        <w:spacing w:line="360" w:lineRule="auto"/>
        <w:ind w:firstLine="720"/>
        <w:jc w:val="both"/>
        <w:rPr>
          <w:b/>
          <w:bCs/>
          <w:szCs w:val="24"/>
        </w:rPr>
      </w:pPr>
      <w:r>
        <w:rPr>
          <w:b/>
          <w:bCs/>
          <w:szCs w:val="24"/>
        </w:rPr>
        <w:t>6</w:t>
      </w:r>
      <w:r>
        <w:rPr>
          <w:b/>
          <w:bCs/>
          <w:szCs w:val="24"/>
        </w:rPr>
        <w:t xml:space="preserve"> straipsnis. </w:t>
      </w:r>
      <w:r>
        <w:rPr>
          <w:b/>
          <w:bCs/>
          <w:szCs w:val="24"/>
        </w:rPr>
        <w:t>105 straipsnio pakeitimas</w:t>
      </w:r>
    </w:p>
    <w:p w14:paraId="292A2F13" w14:textId="77777777" w:rsidR="0056772F" w:rsidRDefault="00825651">
      <w:pPr>
        <w:tabs>
          <w:tab w:val="left" w:pos="301"/>
        </w:tabs>
        <w:spacing w:line="360" w:lineRule="auto"/>
        <w:ind w:firstLine="720"/>
        <w:jc w:val="both"/>
        <w:rPr>
          <w:bCs/>
          <w:szCs w:val="24"/>
        </w:rPr>
      </w:pPr>
      <w:r>
        <w:rPr>
          <w:bCs/>
          <w:szCs w:val="24"/>
        </w:rPr>
        <w:t>Pakeisti 105 straipsnio 1 dalį ir ją išdėstyti taip:</w:t>
      </w:r>
    </w:p>
    <w:p w14:paraId="292A2F14" w14:textId="77777777" w:rsidR="0056772F" w:rsidRDefault="00825651">
      <w:pPr>
        <w:tabs>
          <w:tab w:val="left" w:pos="301"/>
        </w:tabs>
        <w:spacing w:line="360" w:lineRule="auto"/>
        <w:ind w:firstLine="720"/>
        <w:jc w:val="both"/>
        <w:rPr>
          <w:szCs w:val="24"/>
        </w:rPr>
      </w:pPr>
      <w:r>
        <w:rPr>
          <w:bCs/>
          <w:szCs w:val="24"/>
        </w:rPr>
        <w:t>„</w:t>
      </w:r>
      <w:r>
        <w:rPr>
          <w:szCs w:val="24"/>
        </w:rPr>
        <w:t>1</w:t>
      </w:r>
      <w:r>
        <w:rPr>
          <w:szCs w:val="24"/>
        </w:rPr>
        <w:t>. Teismas, priimdamas nuosprendį, turi teisę nuspręsti išieškoti iš nuteistojo proceso išlaidas, išskyrus išlaidas, skirtas mokėti vertėjui, ir išlaidas, patirtas atliekant nepilnamečio įtariamojo ar</w:t>
      </w:r>
      <w:r>
        <w:rPr>
          <w:szCs w:val="24"/>
        </w:rPr>
        <w:t xml:space="preserve"> nepilnamečio kaltinamojo individualų vertinimą.“</w:t>
      </w:r>
    </w:p>
    <w:p w14:paraId="292A2F15" w14:textId="77777777" w:rsidR="0056772F" w:rsidRDefault="00825651">
      <w:pPr>
        <w:spacing w:line="360" w:lineRule="auto"/>
        <w:ind w:firstLine="720"/>
        <w:jc w:val="both"/>
        <w:rPr>
          <w:szCs w:val="24"/>
        </w:rPr>
      </w:pPr>
    </w:p>
    <w:p w14:paraId="292A2F16" w14:textId="77777777" w:rsidR="0056772F" w:rsidRDefault="00825651">
      <w:pPr>
        <w:spacing w:line="360" w:lineRule="auto"/>
        <w:ind w:firstLine="720"/>
        <w:jc w:val="both"/>
        <w:rPr>
          <w:b/>
          <w:szCs w:val="24"/>
        </w:rPr>
      </w:pPr>
      <w:r>
        <w:rPr>
          <w:b/>
          <w:szCs w:val="24"/>
        </w:rPr>
        <w:t>7</w:t>
      </w:r>
      <w:r>
        <w:rPr>
          <w:b/>
          <w:szCs w:val="24"/>
        </w:rPr>
        <w:t xml:space="preserve"> straipsnis. </w:t>
      </w:r>
      <w:r>
        <w:rPr>
          <w:b/>
          <w:szCs w:val="24"/>
        </w:rPr>
        <w:t>188 straipsnio pakeitimas</w:t>
      </w:r>
    </w:p>
    <w:p w14:paraId="292A2F17" w14:textId="77777777" w:rsidR="0056772F" w:rsidRDefault="00825651">
      <w:pPr>
        <w:spacing w:line="360" w:lineRule="auto"/>
        <w:ind w:firstLine="720"/>
        <w:jc w:val="both"/>
        <w:rPr>
          <w:szCs w:val="24"/>
        </w:rPr>
      </w:pPr>
      <w:r>
        <w:rPr>
          <w:szCs w:val="24"/>
        </w:rPr>
        <w:t>Pakeisti 188 straipsnio 5 dalį ir ją išdėstyti taip:</w:t>
      </w:r>
    </w:p>
    <w:p w14:paraId="292A2F18" w14:textId="77777777" w:rsidR="0056772F" w:rsidRDefault="00825651">
      <w:pPr>
        <w:spacing w:line="360" w:lineRule="auto"/>
        <w:ind w:firstLine="720"/>
        <w:jc w:val="both"/>
        <w:rPr>
          <w:color w:val="000000"/>
          <w:szCs w:val="24"/>
          <w:highlight w:val="yellow"/>
        </w:rPr>
      </w:pPr>
      <w:r>
        <w:rPr>
          <w:szCs w:val="24"/>
        </w:rPr>
        <w:t>„</w:t>
      </w:r>
      <w:r>
        <w:rPr>
          <w:szCs w:val="24"/>
        </w:rPr>
        <w:t>5</w:t>
      </w:r>
      <w:r>
        <w:rPr>
          <w:szCs w:val="24"/>
        </w:rPr>
        <w:t>. Proceso dalyvių prašymu arba ikiteisminio tyrimo</w:t>
      </w:r>
      <w:r>
        <w:rPr>
          <w:b/>
          <w:bCs/>
          <w:szCs w:val="24"/>
        </w:rPr>
        <w:t xml:space="preserve"> </w:t>
      </w:r>
      <w:r>
        <w:rPr>
          <w:szCs w:val="24"/>
        </w:rPr>
        <w:t>pareigūno, prokuroro ar ikiteisminio tyrimo t</w:t>
      </w:r>
      <w:r>
        <w:rPr>
          <w:szCs w:val="24"/>
        </w:rPr>
        <w:t>eisėjo iniciatyva į nepilnamečio įtariamojo apklausą kviečiamas psichologas, kuris</w:t>
      </w:r>
      <w:r>
        <w:rPr>
          <w:b/>
          <w:bCs/>
          <w:szCs w:val="24"/>
        </w:rPr>
        <w:t xml:space="preserve"> </w:t>
      </w:r>
      <w:r>
        <w:rPr>
          <w:szCs w:val="24"/>
        </w:rPr>
        <w:t>padeda apklausti nepilnametį, atsižvelgdamas</w:t>
      </w:r>
      <w:r>
        <w:rPr>
          <w:b/>
          <w:bCs/>
          <w:szCs w:val="24"/>
        </w:rPr>
        <w:t xml:space="preserve"> </w:t>
      </w:r>
      <w:r>
        <w:rPr>
          <w:szCs w:val="24"/>
        </w:rPr>
        <w:t>į jo socialinę ir psichologinę brandą, ir (ar) valstybinės vaiko teisių apsaugos institucijos atstovas, kuris stebi, ar apklauso</w:t>
      </w:r>
      <w:r>
        <w:rPr>
          <w:szCs w:val="24"/>
        </w:rPr>
        <w:t>s metu nepažeidžiamos nepilnamečio įtariamojo teisės. Valstybinės vaiko teisių apsaugos institucijos atstovas gali užduoti apklausiamam asmeniui klausimų ir reikšti prašymus dėl apklausos</w:t>
      </w:r>
      <w:r>
        <w:rPr>
          <w:color w:val="000000"/>
          <w:szCs w:val="24"/>
        </w:rPr>
        <w:t>. Ikiteisminio tyrimo pareigūno ar prokuroro iniciatyva arba nepilnam</w:t>
      </w:r>
      <w:r>
        <w:rPr>
          <w:color w:val="000000"/>
          <w:szCs w:val="24"/>
        </w:rPr>
        <w:t>ečio įtariamojo ar jo gynėjo arba atstovo pagal įstatymą prašymu gali būti daromas apklausos garso ir vaizdo įrašas. Apklausiant suimtą ar sulaikytą nepilnametį įtariamąjį, garso ir vaizdo įrašas daromas visais atvejais.“</w:t>
      </w:r>
    </w:p>
    <w:p w14:paraId="292A2F19" w14:textId="77777777" w:rsidR="0056772F" w:rsidRDefault="00825651">
      <w:pPr>
        <w:spacing w:line="360" w:lineRule="auto"/>
        <w:ind w:firstLine="720"/>
        <w:jc w:val="both"/>
        <w:rPr>
          <w:color w:val="000000"/>
          <w:szCs w:val="24"/>
        </w:rPr>
      </w:pPr>
    </w:p>
    <w:p w14:paraId="292A2F1A" w14:textId="77777777" w:rsidR="0056772F" w:rsidRDefault="00825651">
      <w:pPr>
        <w:spacing w:line="360" w:lineRule="auto"/>
        <w:ind w:firstLine="720"/>
        <w:jc w:val="both"/>
        <w:rPr>
          <w:b/>
          <w:szCs w:val="24"/>
        </w:rPr>
      </w:pPr>
      <w:r>
        <w:rPr>
          <w:b/>
          <w:szCs w:val="24"/>
        </w:rPr>
        <w:t>8</w:t>
      </w:r>
      <w:r>
        <w:rPr>
          <w:b/>
          <w:szCs w:val="24"/>
        </w:rPr>
        <w:t xml:space="preserve"> straipsnis. </w:t>
      </w:r>
      <w:r>
        <w:rPr>
          <w:b/>
          <w:szCs w:val="24"/>
        </w:rPr>
        <w:t>Kodekso p</w:t>
      </w:r>
      <w:r>
        <w:rPr>
          <w:b/>
          <w:szCs w:val="24"/>
        </w:rPr>
        <w:t>apildymas 189</w:t>
      </w:r>
      <w:r>
        <w:rPr>
          <w:b/>
          <w:szCs w:val="24"/>
          <w:vertAlign w:val="superscript"/>
        </w:rPr>
        <w:t>1</w:t>
      </w:r>
      <w:r>
        <w:rPr>
          <w:b/>
          <w:szCs w:val="24"/>
        </w:rPr>
        <w:t xml:space="preserve"> straipsniu</w:t>
      </w:r>
    </w:p>
    <w:p w14:paraId="292A2F1B" w14:textId="77777777" w:rsidR="0056772F" w:rsidRDefault="00825651">
      <w:pPr>
        <w:spacing w:line="360" w:lineRule="auto"/>
        <w:ind w:firstLine="720"/>
        <w:jc w:val="both"/>
        <w:rPr>
          <w:szCs w:val="24"/>
        </w:rPr>
      </w:pPr>
      <w:r>
        <w:rPr>
          <w:szCs w:val="24"/>
        </w:rPr>
        <w:t>Papildyti Kodeksą 189</w:t>
      </w:r>
      <w:r>
        <w:rPr>
          <w:szCs w:val="24"/>
          <w:vertAlign w:val="superscript"/>
        </w:rPr>
        <w:t>1</w:t>
      </w:r>
      <w:r>
        <w:rPr>
          <w:szCs w:val="24"/>
        </w:rPr>
        <w:t xml:space="preserve"> straipsniu:</w:t>
      </w:r>
    </w:p>
    <w:p w14:paraId="292A2F1C" w14:textId="77777777" w:rsidR="0056772F" w:rsidRDefault="0056772F">
      <w:pPr>
        <w:spacing w:line="360" w:lineRule="auto"/>
        <w:ind w:firstLine="720"/>
        <w:jc w:val="both"/>
        <w:rPr>
          <w:szCs w:val="24"/>
        </w:rPr>
      </w:pPr>
    </w:p>
    <w:p w14:paraId="292A2F1D" w14:textId="77777777" w:rsidR="0056772F" w:rsidRDefault="00825651">
      <w:pPr>
        <w:spacing w:line="360" w:lineRule="auto"/>
        <w:ind w:firstLine="720"/>
        <w:jc w:val="both"/>
        <w:rPr>
          <w:b/>
          <w:szCs w:val="24"/>
        </w:rPr>
      </w:pPr>
      <w:r>
        <w:rPr>
          <w:szCs w:val="24"/>
        </w:rPr>
        <w:t>„</w:t>
      </w:r>
      <w:r>
        <w:rPr>
          <w:b/>
          <w:szCs w:val="24"/>
        </w:rPr>
        <w:t>189</w:t>
      </w:r>
      <w:r>
        <w:rPr>
          <w:b/>
          <w:szCs w:val="24"/>
          <w:vertAlign w:val="superscript"/>
        </w:rPr>
        <w:t>1</w:t>
      </w:r>
      <w:r>
        <w:rPr>
          <w:b/>
          <w:szCs w:val="24"/>
        </w:rPr>
        <w:t xml:space="preserve"> straipsnis. </w:t>
      </w:r>
      <w:r>
        <w:rPr>
          <w:b/>
          <w:szCs w:val="24"/>
        </w:rPr>
        <w:t>Nepilnamečio individualaus vertinimo tvarka</w:t>
      </w:r>
    </w:p>
    <w:p w14:paraId="292A2F1E" w14:textId="77777777" w:rsidR="0056772F" w:rsidRDefault="00825651">
      <w:pPr>
        <w:spacing w:line="360" w:lineRule="auto"/>
        <w:ind w:firstLine="720"/>
        <w:jc w:val="both"/>
        <w:rPr>
          <w:szCs w:val="24"/>
        </w:rPr>
      </w:pPr>
      <w:r>
        <w:rPr>
          <w:szCs w:val="24"/>
        </w:rPr>
        <w:t>1</w:t>
      </w:r>
      <w:r>
        <w:rPr>
          <w:szCs w:val="24"/>
        </w:rPr>
        <w:t>. Pirmą kartą apklausus nepilnametį įtariamąjį, ikiteisminį tyrimą atliekantis ikiteisminio tyrimo pareigūnas ar prokuroras</w:t>
      </w:r>
      <w:r>
        <w:rPr>
          <w:szCs w:val="24"/>
        </w:rPr>
        <w:t xml:space="preserve"> nedelsdamas kreipiasi į valstybinę vaiko teisių apsaugos instituciją dėl nepilnamečio įtariamojo individualaus vertinimo Lietuvos Respublikos socialinės apsaugos ir darbo ministro nustatyta tvarka ir forma. Valstybinė vaiko teisių apsaugos institucija tur</w:t>
      </w:r>
      <w:r>
        <w:rPr>
          <w:szCs w:val="24"/>
        </w:rPr>
        <w:t xml:space="preserve">i teisę gauti iš savivaldybės pedagoginės psichologinės tarnybos duomenis apie nepilnamečio specialius ugdymosi poreikius, asmenybės ir brandos vertinimą.  Šiuos duomenis savivaldybės pedagoginė psichologinė tarnyba turi pateikti ne vėliau kaip per dešimt </w:t>
      </w:r>
      <w:r>
        <w:rPr>
          <w:szCs w:val="24"/>
        </w:rPr>
        <w:t>darbo dienų nuo kreipimosi  gavimo. Jeigu nepilnametis yra suimtas, kreipimasis dėl jo individualaus vertinimo pateikiamas laisvės atėmimo vietai, kurioje šis nepilnametis laikomas. Nepilnamečio individualus vertinimas turi būti atliktas ir informacijos ap</w:t>
      </w:r>
      <w:r>
        <w:rPr>
          <w:szCs w:val="24"/>
        </w:rPr>
        <w:t xml:space="preserve">ibendrinimas nustatyta rašytine forma pateiktas ikiteisminio tyrimo pareigūnui ar prokurorui ne vėliau kaip per dvidešimt penkias darbo dienas nuo kreipimosi gavimo dienos. </w:t>
      </w:r>
    </w:p>
    <w:p w14:paraId="292A2F1F" w14:textId="77777777" w:rsidR="0056772F" w:rsidRDefault="00825651">
      <w:pPr>
        <w:spacing w:line="360" w:lineRule="auto"/>
        <w:ind w:firstLine="720"/>
        <w:jc w:val="both"/>
        <w:rPr>
          <w:szCs w:val="24"/>
        </w:rPr>
      </w:pPr>
      <w:r>
        <w:rPr>
          <w:szCs w:val="24"/>
        </w:rPr>
        <w:t>2</w:t>
      </w:r>
      <w:r>
        <w:rPr>
          <w:szCs w:val="24"/>
        </w:rPr>
        <w:t>. Į nepilnamečio individualaus vertinimo duomenis atsižvelgiama parenkant nep</w:t>
      </w:r>
      <w:r>
        <w:rPr>
          <w:szCs w:val="24"/>
        </w:rPr>
        <w:t>ilnamečiui kardomąsias ir kitas procesines prievartos priemones, priimant sprendimus dėl ikiteisminio tyrimo nutraukimo ar bylos perdavimo teismui, organizuojant proceso veiksmus su nepilnamečiu įtariamuoju ar nepilnamečiu kaltinamuoju, priimant sprendimus</w:t>
      </w:r>
      <w:r>
        <w:rPr>
          <w:szCs w:val="24"/>
        </w:rPr>
        <w:t xml:space="preserve"> dėl bausmės, baudžiamojo ar auklėjamojo poveikio priemonių skyrimo nepilnamečiui. </w:t>
      </w:r>
    </w:p>
    <w:p w14:paraId="292A2F20" w14:textId="77777777" w:rsidR="0056772F" w:rsidRDefault="00825651">
      <w:pPr>
        <w:spacing w:line="360" w:lineRule="auto"/>
        <w:ind w:firstLine="720"/>
        <w:jc w:val="both"/>
        <w:rPr>
          <w:szCs w:val="24"/>
        </w:rPr>
      </w:pPr>
      <w:r>
        <w:rPr>
          <w:szCs w:val="24"/>
        </w:rPr>
        <w:t>3</w:t>
      </w:r>
      <w:r>
        <w:rPr>
          <w:szCs w:val="24"/>
        </w:rPr>
        <w:t>. Iš esmės pasikeitus aplinkybėms, kurios sudarė nepilnamečio individualaus vertinimo turinį, ikiteisminio tyrimo pareigūnas, prokuroras ar teismas savo iniciatyva arba nepilnamečio įtariamojo arba jo gynėjo ar nepilnamečio kaltinamojo arba jo gynėjo prašy</w:t>
      </w:r>
      <w:r>
        <w:rPr>
          <w:szCs w:val="24"/>
        </w:rPr>
        <w:t xml:space="preserve">mu kreipiasi dėl papildomo ar pakartotinio nepilnamečio individualaus vertinimo. </w:t>
      </w:r>
    </w:p>
    <w:p w14:paraId="292A2F21" w14:textId="77777777" w:rsidR="0056772F" w:rsidRDefault="00825651">
      <w:pPr>
        <w:spacing w:line="360" w:lineRule="auto"/>
        <w:ind w:firstLine="720"/>
        <w:jc w:val="both"/>
        <w:rPr>
          <w:szCs w:val="24"/>
        </w:rPr>
      </w:pPr>
      <w:r>
        <w:rPr>
          <w:szCs w:val="24"/>
        </w:rPr>
        <w:t>4</w:t>
      </w:r>
      <w:r>
        <w:rPr>
          <w:szCs w:val="24"/>
        </w:rPr>
        <w:t>. Bylose, kurios tiriamos pagreitinto proceso tvarka arba kuriose priimamas teismo baudžiamasis įsakymas, taip pat bylose dėl nesunkių ar neatsargių nusikaltimų arba dėl</w:t>
      </w:r>
      <w:r>
        <w:rPr>
          <w:szCs w:val="24"/>
        </w:rPr>
        <w:t xml:space="preserve"> baudžiamųjų nusižengimų nepilnamečio individualus vertinimas gali būti neatliekamas, jeigu tai neprieštarauja nepilnamečio interesams.“</w:t>
      </w:r>
    </w:p>
    <w:p w14:paraId="292A2F22" w14:textId="77777777" w:rsidR="0056772F" w:rsidRDefault="00825651">
      <w:pPr>
        <w:spacing w:line="360" w:lineRule="auto"/>
        <w:ind w:firstLine="720"/>
        <w:jc w:val="both"/>
        <w:rPr>
          <w:bCs/>
          <w:szCs w:val="24"/>
          <w:lang w:eastAsia="lt-LT"/>
        </w:rPr>
      </w:pPr>
    </w:p>
    <w:p w14:paraId="292A2F23" w14:textId="77777777" w:rsidR="0056772F" w:rsidRDefault="00825651">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Kodekso priedo pakeitimas</w:t>
      </w:r>
    </w:p>
    <w:p w14:paraId="292A2F24" w14:textId="77777777" w:rsidR="0056772F" w:rsidRDefault="00825651">
      <w:pPr>
        <w:spacing w:line="360" w:lineRule="auto"/>
        <w:ind w:firstLine="720"/>
        <w:jc w:val="both"/>
        <w:rPr>
          <w:szCs w:val="24"/>
          <w:lang w:eastAsia="lt-LT"/>
        </w:rPr>
      </w:pPr>
      <w:r>
        <w:rPr>
          <w:szCs w:val="24"/>
          <w:lang w:eastAsia="lt-LT"/>
        </w:rPr>
        <w:t>1</w:t>
      </w:r>
      <w:r>
        <w:rPr>
          <w:szCs w:val="24"/>
          <w:lang w:eastAsia="lt-LT"/>
        </w:rPr>
        <w:t>. Papildyti Kodekso priedą nauju 21 punktu:</w:t>
      </w:r>
    </w:p>
    <w:p w14:paraId="292A2F25" w14:textId="77777777" w:rsidR="0056772F" w:rsidRDefault="00825651">
      <w:pPr>
        <w:spacing w:line="360" w:lineRule="auto"/>
        <w:ind w:firstLine="720"/>
        <w:jc w:val="both"/>
        <w:rPr>
          <w:szCs w:val="24"/>
          <w:lang w:eastAsia="lt-LT"/>
        </w:rPr>
      </w:pPr>
      <w:r>
        <w:rPr>
          <w:szCs w:val="24"/>
          <w:lang w:eastAsia="lt-LT"/>
        </w:rPr>
        <w:t>„</w:t>
      </w:r>
      <w:r>
        <w:rPr>
          <w:szCs w:val="24"/>
          <w:lang w:eastAsia="lt-LT"/>
        </w:rPr>
        <w:t>21</w:t>
      </w:r>
      <w:r>
        <w:rPr>
          <w:szCs w:val="24"/>
          <w:lang w:eastAsia="lt-LT"/>
        </w:rPr>
        <w:t>. 2016 m. ge</w:t>
      </w:r>
      <w:r>
        <w:rPr>
          <w:szCs w:val="24"/>
          <w:lang w:eastAsia="lt-LT"/>
        </w:rPr>
        <w:t>gužės 11 d. Europos Parlamento ir Tarybos direktyva (ES) 2016/800 dėl procesinių garantijų vaikams, kurie baudžiamajame procese yra įtariamieji ar kaltinamieji (</w:t>
      </w:r>
      <w:r>
        <w:rPr>
          <w:szCs w:val="24"/>
        </w:rPr>
        <w:t>OL 2016 L 132, p. 1</w:t>
      </w:r>
      <w:r>
        <w:rPr>
          <w:szCs w:val="24"/>
          <w:lang w:eastAsia="lt-LT"/>
        </w:rPr>
        <w:t>).“</w:t>
      </w:r>
    </w:p>
    <w:p w14:paraId="292A2F26" w14:textId="77777777" w:rsidR="0056772F" w:rsidRDefault="00825651">
      <w:pPr>
        <w:spacing w:line="360" w:lineRule="auto"/>
        <w:ind w:firstLine="720"/>
        <w:jc w:val="both"/>
        <w:rPr>
          <w:szCs w:val="24"/>
          <w:lang w:eastAsia="lt-LT"/>
        </w:rPr>
      </w:pPr>
      <w:r>
        <w:rPr>
          <w:szCs w:val="24"/>
          <w:lang w:eastAsia="lt-LT"/>
        </w:rPr>
        <w:t>2</w:t>
      </w:r>
      <w:r>
        <w:rPr>
          <w:szCs w:val="24"/>
          <w:lang w:eastAsia="lt-LT"/>
        </w:rPr>
        <w:t>. Buvusį Kodekso priedo 21 punktą laikyti 22 punktu.</w:t>
      </w:r>
    </w:p>
    <w:p w14:paraId="292A2F27" w14:textId="77777777" w:rsidR="0056772F" w:rsidRDefault="0056772F">
      <w:pPr>
        <w:spacing w:line="360" w:lineRule="auto"/>
        <w:ind w:firstLine="720"/>
        <w:jc w:val="both"/>
        <w:rPr>
          <w:szCs w:val="24"/>
          <w:lang w:eastAsia="lt-LT"/>
        </w:rPr>
      </w:pPr>
    </w:p>
    <w:p w14:paraId="292A2F28" w14:textId="77777777" w:rsidR="0056772F" w:rsidRDefault="00825651">
      <w:pPr>
        <w:spacing w:line="360" w:lineRule="auto"/>
        <w:ind w:firstLine="720"/>
        <w:rPr>
          <w:b/>
          <w:bCs/>
          <w:color w:val="000000"/>
          <w:szCs w:val="24"/>
          <w:lang w:eastAsia="lt-LT"/>
        </w:rPr>
      </w:pPr>
    </w:p>
    <w:p w14:paraId="292A2F29" w14:textId="77777777" w:rsidR="0056772F" w:rsidRDefault="00825651">
      <w:pPr>
        <w:spacing w:line="360" w:lineRule="auto"/>
        <w:ind w:firstLine="720"/>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Įstatymo įsigaliojimas ir įgyvendinimas</w:t>
      </w:r>
    </w:p>
    <w:p w14:paraId="292A2F2A" w14:textId="77777777" w:rsidR="0056772F" w:rsidRDefault="00825651">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szCs w:val="24"/>
          <w:lang w:eastAsia="lt-LT"/>
        </w:rPr>
        <w:t xml:space="preserve">Šis įstatymas, išskyrus 3, 8 straipsnius ir šio straipsnio 3 dalį, įsigalioja </w:t>
      </w:r>
      <w:r>
        <w:rPr>
          <w:color w:val="000000"/>
          <w:szCs w:val="24"/>
          <w:lang w:eastAsia="lt-LT"/>
        </w:rPr>
        <w:t xml:space="preserve">2019 m. rugsėjo 1 d. </w:t>
      </w:r>
    </w:p>
    <w:p w14:paraId="292A2F2B" w14:textId="77777777" w:rsidR="0056772F" w:rsidRDefault="00825651">
      <w:pPr>
        <w:spacing w:line="360" w:lineRule="auto"/>
        <w:ind w:firstLine="720"/>
        <w:jc w:val="both"/>
        <w:rPr>
          <w:szCs w:val="24"/>
          <w:lang w:eastAsia="lt-LT"/>
        </w:rPr>
      </w:pPr>
      <w:r>
        <w:rPr>
          <w:color w:val="000000"/>
          <w:szCs w:val="24"/>
          <w:lang w:eastAsia="lt-LT"/>
        </w:rPr>
        <w:t>2</w:t>
      </w:r>
      <w:r>
        <w:rPr>
          <w:color w:val="000000"/>
          <w:szCs w:val="24"/>
          <w:lang w:eastAsia="lt-LT"/>
        </w:rPr>
        <w:t xml:space="preserve">. </w:t>
      </w:r>
      <w:r>
        <w:rPr>
          <w:szCs w:val="24"/>
          <w:lang w:eastAsia="lt-LT"/>
        </w:rPr>
        <w:t>Šio įstatymo 3 ir 8 straipsniai įsigalioja 2020 m. sausio 1 d.</w:t>
      </w:r>
    </w:p>
    <w:p w14:paraId="292A2F2C" w14:textId="77777777" w:rsidR="0056772F" w:rsidRDefault="00825651">
      <w:pPr>
        <w:spacing w:line="360" w:lineRule="auto"/>
        <w:ind w:firstLine="720"/>
        <w:jc w:val="both"/>
        <w:rPr>
          <w:szCs w:val="24"/>
          <w:lang w:eastAsia="lt-LT"/>
        </w:rPr>
      </w:pPr>
      <w:r>
        <w:rPr>
          <w:color w:val="000000"/>
          <w:szCs w:val="24"/>
          <w:lang w:eastAsia="lt-LT"/>
        </w:rPr>
        <w:t>3</w:t>
      </w:r>
      <w:r>
        <w:rPr>
          <w:color w:val="000000"/>
          <w:szCs w:val="24"/>
          <w:lang w:eastAsia="lt-LT"/>
        </w:rPr>
        <w:t>. Lietuvos Respubliko</w:t>
      </w:r>
      <w:r>
        <w:rPr>
          <w:color w:val="000000"/>
          <w:szCs w:val="24"/>
          <w:lang w:eastAsia="lt-LT"/>
        </w:rPr>
        <w:t xml:space="preserve">s generalinis prokuroras iki 2019 m. rugpjūčio 31 d. ir Lietuvos Respublikos socialinės apsaugos ir darbo ministras iki 2019 m. gruodžio 31 d. priima šio įstatymo įgyvendinamuosius teisės aktus. </w:t>
      </w:r>
    </w:p>
    <w:p w14:paraId="292A2F2D" w14:textId="77777777" w:rsidR="0056772F" w:rsidRDefault="00825651">
      <w:pPr>
        <w:spacing w:line="360" w:lineRule="auto"/>
        <w:ind w:firstLine="720"/>
        <w:jc w:val="both"/>
        <w:rPr>
          <w:i/>
          <w:szCs w:val="24"/>
        </w:rPr>
      </w:pPr>
    </w:p>
    <w:p w14:paraId="292A2F2E" w14:textId="77777777" w:rsidR="0056772F" w:rsidRDefault="00825651">
      <w:pPr>
        <w:spacing w:line="360" w:lineRule="auto"/>
        <w:ind w:firstLine="720"/>
        <w:jc w:val="both"/>
        <w:rPr>
          <w:i/>
          <w:szCs w:val="24"/>
        </w:rPr>
      </w:pPr>
      <w:r>
        <w:rPr>
          <w:i/>
          <w:szCs w:val="24"/>
        </w:rPr>
        <w:t>Skelbiu šį Lietuvos Respublikos Seimo priimtą įstatymą.</w:t>
      </w:r>
    </w:p>
    <w:p w14:paraId="292A2F2F" w14:textId="77777777" w:rsidR="0056772F" w:rsidRDefault="0056772F">
      <w:pPr>
        <w:spacing w:line="360" w:lineRule="auto"/>
        <w:rPr>
          <w:i/>
          <w:szCs w:val="24"/>
        </w:rPr>
      </w:pPr>
      <w:bookmarkStart w:id="0" w:name="_GoBack"/>
      <w:bookmarkEnd w:id="0"/>
    </w:p>
    <w:p w14:paraId="292A2F30" w14:textId="77777777" w:rsidR="0056772F" w:rsidRDefault="0056772F">
      <w:pPr>
        <w:spacing w:line="360" w:lineRule="auto"/>
        <w:rPr>
          <w:i/>
          <w:szCs w:val="24"/>
        </w:rPr>
      </w:pPr>
    </w:p>
    <w:p w14:paraId="292A2F31" w14:textId="77777777" w:rsidR="0056772F" w:rsidRDefault="0056772F">
      <w:pPr>
        <w:spacing w:line="360" w:lineRule="auto"/>
      </w:pPr>
    </w:p>
    <w:p w14:paraId="292A2F32" w14:textId="77777777" w:rsidR="0056772F" w:rsidRDefault="00825651">
      <w:pPr>
        <w:tabs>
          <w:tab w:val="right" w:pos="9356"/>
        </w:tabs>
      </w:pPr>
      <w:r>
        <w:t>Respublikos Prezidentas</w:t>
      </w:r>
      <w:r>
        <w:rPr>
          <w:caps/>
        </w:rPr>
        <w:tab/>
      </w:r>
      <w:proofErr w:type="spellStart"/>
      <w:r>
        <w:t>Gitanas</w:t>
      </w:r>
      <w:proofErr w:type="spellEnd"/>
      <w:r>
        <w:t xml:space="preserve"> Nausėda</w:t>
      </w:r>
    </w:p>
    <w:sectPr w:rsidR="0056772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A2F37" w14:textId="77777777" w:rsidR="0056772F" w:rsidRDefault="00825651">
      <w:pPr>
        <w:rPr>
          <w:rFonts w:ascii="TimesLT" w:hAnsi="TimesLT"/>
          <w:lang w:val="en-US"/>
        </w:rPr>
      </w:pPr>
      <w:r>
        <w:rPr>
          <w:rFonts w:ascii="TimesLT" w:hAnsi="TimesLT"/>
          <w:lang w:val="en-US"/>
        </w:rPr>
        <w:separator/>
      </w:r>
    </w:p>
  </w:endnote>
  <w:endnote w:type="continuationSeparator" w:id="0">
    <w:p w14:paraId="292A2F38" w14:textId="77777777" w:rsidR="0056772F" w:rsidRDefault="0082565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2F3D" w14:textId="77777777" w:rsidR="0056772F" w:rsidRDefault="0082565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92A2F3E" w14:textId="77777777" w:rsidR="0056772F" w:rsidRDefault="0056772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2F3F" w14:textId="77777777" w:rsidR="0056772F" w:rsidRDefault="0056772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2F41" w14:textId="77777777" w:rsidR="0056772F" w:rsidRDefault="0056772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A2F35" w14:textId="77777777" w:rsidR="0056772F" w:rsidRDefault="00825651">
      <w:pPr>
        <w:rPr>
          <w:rFonts w:ascii="TimesLT" w:hAnsi="TimesLT"/>
          <w:lang w:val="en-US"/>
        </w:rPr>
      </w:pPr>
      <w:r>
        <w:rPr>
          <w:rFonts w:ascii="TimesLT" w:hAnsi="TimesLT"/>
          <w:lang w:val="en-US"/>
        </w:rPr>
        <w:separator/>
      </w:r>
    </w:p>
  </w:footnote>
  <w:footnote w:type="continuationSeparator" w:id="0">
    <w:p w14:paraId="292A2F36" w14:textId="77777777" w:rsidR="0056772F" w:rsidRDefault="0082565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2F39" w14:textId="77777777" w:rsidR="0056772F" w:rsidRDefault="0082565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92A2F3A" w14:textId="77777777" w:rsidR="0056772F" w:rsidRDefault="0056772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2F3B" w14:textId="77777777" w:rsidR="0056772F" w:rsidRDefault="0082565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14:paraId="292A2F3C" w14:textId="77777777" w:rsidR="0056772F" w:rsidRDefault="0056772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2F40" w14:textId="77777777" w:rsidR="0056772F" w:rsidRDefault="0056772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76"/>
    <w:rsid w:val="004B1C76"/>
    <w:rsid w:val="0056772F"/>
    <w:rsid w:val="008256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A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9157</Characters>
  <Application>Microsoft Office Word</Application>
  <DocSecurity>0</DocSecurity>
  <Lines>76</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10432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2019-07-26T11:00:00Z</dcterms:created>
  <dc:creator>MOZERIENĖ Dainora</dc:creator>
  <lastModifiedBy>GUMBYTĖ Danguolė</lastModifiedBy>
  <lastPrinted>2004-12-10T05:45:00Z</lastPrinted>
  <dcterms:modified xsi:type="dcterms:W3CDTF">2019-07-26T11:17:00Z</dcterms:modified>
  <revision>3</revision>
</coreProperties>
</file>