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C4C" w:rsidRDefault="003C3EA6">
      <w:pPr>
        <w:keepNext/>
        <w:jc w:val="center"/>
        <w:rPr>
          <w:rFonts w:ascii="Arial" w:hAnsi="Arial" w:cs="Arial"/>
          <w:caps/>
          <w:sz w:val="36"/>
          <w:lang w:eastAsia="lt-LT"/>
        </w:rPr>
      </w:pPr>
      <w:r>
        <w:rPr>
          <w:noProof/>
          <w:lang w:eastAsia="lt-LT"/>
        </w:rPr>
        <w:drawing>
          <wp:inline distT="0" distB="0" distL="0" distR="0" wp14:anchorId="1E1F9778" wp14:editId="1E1F9779">
            <wp:extent cx="546100" cy="511810"/>
            <wp:effectExtent l="0" t="0" r="6350" b="254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100" cy="511810"/>
                    </a:xfrm>
                    <a:prstGeom prst="rect">
                      <a:avLst/>
                    </a:prstGeom>
                    <a:noFill/>
                    <a:ln>
                      <a:noFill/>
                    </a:ln>
                  </pic:spPr>
                </pic:pic>
              </a:graphicData>
            </a:graphic>
          </wp:inline>
        </w:drawing>
      </w:r>
    </w:p>
    <w:p w:rsidR="000E7C4C" w:rsidRDefault="000E7C4C">
      <w:pPr>
        <w:keepNext/>
        <w:jc w:val="center"/>
        <w:rPr>
          <w:caps/>
          <w:szCs w:val="24"/>
          <w:lang w:eastAsia="lt-LT"/>
        </w:rPr>
      </w:pPr>
    </w:p>
    <w:p w:rsidR="000E7C4C" w:rsidRDefault="003C3EA6">
      <w:pPr>
        <w:keepNext/>
        <w:jc w:val="center"/>
        <w:rPr>
          <w:rFonts w:ascii="Arial" w:hAnsi="Arial" w:cs="Arial"/>
          <w:caps/>
          <w:sz w:val="36"/>
          <w:lang w:eastAsia="lt-LT"/>
        </w:rPr>
      </w:pPr>
      <w:r>
        <w:rPr>
          <w:rFonts w:ascii="Arial" w:hAnsi="Arial" w:cs="Arial"/>
          <w:caps/>
          <w:sz w:val="36"/>
          <w:lang w:eastAsia="lt-LT"/>
        </w:rPr>
        <w:t>Lietuvos Respublikos Vyriausybė</w:t>
      </w:r>
    </w:p>
    <w:p w:rsidR="000E7C4C" w:rsidRDefault="000E7C4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rsidR="000E7C4C" w:rsidRDefault="003C3EA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r>
        <w:rPr>
          <w:b/>
          <w:caps/>
          <w:lang w:eastAsia="lt-LT"/>
        </w:rPr>
        <w:t>nutarimas</w:t>
      </w:r>
      <w:r>
        <w:rPr>
          <w:b/>
          <w:szCs w:val="24"/>
          <w:lang w:eastAsia="lt-LT"/>
        </w:rPr>
        <w:t xml:space="preserve"> </w:t>
      </w:r>
    </w:p>
    <w:p w:rsidR="000E7C4C" w:rsidRDefault="003C3EA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r>
        <w:rPr>
          <w:b/>
          <w:szCs w:val="24"/>
          <w:lang w:eastAsia="lt-LT"/>
        </w:rPr>
        <w:t>DĖL NACIONALINIO ORO TARŠOS MAŽINIMO PLANO PATVIRTINIMO</w:t>
      </w:r>
    </w:p>
    <w:p w:rsidR="000E7C4C" w:rsidRDefault="000E7C4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rsidR="000E7C4C" w:rsidRDefault="003C3EA6">
      <w:pPr>
        <w:ind w:firstLine="62"/>
        <w:jc w:val="center"/>
        <w:rPr>
          <w:lang w:eastAsia="lt-LT"/>
        </w:rPr>
      </w:pPr>
      <w:r>
        <w:rPr>
          <w:lang w:eastAsia="lt-LT"/>
        </w:rPr>
        <w:t>2019 m. balandžio 17 d. Nr. 371</w:t>
      </w:r>
    </w:p>
    <w:p w:rsidR="000E7C4C" w:rsidRDefault="003C3EA6">
      <w:pPr>
        <w:jc w:val="center"/>
        <w:rPr>
          <w:lang w:eastAsia="lt-LT"/>
        </w:rPr>
      </w:pPr>
      <w:r>
        <w:rPr>
          <w:lang w:eastAsia="lt-LT"/>
        </w:rPr>
        <w:t>Vilnius</w:t>
      </w:r>
    </w:p>
    <w:p w:rsidR="000E7C4C" w:rsidRDefault="000E7C4C">
      <w:pPr>
        <w:rPr>
          <w:color w:val="000000"/>
          <w:szCs w:val="24"/>
        </w:rPr>
      </w:pPr>
    </w:p>
    <w:p w:rsidR="000E7C4C" w:rsidRDefault="000E7C4C">
      <w:pPr>
        <w:rPr>
          <w:color w:val="000000"/>
          <w:szCs w:val="24"/>
        </w:rPr>
      </w:pPr>
    </w:p>
    <w:p w:rsidR="000E7C4C" w:rsidRDefault="003C3EA6">
      <w:pPr>
        <w:ind w:firstLine="567"/>
        <w:jc w:val="both"/>
        <w:rPr>
          <w:color w:val="000000"/>
          <w:szCs w:val="24"/>
        </w:rPr>
      </w:pPr>
      <w:r>
        <w:rPr>
          <w:color w:val="000000"/>
          <w:szCs w:val="24"/>
        </w:rPr>
        <w:t xml:space="preserve">Vadovaudamasi Lietuvos Respublikos aplinkos oro apsaugos įstatymo 10 straipsnio 1 dalimi ir įgyvendindama 2016 m. gruodžio 14 d. Europos Parlamento ir Tarybos direktyvą (ES) 2016/2284 dėl tam tikrų valstybėse narėse į atmosferą išmetamų teršalų kiekio mažinimo, kuria iš dalies keičiama Direktyva 2003/35/EB ir panaikinama Direktyva 2001/81/EB (OL 2016 L 344, p. 1), 2012 m. gegužės 4 d. Ženevoje priimtus 1979 metų Tolimų tarpvalstybinių oro teršalų pernašų konvencijos (toliau – Konvencija) 1999 metų Protokolo dėl rūgštėjimo, eutrofikacijos ir pažemio ozono mažinimo pakeitimus, išdėstytus Konvencijos vykdomosios institucijos Sprendimo 2012/2 priede, ir Lietuvos Respublikos Vyriausybės programos įgyvendinimo plano, patvirtinto 2017 m. kovo 13 d. nutarimu Nr. 167 „Dėl Lietuvos Respublikos Vyriausybės programos įgyvendinimo plano patvirtinimo“, 1.5.3 darbo „Teisinių ir ekonominių priemonių sukūrimas, siekiant sumažinti oro taršą ir klimato kaitą“ 2 punkto nuostatas, Lietuvos Respublikos Vyriausybė n u t a r i a: </w:t>
      </w:r>
    </w:p>
    <w:p w:rsidR="000E7C4C" w:rsidRDefault="003C3EA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283"/>
        <w:jc w:val="both"/>
        <w:rPr>
          <w:szCs w:val="24"/>
          <w:lang w:eastAsia="lt-LT"/>
        </w:rPr>
      </w:pPr>
      <w:r>
        <w:rPr>
          <w:szCs w:val="24"/>
          <w:lang w:eastAsia="lt-LT"/>
        </w:rPr>
        <w:t>1</w:t>
      </w:r>
      <w:r>
        <w:rPr>
          <w:szCs w:val="24"/>
          <w:lang w:eastAsia="lt-LT"/>
        </w:rPr>
        <w:t>.</w:t>
      </w:r>
      <w:r>
        <w:rPr>
          <w:szCs w:val="24"/>
          <w:lang w:eastAsia="lt-LT"/>
        </w:rPr>
        <w:tab/>
      </w:r>
      <w:r>
        <w:rPr>
          <w:szCs w:val="24"/>
        </w:rPr>
        <w:t>Patvirtinti Nacionalinį oro taršos mažinimo planą (toliau – Planas) (pridedama).</w:t>
      </w:r>
    </w:p>
    <w:p w:rsidR="000E7C4C" w:rsidRDefault="003C3EA6">
      <w:pPr>
        <w:tabs>
          <w:tab w:val="left" w:pos="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r>
        <w:rPr>
          <w:szCs w:val="24"/>
          <w:lang w:eastAsia="lt-LT"/>
        </w:rPr>
        <w:t>2</w:t>
      </w:r>
      <w:r>
        <w:rPr>
          <w:szCs w:val="24"/>
          <w:lang w:eastAsia="lt-LT"/>
        </w:rPr>
        <w:t>.</w:t>
      </w:r>
      <w:r>
        <w:rPr>
          <w:szCs w:val="24"/>
          <w:lang w:eastAsia="lt-LT"/>
        </w:rPr>
        <w:tab/>
      </w:r>
      <w:r>
        <w:rPr>
          <w:szCs w:val="24"/>
        </w:rPr>
        <w:t>Pavesti Lietuvos Respublikos aplinkos ministerijai peržiūrėti Planą ne rečiau kaip kas ketverius metus ir prireikus Plano pakeitimo projektą pateikti Lietuvos Respublikos Vyriausybei tvirtinti.</w:t>
      </w:r>
    </w:p>
    <w:p w:rsidR="000E7C4C" w:rsidRDefault="003C3EA6">
      <w:pPr>
        <w:tabs>
          <w:tab w:val="left" w:pos="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r>
        <w:rPr>
          <w:szCs w:val="24"/>
          <w:lang w:eastAsia="lt-LT"/>
        </w:rPr>
        <w:t>3</w:t>
      </w:r>
      <w:r>
        <w:rPr>
          <w:szCs w:val="24"/>
          <w:lang w:eastAsia="lt-LT"/>
        </w:rPr>
        <w:t>. Rekomenduoti savivaldybėms, ūkio subjektams ir namų ūkiams</w:t>
      </w:r>
      <w:r>
        <w:rPr>
          <w:sz w:val="22"/>
          <w:szCs w:val="22"/>
        </w:rPr>
        <w:t xml:space="preserve"> </w:t>
      </w:r>
      <w:r>
        <w:rPr>
          <w:szCs w:val="24"/>
          <w:lang w:eastAsia="lt-LT"/>
        </w:rPr>
        <w:t>dalyvauti Plano įgyvendinime.</w:t>
      </w:r>
    </w:p>
    <w:p w:rsidR="000E7C4C" w:rsidRDefault="000E7C4C">
      <w:pPr>
        <w:tabs>
          <w:tab w:val="center" w:pos="-7800"/>
          <w:tab w:val="left" w:pos="6237"/>
          <w:tab w:val="right" w:pos="8306"/>
        </w:tabs>
      </w:pPr>
    </w:p>
    <w:p w:rsidR="000E7C4C" w:rsidRDefault="000E7C4C">
      <w:pPr>
        <w:tabs>
          <w:tab w:val="center" w:pos="-7800"/>
          <w:tab w:val="left" w:pos="6237"/>
          <w:tab w:val="right" w:pos="8306"/>
        </w:tabs>
      </w:pPr>
    </w:p>
    <w:p w:rsidR="000E7C4C" w:rsidRDefault="003C3EA6">
      <w:pPr>
        <w:tabs>
          <w:tab w:val="center" w:pos="-7800"/>
          <w:tab w:val="left" w:pos="6237"/>
          <w:tab w:val="right" w:pos="8306"/>
        </w:tabs>
      </w:pPr>
    </w:p>
    <w:p w:rsidR="000E7C4C" w:rsidRDefault="003C3EA6">
      <w:pPr>
        <w:tabs>
          <w:tab w:val="center" w:pos="-7800"/>
          <w:tab w:val="left" w:pos="6237"/>
          <w:tab w:val="right" w:pos="8306"/>
        </w:tabs>
        <w:rPr>
          <w:lang w:eastAsia="lt-LT"/>
        </w:rPr>
      </w:pPr>
      <w:r>
        <w:rPr>
          <w:lang w:eastAsia="lt-LT"/>
        </w:rPr>
        <w:t>Ministras Pirmininkas</w:t>
      </w:r>
      <w:r>
        <w:rPr>
          <w:lang w:eastAsia="lt-LT"/>
        </w:rPr>
        <w:tab/>
      </w:r>
      <w:r>
        <w:rPr>
          <w:lang w:eastAsia="lt-LT"/>
        </w:rPr>
        <w:tab/>
        <w:t xml:space="preserve">Saulius </w:t>
      </w:r>
      <w:proofErr w:type="spellStart"/>
      <w:r>
        <w:rPr>
          <w:lang w:eastAsia="lt-LT"/>
        </w:rPr>
        <w:t>Skvernelis</w:t>
      </w:r>
      <w:proofErr w:type="spellEnd"/>
    </w:p>
    <w:p w:rsidR="000E7C4C" w:rsidRDefault="000E7C4C">
      <w:pPr>
        <w:tabs>
          <w:tab w:val="center" w:pos="-7800"/>
          <w:tab w:val="left" w:pos="6237"/>
          <w:tab w:val="right" w:pos="8306"/>
        </w:tabs>
        <w:rPr>
          <w:lang w:eastAsia="lt-LT"/>
        </w:rPr>
      </w:pPr>
    </w:p>
    <w:p w:rsidR="000E7C4C" w:rsidRDefault="000E7C4C">
      <w:pPr>
        <w:tabs>
          <w:tab w:val="center" w:pos="-7800"/>
          <w:tab w:val="left" w:pos="6237"/>
          <w:tab w:val="right" w:pos="8306"/>
        </w:tabs>
        <w:rPr>
          <w:lang w:eastAsia="lt-LT"/>
        </w:rPr>
      </w:pPr>
    </w:p>
    <w:p w:rsidR="000E7C4C" w:rsidRDefault="000E7C4C">
      <w:pPr>
        <w:tabs>
          <w:tab w:val="center" w:pos="-7800"/>
          <w:tab w:val="left" w:pos="6237"/>
          <w:tab w:val="right" w:pos="8306"/>
        </w:tabs>
        <w:rPr>
          <w:lang w:eastAsia="lt-LT"/>
        </w:rPr>
      </w:pPr>
    </w:p>
    <w:p w:rsidR="000E7C4C" w:rsidRDefault="003C3EA6">
      <w:pPr>
        <w:tabs>
          <w:tab w:val="center" w:pos="-7800"/>
          <w:tab w:val="left" w:pos="6237"/>
          <w:tab w:val="right" w:pos="8306"/>
        </w:tabs>
      </w:pPr>
      <w:r>
        <w:rPr>
          <w:lang w:eastAsia="lt-LT"/>
        </w:rPr>
        <w:t>Aplinkos ministras</w:t>
      </w:r>
      <w:r>
        <w:rPr>
          <w:lang w:eastAsia="lt-LT"/>
        </w:rPr>
        <w:tab/>
      </w:r>
      <w:r>
        <w:rPr>
          <w:lang w:eastAsia="lt-LT"/>
        </w:rPr>
        <w:tab/>
        <w:t>Kęstutis Mažeika</w:t>
      </w:r>
    </w:p>
    <w:p w:rsidR="000E7C4C" w:rsidRDefault="003C3EA6">
      <w:pPr>
        <w:ind w:left="6237"/>
      </w:pPr>
    </w:p>
    <w:p w:rsidR="003C3EA6" w:rsidRDefault="003C3EA6">
      <w:pPr>
        <w:ind w:left="6237"/>
        <w:sectPr w:rsidR="003C3EA6" w:rsidSect="003C3EA6">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701" w:header="567" w:footer="567" w:gutter="0"/>
          <w:pgNumType w:start="1"/>
          <w:cols w:space="1296"/>
          <w:titlePg/>
          <w:docGrid w:linePitch="326"/>
        </w:sectPr>
      </w:pPr>
    </w:p>
    <w:p w:rsidR="000E7C4C" w:rsidRDefault="003C3EA6">
      <w:pPr>
        <w:ind w:left="6237"/>
      </w:pPr>
      <w:r>
        <w:rPr>
          <w:szCs w:val="24"/>
          <w:lang w:eastAsia="ar-SA"/>
        </w:rPr>
        <w:t>PATVIRTINTA</w:t>
      </w:r>
      <w:r>
        <w:rPr>
          <w:szCs w:val="24"/>
          <w:lang w:eastAsia="ar-SA"/>
        </w:rPr>
        <w:br/>
        <w:t>Lietuvos Respublikos Vyriausybės</w:t>
      </w:r>
      <w:r>
        <w:rPr>
          <w:szCs w:val="24"/>
          <w:lang w:eastAsia="ar-SA"/>
        </w:rPr>
        <w:br/>
        <w:t>2019 m. balandžio 17 d. nutarimu Nr. 371</w:t>
      </w:r>
      <w:r>
        <w:rPr>
          <w:szCs w:val="24"/>
          <w:lang w:eastAsia="ar-SA"/>
        </w:rPr>
        <w:br/>
      </w:r>
    </w:p>
    <w:p w:rsidR="000E7C4C" w:rsidRDefault="003C3EA6">
      <w:pPr>
        <w:keepNext/>
        <w:keepLines/>
        <w:jc w:val="center"/>
        <w:rPr>
          <w:b/>
          <w:bCs/>
          <w:caps/>
          <w:color w:val="000000"/>
          <w:szCs w:val="40"/>
        </w:rPr>
      </w:pPr>
      <w:r>
        <w:rPr>
          <w:b/>
          <w:bCs/>
          <w:caps/>
          <w:color w:val="000000"/>
          <w:szCs w:val="40"/>
        </w:rPr>
        <w:t>NACIONALINIS ORO TARŠOS MAŽINIMO PLANAS</w:t>
      </w:r>
    </w:p>
    <w:p w:rsidR="000E7C4C" w:rsidRDefault="000E7C4C">
      <w:pPr>
        <w:ind w:left="720"/>
      </w:pPr>
    </w:p>
    <w:p w:rsidR="000E7C4C" w:rsidRDefault="003C3EA6">
      <w:pPr>
        <w:keepNext/>
        <w:keepLines/>
        <w:jc w:val="center"/>
        <w:outlineLvl w:val="1"/>
        <w:rPr>
          <w:b/>
          <w:bCs/>
          <w:caps/>
          <w:color w:val="000000"/>
          <w:szCs w:val="32"/>
        </w:rPr>
      </w:pPr>
      <w:r>
        <w:rPr>
          <w:b/>
          <w:bCs/>
          <w:caps/>
          <w:color w:val="000000"/>
          <w:szCs w:val="32"/>
        </w:rPr>
        <w:t>I</w:t>
      </w:r>
      <w:r>
        <w:rPr>
          <w:b/>
          <w:bCs/>
          <w:caps/>
          <w:color w:val="000000"/>
          <w:szCs w:val="32"/>
        </w:rPr>
        <w:t xml:space="preserve"> SKYRIUS </w:t>
      </w:r>
    </w:p>
    <w:p w:rsidR="000E7C4C" w:rsidRDefault="003C3EA6">
      <w:pPr>
        <w:keepNext/>
        <w:keepLines/>
        <w:jc w:val="center"/>
        <w:outlineLvl w:val="1"/>
        <w:rPr>
          <w:b/>
          <w:bCs/>
          <w:caps/>
          <w:color w:val="000000"/>
          <w:szCs w:val="32"/>
        </w:rPr>
      </w:pPr>
      <w:r>
        <w:rPr>
          <w:b/>
          <w:bCs/>
          <w:caps/>
          <w:color w:val="000000"/>
          <w:szCs w:val="32"/>
        </w:rPr>
        <w:t>BENDROSIOS NUOSTATOS</w:t>
      </w:r>
    </w:p>
    <w:p w:rsidR="000E7C4C" w:rsidRDefault="000E7C4C">
      <w:pPr>
        <w:keepNext/>
        <w:keepLines/>
        <w:jc w:val="center"/>
        <w:outlineLvl w:val="1"/>
        <w:rPr>
          <w:b/>
          <w:bCs/>
          <w:caps/>
          <w:color w:val="000000"/>
          <w:szCs w:val="32"/>
        </w:rPr>
      </w:pPr>
    </w:p>
    <w:p w:rsidR="000E7C4C" w:rsidRDefault="003C3EA6">
      <w:pPr>
        <w:tabs>
          <w:tab w:val="left" w:pos="851"/>
        </w:tabs>
        <w:ind w:firstLine="567"/>
        <w:jc w:val="both"/>
      </w:pPr>
      <w:r>
        <w:t>1</w:t>
      </w:r>
      <w:r>
        <w:t>.</w:t>
      </w:r>
      <w:r>
        <w:tab/>
        <w:t xml:space="preserve">Nacionalinis oro taršos mažinimo planas (toliau – Planas) parengtas vadovaujantis 2016 m. gruodžio 14 d. Europos Parlamento ir Tarybos direktyvą (ES) 2016/2284 dėl tam tikrų valstybėse </w:t>
      </w:r>
      <w:r>
        <w:lastRenderedPageBreak/>
        <w:t xml:space="preserve">narėse į atmosferą išmetamų teršalų kiekio mažinimo, kuria iš dalies keičiama Direktyva 2003/35/EB ir panaikinama Direktyva 2001/81/EB (OL 2016 L 344, p. 1) (toliau – direktyva (ES) </w:t>
      </w:r>
      <w:r>
        <w:rPr>
          <w:szCs w:val="24"/>
        </w:rPr>
        <w:t xml:space="preserve">2016/2284), įgyvendinančiais teisės aktais, </w:t>
      </w:r>
      <w:r>
        <w:rPr>
          <w:rFonts w:eastAsia="Calibri"/>
          <w:szCs w:val="24"/>
        </w:rPr>
        <w:t>Europos Komisijos (toliau – Komisija) komunikatu „Nacionalinių oro taršos valdymo programų rengimo pagal Europos Parlamento ir Tarybos direktyvą (ES) 2016/2284 dėl tam tikrų valstybėse narėse į atmosferą išmetamų teršalų kiekio mažinimo gairės” (2019/C 77/01)</w:t>
      </w:r>
      <w:r>
        <w:rPr>
          <w:szCs w:val="24"/>
        </w:rPr>
        <w:t>, 1979</w:t>
      </w:r>
      <w:r>
        <w:t xml:space="preserve"> m. Tolimųjų tarpvalstybinių oro teršalų pernašų konvencijos (toliau – Konvencija) (Lietuvos Respublikos prisijungimas prie Konvencijos patvirtintas 1993 m. spalio 27 d. Lietuvos Respublikos Vyriausybės potvarkiu Nr. 737p „Dėl prisijungimo prie 1979 metų konvencijos „Dėl Tolimų atmosferos teršalų pernašų“) 1999 m. Protokolu dėl rūgštėjimo, eutrofikacijos ir pažemio ozono mažinimo (toliau – Geteborgo protokolas) (1999 m. priimtą Geteborgo protokolą Lietuvos Respublika ratifikavo Lietuvos Respublikos įstatymu Dėl 1979 metų Tolimų tarpvalstybinių oro teršalų pernašų konvencijos protokolo dėl rūgštėjimo, eutrofikacijos ir pažemio ozono mažinimo ratifikavimo), 1998 m. Sunkiųjų metalų protokolu, ratifikuotu Lietuvos Respublikos įstatymu Dėl 1979 metų Tolimų tarpvalstybinių oro teršalų pernašų konvencijos protokolo dėl sunkiųjų metalų ratifikavimo, 1998 m. Patvarių organinių teršalų protokolu, ratifikuotu Lietuvos Respublikos įstatymu Dėl 1979 metų Tolimų tarpvalstybinių oro teršalų pernašų konvencijos protokolo dėl patvarių organinių teršalų ratifikavimo, Lietuvos Respublikos aplinkos oro apsaugos įstatymu, Nacionaline aplinkos apsaugos strategija, patvirtinta Lietuvos Respublikos Seimo 2015 m. balandžio 16 d. nutarimu Nr. XII-1626 „Dėl Nacionalinės aplinkos apsaugos strategijos patvirtinimo“ (toliau – Aplinkos apsaugos strategija) ir kitais oro taršos valdymą reglamentuojančiais Lietuvos Respublikos teisės aktais.</w:t>
      </w:r>
    </w:p>
    <w:p w:rsidR="000E7C4C" w:rsidRDefault="003C3EA6">
      <w:pPr>
        <w:tabs>
          <w:tab w:val="left" w:pos="851"/>
        </w:tabs>
        <w:ind w:firstLine="567"/>
        <w:jc w:val="both"/>
      </w:pPr>
      <w:r>
        <w:t>2</w:t>
      </w:r>
      <w:r>
        <w:t>.</w:t>
      </w:r>
      <w:r>
        <w:tab/>
        <w:t xml:space="preserve">Aplinkos oro tarša yra viena iš reikšmingiausių sveikatos ir aplinkos problemų, todėl aplinkos oro taršos mažinimui turi būti skiriamas ypatingas dėmesys. Europos Sąjungos (toliau – ES) ilgalaikis oro politikos tikslas, nustatytas 7-oje aplinkosaugos veiksmų programoje – pasiekti tokį oro kokybės lygį, kad dėl jo nesusidarytų didelis neigiamas poveikis ir pavojus žmonių sveikatai ir aplinkai. 2018 m. Komisijos komunikate „Sauganti Europa: švarus oras visiems“ (COM(2018) 330 </w:t>
      </w:r>
      <w:proofErr w:type="spellStart"/>
      <w:r>
        <w:t>final</w:t>
      </w:r>
      <w:proofErr w:type="spellEnd"/>
      <w:r>
        <w:t>) (toliau – Komisijos komunikatas „Sauganti Europa: švarus oras visiems“), Europos aplinkos agentūros Oro kokybės Europoje 2017 m. ataskaitoje (</w:t>
      </w:r>
      <w:r>
        <w:rPr>
          <w:i/>
        </w:rPr>
        <w:t xml:space="preserve">EAA </w:t>
      </w:r>
      <w:proofErr w:type="spellStart"/>
      <w:r>
        <w:rPr>
          <w:i/>
        </w:rPr>
        <w:t>Air</w:t>
      </w:r>
      <w:proofErr w:type="spellEnd"/>
      <w:r>
        <w:rPr>
          <w:i/>
        </w:rPr>
        <w:t xml:space="preserve"> </w:t>
      </w:r>
      <w:proofErr w:type="spellStart"/>
      <w:r>
        <w:rPr>
          <w:i/>
        </w:rPr>
        <w:t>Quality</w:t>
      </w:r>
      <w:proofErr w:type="spellEnd"/>
      <w:r>
        <w:rPr>
          <w:i/>
        </w:rPr>
        <w:t xml:space="preserve"> </w:t>
      </w:r>
      <w:proofErr w:type="spellStart"/>
      <w:r>
        <w:rPr>
          <w:i/>
        </w:rPr>
        <w:t>in</w:t>
      </w:r>
      <w:proofErr w:type="spellEnd"/>
      <w:r>
        <w:rPr>
          <w:i/>
        </w:rPr>
        <w:t xml:space="preserve"> </w:t>
      </w:r>
      <w:proofErr w:type="spellStart"/>
      <w:r>
        <w:rPr>
          <w:i/>
        </w:rPr>
        <w:t>Europe</w:t>
      </w:r>
      <w:proofErr w:type="spellEnd"/>
      <w:r>
        <w:rPr>
          <w:i/>
        </w:rPr>
        <w:t xml:space="preserve"> – 2017 </w:t>
      </w:r>
      <w:proofErr w:type="spellStart"/>
      <w:r>
        <w:rPr>
          <w:i/>
        </w:rPr>
        <w:t>Report</w:t>
      </w:r>
      <w:proofErr w:type="spellEnd"/>
      <w:r>
        <w:t>),</w:t>
      </w:r>
      <w:r>
        <w:rPr>
          <w:szCs w:val="24"/>
          <w:lang w:eastAsia="lt-LT"/>
        </w:rPr>
        <w:t xml:space="preserve"> Ostravos deklaracijoje (</w:t>
      </w:r>
      <w:r>
        <w:rPr>
          <w:i/>
          <w:szCs w:val="24"/>
          <w:lang w:eastAsia="lt-LT"/>
        </w:rPr>
        <w:t>EURO/Ostrava 2017/6</w:t>
      </w:r>
      <w:r>
        <w:rPr>
          <w:szCs w:val="24"/>
          <w:lang w:eastAsia="lt-LT"/>
        </w:rPr>
        <w:t>)</w:t>
      </w:r>
      <w:r>
        <w:t xml:space="preserve"> teigiama, kad prasta oro kokybė blogina gyvenimo kokybę ir labai brangiai kainuoja ekonomikai, oro tarša išlieka viena pagrindinė su aplinka susijusi ankstyvos mirties priežastis ES, dėl jos pirmiau laiko miršta daugiau kaip 500 tūkst. žmonių per metus, </w:t>
      </w:r>
      <w:r>
        <w:rPr>
          <w:szCs w:val="24"/>
          <w:lang w:eastAsia="lt-LT"/>
        </w:rPr>
        <w:t xml:space="preserve">o buitinė (patalpų) oro tarša, sukelta kietojo kuro deginimo šildymui ir maisto gaminimui, yra susijusi su beveik 120 tūkst. ankstyvųjų mirčių regione ir neproporcinga ligų našta tam tikruose regionuose, mažiau turtingose visuomenės dalyse, daugėja įrodymų, kad oro tarša susijusi su gimstamumo mažėjimu, neigiamomis pasekmėmis </w:t>
      </w:r>
      <w:proofErr w:type="spellStart"/>
      <w:r>
        <w:rPr>
          <w:szCs w:val="24"/>
          <w:lang w:eastAsia="lt-LT"/>
        </w:rPr>
        <w:t>neurovystymuisi</w:t>
      </w:r>
      <w:proofErr w:type="spellEnd"/>
      <w:r>
        <w:rPr>
          <w:szCs w:val="24"/>
          <w:lang w:eastAsia="lt-LT"/>
        </w:rPr>
        <w:t xml:space="preserve"> ir </w:t>
      </w:r>
      <w:proofErr w:type="spellStart"/>
      <w:r>
        <w:rPr>
          <w:szCs w:val="24"/>
          <w:lang w:eastAsia="lt-LT"/>
        </w:rPr>
        <w:t>kognotyvinėmis</w:t>
      </w:r>
      <w:proofErr w:type="spellEnd"/>
      <w:r>
        <w:rPr>
          <w:szCs w:val="24"/>
          <w:lang w:eastAsia="lt-LT"/>
        </w:rPr>
        <w:t xml:space="preserve"> funkcijomis, padidėjusiu vaikų sergamumu astma ir kai kuriomis kitomis lėtinėmis ligomis.</w:t>
      </w:r>
      <w:r>
        <w:t xml:space="preserve"> Remiantis Pasaulio sveikatos organizacijos (toliau – PSO) duomenimis, ekonominiai priešlaikinių mirčių dėl oro taršos kaštai Lietuvoje sudarė apie 9,8 proc. bendrojo vidaus produkto (pagal perkamosios galios paritetą) arba apie 4,71 mlrd. Eurų (2010 m. duomenimis) (</w:t>
      </w:r>
      <w:proofErr w:type="spellStart"/>
      <w:r>
        <w:rPr>
          <w:i/>
        </w:rPr>
        <w:t>Economic</w:t>
      </w:r>
      <w:proofErr w:type="spellEnd"/>
      <w:r>
        <w:rPr>
          <w:i/>
        </w:rPr>
        <w:t xml:space="preserve"> </w:t>
      </w:r>
      <w:proofErr w:type="spellStart"/>
      <w:r>
        <w:rPr>
          <w:i/>
        </w:rPr>
        <w:t>cost</w:t>
      </w:r>
      <w:proofErr w:type="spellEnd"/>
      <w:r>
        <w:rPr>
          <w:i/>
        </w:rPr>
        <w:t xml:space="preserve"> </w:t>
      </w:r>
      <w:proofErr w:type="spellStart"/>
      <w:r>
        <w:rPr>
          <w:i/>
        </w:rPr>
        <w:t>of</w:t>
      </w:r>
      <w:proofErr w:type="spellEnd"/>
      <w:r>
        <w:rPr>
          <w:i/>
        </w:rPr>
        <w:t xml:space="preserve"> </w:t>
      </w:r>
      <w:proofErr w:type="spellStart"/>
      <w:r>
        <w:rPr>
          <w:i/>
        </w:rPr>
        <w:t>the</w:t>
      </w:r>
      <w:proofErr w:type="spellEnd"/>
      <w:r>
        <w:rPr>
          <w:i/>
        </w:rPr>
        <w:t xml:space="preserve"> </w:t>
      </w:r>
      <w:proofErr w:type="spellStart"/>
      <w:r>
        <w:rPr>
          <w:i/>
        </w:rPr>
        <w:t>health</w:t>
      </w:r>
      <w:proofErr w:type="spellEnd"/>
      <w:r>
        <w:rPr>
          <w:i/>
        </w:rPr>
        <w:t xml:space="preserve"> </w:t>
      </w:r>
      <w:proofErr w:type="spellStart"/>
      <w:r>
        <w:rPr>
          <w:i/>
        </w:rPr>
        <w:t>impact</w:t>
      </w:r>
      <w:proofErr w:type="spellEnd"/>
      <w:r>
        <w:rPr>
          <w:i/>
        </w:rPr>
        <w:t xml:space="preserve"> </w:t>
      </w:r>
      <w:proofErr w:type="spellStart"/>
      <w:r>
        <w:rPr>
          <w:i/>
        </w:rPr>
        <w:t>of</w:t>
      </w:r>
      <w:proofErr w:type="spellEnd"/>
      <w:r>
        <w:rPr>
          <w:i/>
        </w:rPr>
        <w:t xml:space="preserve"> </w:t>
      </w:r>
      <w:proofErr w:type="spellStart"/>
      <w:r>
        <w:rPr>
          <w:i/>
        </w:rPr>
        <w:t>air</w:t>
      </w:r>
      <w:proofErr w:type="spellEnd"/>
      <w:r>
        <w:rPr>
          <w:i/>
        </w:rPr>
        <w:t xml:space="preserve"> </w:t>
      </w:r>
      <w:proofErr w:type="spellStart"/>
      <w:r>
        <w:rPr>
          <w:i/>
        </w:rPr>
        <w:t>pollution</w:t>
      </w:r>
      <w:proofErr w:type="spellEnd"/>
      <w:r>
        <w:rPr>
          <w:i/>
        </w:rPr>
        <w:t xml:space="preserve"> </w:t>
      </w:r>
      <w:proofErr w:type="spellStart"/>
      <w:r>
        <w:rPr>
          <w:i/>
        </w:rPr>
        <w:t>in</w:t>
      </w:r>
      <w:proofErr w:type="spellEnd"/>
      <w:r>
        <w:rPr>
          <w:i/>
        </w:rPr>
        <w:t xml:space="preserve"> </w:t>
      </w:r>
      <w:proofErr w:type="spellStart"/>
      <w:r>
        <w:rPr>
          <w:i/>
        </w:rPr>
        <w:t>Europe</w:t>
      </w:r>
      <w:proofErr w:type="spellEnd"/>
      <w:r>
        <w:rPr>
          <w:i/>
        </w:rPr>
        <w:t xml:space="preserve">: </w:t>
      </w:r>
      <w:proofErr w:type="spellStart"/>
      <w:r>
        <w:rPr>
          <w:i/>
        </w:rPr>
        <w:t>Clean</w:t>
      </w:r>
      <w:proofErr w:type="spellEnd"/>
      <w:r>
        <w:rPr>
          <w:i/>
        </w:rPr>
        <w:t xml:space="preserve"> </w:t>
      </w:r>
      <w:proofErr w:type="spellStart"/>
      <w:r>
        <w:rPr>
          <w:i/>
        </w:rPr>
        <w:t>air</w:t>
      </w:r>
      <w:proofErr w:type="spellEnd"/>
      <w:r>
        <w:rPr>
          <w:i/>
        </w:rPr>
        <w:t xml:space="preserve">, </w:t>
      </w:r>
      <w:proofErr w:type="spellStart"/>
      <w:r>
        <w:rPr>
          <w:i/>
        </w:rPr>
        <w:t>health</w:t>
      </w:r>
      <w:proofErr w:type="spellEnd"/>
      <w:r>
        <w:rPr>
          <w:i/>
        </w:rPr>
        <w:t xml:space="preserve"> </w:t>
      </w:r>
      <w:proofErr w:type="spellStart"/>
      <w:r>
        <w:rPr>
          <w:i/>
        </w:rPr>
        <w:t>and</w:t>
      </w:r>
      <w:proofErr w:type="spellEnd"/>
      <w:r>
        <w:rPr>
          <w:i/>
        </w:rPr>
        <w:t xml:space="preserve"> </w:t>
      </w:r>
      <w:proofErr w:type="spellStart"/>
      <w:r>
        <w:rPr>
          <w:i/>
        </w:rPr>
        <w:t>wealth</w:t>
      </w:r>
      <w:proofErr w:type="spellEnd"/>
      <w:r>
        <w:rPr>
          <w:i/>
        </w:rPr>
        <w:t xml:space="preserve">, WHO </w:t>
      </w:r>
      <w:proofErr w:type="spellStart"/>
      <w:r>
        <w:rPr>
          <w:i/>
        </w:rPr>
        <w:t>Regional</w:t>
      </w:r>
      <w:proofErr w:type="spellEnd"/>
      <w:r>
        <w:rPr>
          <w:i/>
        </w:rPr>
        <w:t xml:space="preserve"> Office </w:t>
      </w:r>
      <w:proofErr w:type="spellStart"/>
      <w:r>
        <w:rPr>
          <w:i/>
        </w:rPr>
        <w:t>for</w:t>
      </w:r>
      <w:proofErr w:type="spellEnd"/>
      <w:r>
        <w:rPr>
          <w:i/>
        </w:rPr>
        <w:t xml:space="preserve"> </w:t>
      </w:r>
      <w:proofErr w:type="spellStart"/>
      <w:r>
        <w:rPr>
          <w:i/>
        </w:rPr>
        <w:t>Europe</w:t>
      </w:r>
      <w:proofErr w:type="spellEnd"/>
      <w:r>
        <w:rPr>
          <w:i/>
        </w:rPr>
        <w:t>, OECD, 2015, p. 25-27</w:t>
      </w:r>
      <w:r>
        <w:t>). Komisijos ataskaitoje „ES aplinkos nuostatų įgyvendinimo peržiūra. Šalies ataskaita – LIETUVA“ (</w:t>
      </w:r>
      <w:r>
        <w:rPr>
          <w:i/>
        </w:rPr>
        <w:t>SWD(2017) 48final</w:t>
      </w:r>
      <w:r>
        <w:t xml:space="preserve">) (toliau – Komisijos 2017 m. ataskaita apie Lietuvą) nurodoma, kad tiesioginiai ekonominiai kaštai, susiję su negalavimais, sukeltais dėl oro taršos, susidaro dėl 488 tūkst. prarastų darbo dienų, kurie darbdaviams kainuoja 37 mln. eurų/metus, sveikatos priežiūros sistemai – daugiau kaip 5 mln. eurų/metus, žemės ūkiui – 17 mln. eurų/metus dėl pasėlių nuostolių. PSO atliktų tyrimų rezultatai parodė, kad be kitų veiksnių (pvz., gyvenimo būdo, triukšmo ir kitų aplinkos veiksnių, taip pat žmogaus genetinės konstitucijos ir kvalifikuotos ir specializuotos medicinos pagalbos), oro užterštumas turi reikšmingą poveikį priešlaikinių mirčių kiekiui, pvz., dėl išeminės širdies ligos, insulto, lėtinės obstrukcinės plaučių ligos, plaučių vėžio ar vaikų ūmios apatinių kvėpavimo takų infekcijos ir kt. Remiantis Lietuvos statistikos departamento duomenimis, Lietuvoje kraujotakos sistemos ligomis 2016 m. sirgo 10,1 proc. visų sergančiųjų, kvėpavimo sistemos ligomis – 8,1 proc., </w:t>
      </w:r>
      <w:r>
        <w:lastRenderedPageBreak/>
        <w:t>navikais – 2,7 proc., tarp visų sergančių vaikų net 19,8 proc. sirgo kvėpavimo sistemos ligomis. Mirusiųjų dėl kraujotakos sistemos ligų asmenų skaičius 2016 m. sudarė 56 proc. visų mirčių, mirusiųjų dėl kvėpavimo sistemos ligų skaičius sudarė daugiau kaip 3 proc. visų mirčių, mirusiųjų dėl piktybinių navikų skaičius sudarė daugiau nei 19,9 proc. visų mirčių. Minėti sergamumo skaičiai rodo, jog nepaisant kenksmingų teršalų išmetimo į aplinkos orą mažėjimo tendencijų ilguoju laikotarpiu (2005–2015 m.), didelio neigiamo jų poveikio ir pavojaus žmonių sveikatai problemos Lietuvoje reikalauja papildomų ir kompleksinių sprendimų. Be to, kaip nurodoma Komisijos Pirmojoje švaraus oro apžvalgoje (</w:t>
      </w:r>
      <w:r>
        <w:rPr>
          <w:i/>
        </w:rPr>
        <w:t xml:space="preserve">COM(2018) 446 </w:t>
      </w:r>
      <w:proofErr w:type="spellStart"/>
      <w:r>
        <w:rPr>
          <w:i/>
        </w:rPr>
        <w:t>final</w:t>
      </w:r>
      <w:proofErr w:type="spellEnd"/>
      <w:r>
        <w:t>) (toliau – Pirmoji švaraus oro apžvalga), 2030 m. teršalų kiekio mažinimo įsipareigojimų įgyvendinimo sąnaudas su kaupu atsveria nauda sveikatai ir žemės ūkiui.</w:t>
      </w:r>
    </w:p>
    <w:p w:rsidR="000E7C4C" w:rsidRDefault="003C3EA6">
      <w:pPr>
        <w:tabs>
          <w:tab w:val="left" w:pos="851"/>
        </w:tabs>
        <w:ind w:firstLine="567"/>
        <w:jc w:val="both"/>
      </w:pPr>
      <w:r>
        <w:t>3</w:t>
      </w:r>
      <w:r>
        <w:t>.</w:t>
      </w:r>
      <w:r>
        <w:tab/>
        <w:t xml:space="preserve">Įvairūs taršos šaltiniai išmeta į aplinkos orą chemines medžiagas, galinčias tiesiogiai ar netiesiogiai paveikti žmonių sveikatą ir sukelti jai pavojų ir neigiamai veikti aplinką. Tarp didžiausią grėsmę sveikatai keliančių teršalų – sieros dioksidas, azoto oksidai ir kietosios dalelės, tarp kitų grėsmę keliančių teršalų yra amoniakas, nemetaniniai lakieji organiniai junginiai, patvarieji organiniai junginiai ir kiti. Į aplinkos orą išmetamas sieros dioksidas neigiamai veikia aplinką naikindamas augmeniją, blogina dirvos, vandens telkinių, statybinių medžiagų kokybę, kenkia žmonių sveikatai, skatindamas susirgimus astma ir chroniškų plaučių ligų vystymąsi. Azoto dioksidas gali dirginti plaučius ir mažinti atsparumą kvėpavimo takų infekcijoms, didinti vaikų susirgimų plaučių ligomis skaičių. Įkvėptos smulkiosios kietosios dalelės gali sukelti įvairius </w:t>
      </w:r>
      <w:proofErr w:type="spellStart"/>
      <w:r>
        <w:t>uždegimus</w:t>
      </w:r>
      <w:proofErr w:type="spellEnd"/>
      <w:r>
        <w:t>, širdies ir plaučių ligas. Nemetaniniai lakieji organiniai junginiai laikomi kancerogenais, galinčiais sukelti vėžį, centrinės nervų sistemos sutrikimus, kepenų ir inkstų pažeidimus ir neigiamai veikti reprodukcinę sistemą. Amoniakas gali daryti neigiamą poveikį aplinkai – sukelti eutrofikaciją, nitratų dalelės, susiformavusios ore dėl cheminių reakcijų su išmestu į orą amoniaku, turi žalingą poveikį žmogaus sveikatai. Amoniakas taip pat neigiamai veikia gyvūnų sveikatą. Nepaisant žalingo teršalų poveikio sveikatai, Lietuvoje aplinkos oro taršos poveikio sveikatai vertinimas yra nenuolatinis, trūksta nuoseklaus ir ilgalaikio vertinimo. Nepakankamas visuomenės informuotumas apie aplinkos oro taršos poveikį sveikatai, poreikį mažinti aplinkos oro taršą ir kiekvieno individo galimą indėlį gerinant aplinkos oro kokybę.</w:t>
      </w:r>
    </w:p>
    <w:p w:rsidR="000E7C4C" w:rsidRDefault="003C3EA6">
      <w:pPr>
        <w:tabs>
          <w:tab w:val="left" w:pos="851"/>
        </w:tabs>
        <w:ind w:firstLine="567"/>
        <w:jc w:val="both"/>
        <w:rPr>
          <w:color w:val="000000"/>
        </w:rPr>
      </w:pPr>
      <w:r>
        <w:t>4</w:t>
      </w:r>
      <w:r>
        <w:t>.</w:t>
      </w:r>
      <w:r>
        <w:tab/>
        <w:t xml:space="preserve">Siekiant mažinti neigiamą teršalų poveikį aplinkai ir žmonių sveikatai, Aplinkos oro apsaugos įstatymo 3 straipsnyje numatyti trys aplinkos oro apsaugos prioritetai: </w:t>
      </w:r>
    </w:p>
    <w:p w:rsidR="000E7C4C" w:rsidRDefault="003C3EA6">
      <w:pPr>
        <w:tabs>
          <w:tab w:val="left" w:pos="851"/>
        </w:tabs>
        <w:ind w:firstLine="567"/>
        <w:jc w:val="both"/>
      </w:pPr>
      <w:r>
        <w:t>4.1</w:t>
      </w:r>
      <w:r>
        <w:t>. energijos naudojimo veiksmingumo didinimas ir šilumos energijos gamybai naudojamų kuro deginimo įrenginių sukeliamos taršos mažinimas griežtinant kietojo kuro vartojimo, kurą deginančių įrenginių eksploatavimo reikalavimus, plėtojant centralizuoto šilumos tiekimo sistemas, teisinėmis ir finansinėmis priemonėmis užtikrinant, kad didinant gyventojų tankumą teritorijose, kuriose galima užtikrinti centralizuotą šilumos tiekimą, nauji šilumos vartotojai šilumos energija būtų aprūpinami centralizuotai arba šilumos energijos gamybai naudotų netaršias šilumos gamybos technologijas (elektros, saulės, vėjo ar geoterminę energiją);</w:t>
      </w:r>
    </w:p>
    <w:p w:rsidR="000E7C4C" w:rsidRDefault="003C3EA6">
      <w:pPr>
        <w:tabs>
          <w:tab w:val="left" w:pos="851"/>
        </w:tabs>
        <w:ind w:firstLine="567"/>
        <w:jc w:val="both"/>
        <w:rPr>
          <w:color w:val="000000"/>
          <w:szCs w:val="21"/>
        </w:rPr>
      </w:pPr>
      <w:r>
        <w:rPr>
          <w:color w:val="000000"/>
          <w:szCs w:val="21"/>
        </w:rPr>
        <w:t>4.2</w:t>
      </w:r>
      <w:r>
        <w:rPr>
          <w:color w:val="000000"/>
          <w:szCs w:val="21"/>
        </w:rPr>
        <w:t>. transporto priemonių sukeliamos taršos mažinimas mažinant vidaus degimo varikliais varomų transporto priemonių naudojimą ir didinant elektrinių</w:t>
      </w:r>
      <w:r>
        <w:rPr>
          <w:b/>
          <w:bCs/>
          <w:color w:val="000000"/>
          <w:szCs w:val="21"/>
        </w:rPr>
        <w:t xml:space="preserve"> </w:t>
      </w:r>
      <w:r>
        <w:rPr>
          <w:color w:val="000000"/>
          <w:szCs w:val="21"/>
        </w:rPr>
        <w:t>transporto priemonių naudojimą;</w:t>
      </w:r>
    </w:p>
    <w:p w:rsidR="000E7C4C" w:rsidRDefault="003C3EA6">
      <w:pPr>
        <w:tabs>
          <w:tab w:val="left" w:pos="851"/>
        </w:tabs>
        <w:ind w:firstLine="567"/>
        <w:jc w:val="both"/>
        <w:rPr>
          <w:color w:val="000000"/>
          <w:szCs w:val="21"/>
        </w:rPr>
      </w:pPr>
      <w:r>
        <w:rPr>
          <w:color w:val="000000"/>
          <w:szCs w:val="21"/>
        </w:rPr>
        <w:t>4.3</w:t>
      </w:r>
      <w:r>
        <w:rPr>
          <w:color w:val="000000"/>
          <w:szCs w:val="21"/>
        </w:rPr>
        <w:t>. geriausių prieinamų gamybos, darnaus susisiekimo paslaugų organizavimo būdų ir technologijų diegimas.</w:t>
      </w:r>
    </w:p>
    <w:p w:rsidR="000E7C4C" w:rsidRDefault="003C3EA6">
      <w:pPr>
        <w:tabs>
          <w:tab w:val="left" w:pos="851"/>
        </w:tabs>
        <w:ind w:firstLine="567"/>
        <w:jc w:val="both"/>
        <w:rPr>
          <w:color w:val="000000"/>
          <w:szCs w:val="21"/>
        </w:rPr>
      </w:pPr>
      <w:r>
        <w:rPr>
          <w:color w:val="000000"/>
          <w:szCs w:val="21"/>
        </w:rPr>
        <w:t>Vadovaujantis šiais prioritetais turi būti formuojama aplinkos oro apsaugos sistema.</w:t>
      </w:r>
    </w:p>
    <w:p w:rsidR="000E7C4C" w:rsidRDefault="003C3EA6">
      <w:pPr>
        <w:tabs>
          <w:tab w:val="left" w:pos="851"/>
        </w:tabs>
        <w:ind w:firstLine="567"/>
        <w:jc w:val="both"/>
      </w:pPr>
      <w:r>
        <w:t>5</w:t>
      </w:r>
      <w:r>
        <w:t>.</w:t>
      </w:r>
      <w:r>
        <w:tab/>
        <w:t xml:space="preserve">Aplinkos apsaugos strategijoje išvardinti pagrindiniai Lietuvos sektoriai, kurių sukeliama tarša turėtų būti mažinama, siekiant oro taršos mažinimo tikslų įgyvendinimo, oro kokybės gerėjimo ir neigiamo oro taršos poveikio žmonių sveikatai ir ekosistemoms mažinimo. Prie pagrindinių sektorių priskiriami energetikos, pramonės, žemės ūkio ir transporto sektoriai, taip pat namų ūkiai (būstų šildymas). Komisija komunikate „Sauganti Europa: švarus oras visiems“ pabrėžia, kad svarbiomis priemonėmis mažinant oro taršą laikytini transporto priemonių techniniai patobulinimai, elgsenos pokyčiai, paklausos valdymas, kuro deginančių ir pramonės įrenginių veiklos reguliavimas, mažiau taršaus kuro vartojimas ir alternatyviu kuru varomų transporto priemonių parko plėtojimas, namų ūkių šildymo įrenginių keitimas, geriausių prieinamų gamybos būdų įgyvendinimas, agronominių priemonių įgyvendinimas ir kt. Komisijos 2017 m. ataskaitoje apie Lietuvą nurodoma, kad nors išmetamų į atmosferą teršalų koncentracija šiuo metu neviršija taikomų nacionalinių ribų, vis dėlto oro kokybė Lietuvoje nesiliauja kėlusi nerimą; didesnieji miestai kenčia nuo transporto priemonių spūsčių, prastos oro kokybės ir kitų problemų, o savivaldybėms trūksta lėšų jas išspręsti; transporto priemonių apmokestinimas Lietuvoje yra mažiausias ES ir jį nustatant neatsižvelgiama į transporto priemonių aplinkosauginį veiksmingumą; jokia forma neapmokestinti asmeniniai lengvieji automobiliai; nerenkamas kelių naudotojų mokestis už asmeninius lengvuosius automobilius; didelę automobilių parko dalį sudaro seni automobiliai; naujai Lietuvoje registruotų automobilių išmetamas teršalų kiekis gerokai viršija ES vidurkį; akcizas variklių degalams, benzinui ir dyzeliniam kurui yra vienas iš mažiausių ES; labai didelis skaičius (37) aplinkai kenksmingų subsidijų ir kt. Siūloma, mažinant išmetamų teršalų kiekį ir koncentraciją aplinkos ore, dėmesį sutelkti į energetikos sektorių šilumą gaminant iš kietojo kuro, transporto ir žemės ūkio sektorių bei siekti sumažinti žalingą aplinkos oro taršos poveikį sveikatai, aplinkai ir ekonomikai. Komisijos komunikate „EUROPA KELYJE. Tvarus </w:t>
      </w:r>
      <w:proofErr w:type="spellStart"/>
      <w:r>
        <w:t>judumas</w:t>
      </w:r>
      <w:proofErr w:type="spellEnd"/>
      <w:r>
        <w:t xml:space="preserve"> Europoje: saugus, susietas ir netaršus“ (</w:t>
      </w:r>
      <w:r>
        <w:rPr>
          <w:i/>
        </w:rPr>
        <w:t xml:space="preserve">COM (2018)293 </w:t>
      </w:r>
      <w:proofErr w:type="spellStart"/>
      <w:r>
        <w:rPr>
          <w:i/>
        </w:rPr>
        <w:t>final</w:t>
      </w:r>
      <w:proofErr w:type="spellEnd"/>
      <w:r>
        <w:t>) nurodoma, kad valstybės narės turėtų persvarstyti šiuo metu dyzeliniams degalams taikomą lengvatinį režimą.</w:t>
      </w:r>
    </w:p>
    <w:p w:rsidR="000E7C4C" w:rsidRDefault="003C3EA6">
      <w:pPr>
        <w:tabs>
          <w:tab w:val="left" w:pos="851"/>
        </w:tabs>
        <w:ind w:firstLine="567"/>
        <w:jc w:val="both"/>
        <w:rPr>
          <w:color w:val="000000"/>
          <w:szCs w:val="21"/>
        </w:rPr>
      </w:pPr>
      <w:r>
        <w:t>6</w:t>
      </w:r>
      <w:r>
        <w:t xml:space="preserve">. Aplinkos apsaugos strategijos 49 punkte nustatytas tikslas oro kokybės apsaugos srityje – </w:t>
      </w:r>
      <w:r>
        <w:rPr>
          <w:lang w:eastAsia="lt-LT"/>
        </w:rPr>
        <w:t xml:space="preserve">užtikrinti, kad Lietuvoje į aplinkos orą išmetamų teršalų kiekis neviršytų tarptautiniuose ir ES teisės aktuose nustatyto kiekio, oro teršalų koncentracija aplinkos ore neviršytų žmogaus sveikatai ir aplinkai nepavojingų aplinkos oro užterštumo lygių. Siekiant šio tikslo, </w:t>
      </w:r>
      <w:r>
        <w:t xml:space="preserve">Aplinkos apsaugos strategijoje </w:t>
      </w:r>
      <w:r>
        <w:rPr>
          <w:lang w:eastAsia="lt-LT"/>
        </w:rPr>
        <w:t xml:space="preserve">nustatytos esminės politikos įgyvendinimo kryptys dėl kiekvieno joje nurodyto teršalo išmetimo į aplinkos orą mažinimo, palyginus su 2005 m. išmestu kiekiu: iki 2020 m. sumažinti </w:t>
      </w:r>
      <w:r>
        <w:t>sieros dioksido (toliau – SO</w:t>
      </w:r>
      <w:r>
        <w:rPr>
          <w:vertAlign w:val="subscript"/>
        </w:rPr>
        <w:t>2</w:t>
      </w:r>
      <w:r>
        <w:t xml:space="preserve">) išmetimų kiekį 55 proc., azoto oksidų (toliau – </w:t>
      </w:r>
      <w:proofErr w:type="spellStart"/>
      <w:r>
        <w:t>NO</w:t>
      </w:r>
      <w:r>
        <w:rPr>
          <w:vertAlign w:val="subscript"/>
        </w:rPr>
        <w:t>x</w:t>
      </w:r>
      <w:proofErr w:type="spellEnd"/>
      <w:r>
        <w:t>) – 48 proc., amoniako (toliau – NH</w:t>
      </w:r>
      <w:r>
        <w:rPr>
          <w:vertAlign w:val="subscript"/>
        </w:rPr>
        <w:t>3</w:t>
      </w:r>
      <w:r>
        <w:t>) – 10 proc., smulkiųjų kietųjų dalelių (toliau – KD</w:t>
      </w:r>
      <w:r>
        <w:rPr>
          <w:vertAlign w:val="subscript"/>
        </w:rPr>
        <w:t>2,5</w:t>
      </w:r>
      <w:r>
        <w:t>) – 20 proc., nemetaninių lakiųjų organinių junginių (toliau – NMLOJ)</w:t>
      </w:r>
      <w:r>
        <w:rPr>
          <w:lang w:eastAsia="lt-LT"/>
        </w:rPr>
        <w:t xml:space="preserve"> – 32 proc.; iki 2030 m. </w:t>
      </w:r>
      <w:r>
        <w:t>SO</w:t>
      </w:r>
      <w:r>
        <w:rPr>
          <w:vertAlign w:val="subscript"/>
        </w:rPr>
        <w:t>2</w:t>
      </w:r>
      <w:r>
        <w:t xml:space="preserve"> išmetimų kiekį </w:t>
      </w:r>
      <w:r>
        <w:rPr>
          <w:lang w:eastAsia="lt-LT"/>
        </w:rPr>
        <w:t xml:space="preserve">sumažinti </w:t>
      </w:r>
      <w:r>
        <w:t xml:space="preserve">60 proc., </w:t>
      </w:r>
      <w:proofErr w:type="spellStart"/>
      <w:r>
        <w:t>NO</w:t>
      </w:r>
      <w:r>
        <w:rPr>
          <w:vertAlign w:val="subscript"/>
        </w:rPr>
        <w:t>x</w:t>
      </w:r>
      <w:proofErr w:type="spellEnd"/>
      <w:r>
        <w:t xml:space="preserve"> – 51 proc., NH</w:t>
      </w:r>
      <w:r>
        <w:rPr>
          <w:vertAlign w:val="subscript"/>
        </w:rPr>
        <w:t>3</w:t>
      </w:r>
      <w:r>
        <w:t xml:space="preserve"> – 10 proc., KD</w:t>
      </w:r>
      <w:r>
        <w:rPr>
          <w:vertAlign w:val="subscript"/>
        </w:rPr>
        <w:t>2,5</w:t>
      </w:r>
      <w:r>
        <w:t xml:space="preserve"> – 36 proc., NMLOJ</w:t>
      </w:r>
      <w:r>
        <w:rPr>
          <w:lang w:eastAsia="lt-LT"/>
        </w:rPr>
        <w:t xml:space="preserve"> – 47 proc. Nepaisant to, kad n</w:t>
      </w:r>
      <w:r>
        <w:t>uo 2005 iki 2015 m. teršalų išmetimas į aplinkos orą reikšmingai sumažėjo, vis dėlto 2020 ir 2030 metams nustatytos pasiekti vertės yra daug mažesnės už esamas (jau pasiektas), todėl yra ir ateityje bus didelis poreikis taikyti papildomas oro taršą mažinančias priemones (Plano 3 priedas).</w:t>
      </w:r>
    </w:p>
    <w:p w:rsidR="000E7C4C" w:rsidRDefault="003C3EA6">
      <w:pPr>
        <w:ind w:firstLine="720"/>
        <w:jc w:val="both"/>
      </w:pPr>
      <w:r>
        <w:t>7</w:t>
      </w:r>
      <w:r>
        <w:t>. Plano tikslas suformuluotas remiantis Aplinkos apsaugos strategijoje nustatytais Lietuvai tikslais.</w:t>
      </w:r>
    </w:p>
    <w:p w:rsidR="000E7C4C" w:rsidRDefault="003C3EA6">
      <w:pPr>
        <w:tabs>
          <w:tab w:val="left" w:pos="851"/>
        </w:tabs>
        <w:ind w:firstLine="720"/>
        <w:jc w:val="both"/>
      </w:pPr>
      <w:r>
        <w:t>8</w:t>
      </w:r>
      <w:r>
        <w:t>. Siekiant Plano tikslo, būtinas integralus požiūris į įvairiose ūkio srityse taikomas oro taršos mažinimo priemones. Įvairių ūkio sričių nacionaliniai strateginiai dokumentai nėra tarpusavyje susieti, jie parengti skirtingiems laikotarpiams, todėl priemonių įgyvendinimas nėra tęstinis, atlikti jų įgyvendinimo naudos analizę yra labai sudėtinga. Įvairių sričių strateginiuose dokumentuose dominuoja kelias sritis apimančios priemonės, pavyzdžiui, atsinaujinančių energijos išteklių (toliau – AEI) naudojimo skatinimas ar visuomeninio transporto priemonių plėtra, todėl išnaudojamos ne visos galimybės mažinti oro taršą ir dėmesys sutelkiamas tik į kelias sritis, praleidžiant kitas svarbias. Be to, pasiūlytos priemonės pagrįstos ne oro taršos apskaitos duomenų analizės rezultatais, o bendromis sektorių vystymosi tendencijomis. Išvardintos problemos oro taršos politikos srityje lemia poreikį parengti horizontalų dokumentą, kuris apimtų įvairiuose sektoriuose taikytinas priemones, pagrįstas esamos oro taršos ir oro kokybės vertinimo rezultatais, vertinant priemonių naudą visumai (nacionaliniu mastu), t. y. oro taršos nacionaliniu mastu mažinimui ir oro kokybės gerinimui.</w:t>
      </w:r>
    </w:p>
    <w:p w:rsidR="000E7C4C" w:rsidRDefault="003C3EA6">
      <w:pPr>
        <w:tabs>
          <w:tab w:val="left" w:pos="851"/>
        </w:tabs>
        <w:ind w:firstLine="720"/>
        <w:jc w:val="both"/>
      </w:pPr>
      <w:r>
        <w:t>9</w:t>
      </w:r>
      <w:r>
        <w:t xml:space="preserve">. Savivaldybių strateginio planavimo dokumentuose numatytos priemonės, prisidedančios prie oro taršos mažinimo, dažniausiai apima priemones, skirtas energiniam pastatų efektyvumui didinti, AEI naudojimui didinti, centralizuotam šilumos tiekimui (toliau – CŠT) vystyti, ekologiškų ir draugiškų aplinkai visuomeninio transporto priemonių įsigijimui, visuomeninio transporto infrastruktūros optimizavimui, taip pat darnaus </w:t>
      </w:r>
      <w:proofErr w:type="spellStart"/>
      <w:r>
        <w:t>judumo</w:t>
      </w:r>
      <w:proofErr w:type="spellEnd"/>
      <w:r>
        <w:t xml:space="preserve"> sprendimai. Numatytos priemonės dažniausiai apima laikotarpį iki 2020 arba 2021 metų (Plano 5 priedas), todėl Planas, apimantis priemones iki 2030 m., turėtų sudaryti pagrindą veiksmingoms aplinkos oro taršos mažinimo priemonėms parengti savivaldybių lygmeniu, kad būtų užtikrinta reikalavimus atitinkanti ar dar geresnė oro kokybė. Kaip nurodoma Komisijos komunikate „Sauganti Europa: švarus oras visiems“, būtent efektyvus valdžios institucijų bendradarbiavimas nacionaliniu, regionų ir vietos lygmenimis laikomas veiksminga oro taršos mažinimo priemonių įgyvendinimo prielaida.</w:t>
      </w:r>
    </w:p>
    <w:p w:rsidR="000E7C4C" w:rsidRDefault="003C3EA6">
      <w:pPr>
        <w:tabs>
          <w:tab w:val="left" w:pos="851"/>
          <w:tab w:val="left" w:pos="7513"/>
        </w:tabs>
        <w:ind w:firstLine="567"/>
        <w:jc w:val="both"/>
      </w:pPr>
      <w:r>
        <w:t>10</w:t>
      </w:r>
      <w:r>
        <w:t xml:space="preserve">. Planu siekiama efektyvaus oro taršos mažinimo, taikant priemones, pasiūlytas atlikus esamos politikos, išmetamų į aplinkos orą teršalų kiekio ir koncentracijos aplinkos ore situacijos analizę (Plane minimi teršalus į aplinkos orą išmetantys sektoriai ir </w:t>
      </w:r>
      <w:proofErr w:type="spellStart"/>
      <w:r>
        <w:t>subsektoriai</w:t>
      </w:r>
      <w:proofErr w:type="spellEnd"/>
      <w:r>
        <w:t xml:space="preserve"> yra apibūdinti remiantis Konvencijoje numatyta Į aplinkos orą išmetamų teršalų nomenklatūra (toliau – NFR) (Plano 14 priedas). Siekiant išanalizuoti teršalų </w:t>
      </w:r>
      <w:proofErr w:type="spellStart"/>
      <w:r>
        <w:t>išmetimus</w:t>
      </w:r>
      <w:proofErr w:type="spellEnd"/>
      <w:r>
        <w:t xml:space="preserve"> pagal sektorius ir nustatyti taršos šaltinius, atlikus pagrindinių kategorijų analizę (angl. </w:t>
      </w:r>
      <w:proofErr w:type="spellStart"/>
      <w:r>
        <w:rPr>
          <w:i/>
        </w:rPr>
        <w:t>key</w:t>
      </w:r>
      <w:proofErr w:type="spellEnd"/>
      <w:r>
        <w:rPr>
          <w:i/>
        </w:rPr>
        <w:t xml:space="preserve"> </w:t>
      </w:r>
      <w:proofErr w:type="spellStart"/>
      <w:r>
        <w:rPr>
          <w:i/>
        </w:rPr>
        <w:t>category</w:t>
      </w:r>
      <w:proofErr w:type="spellEnd"/>
      <w:r>
        <w:rPr>
          <w:i/>
        </w:rPr>
        <w:t xml:space="preserve"> </w:t>
      </w:r>
      <w:proofErr w:type="spellStart"/>
      <w:r>
        <w:rPr>
          <w:i/>
        </w:rPr>
        <w:t>analysis</w:t>
      </w:r>
      <w:proofErr w:type="spellEnd"/>
      <w:r>
        <w:t xml:space="preserve">), išmetimai suskirstyti pagal sektorius, kuriuose išmetimų suma sudaro ne mažiau kaip 80 proc. nacionaliniu mastu išmetamo teršalų kiekio, t. y. nustatyti pagrindiniai teršėjai (pramonė (ypatingą dėmesį skiriant naftos perdirbimui, jos produktų saugojimui ir transportavimui), viešoji elektros energijos ir šilumos gamyba, transportas, šilumos gamyba namų ūkiuose, žemės ūkis), atsižvelgus į konsultacijų su suinteresuotomis šalimis rezultatus ir įvertinus siūlomų Plane numatyti priemonių poveikį teršalų </w:t>
      </w:r>
      <w:proofErr w:type="spellStart"/>
      <w:r>
        <w:t>išmetimams</w:t>
      </w:r>
      <w:proofErr w:type="spellEnd"/>
      <w:r>
        <w:t>. Plane siekiama nustatyti Aplinkos apsaugos strategijoje numatytiems oro taršos mažinimo 2020 m. tikslams (taikytiniems nuo 2020 m. iki 2029 m.), 2030 m. tikslams (taikytiniems 2030 m. ir vėliau) (detaliau Plano 6 punktas) pasiekti ir reikalaujamiems nustatyti 2025 m. tarpiniams tikslams pasiekti ir kitų Konvencija reguliuojamų oro teršalų – sunkiųjų metalų ir patvariųjų organinių teršalų – kiekiui valdyti skirtus tikslus, uždavinius ir priemones, nurodant priemonių įgyvendinimo laikotarpį, asignavimų, jei reikia, poreikį, atsakingus už priemonių įgyvendinimą ir dalyvaujančius įgyvendinime subjektus, apibrėžti Plano įgyvendinimo vertinimo kriterijus ir jų reikšmes.</w:t>
      </w:r>
    </w:p>
    <w:p w:rsidR="000E7C4C" w:rsidRDefault="003C3EA6">
      <w:pPr>
        <w:tabs>
          <w:tab w:val="left" w:pos="851"/>
          <w:tab w:val="left" w:pos="7513"/>
        </w:tabs>
        <w:ind w:firstLine="567"/>
        <w:jc w:val="both"/>
      </w:pPr>
      <w:r>
        <w:t>11</w:t>
      </w:r>
      <w:r>
        <w:t>. Planas apima priemones, numatomas įgyvendinti iki 2030 m., paskirstant jas pagal metus, priklausomai nuo priemonių pobūdžio, jų įgyvendinimo poreikio ir tinkamiausio įgyvendinti laikotarpio. Priemonės pateiktos atsižvelgiant į išmestų teršalų kiekio skaičiavimo metodiką, t. y. įvertinant išmestą teršalų kiekį apibūdinančius kintamuosius ir daugiklius, siekiant, kad pasiūlytų priemonių įgyvendinimo nauda atsispindėtų nacionalinėse į aplinkos orą išmetamo teršalų kiekio apskaitos ataskaitose.</w:t>
      </w:r>
    </w:p>
    <w:p w:rsidR="000E7C4C" w:rsidRDefault="003C3EA6">
      <w:pPr>
        <w:tabs>
          <w:tab w:val="left" w:pos="851"/>
        </w:tabs>
        <w:ind w:firstLine="567"/>
        <w:jc w:val="both"/>
      </w:pPr>
      <w:r>
        <w:t>12</w:t>
      </w:r>
      <w:r>
        <w:t>. Atsižvelgiant į tai, kad Komisijos komunikate „Sauganti Europa: švarus oras visiems“ nurodoma laikytis visapusiško požiūrio, apimančio įvairius sektorius – nuo transporto, energetikos iki vietos planavimo, ir sutelkti visus susijusius skirtingus subjektus, formuojant Plano tikslus, uždavinius ir priemones išnagrinėti nacionaliniai ir įvairių sektorių strateginiai dokumentai. Prie Plane iškeltų tikslų ir uždavinių įgyvendinimo prisidės su oro taršos mažinimu ir oro kokybės gerinimu susijusių tikslų ir uždavinių, nustatytų 2014–2020 metų nacionalinėje pažangos programoje, patvirtintoje Vyriausybės 2012 m. lapkričio 28 d. nutarimu Nr. 1482 „Dėl 2014–2020 metų nacionalinės pažangos programos patvirtinimo“, Investicijų skatinimo ir pramonės plėtros 2014–2020 metų programoje, patvirtintoje Vyriausybės 2014 m. rugsėjo 17 d. nutarimu Nr. 986 „Dėl Investicijų skatinimo ir pramonės plėtros 2014–2020 metų programos patvirtinimo“, L</w:t>
      </w:r>
      <w:r>
        <w:rPr>
          <w:szCs w:val="24"/>
          <w:lang w:eastAsia="lt-LT"/>
        </w:rPr>
        <w:t>ietuvos kaimo plėtros 2014–2020 metų programoje, patvirtintoje Komisijos 2015 m. vasario 13 d. sprendimu Nr. C(2015)842 (su paskutiniu pakeitimu, patvirtintu Komisijos 2018-06-12 sprendimu Nr. C(2018) 3841)</w:t>
      </w:r>
      <w:r>
        <w:t xml:space="preserve">, Lietuvos sveikatos 2014–2025 metų strategijoje, patvirtintoje Seimo 2014 m. birželio 26 d. nutarimu Nr. XII-964 „Dėl Lietuvos sveikatos 2014-2025 metų strategijos patvirtinimo“, Nacionalinėje 2014–2020 metų gyvulininkystės sektoriaus plėtros programoje, patvirtintoje Vyriausybės 2013 m. gruodžio 4 d. nutarimu Nr. 1162 „Dėl Nacionalinės 2014–2020 metų gyvulininkystės sektoriaus plėtros programos patvirtinimo“, Aplinkos apsaugos strategijoje, Nacionalinėje atsinaujinančių energijos išteklių plėtros strategijoje, patvirtintoje 2010 m. birželio 21 d. Vyriausybės nutarimu Nr. 789 „Dėl Nacionalinės atsinaujinančių energijos išteklių plėtros strategijos patvirtinimo“, Nacionalinėje darnaus vystymosi strategijoje, patvirtintoje Vyriausybės 2003 m. rugsėjo 11 d. nutarimu Nr. 1160 „Dėl Nacionalinės darnaus vystymosi strategijos patvirtinimo ir įgyvendinimo“, Nacionalinėje klimato kaitos valdymo politikos strategijoje, patvirtintoje Seimo 2012 m. lapkričio 6 d. nutarimu Nr. XI-2375 „Dėl Nacionalinės klimato kaitos valdymo politikos strategijos patvirtinimo“, Nacionalinėje susisiekimo plėtros 2014–2022 metų programoje, patvirtintoje Vyriausybės 2013 m. gruodžio 18 d. nutarimu Nr. 1253 „Dėl Nacionalinės susisiekimo plėtros 2014–2022 metų programos patvirtinimo“, Nacionalinėje šilumos ūkio plėtros 2015–2021 metų programoje, patvirtintoje Vyriausybės 2015 m. kovo 18 d. nutarimu Nr. 284 „Dėl Nacionalinės šilumos ūkio plėtros 2015-2021 metų programos patvirtinimo“, Nacionalinėje visuomenės sveikatos priežiūros 2016–2023 metų plėtros programoje, patvirtintoje Vyriausybės 2015 m. gruodžio 9 d. nutarimu Nr. 1291 „Dėl Nacionalinės visuomenės sveikatos priežiūros 2016–2023 metų plėtros programos patvirtinimo“, Nacionalinėje energetinės nepriklausomybės strategijoje, patvirtintoje Seimo 2012 m. birželio 26 d. nutarimu Nr. XI-2133 „Dėl Nacionalinės energetinės nepriklausomybės strategijos patvirtinimo“, Valstybės ilgalaikės raidos strategijoje, patvirtintoje Seimo 2002 m. lapkričio 12 d. nutarimu Nr. IX-1187 „Dėl Valstybės ilgalaikės raidos strategijos“, Valstybės pažangos strategijoje „Lietuvos pažangos strategija „Lietuva 2030“, patvirtintoje Seimo 2012 m. gegužės 15 d. nutarimu Nr. XI-2015 „Dėl Valstybės pažangos strategijos „Lietuvos pažangos strategija „Lietuva 2030“ patvirtinimo“, Valstybiniame atliekų tvarkymo 2014–2020 metų plane, patvirtintame Vyriausybės 2002 m. balandžio 12 d. nutarimu Nr. 519 </w:t>
      </w:r>
      <w:r>
        <w:rPr>
          <w:color w:val="000000"/>
        </w:rPr>
        <w:t>„Dėl Valstybinio atliekų tvarkymo 2014-2020 metų plano patvirtinimo“</w:t>
      </w:r>
      <w:r>
        <w:t>, Vandenų srities plėtros 2017–2023 metų programoje, patvirtintoje Vyriausybės 2017 m. vasario 1 d. nutarimu Nr. 88 „Dėl Vandenų srities plėtros 2017–2023 metų programos patvirtinimo“, pagal ES reikalavimus rengiamame nacionaliniame energetikos ir klimato kaitos valdymo plane, įgyvendinimas.</w:t>
      </w:r>
    </w:p>
    <w:p w:rsidR="000E7C4C" w:rsidRDefault="003C3EA6">
      <w:pPr>
        <w:tabs>
          <w:tab w:val="left" w:pos="851"/>
        </w:tabs>
        <w:ind w:firstLine="567"/>
        <w:jc w:val="both"/>
      </w:pPr>
      <w:r>
        <w:t>13</w:t>
      </w:r>
      <w:r>
        <w:t>. Atsižvelgiant į tai, kad teršalai kartu su oru juda ir nepaiso nacionalinių sienų, šalių, kurių tarša gali paveikti viena kitos oro kokybę, bendradarbiavimas ir veiksmų koordinavimas turi pasekmių oro taršos mažinimo priemonių pasirinkimui, oro taršos mažinimo rezultatams. Dėl šios priežasties, planuojant priemones, išanalizuotas kaimyninių šalių oro taršos poveikis oro kokybei Lietuvoje (Plano 15 priedas) ir pasiūlytos įgyvendinti tiek Lietuvos, tiek kaimyninių šalių atžvilgiu optimalios priemonės. Suvokiant priemonių svarbą nacionaliniu ir tarptautiniu lygmeniu, rengiant Planą glaudžiai bendradarbiauta su kitų ES valstybių narių ir Komisijos atstovais dalyvaujant organizuotose diskusijose, dialoguose ir kitose iniciatyvose; siekiama kuo intensyviau ir efektyviau naudotis esamu ES finansavimu ne tik tiesiogiai skirtu oro taršos mažinimui ir oro kokybės gerinimui, tačiau ir skirtu kitose srityse (pvz., energetikos, transporto) įgyvendinamuose projektuose, kuriuose įtrauktas oro kokybės aspektas. Rengiant priemones ir planuojant jų asignavimų poreikį, atsižvelgta į Pirmosios švaraus oro apžvalgos išvadas, kuriose teigiama, kad įgyvendinti politiką bus daug lengviau, jei bus naudojamasi didele esama ES finansine parama, Komisija toliau rems nacionalines pastangas šioje (žemės ūkio) srityje, be kita ko, didindama naudojimąsi bendros žemės ūkio politikos finansavimu; Komisijos komunikato „Sauganti Europa: švarus oras visiems“ nuostatas, nurodančias, kad pagal Komisijos siūlomą 2021–2027 m. daugiametę finansinę paramą bus toliau remiamos priemonės, kuriomis gerinama oro kokybė, be kita ko, užsibrėžus, kad klimato politikos tikslams pasiekti būtų skiriama 25% ES išlaidų, ir sustiprinus programą LIFE, kurios lėšomis taip pat bus remiamos švarios energijos bei energijos vartojimo efektyvumo priemonės, bus didinama LIFE programos sąveika su bendra žemės ūkio politika ir kt. Planuojant priemones, taip pat vertinti Komisijos komunikate „Sauganti Europa: švarus oras visiems“ pateikti oro taršos mažinimo priemonių pavyzdžiai.</w:t>
      </w:r>
    </w:p>
    <w:p w:rsidR="000E7C4C" w:rsidRDefault="003C3EA6">
      <w:pPr>
        <w:jc w:val="both"/>
      </w:pPr>
    </w:p>
    <w:p w:rsidR="000E7C4C" w:rsidRDefault="003C3EA6">
      <w:pPr>
        <w:keepNext/>
        <w:keepLines/>
        <w:jc w:val="center"/>
        <w:outlineLvl w:val="1"/>
        <w:rPr>
          <w:b/>
          <w:bCs/>
          <w:caps/>
          <w:color w:val="000000"/>
          <w:szCs w:val="32"/>
        </w:rPr>
      </w:pPr>
      <w:r>
        <w:rPr>
          <w:b/>
          <w:bCs/>
          <w:caps/>
          <w:color w:val="000000"/>
          <w:szCs w:val="32"/>
        </w:rPr>
        <w:t>II</w:t>
      </w:r>
      <w:r>
        <w:rPr>
          <w:b/>
          <w:bCs/>
          <w:caps/>
          <w:color w:val="000000"/>
          <w:szCs w:val="32"/>
        </w:rPr>
        <w:t xml:space="preserve"> SKYRIUS</w:t>
      </w:r>
    </w:p>
    <w:p w:rsidR="000E7C4C" w:rsidRDefault="003C3EA6">
      <w:pPr>
        <w:keepNext/>
        <w:keepLines/>
        <w:jc w:val="center"/>
        <w:outlineLvl w:val="1"/>
        <w:rPr>
          <w:b/>
          <w:bCs/>
          <w:caps/>
          <w:color w:val="000000"/>
          <w:szCs w:val="32"/>
        </w:rPr>
      </w:pPr>
      <w:r>
        <w:rPr>
          <w:b/>
          <w:bCs/>
          <w:caps/>
          <w:color w:val="000000"/>
          <w:szCs w:val="32"/>
        </w:rPr>
        <w:t>plano tikslai, uždaviniai, įgyvendinimo vertinimo kriterijai ir jų reikšmės</w:t>
      </w:r>
    </w:p>
    <w:p w:rsidR="000E7C4C" w:rsidRDefault="000E7C4C">
      <w:pPr>
        <w:ind w:firstLine="720"/>
        <w:jc w:val="both"/>
      </w:pPr>
    </w:p>
    <w:p w:rsidR="000E7C4C" w:rsidRDefault="003C3EA6">
      <w:pPr>
        <w:tabs>
          <w:tab w:val="left" w:pos="851"/>
          <w:tab w:val="left" w:pos="7513"/>
        </w:tabs>
        <w:ind w:firstLine="567"/>
        <w:jc w:val="both"/>
        <w:rPr>
          <w:szCs w:val="24"/>
        </w:rPr>
      </w:pPr>
      <w:r>
        <w:rPr>
          <w:szCs w:val="24"/>
        </w:rPr>
        <w:t>14</w:t>
      </w:r>
      <w:r>
        <w:rPr>
          <w:szCs w:val="24"/>
        </w:rPr>
        <w:t>.</w:t>
      </w:r>
      <w:r>
        <w:rPr>
          <w:b/>
          <w:szCs w:val="24"/>
        </w:rPr>
        <w:t xml:space="preserve"> Plano tikslas</w:t>
      </w:r>
      <w:r>
        <w:rPr>
          <w:szCs w:val="24"/>
        </w:rPr>
        <w:t xml:space="preserve"> – apriboti nacionaliniu mastu iš antropogeninių taršos šaltinių išmetamą į aplinkos orą SO</w:t>
      </w:r>
      <w:r>
        <w:rPr>
          <w:szCs w:val="24"/>
          <w:vertAlign w:val="subscript"/>
        </w:rPr>
        <w:t>2</w:t>
      </w:r>
      <w:r>
        <w:rPr>
          <w:szCs w:val="24"/>
        </w:rPr>
        <w:t xml:space="preserve">, </w:t>
      </w:r>
      <w:proofErr w:type="spellStart"/>
      <w:r>
        <w:rPr>
          <w:szCs w:val="24"/>
        </w:rPr>
        <w:t>NO</w:t>
      </w:r>
      <w:r>
        <w:rPr>
          <w:szCs w:val="24"/>
          <w:vertAlign w:val="subscript"/>
        </w:rPr>
        <w:t>x</w:t>
      </w:r>
      <w:proofErr w:type="spellEnd"/>
      <w:r>
        <w:rPr>
          <w:szCs w:val="24"/>
        </w:rPr>
        <w:t>, NH</w:t>
      </w:r>
      <w:r>
        <w:rPr>
          <w:szCs w:val="24"/>
          <w:vertAlign w:val="subscript"/>
        </w:rPr>
        <w:t>3</w:t>
      </w:r>
      <w:r>
        <w:rPr>
          <w:szCs w:val="24"/>
        </w:rPr>
        <w:t>, KD</w:t>
      </w:r>
      <w:r>
        <w:rPr>
          <w:szCs w:val="24"/>
          <w:vertAlign w:val="subscript"/>
        </w:rPr>
        <w:t>2.5</w:t>
      </w:r>
      <w:r>
        <w:rPr>
          <w:szCs w:val="24"/>
        </w:rPr>
        <w:t xml:space="preserve"> ir NMLOJ kiekį, kad būtų laikomasi Aplinkos apsaugos strategijoje Lietuvai nustatytų 2020 m. tikslų ir 2030 m. tikslų, taip pat siekiant valdyti nacionaliniu mastu iš antropogeninių taršos šaltinių išmetamų kitų oro teršalų kiekį, kad nebūtų viršijamas ataskaitiniais 1990 m. išmestas kiekvieno jų kiekis.</w:t>
      </w:r>
    </w:p>
    <w:p w:rsidR="000E7C4C" w:rsidRDefault="003C3EA6">
      <w:pPr>
        <w:tabs>
          <w:tab w:val="left" w:pos="851"/>
          <w:tab w:val="left" w:pos="7513"/>
        </w:tabs>
        <w:ind w:firstLine="567"/>
        <w:jc w:val="both"/>
        <w:rPr>
          <w:szCs w:val="24"/>
        </w:rPr>
      </w:pPr>
      <w:r>
        <w:rPr>
          <w:szCs w:val="24"/>
        </w:rPr>
        <w:t>15</w:t>
      </w:r>
      <w:r>
        <w:rPr>
          <w:szCs w:val="24"/>
        </w:rPr>
        <w:t xml:space="preserve">. Plano tikslui pasiekti numatomi </w:t>
      </w:r>
      <w:r>
        <w:rPr>
          <w:b/>
          <w:szCs w:val="24"/>
        </w:rPr>
        <w:t>tikslai ir uždaviniai</w:t>
      </w:r>
      <w:r>
        <w:rPr>
          <w:szCs w:val="24"/>
        </w:rPr>
        <w:t>.</w:t>
      </w:r>
    </w:p>
    <w:p w:rsidR="000E7C4C" w:rsidRDefault="003C3EA6">
      <w:pPr>
        <w:tabs>
          <w:tab w:val="left" w:pos="851"/>
          <w:tab w:val="left" w:pos="7513"/>
        </w:tabs>
        <w:ind w:firstLine="567"/>
        <w:jc w:val="both"/>
        <w:rPr>
          <w:szCs w:val="24"/>
        </w:rPr>
      </w:pPr>
      <w:r>
        <w:rPr>
          <w:szCs w:val="24"/>
        </w:rPr>
        <w:t>15.1</w:t>
      </w:r>
      <w:r>
        <w:rPr>
          <w:szCs w:val="24"/>
        </w:rPr>
        <w:t>.</w:t>
      </w:r>
      <w:r>
        <w:rPr>
          <w:b/>
          <w:szCs w:val="24"/>
        </w:rPr>
        <w:t xml:space="preserve"> Pirmasis tikslas</w:t>
      </w:r>
      <w:r>
        <w:rPr>
          <w:szCs w:val="24"/>
        </w:rPr>
        <w:t xml:space="preserve"> – s</w:t>
      </w:r>
      <w:r>
        <w:rPr>
          <w:color w:val="000000"/>
          <w:szCs w:val="24"/>
          <w:lang w:eastAsia="lt-LT"/>
        </w:rPr>
        <w:t>umažinti taršą SO</w:t>
      </w:r>
      <w:r>
        <w:rPr>
          <w:color w:val="000000"/>
          <w:szCs w:val="24"/>
          <w:vertAlign w:val="subscript"/>
          <w:lang w:eastAsia="lt-LT"/>
        </w:rPr>
        <w:t>2</w:t>
      </w:r>
      <w:r>
        <w:rPr>
          <w:color w:val="000000"/>
          <w:szCs w:val="24"/>
          <w:lang w:eastAsia="lt-LT"/>
        </w:rPr>
        <w:t xml:space="preserve">, </w:t>
      </w:r>
      <w:proofErr w:type="spellStart"/>
      <w:r>
        <w:rPr>
          <w:color w:val="000000"/>
          <w:szCs w:val="24"/>
          <w:lang w:eastAsia="lt-LT"/>
        </w:rPr>
        <w:t>NO</w:t>
      </w:r>
      <w:r>
        <w:rPr>
          <w:color w:val="000000"/>
          <w:szCs w:val="24"/>
          <w:vertAlign w:val="subscript"/>
          <w:lang w:eastAsia="lt-LT"/>
        </w:rPr>
        <w:t>x</w:t>
      </w:r>
      <w:proofErr w:type="spellEnd"/>
      <w:r>
        <w:rPr>
          <w:color w:val="000000"/>
          <w:szCs w:val="24"/>
          <w:lang w:eastAsia="lt-LT"/>
        </w:rPr>
        <w:t>, NH</w:t>
      </w:r>
      <w:r>
        <w:rPr>
          <w:color w:val="000000"/>
          <w:szCs w:val="24"/>
          <w:vertAlign w:val="subscript"/>
          <w:lang w:eastAsia="lt-LT"/>
        </w:rPr>
        <w:t>3</w:t>
      </w:r>
      <w:r>
        <w:rPr>
          <w:color w:val="000000"/>
          <w:szCs w:val="24"/>
          <w:lang w:eastAsia="lt-LT"/>
        </w:rPr>
        <w:t>, KD</w:t>
      </w:r>
      <w:r>
        <w:rPr>
          <w:color w:val="000000"/>
          <w:szCs w:val="24"/>
          <w:vertAlign w:val="subscript"/>
          <w:lang w:eastAsia="lt-LT"/>
        </w:rPr>
        <w:t>2,5</w:t>
      </w:r>
      <w:r>
        <w:rPr>
          <w:color w:val="000000"/>
          <w:szCs w:val="24"/>
          <w:lang w:eastAsia="lt-LT"/>
        </w:rPr>
        <w:t xml:space="preserve"> ir NMLOJ, didžiausią dėmesį skiriant taršos mažinimui iš pagrindinių teršėjų.</w:t>
      </w:r>
    </w:p>
    <w:p w:rsidR="000E7C4C" w:rsidRDefault="003C3EA6">
      <w:pPr>
        <w:tabs>
          <w:tab w:val="left" w:pos="851"/>
          <w:tab w:val="left" w:pos="7513"/>
        </w:tabs>
        <w:ind w:firstLine="567"/>
        <w:jc w:val="both"/>
        <w:rPr>
          <w:color w:val="000000"/>
          <w:szCs w:val="21"/>
        </w:rPr>
      </w:pPr>
      <w:r>
        <w:t>15.1.1</w:t>
      </w:r>
      <w:r>
        <w:t xml:space="preserve">. </w:t>
      </w:r>
      <w:r>
        <w:rPr>
          <w:b/>
        </w:rPr>
        <w:t>SO</w:t>
      </w:r>
      <w:r>
        <w:rPr>
          <w:b/>
          <w:vertAlign w:val="subscript"/>
        </w:rPr>
        <w:t>2</w:t>
      </w:r>
      <w:r>
        <w:rPr>
          <w:b/>
        </w:rPr>
        <w:t>:</w:t>
      </w:r>
    </w:p>
    <w:p w:rsidR="000E7C4C" w:rsidRDefault="003C3EA6">
      <w:pPr>
        <w:tabs>
          <w:tab w:val="left" w:pos="851"/>
          <w:tab w:val="left" w:pos="7513"/>
        </w:tabs>
        <w:ind w:firstLine="567"/>
        <w:jc w:val="both"/>
      </w:pPr>
      <w:r>
        <w:t>15.1.1.1</w:t>
      </w:r>
      <w:r>
        <w:t>. nepaisant to, kad išmestas SO</w:t>
      </w:r>
      <w:r>
        <w:rPr>
          <w:vertAlign w:val="subscript"/>
        </w:rPr>
        <w:t>2</w:t>
      </w:r>
      <w:r>
        <w:t xml:space="preserve"> kiekis nuo 2005 iki 2015 m. sumažėjo apie 41 proc. ir vidutiniškai per metus išmestas SO</w:t>
      </w:r>
      <w:r>
        <w:rPr>
          <w:vertAlign w:val="subscript"/>
        </w:rPr>
        <w:t xml:space="preserve">2 </w:t>
      </w:r>
      <w:r>
        <w:t>kiekis mažėjo 5,1 proc., Aplinkos apsaugos strategijoje nustatyti išmesto SO</w:t>
      </w:r>
      <w:r>
        <w:rPr>
          <w:vertAlign w:val="subscript"/>
        </w:rPr>
        <w:t>2</w:t>
      </w:r>
      <w:r>
        <w:t xml:space="preserve"> kiekio sumažinimo tikslai (skaitine išraiška) yra daug mažesni nei užfiksuota nurodytu nagrinėjamu laikotarpiu. Viešosios energijos gamybos sektoriaus išmestas SO</w:t>
      </w:r>
      <w:r>
        <w:rPr>
          <w:vertAlign w:val="subscript"/>
        </w:rPr>
        <w:t xml:space="preserve">2 </w:t>
      </w:r>
      <w:r>
        <w:t>kiekis sumažėjo 59 proc., pramonės sektoriaus (dėl deginimo procesų) – 69 proc., iš kito stacionaraus deginimo (namų ūkių šildymo ir kt.) – 15 proc. Nepaisant minėtų sektorių išmesto SO</w:t>
      </w:r>
      <w:r>
        <w:rPr>
          <w:vertAlign w:val="subscript"/>
        </w:rPr>
        <w:t>2</w:t>
      </w:r>
      <w:r>
        <w:t xml:space="preserve"> kiekio sumažėjimo 2005–2015 m. laikotarpiu., 2015 m. apie penktadalį išmesto SO</w:t>
      </w:r>
      <w:r>
        <w:rPr>
          <w:vertAlign w:val="subscript"/>
        </w:rPr>
        <w:t>2</w:t>
      </w:r>
      <w:r>
        <w:t xml:space="preserve"> kiekio sudarė viešosios energijos gamybos išmestas SO</w:t>
      </w:r>
      <w:r>
        <w:rPr>
          <w:vertAlign w:val="subscript"/>
        </w:rPr>
        <w:t>2</w:t>
      </w:r>
      <w:r>
        <w:t xml:space="preserve"> kiekis, apie penktadalį – kito stacionaraus deginimo išmestas SO</w:t>
      </w:r>
      <w:r>
        <w:rPr>
          <w:vertAlign w:val="subscript"/>
        </w:rPr>
        <w:t>2</w:t>
      </w:r>
      <w:r>
        <w:t xml:space="preserve"> kiekis ir apie 19 proc. – pramonės išmestas SO</w:t>
      </w:r>
      <w:r>
        <w:rPr>
          <w:vertAlign w:val="subscript"/>
        </w:rPr>
        <w:t>2</w:t>
      </w:r>
      <w:r>
        <w:t xml:space="preserve"> kiekis. Naftos perdirbimo pramonėje išmestas SO</w:t>
      </w:r>
      <w:r>
        <w:rPr>
          <w:vertAlign w:val="subscript"/>
        </w:rPr>
        <w:t xml:space="preserve">2 </w:t>
      </w:r>
      <w:r>
        <w:t>kiekis padidėjo 44 proc., be to, išmesto SO</w:t>
      </w:r>
      <w:r>
        <w:rPr>
          <w:vertAlign w:val="subscript"/>
        </w:rPr>
        <w:t>2</w:t>
      </w:r>
      <w:r>
        <w:t xml:space="preserve"> kiekio struktūros analizė pagal ūkio sektorius parodė, kad didžiausias išmestas SO</w:t>
      </w:r>
      <w:r>
        <w:rPr>
          <w:vertAlign w:val="subscript"/>
        </w:rPr>
        <w:t>2</w:t>
      </w:r>
      <w:r>
        <w:t xml:space="preserve"> kiekis buvo naftos perdirbimo pramonėje. Pažymėtina, kad visas SO</w:t>
      </w:r>
      <w:r>
        <w:rPr>
          <w:vertAlign w:val="subscript"/>
        </w:rPr>
        <w:t>2</w:t>
      </w:r>
      <w:r>
        <w:t xml:space="preserve"> kiekis, išmetamas ne iš kuro ir degalų deginimo, išmetamas iš sieros regeneravimo naftos perdirbimo pramonėje ir sieros rūgšties gamybos chemijos pramonėje. Be to, lyginant 2005 ir 2015 m. išmesto SO</w:t>
      </w:r>
      <w:r>
        <w:rPr>
          <w:vertAlign w:val="subscript"/>
        </w:rPr>
        <w:t>2</w:t>
      </w:r>
      <w:r>
        <w:t xml:space="preserve"> kiekio struktūrą, nustatyta, kad didėjo namų ūkių stacionaraus deginimo (toliau – namų ūkis) reikšmė išmesto SO</w:t>
      </w:r>
      <w:r>
        <w:rPr>
          <w:vertAlign w:val="subscript"/>
        </w:rPr>
        <w:t>2</w:t>
      </w:r>
      <w:r>
        <w:t xml:space="preserve"> kiekio struktūroje. Tokiai situacijai įtakos turėjo ne tik kitų sektorių išmesto SO</w:t>
      </w:r>
      <w:r>
        <w:rPr>
          <w:vertAlign w:val="subscript"/>
        </w:rPr>
        <w:t>2</w:t>
      </w:r>
      <w:r>
        <w:t xml:space="preserve"> kiekio sumažėjimas, tačiau taip pat namų ūkių išmesto SO</w:t>
      </w:r>
      <w:r>
        <w:rPr>
          <w:vertAlign w:val="subscript"/>
        </w:rPr>
        <w:t xml:space="preserve">2 </w:t>
      </w:r>
      <w:r>
        <w:t>kiekio padidėjimas 29,7 proc., lyginant 2005 ir 2015 m. (Plano 9 priedas, Plano 13 priedas). Taigi, siekiant mažinti išmetamą SO</w:t>
      </w:r>
      <w:r>
        <w:rPr>
          <w:vertAlign w:val="subscript"/>
        </w:rPr>
        <w:t>2</w:t>
      </w:r>
      <w:r>
        <w:t xml:space="preserve"> kiekį, dėmesys turėtų būti sutelktas į kelias pagrindines taršias sritis: stacionarų deginimą pramonėje ir namų ūkiuose; sieros regeneravimą naftos perdirbimo pramonėje, sieros rūgšties gamybą; viešosios energijos gamybos sektorių; </w:t>
      </w:r>
    </w:p>
    <w:p w:rsidR="000E7C4C" w:rsidRDefault="003C3EA6">
      <w:pPr>
        <w:tabs>
          <w:tab w:val="left" w:pos="851"/>
        </w:tabs>
        <w:ind w:firstLine="567"/>
        <w:jc w:val="both"/>
      </w:pPr>
      <w:r>
        <w:t>15.1.1.2</w:t>
      </w:r>
      <w:r>
        <w:t>. SO</w:t>
      </w:r>
      <w:r>
        <w:rPr>
          <w:vertAlign w:val="subscript"/>
        </w:rPr>
        <w:t xml:space="preserve">2 </w:t>
      </w:r>
      <w:r>
        <w:t>koncentracija visose valstybinio oro monitoringo stotyse (toliau – OKT stotys), kuriose matuojama šio teršalo koncentracija, ribinių verčių aplinkos ore neviršija, todėl oro kokybė dėl SO</w:t>
      </w:r>
      <w:r>
        <w:rPr>
          <w:vertAlign w:val="subscript"/>
        </w:rPr>
        <w:t>2</w:t>
      </w:r>
      <w:r>
        <w:t xml:space="preserve"> koncentracijos vertinama gerai. Vis dėlto didelis SO</w:t>
      </w:r>
      <w:r>
        <w:rPr>
          <w:vertAlign w:val="subscript"/>
        </w:rPr>
        <w:t>2</w:t>
      </w:r>
      <w:r>
        <w:t xml:space="preserve"> koncentracijos padidėjimas tam tikrose OKT stotyse parodo riziką ir blogėjančią oro kokybę tų stočių matavimo zonose. Todėl papildomai ir dėl šios priežasties turėtų būti skiriamas dėmesys SO</w:t>
      </w:r>
      <w:r>
        <w:rPr>
          <w:vertAlign w:val="subscript"/>
        </w:rPr>
        <w:t>2</w:t>
      </w:r>
      <w:r>
        <w:t xml:space="preserve"> taršos šaltiniams Vilniaus, Klaipėdos, Naujosios Akmenės, Kėdainių miestuose (Plano 10 priedas, Plano 15 priedas); </w:t>
      </w:r>
    </w:p>
    <w:p w:rsidR="000E7C4C" w:rsidRDefault="003C3EA6">
      <w:pPr>
        <w:tabs>
          <w:tab w:val="left" w:pos="851"/>
        </w:tabs>
        <w:ind w:firstLine="567"/>
        <w:jc w:val="both"/>
      </w:pPr>
      <w:r>
        <w:t>15.1.1.3</w:t>
      </w:r>
      <w:r>
        <w:t>. Aplinkos apsaugos agentūros (toliau – AAA) teisės aktų nustatyta tvarka vykdomas išmetamo į aplinkos orą teršalų kiekio prognozavimas (toliau – prognozė) rodo, kad jei nebus keičiamos esamos politikos kryptys ir priemonės, Aplinkos apsaugos strategijoje nustatyti išmesto SO</w:t>
      </w:r>
      <w:r>
        <w:rPr>
          <w:vertAlign w:val="subscript"/>
        </w:rPr>
        <w:t>2</w:t>
      </w:r>
      <w:r>
        <w:t xml:space="preserve"> kiekio tikslai nebus pasiekti, išmestas SO</w:t>
      </w:r>
      <w:r>
        <w:rPr>
          <w:vertAlign w:val="subscript"/>
        </w:rPr>
        <w:t>2</w:t>
      </w:r>
      <w:r>
        <w:t xml:space="preserve"> kiekis pasižymės didėjimo tendencija iki 2030 m., todėl yra poreikis planuoti papildomas priemones. Išmestas SO</w:t>
      </w:r>
      <w:r>
        <w:rPr>
          <w:vertAlign w:val="subscript"/>
        </w:rPr>
        <w:t>2</w:t>
      </w:r>
      <w:r>
        <w:t xml:space="preserve"> kiekis priklausys nuo naudojamų kuro rūšių, taikomų technologijų energijos gamybos pramonėje ir taikomų technologijų naftos perdirbimo, naftos produktų saugojimo ir paskirstymo veikloje (Plano 12 priedas).</w:t>
      </w:r>
    </w:p>
    <w:p w:rsidR="000E7C4C" w:rsidRDefault="003C3EA6">
      <w:pPr>
        <w:tabs>
          <w:tab w:val="left" w:pos="851"/>
        </w:tabs>
        <w:ind w:firstLine="567"/>
        <w:jc w:val="both"/>
        <w:rPr>
          <w:szCs w:val="24"/>
        </w:rPr>
      </w:pPr>
      <w:r>
        <w:rPr>
          <w:szCs w:val="24"/>
        </w:rPr>
        <w:t>15.1.2</w:t>
      </w:r>
      <w:r>
        <w:rPr>
          <w:szCs w:val="24"/>
        </w:rPr>
        <w:t xml:space="preserve">. </w:t>
      </w:r>
      <w:proofErr w:type="spellStart"/>
      <w:r>
        <w:rPr>
          <w:b/>
          <w:szCs w:val="24"/>
        </w:rPr>
        <w:t>NO</w:t>
      </w:r>
      <w:r>
        <w:rPr>
          <w:b/>
          <w:szCs w:val="24"/>
          <w:vertAlign w:val="subscript"/>
        </w:rPr>
        <w:t>x</w:t>
      </w:r>
      <w:proofErr w:type="spellEnd"/>
      <w:r>
        <w:rPr>
          <w:b/>
          <w:szCs w:val="24"/>
        </w:rPr>
        <w:t>:</w:t>
      </w:r>
    </w:p>
    <w:p w:rsidR="000E7C4C" w:rsidRDefault="003C3EA6">
      <w:pPr>
        <w:tabs>
          <w:tab w:val="left" w:pos="851"/>
        </w:tabs>
        <w:ind w:firstLine="567"/>
        <w:jc w:val="both"/>
        <w:rPr>
          <w:color w:val="000000"/>
          <w:szCs w:val="21"/>
        </w:rPr>
      </w:pPr>
      <w:r>
        <w:rPr>
          <w:szCs w:val="24"/>
        </w:rPr>
        <w:t>15.1.2.1</w:t>
      </w:r>
      <w:r>
        <w:rPr>
          <w:szCs w:val="24"/>
        </w:rPr>
        <w:t>. kadangi 2005–2015 m. i</w:t>
      </w:r>
      <w:r>
        <w:t xml:space="preserve">šmestas </w:t>
      </w:r>
      <w:proofErr w:type="spellStart"/>
      <w:r>
        <w:t>NO</w:t>
      </w:r>
      <w:r>
        <w:rPr>
          <w:vertAlign w:val="subscript"/>
        </w:rPr>
        <w:t>x</w:t>
      </w:r>
      <w:proofErr w:type="spellEnd"/>
      <w:r>
        <w:t xml:space="preserve"> kiekis sumažėjo tik apie 8,8 proc., o vidutiniškai per metus išmestas </w:t>
      </w:r>
      <w:proofErr w:type="spellStart"/>
      <w:r>
        <w:t>NO</w:t>
      </w:r>
      <w:r>
        <w:rPr>
          <w:vertAlign w:val="subscript"/>
        </w:rPr>
        <w:t>x</w:t>
      </w:r>
      <w:proofErr w:type="spellEnd"/>
      <w:r>
        <w:t xml:space="preserve"> kiekis mažėjo tik 0,9 proc., nustatytų Aplinkos apsaugos strategijoje </w:t>
      </w:r>
      <w:proofErr w:type="spellStart"/>
      <w:r>
        <w:t>NO</w:t>
      </w:r>
      <w:r>
        <w:rPr>
          <w:vertAlign w:val="subscript"/>
        </w:rPr>
        <w:t>x</w:t>
      </w:r>
      <w:proofErr w:type="spellEnd"/>
      <w:r>
        <w:t xml:space="preserve"> kiekio sumažinimo tikslų įgyvendinimas yra didelis iššūkis. Didžiausią įtaką </w:t>
      </w:r>
      <w:proofErr w:type="spellStart"/>
      <w:r>
        <w:t>NO</w:t>
      </w:r>
      <w:r>
        <w:rPr>
          <w:vertAlign w:val="subscript"/>
        </w:rPr>
        <w:t>x</w:t>
      </w:r>
      <w:proofErr w:type="spellEnd"/>
      <w:r>
        <w:t xml:space="preserve"> </w:t>
      </w:r>
      <w:proofErr w:type="spellStart"/>
      <w:r>
        <w:t>išmetimams</w:t>
      </w:r>
      <w:proofErr w:type="spellEnd"/>
      <w:r>
        <w:t xml:space="preserve"> turi kelių transporto sektorius. Sunkvežimių ir autobusų išmestas </w:t>
      </w:r>
      <w:proofErr w:type="spellStart"/>
      <w:r>
        <w:t>NO</w:t>
      </w:r>
      <w:r>
        <w:rPr>
          <w:vertAlign w:val="subscript"/>
        </w:rPr>
        <w:t>x</w:t>
      </w:r>
      <w:proofErr w:type="spellEnd"/>
      <w:r>
        <w:t xml:space="preserve"> kiekis 2015 m. padidėjo 11 proc., lyginant su 2005 m., o jo dalis bendroje </w:t>
      </w:r>
      <w:r>
        <w:rPr>
          <w:szCs w:val="24"/>
        </w:rPr>
        <w:t>i</w:t>
      </w:r>
      <w:r>
        <w:t xml:space="preserve">šmesto </w:t>
      </w:r>
      <w:proofErr w:type="spellStart"/>
      <w:r>
        <w:t>NO</w:t>
      </w:r>
      <w:r>
        <w:rPr>
          <w:vertAlign w:val="subscript"/>
        </w:rPr>
        <w:t>x</w:t>
      </w:r>
      <w:proofErr w:type="spellEnd"/>
      <w:r>
        <w:t xml:space="preserve"> kiekio struktūroje 2015 m. sudarė beveik trečdalį viso </w:t>
      </w:r>
      <w:r>
        <w:rPr>
          <w:szCs w:val="24"/>
        </w:rPr>
        <w:t>i</w:t>
      </w:r>
      <w:r>
        <w:t xml:space="preserve">šmesto </w:t>
      </w:r>
      <w:proofErr w:type="spellStart"/>
      <w:r>
        <w:t>NO</w:t>
      </w:r>
      <w:r>
        <w:rPr>
          <w:vertAlign w:val="subscript"/>
        </w:rPr>
        <w:t>x</w:t>
      </w:r>
      <w:proofErr w:type="spellEnd"/>
      <w:r>
        <w:t xml:space="preserve"> kiekio. Svarbus taip pat lengvųjų automobilių sektorius, kurio 2015 m. </w:t>
      </w:r>
      <w:r>
        <w:rPr>
          <w:szCs w:val="24"/>
        </w:rPr>
        <w:t>i</w:t>
      </w:r>
      <w:r>
        <w:t xml:space="preserve">šmestas </w:t>
      </w:r>
      <w:proofErr w:type="spellStart"/>
      <w:r>
        <w:t>NO</w:t>
      </w:r>
      <w:r>
        <w:rPr>
          <w:vertAlign w:val="subscript"/>
        </w:rPr>
        <w:t>x</w:t>
      </w:r>
      <w:proofErr w:type="spellEnd"/>
      <w:r>
        <w:t xml:space="preserve"> kiekis sudarė daugiau nei 13 proc. viso </w:t>
      </w:r>
      <w:r>
        <w:rPr>
          <w:szCs w:val="24"/>
        </w:rPr>
        <w:t>i</w:t>
      </w:r>
      <w:r>
        <w:t xml:space="preserve">šmesto </w:t>
      </w:r>
      <w:proofErr w:type="spellStart"/>
      <w:r>
        <w:t>NO</w:t>
      </w:r>
      <w:r>
        <w:rPr>
          <w:vertAlign w:val="subscript"/>
        </w:rPr>
        <w:t>x</w:t>
      </w:r>
      <w:proofErr w:type="spellEnd"/>
      <w:r>
        <w:t xml:space="preserve"> kiekio. Kitas taršus sektorius – neorganinių azoto (N) trąšų (įskaitant karbamidą) naudojimas. Dėl šių trąšų naudojimo išmestas </w:t>
      </w:r>
      <w:proofErr w:type="spellStart"/>
      <w:r>
        <w:t>NO</w:t>
      </w:r>
      <w:r>
        <w:rPr>
          <w:vertAlign w:val="subscript"/>
        </w:rPr>
        <w:t>x</w:t>
      </w:r>
      <w:proofErr w:type="spellEnd"/>
      <w:r>
        <w:rPr>
          <w:vertAlign w:val="subscript"/>
        </w:rPr>
        <w:t xml:space="preserve"> </w:t>
      </w:r>
      <w:r>
        <w:t xml:space="preserve">kiekis nagrinėjamu laikotarpiu padidėjo 35,6 proc. Pažymėtina, kad nuo 2020 m. vertinant Aplinkos apsaugos strategijoje iškeltų </w:t>
      </w:r>
      <w:proofErr w:type="spellStart"/>
      <w:r>
        <w:t>NO</w:t>
      </w:r>
      <w:r>
        <w:rPr>
          <w:vertAlign w:val="subscript"/>
        </w:rPr>
        <w:t>x</w:t>
      </w:r>
      <w:proofErr w:type="spellEnd"/>
      <w:r>
        <w:t xml:space="preserve"> mažinimo tikslų įgyvendinimo pažangą, iš žemės ūkio veiklos </w:t>
      </w:r>
      <w:r>
        <w:rPr>
          <w:szCs w:val="24"/>
          <w:lang w:eastAsia="lt-LT"/>
        </w:rPr>
        <w:t>(pagal NFR nomenklatūrą priskiriamos 3B kategorijai (mėšlo tvarkymas) ir 3D kategorijai (žemės ūkio paskirties dirvožemiai)</w:t>
      </w:r>
      <w:r>
        <w:t xml:space="preserve"> išmetamas </w:t>
      </w:r>
      <w:proofErr w:type="spellStart"/>
      <w:r>
        <w:t>NO</w:t>
      </w:r>
      <w:r>
        <w:rPr>
          <w:vertAlign w:val="subscript"/>
        </w:rPr>
        <w:t>x</w:t>
      </w:r>
      <w:proofErr w:type="spellEnd"/>
      <w:r>
        <w:t xml:space="preserve"> kiekis nebus įskaitomas į bendrą nacionaliniu mastu išmestą </w:t>
      </w:r>
      <w:proofErr w:type="spellStart"/>
      <w:r>
        <w:t>NO</w:t>
      </w:r>
      <w:r>
        <w:rPr>
          <w:vertAlign w:val="subscript"/>
        </w:rPr>
        <w:t>x</w:t>
      </w:r>
      <w:proofErr w:type="spellEnd"/>
      <w:r>
        <w:rPr>
          <w:vertAlign w:val="subscript"/>
        </w:rPr>
        <w:t xml:space="preserve"> </w:t>
      </w:r>
      <w:r>
        <w:t xml:space="preserve">kiekį ir priemonių įgyvendinimas šiose žemės ūkio veiklos srityse neatsispindės vėlesniuose nei 2020 m. išmesto </w:t>
      </w:r>
      <w:proofErr w:type="spellStart"/>
      <w:r>
        <w:t>NO</w:t>
      </w:r>
      <w:r>
        <w:rPr>
          <w:vertAlign w:val="subscript"/>
        </w:rPr>
        <w:t>x</w:t>
      </w:r>
      <w:proofErr w:type="spellEnd"/>
      <w:r>
        <w:t xml:space="preserve"> kiekio apskaitos rezultatuose, tačiau neorganinių trąšų naudojimo mažinimas turės teigiamos įtakos kitų teršalų </w:t>
      </w:r>
      <w:proofErr w:type="spellStart"/>
      <w:r>
        <w:t>išmetimam</w:t>
      </w:r>
      <w:proofErr w:type="spellEnd"/>
      <w:r>
        <w:t xml:space="preserve"> kiekiui mažinti. Siekiant mažinti išmetamą </w:t>
      </w:r>
      <w:proofErr w:type="spellStart"/>
      <w:r>
        <w:t>NO</w:t>
      </w:r>
      <w:r>
        <w:rPr>
          <w:vertAlign w:val="subscript"/>
        </w:rPr>
        <w:t>x</w:t>
      </w:r>
      <w:proofErr w:type="spellEnd"/>
      <w:r>
        <w:t xml:space="preserve"> kiekį, ir toliau turėtų būti taikomos priemonės viešosios elektros energijos ir šilumos gamybos srityje (šio sektoriaus išmesto </w:t>
      </w:r>
      <w:proofErr w:type="spellStart"/>
      <w:r>
        <w:t>NO</w:t>
      </w:r>
      <w:r>
        <w:rPr>
          <w:vertAlign w:val="subscript"/>
        </w:rPr>
        <w:t>x</w:t>
      </w:r>
      <w:proofErr w:type="spellEnd"/>
      <w:r>
        <w:rPr>
          <w:vertAlign w:val="subscript"/>
        </w:rPr>
        <w:t xml:space="preserve"> </w:t>
      </w:r>
      <w:r>
        <w:t xml:space="preserve">kiekio dalis sudaro 7,6 proc. viso išmesto </w:t>
      </w:r>
      <w:proofErr w:type="spellStart"/>
      <w:r>
        <w:t>NO</w:t>
      </w:r>
      <w:r>
        <w:rPr>
          <w:vertAlign w:val="subscript"/>
        </w:rPr>
        <w:t>x</w:t>
      </w:r>
      <w:proofErr w:type="spellEnd"/>
      <w:r>
        <w:rPr>
          <w:vertAlign w:val="subscript"/>
        </w:rPr>
        <w:t xml:space="preserve"> </w:t>
      </w:r>
      <w:r>
        <w:t xml:space="preserve">kiekio), kad ateityje išliktų šio sektoriaus </w:t>
      </w:r>
      <w:r>
        <w:rPr>
          <w:szCs w:val="24"/>
        </w:rPr>
        <w:t>i</w:t>
      </w:r>
      <w:r>
        <w:t xml:space="preserve">šmesto </w:t>
      </w:r>
      <w:proofErr w:type="spellStart"/>
      <w:r>
        <w:t>NO</w:t>
      </w:r>
      <w:r>
        <w:rPr>
          <w:vertAlign w:val="subscript"/>
        </w:rPr>
        <w:t>x</w:t>
      </w:r>
      <w:proofErr w:type="spellEnd"/>
      <w:r>
        <w:t xml:space="preserve"> kiekio mažėjimo tendencija (Plano 9 priedas, Plano13 priedas); </w:t>
      </w:r>
    </w:p>
    <w:p w:rsidR="000E7C4C" w:rsidRDefault="003C3EA6">
      <w:pPr>
        <w:tabs>
          <w:tab w:val="left" w:pos="851"/>
        </w:tabs>
        <w:ind w:firstLine="567"/>
        <w:jc w:val="both"/>
      </w:pPr>
      <w:r>
        <w:t>15.1.2.2</w:t>
      </w:r>
      <w:r>
        <w:t>. OKT stotyse matuojamos NO</w:t>
      </w:r>
      <w:r>
        <w:rPr>
          <w:vertAlign w:val="subscript"/>
        </w:rPr>
        <w:t>2</w:t>
      </w:r>
      <w:r>
        <w:t xml:space="preserve"> koncentracijos aplinkos ore dinamika rodo, kad oro kokybė NO</w:t>
      </w:r>
      <w:r>
        <w:rPr>
          <w:vertAlign w:val="subscript"/>
        </w:rPr>
        <w:t xml:space="preserve">2 </w:t>
      </w:r>
      <w:r>
        <w:t>koncentracijos požiūriu Lietuvoje gerėja, tačiau didžiausiuose ir labiausiai „</w:t>
      </w:r>
      <w:proofErr w:type="spellStart"/>
      <w:r>
        <w:t>automobilizuotuose</w:t>
      </w:r>
      <w:proofErr w:type="spellEnd"/>
      <w:r>
        <w:t>“ šalies miestuose – Vilniuje, Kaune, Klaipėdoje buvo fiksuotas šio teršalo</w:t>
      </w:r>
      <w:r>
        <w:rPr>
          <w:vertAlign w:val="subscript"/>
        </w:rPr>
        <w:t xml:space="preserve"> </w:t>
      </w:r>
      <w:r>
        <w:t>koncentracijos padidėjimas, todėl tikslinga siekti juose gerinti oro kokybę mažinant NO</w:t>
      </w:r>
      <w:r>
        <w:rPr>
          <w:vertAlign w:val="subscript"/>
        </w:rPr>
        <w:t xml:space="preserve">2 </w:t>
      </w:r>
      <w:r>
        <w:t>koncentraciją aplinkos ore. Atkreiptinas dėmesys, kad sumažėjo valandų skaičius, kai buvo viršyta 1 val. NO</w:t>
      </w:r>
      <w:r>
        <w:rPr>
          <w:vertAlign w:val="subscript"/>
        </w:rPr>
        <w:t>2</w:t>
      </w:r>
      <w:r>
        <w:t xml:space="preserve"> koncentracijos ribinė vertė, lyginant 2005 ir 2016 m. duomenis. Tokia mažėjimo tendencija vertintina teigiamai, tačiau parodo, jog ribinė vertė vis tik buvo viršyta ir tai lemia poreikį taikyti priemones, skirtas NO</w:t>
      </w:r>
      <w:r>
        <w:rPr>
          <w:vertAlign w:val="subscript"/>
        </w:rPr>
        <w:t>2</w:t>
      </w:r>
      <w:r>
        <w:t xml:space="preserve"> koncentracijai mažinti (Plano 10 priedas, Plano 15 priedas);</w:t>
      </w:r>
    </w:p>
    <w:p w:rsidR="000E7C4C" w:rsidRDefault="003C3EA6">
      <w:pPr>
        <w:tabs>
          <w:tab w:val="left" w:pos="851"/>
          <w:tab w:val="left" w:pos="7513"/>
        </w:tabs>
        <w:ind w:firstLine="567"/>
        <w:jc w:val="both"/>
      </w:pPr>
      <w:r>
        <w:t>15.1.2.3</w:t>
      </w:r>
      <w:r>
        <w:t xml:space="preserve">. remiantis AAA prognozėmis, t. y. darant prielaidą, kad nebus keičiamos esamos politikos kryptys ir priemonės, nustatyta, kad iki 2030 m. nacionaliniu mastu išmestas </w:t>
      </w:r>
      <w:proofErr w:type="spellStart"/>
      <w:r>
        <w:t>NO</w:t>
      </w:r>
      <w:r>
        <w:rPr>
          <w:vertAlign w:val="subscript"/>
        </w:rPr>
        <w:t>x</w:t>
      </w:r>
      <w:proofErr w:type="spellEnd"/>
      <w:r>
        <w:t xml:space="preserve"> kiekis pasižymės didėjimo tendencija. Reikšmingiausiais sektoriais išliks kelių transportas, viešoji energijos gamyba ir pramonė (dėl stacionaraus deginimo) (Plano 12 priedas).</w:t>
      </w:r>
    </w:p>
    <w:p w:rsidR="000E7C4C" w:rsidRDefault="003C3EA6">
      <w:pPr>
        <w:tabs>
          <w:tab w:val="left" w:pos="851"/>
          <w:tab w:val="left" w:pos="1418"/>
          <w:tab w:val="left" w:pos="7513"/>
        </w:tabs>
        <w:ind w:firstLine="567"/>
        <w:jc w:val="both"/>
        <w:outlineLvl w:val="1"/>
      </w:pPr>
      <w:r>
        <w:t>15.1.3</w:t>
      </w:r>
      <w:r>
        <w:t xml:space="preserve">. </w:t>
      </w:r>
      <w:r>
        <w:rPr>
          <w:b/>
        </w:rPr>
        <w:t>NMLOJ:</w:t>
      </w:r>
    </w:p>
    <w:p w:rsidR="000E7C4C" w:rsidRDefault="003C3EA6">
      <w:pPr>
        <w:tabs>
          <w:tab w:val="left" w:pos="851"/>
          <w:tab w:val="left" w:pos="1418"/>
          <w:tab w:val="left" w:pos="7513"/>
        </w:tabs>
        <w:ind w:firstLine="567"/>
        <w:jc w:val="both"/>
        <w:outlineLvl w:val="1"/>
        <w:rPr>
          <w:szCs w:val="24"/>
        </w:rPr>
      </w:pPr>
      <w:r>
        <w:t>15.1.3.1</w:t>
      </w:r>
      <w:r>
        <w:t xml:space="preserve">. nepaisant to, kad 2005–2015 m. išmestas NMLOJ kiekis sumažėjo apie 20,9 proc., vidutiniškai per metus išmestas NMLOJ kiekis mažėjo tik 2,3 proc. Toks ir tolesnis vidutinis metinis mažėjimas neužtikrintų 2030 m. Aplinkos apsaugos strategijoje iškeltų tikslų įgyvendinimo, todėl turi būti imamasi papildomų priemonių. Didžiausią įtaką išmestam NMLOJ kiekiui darė stacionaraus deginimo, įskaitant deginimą pramonėje, naftos pramonės, tirpiklių vartojimo sektorių ir gyvulininkystės </w:t>
      </w:r>
      <w:proofErr w:type="spellStart"/>
      <w:r>
        <w:t>subsektoriaus</w:t>
      </w:r>
      <w:proofErr w:type="spellEnd"/>
      <w:r>
        <w:t xml:space="preserve"> išmestas NMLOJ kiekis. Didžiausiu išmetamo NMLOJ kiekio sumažėjimu pasižymėjo lengvųjų automobilių ir benzino garavimo </w:t>
      </w:r>
      <w:proofErr w:type="spellStart"/>
      <w:r>
        <w:t>subsektoriai</w:t>
      </w:r>
      <w:proofErr w:type="spellEnd"/>
      <w:r>
        <w:t>, tačiau paskirstant naftos produktus išmestas NMLOJ kiekis padidėjo 7,8 proc., iš ne pieninių galvijų ūkių mėšlo išmestas NMLOJ kiekis padidėjo 10 proc. S</w:t>
      </w:r>
      <w:r>
        <w:rPr>
          <w:szCs w:val="24"/>
        </w:rPr>
        <w:t>iekiant mažinti NMLOJ išmetimą, ypatingas dėmesys turėtų būti skiriamas priemonėms, taikytinoms naftos perdirbimo sektoriuje, naftos produktų paskirstymo sektoriuje, tvarkant mėšlą galvijų ūkiuose (</w:t>
      </w:r>
      <w:r>
        <w:t>Pažymėtina</w:t>
      </w:r>
      <w:r>
        <w:rPr>
          <w:szCs w:val="24"/>
        </w:rPr>
        <w:t xml:space="preserve">, kad </w:t>
      </w:r>
      <w:r>
        <w:rPr>
          <w:szCs w:val="24"/>
          <w:lang w:eastAsia="lt-LT"/>
        </w:rPr>
        <w:t>nuo 2020 m. vertinant Aplinkos apsaugos strategijoje iškeltų NMLOJ sumažinimo tikslų įgyvendinimo pažangą, iš žemės ūkio veiklos (pagal NFR nomenklatūrą priskiriamos 3B kategorijai (mėšlo tvarkymas) ir 3D kategorijai (žemės ūkio paskirties dirvožemiai) išmetamas NMLOJ kiekis nebus įskaitomas į bendrą nacionaliniu mastu išmestą NMLOJ kiekį</w:t>
      </w:r>
      <w:r>
        <w:rPr>
          <w:szCs w:val="24"/>
        </w:rPr>
        <w:t xml:space="preserve">. Atsižvelgiant į tai, kad 2015 m. apie 18,4 proc. NMLOJ išmesta iš namų ūkių, šiame sektoriuje taip pat turėtų būti imamasi priemonių </w:t>
      </w:r>
      <w:r>
        <w:t>(Plano 9 priedas, Plano 13 priedas)</w:t>
      </w:r>
      <w:r>
        <w:rPr>
          <w:szCs w:val="24"/>
        </w:rPr>
        <w:t>;</w:t>
      </w:r>
    </w:p>
    <w:p w:rsidR="000E7C4C" w:rsidRDefault="003C3EA6">
      <w:pPr>
        <w:tabs>
          <w:tab w:val="left" w:pos="851"/>
          <w:tab w:val="left" w:pos="1418"/>
          <w:tab w:val="left" w:pos="7513"/>
        </w:tabs>
        <w:ind w:firstLine="567"/>
        <w:jc w:val="both"/>
        <w:outlineLvl w:val="1"/>
        <w:rPr>
          <w:color w:val="000000"/>
          <w:szCs w:val="21"/>
        </w:rPr>
      </w:pPr>
      <w:r>
        <w:t>15.1.3.2</w:t>
      </w:r>
      <w:r>
        <w:t xml:space="preserve">. analizuojant prognozuojamą išmesti NMLOJ kiekį pagal sektorius, nustatyta, kad ateityje, kaip ir dabar, didžiausią poveikį darys tirpiklių ir kitų LOJ turinčių produktų vartojimas, garavimo emisijos ir kuro deginimas stacionariuose ir mobiliuosiuose įrenginiuose. Tarp reikšmingiausių NMLOJ teršėjų ateityje neturėtų likti lengvųjų automobilių, tačiau didės pramonės procesų neigiama įtaka (Plano 12 priedas). </w:t>
      </w:r>
    </w:p>
    <w:p w:rsidR="000E7C4C" w:rsidRDefault="003C3EA6">
      <w:pPr>
        <w:tabs>
          <w:tab w:val="left" w:pos="851"/>
          <w:tab w:val="left" w:pos="1418"/>
          <w:tab w:val="left" w:pos="7513"/>
        </w:tabs>
        <w:ind w:firstLine="567"/>
        <w:jc w:val="both"/>
        <w:rPr>
          <w:b/>
        </w:rPr>
      </w:pPr>
      <w:r>
        <w:t>15.1.4</w:t>
      </w:r>
      <w:r>
        <w:t xml:space="preserve">. </w:t>
      </w:r>
      <w:r>
        <w:rPr>
          <w:b/>
        </w:rPr>
        <w:t>NH</w:t>
      </w:r>
      <w:r>
        <w:rPr>
          <w:b/>
          <w:vertAlign w:val="subscript"/>
        </w:rPr>
        <w:t>3</w:t>
      </w:r>
      <w:r>
        <w:rPr>
          <w:b/>
        </w:rPr>
        <w:t>:</w:t>
      </w:r>
    </w:p>
    <w:p w:rsidR="000E7C4C" w:rsidRDefault="003C3EA6">
      <w:pPr>
        <w:tabs>
          <w:tab w:val="left" w:pos="851"/>
          <w:tab w:val="left" w:pos="1418"/>
          <w:tab w:val="left" w:pos="7513"/>
        </w:tabs>
        <w:ind w:firstLine="567"/>
        <w:jc w:val="both"/>
      </w:pPr>
      <w:r>
        <w:t>15.1.4.1</w:t>
      </w:r>
      <w:r>
        <w:t>. nors 2005–2015 m. išmestas NH</w:t>
      </w:r>
      <w:r>
        <w:rPr>
          <w:vertAlign w:val="subscript"/>
        </w:rPr>
        <w:t>3</w:t>
      </w:r>
      <w:r>
        <w:t xml:space="preserve"> kiekis vidutiniškai per metus mažėjo tik 1,1 proc., per visą nagrinėjamą laikotarpį užfiksuotas 11,1 proc. sumažėjimas, kuris rodo pasiektą Aplinkos apsaugos strategijoje numatytą sumažinimo tikslą. Išmestas NH</w:t>
      </w:r>
      <w:r>
        <w:rPr>
          <w:vertAlign w:val="subscript"/>
        </w:rPr>
        <w:t xml:space="preserve">3 </w:t>
      </w:r>
      <w:r>
        <w:t>kiekis iš gyvulininkystės sektoriaus sumažėjo daugiau nei 25 proc., tuo metu iš kitos žemės ūkio veiklos, įskaitant neorganinių azoto (N) trąšų naudojimą, išmestas NH</w:t>
      </w:r>
      <w:r>
        <w:rPr>
          <w:vertAlign w:val="subscript"/>
        </w:rPr>
        <w:t>3</w:t>
      </w:r>
      <w:r>
        <w:t xml:space="preserve"> kiekis padidėjo 2 proc. Dėl šios priežasties, siekiant vystyti žemės ūkio sektorių ir išlaikyti pasiektą NH</w:t>
      </w:r>
      <w:r>
        <w:rPr>
          <w:vertAlign w:val="subscript"/>
        </w:rPr>
        <w:t>3</w:t>
      </w:r>
      <w:r>
        <w:t xml:space="preserve"> sumažinimo tikslą, dėmesys turėtų būti sutelktas visų pirma į priemones, skirtas neorganinių azoto trąšų (įskaitant karbamidą) naudojimui mažinti (pvz., karbamido trąšas pakeisti amonio nitrato trąšomis, uždrausti naudoti amonio karbonato trąšas, neorganines trąšas pakeisti organinėmis trąšomis). Daugiau kaip 18 proc. nacionaliniu mastu išmesto NH</w:t>
      </w:r>
      <w:r>
        <w:rPr>
          <w:vertAlign w:val="subscript"/>
        </w:rPr>
        <w:t>3</w:t>
      </w:r>
      <w:r>
        <w:t xml:space="preserve"> kiekio sudaro dėl dirvožemio tręšimo gyvulių mėšlu išmestas NH</w:t>
      </w:r>
      <w:r>
        <w:rPr>
          <w:vertAlign w:val="subscript"/>
        </w:rPr>
        <w:t>3</w:t>
      </w:r>
      <w:r>
        <w:t xml:space="preserve"> kiekis (Plano 9 priedas, Plano 13 priedas). Gyvulininkystės sektoriuje ir toliau turėtų būti tęsiamas gerosios mėšlo valdymo (tvarkymo) praktikos įgyvendinimas;</w:t>
      </w:r>
    </w:p>
    <w:p w:rsidR="000E7C4C" w:rsidRDefault="003C3EA6">
      <w:pPr>
        <w:tabs>
          <w:tab w:val="left" w:pos="851"/>
          <w:tab w:val="left" w:pos="1418"/>
          <w:tab w:val="left" w:pos="7513"/>
        </w:tabs>
        <w:ind w:firstLine="567"/>
        <w:jc w:val="both"/>
      </w:pPr>
      <w:r>
        <w:t>15.1.4.2</w:t>
      </w:r>
      <w:r>
        <w:t>. remiantis AAA prognoze, išmestas NH</w:t>
      </w:r>
      <w:r>
        <w:rPr>
          <w:vertAlign w:val="subscript"/>
        </w:rPr>
        <w:t>3</w:t>
      </w:r>
      <w:r>
        <w:t xml:space="preserve"> kiekis iki 2030 m. pasižymės didėjimo tendencija, todėl nesiimant papildomų priemonių Aplinkos apsaugos strategijoje nustatytą ir šiuo metu pasiektą tikslą gali būti sunku išlaikyti. Kaip 2005–2015 m., taip ir iki 2030 m., didžiausią įtaką išmetamam NH</w:t>
      </w:r>
      <w:r>
        <w:rPr>
          <w:vertAlign w:val="subscript"/>
        </w:rPr>
        <w:t>3</w:t>
      </w:r>
      <w:r>
        <w:t xml:space="preserve"> kiekiui darys augalininkystės sektorius dėl trąšų naudojimo ir mėšlo tvarkymas gyvulininkystės sektoriuje (Plano 12 priedas). Svarbu pažymėti, kad NH</w:t>
      </w:r>
      <w:r>
        <w:rPr>
          <w:vertAlign w:val="subscript"/>
        </w:rPr>
        <w:t>3</w:t>
      </w:r>
      <w:r>
        <w:t xml:space="preserve"> yra taip vadinamų „antrinių“ kietųjų dalelių pirmtakas (</w:t>
      </w:r>
      <w:proofErr w:type="spellStart"/>
      <w:r>
        <w:t>prekursorius</w:t>
      </w:r>
      <w:proofErr w:type="spellEnd"/>
      <w:r>
        <w:t>), todėl mažinant išmetamą NH</w:t>
      </w:r>
      <w:r>
        <w:rPr>
          <w:vertAlign w:val="subscript"/>
        </w:rPr>
        <w:t>3</w:t>
      </w:r>
      <w:r>
        <w:t xml:space="preserve"> kiekį bus prisidedama prie aplinkos oro užterštumo KD</w:t>
      </w:r>
      <w:r>
        <w:rPr>
          <w:vertAlign w:val="subscript"/>
        </w:rPr>
        <w:t>2,5</w:t>
      </w:r>
      <w:r>
        <w:t xml:space="preserve"> mažinimo. </w:t>
      </w:r>
    </w:p>
    <w:p w:rsidR="000E7C4C" w:rsidRDefault="003C3EA6">
      <w:pPr>
        <w:tabs>
          <w:tab w:val="left" w:pos="851"/>
          <w:tab w:val="left" w:pos="1418"/>
        </w:tabs>
        <w:ind w:firstLine="567"/>
        <w:jc w:val="both"/>
        <w:rPr>
          <w:b/>
        </w:rPr>
      </w:pPr>
      <w:r>
        <w:t>15.1.5</w:t>
      </w:r>
      <w:r>
        <w:t>.</w:t>
      </w:r>
      <w:r>
        <w:rPr>
          <w:b/>
        </w:rPr>
        <w:t xml:space="preserve"> KD</w:t>
      </w:r>
      <w:r>
        <w:rPr>
          <w:b/>
          <w:vertAlign w:val="subscript"/>
        </w:rPr>
        <w:t>2,5</w:t>
      </w:r>
      <w:r>
        <w:rPr>
          <w:b/>
        </w:rPr>
        <w:t>:</w:t>
      </w:r>
    </w:p>
    <w:p w:rsidR="000E7C4C" w:rsidRDefault="003C3EA6">
      <w:pPr>
        <w:tabs>
          <w:tab w:val="left" w:pos="851"/>
          <w:tab w:val="left" w:pos="1418"/>
        </w:tabs>
        <w:ind w:firstLine="567"/>
        <w:jc w:val="both"/>
      </w:pPr>
      <w:r>
        <w:t>15.1.5.1</w:t>
      </w:r>
      <w:r>
        <w:t>. nepaisant, kad išmestas KD</w:t>
      </w:r>
      <w:r>
        <w:rPr>
          <w:vertAlign w:val="subscript"/>
        </w:rPr>
        <w:t>2,5</w:t>
      </w:r>
      <w:r>
        <w:t xml:space="preserve"> kiekis 2005–2015 m. sumažėjo 11,5 proc., vidutiniškai per metus išmestas KD</w:t>
      </w:r>
      <w:r>
        <w:rPr>
          <w:vertAlign w:val="subscript"/>
        </w:rPr>
        <w:t>2,5</w:t>
      </w:r>
      <w:r>
        <w:t xml:space="preserve"> kiekis mažėjo tik 1,2 proc. ir toks vidutinis metinis mažėjimo tempas neužtikrins Aplinkos apsaugos strategijoje nustatytų tikslų pasiekimo. 2005–2015 m. didžiausią įtaką išmetamam KD</w:t>
      </w:r>
      <w:r>
        <w:rPr>
          <w:vertAlign w:val="subscript"/>
        </w:rPr>
        <w:t>2,5</w:t>
      </w:r>
      <w:r>
        <w:t xml:space="preserve"> kiekiui darė namų ūkių šildymo įrenginiai, išmesdami beveik visą pagrindiniame šio teršalo šaltinyje – energetikos sektoriuje – išmestą šio teršalo kiekį. Kitu reikšmingu sektoriumi gali būti laikomas kelių transportas (apie 7 proc. viso išmesto KD</w:t>
      </w:r>
      <w:r>
        <w:rPr>
          <w:vertAlign w:val="subscript"/>
        </w:rPr>
        <w:t xml:space="preserve">2,5 </w:t>
      </w:r>
      <w:r>
        <w:t>kiekio). Teigiamai vertintinas faktas, kad tiek namų ūkio, tiek kelių transporto išmestas KD</w:t>
      </w:r>
      <w:r>
        <w:rPr>
          <w:vertAlign w:val="subscript"/>
        </w:rPr>
        <w:t xml:space="preserve">2,5 </w:t>
      </w:r>
      <w:r>
        <w:t>kiekis nagrinėjamu laikotarpiu sumažėjo. Kelių transporto sektoriuje dėmesys turėtų būti sutelktas tiek į taršos mažinimą iš lengvųjų automobilių, tiek iš sunkvežimių ir autobusų, kadangi šių kelių transporto priemonių išmestas KD</w:t>
      </w:r>
      <w:r>
        <w:rPr>
          <w:vertAlign w:val="subscript"/>
        </w:rPr>
        <w:t>2,5</w:t>
      </w:r>
      <w:r>
        <w:t xml:space="preserve"> kiekis 2015 m. sudarė beveik 78 proc. viso kelių transporto sektoriaus išmesto KD</w:t>
      </w:r>
      <w:r>
        <w:rPr>
          <w:vertAlign w:val="subscript"/>
        </w:rPr>
        <w:t>2,5</w:t>
      </w:r>
      <w:r>
        <w:t xml:space="preserve"> kiekio. Tarp kitų sektorių išskirtinas viešosios energijos gamybos sektorius, kurio išmestas KD</w:t>
      </w:r>
      <w:r>
        <w:rPr>
          <w:vertAlign w:val="subscript"/>
        </w:rPr>
        <w:t>2,5</w:t>
      </w:r>
      <w:r>
        <w:t xml:space="preserve"> kiekis 2015 m. sudarė apie 3,2 proc. viso išmesto KD</w:t>
      </w:r>
      <w:r>
        <w:rPr>
          <w:vertAlign w:val="subscript"/>
        </w:rPr>
        <w:t>2,5</w:t>
      </w:r>
      <w:r>
        <w:t xml:space="preserve"> kiekio (Plano 9 priedas, Plano 13 priedas); </w:t>
      </w:r>
    </w:p>
    <w:p w:rsidR="000E7C4C" w:rsidRDefault="003C3EA6">
      <w:pPr>
        <w:tabs>
          <w:tab w:val="left" w:pos="851"/>
          <w:tab w:val="left" w:pos="1418"/>
        </w:tabs>
        <w:ind w:firstLine="567"/>
        <w:jc w:val="both"/>
      </w:pPr>
      <w:r>
        <w:t>15.1.5.2</w:t>
      </w:r>
      <w:r>
        <w:t>. remiantis AAA prognoze, nesiimant papildomų priemonių, iškelti KD</w:t>
      </w:r>
      <w:r>
        <w:rPr>
          <w:vertAlign w:val="subscript"/>
        </w:rPr>
        <w:t>2,5</w:t>
      </w:r>
      <w:r>
        <w:t xml:space="preserve"> išmetimų mažinimo tikslai nebus pasiekti, o didžiausią įtaką išmestam KD</w:t>
      </w:r>
      <w:r>
        <w:rPr>
          <w:vertAlign w:val="subscript"/>
        </w:rPr>
        <w:t>2,5</w:t>
      </w:r>
      <w:r>
        <w:t xml:space="preserve"> kiekiui darys stacionarus ir mobilus deginimas (Plano 12 priedas); </w:t>
      </w:r>
    </w:p>
    <w:p w:rsidR="000E7C4C" w:rsidRDefault="003C3EA6">
      <w:pPr>
        <w:tabs>
          <w:tab w:val="left" w:pos="851"/>
          <w:tab w:val="left" w:pos="1418"/>
        </w:tabs>
        <w:ind w:firstLine="567"/>
        <w:jc w:val="both"/>
      </w:pPr>
      <w:r>
        <w:t>15.1.5.3</w:t>
      </w:r>
      <w:r>
        <w:t>. nors didžiųjų Lietuvos miestų OKT stotyse dažnai fiksuojamas kietųjų dalelių KD</w:t>
      </w:r>
      <w:r>
        <w:rPr>
          <w:vertAlign w:val="subscript"/>
        </w:rPr>
        <w:t>10</w:t>
      </w:r>
      <w:r>
        <w:t xml:space="preserve"> paros ribinės vertės aplinkos ore viršijimas ir net šios ribinės vertės viršijimo leistinų 35 dienų skaičius per metus, oro kokybės požiūriu KD</w:t>
      </w:r>
      <w:r>
        <w:rPr>
          <w:vertAlign w:val="subscript"/>
        </w:rPr>
        <w:t>2,5</w:t>
      </w:r>
      <w:r>
        <w:t xml:space="preserve"> metinė ribinė vertė aplinkos ore nagrinėjamu laikotarpiu Lietuvoje nebuvo viršyta (Plano 10 priedas, Plano 15 priedas); </w:t>
      </w:r>
    </w:p>
    <w:p w:rsidR="000E7C4C" w:rsidRDefault="003C3EA6">
      <w:pPr>
        <w:tabs>
          <w:tab w:val="left" w:pos="851"/>
          <w:tab w:val="left" w:pos="1418"/>
        </w:tabs>
        <w:ind w:firstLine="567"/>
        <w:jc w:val="both"/>
      </w:pPr>
      <w:r>
        <w:t>15.1.5.4</w:t>
      </w:r>
      <w:r>
        <w:t>. svarbu pažymėti, kad kietųjų dalelių išmetimo į aplinkos orą mažinimas labai aktualus ir ne tik aplinkos oro taršos, bet ir klimato kaitos požiūriu dėl teršalo – juodosios anglies (</w:t>
      </w:r>
      <w:r>
        <w:rPr>
          <w:i/>
        </w:rPr>
        <w:t xml:space="preserve">angl. </w:t>
      </w:r>
      <w:proofErr w:type="spellStart"/>
      <w:r>
        <w:rPr>
          <w:i/>
        </w:rPr>
        <w:t>black</w:t>
      </w:r>
      <w:proofErr w:type="spellEnd"/>
      <w:r>
        <w:rPr>
          <w:i/>
        </w:rPr>
        <w:t xml:space="preserve"> </w:t>
      </w:r>
      <w:proofErr w:type="spellStart"/>
      <w:r>
        <w:rPr>
          <w:i/>
        </w:rPr>
        <w:t>carbon</w:t>
      </w:r>
      <w:proofErr w:type="spellEnd"/>
      <w:r>
        <w:t>) išmetamo kiekio mažinimo. Todėl planuojant taršos kietosiomis dalelėmis priemones, prioritetas turi būti teikiamas priemonėms, kurios kartu mažina ir išmetamą juodosios anglies kiekį. Juodoji anglis išmetama iš neefektyviai veikiančių kietojo kuro deginimo įrenginių, ypač naudojamų namų ūkiuose būstams šildyti, todėl neatidėliotinų ir veiksmingų taršos mažinimo priemonių taikymas namų ūkių šilumos gamybos srityje yra labai aktualus.</w:t>
      </w:r>
    </w:p>
    <w:p w:rsidR="000E7C4C" w:rsidRDefault="003C3EA6">
      <w:pPr>
        <w:tabs>
          <w:tab w:val="left" w:pos="851"/>
          <w:tab w:val="left" w:pos="1418"/>
        </w:tabs>
        <w:ind w:firstLine="567"/>
        <w:jc w:val="both"/>
        <w:rPr>
          <w:szCs w:val="24"/>
        </w:rPr>
      </w:pPr>
      <w:r>
        <w:rPr>
          <w:szCs w:val="24"/>
        </w:rPr>
        <w:t>15.2</w:t>
      </w:r>
      <w:r>
        <w:rPr>
          <w:szCs w:val="24"/>
        </w:rPr>
        <w:t>.</w:t>
      </w:r>
      <w:r>
        <w:rPr>
          <w:b/>
          <w:szCs w:val="24"/>
        </w:rPr>
        <w:t xml:space="preserve"> Pirmajam tikslui</w:t>
      </w:r>
      <w:r>
        <w:rPr>
          <w:szCs w:val="24"/>
        </w:rPr>
        <w:t xml:space="preserve"> įgyvendinti numatomi tokie </w:t>
      </w:r>
      <w:r>
        <w:rPr>
          <w:b/>
          <w:szCs w:val="24"/>
        </w:rPr>
        <w:t>uždaviniai</w:t>
      </w:r>
      <w:r>
        <w:rPr>
          <w:szCs w:val="24"/>
        </w:rPr>
        <w:t>:</w:t>
      </w:r>
    </w:p>
    <w:p w:rsidR="000E7C4C" w:rsidRDefault="003C3EA6">
      <w:pPr>
        <w:tabs>
          <w:tab w:val="left" w:pos="851"/>
          <w:tab w:val="left" w:pos="1560"/>
        </w:tabs>
        <w:ind w:firstLine="567"/>
        <w:jc w:val="both"/>
        <w:rPr>
          <w:szCs w:val="24"/>
        </w:rPr>
      </w:pPr>
      <w:r>
        <w:rPr>
          <w:szCs w:val="24"/>
          <w:lang w:eastAsia="lt-LT"/>
        </w:rPr>
        <w:t>15.2.1</w:t>
      </w:r>
      <w:r>
        <w:rPr>
          <w:szCs w:val="24"/>
          <w:lang w:eastAsia="lt-LT"/>
        </w:rPr>
        <w:t>. sumažinti taršą SO</w:t>
      </w:r>
      <w:r>
        <w:rPr>
          <w:szCs w:val="24"/>
          <w:vertAlign w:val="subscript"/>
          <w:lang w:eastAsia="lt-LT"/>
        </w:rPr>
        <w:t>2</w:t>
      </w:r>
      <w:r>
        <w:rPr>
          <w:szCs w:val="24"/>
          <w:lang w:eastAsia="lt-LT"/>
        </w:rPr>
        <w:t>, didžiausią dėmesį skiriant taršos sumažinimui pramonės, viešosios elektros energijos ir šilumos gamybos sektoriuose;</w:t>
      </w:r>
    </w:p>
    <w:p w:rsidR="000E7C4C" w:rsidRDefault="003C3EA6">
      <w:pPr>
        <w:tabs>
          <w:tab w:val="left" w:pos="851"/>
          <w:tab w:val="left" w:pos="1560"/>
        </w:tabs>
        <w:ind w:firstLine="567"/>
        <w:jc w:val="both"/>
        <w:rPr>
          <w:szCs w:val="24"/>
        </w:rPr>
      </w:pPr>
      <w:r>
        <w:rPr>
          <w:szCs w:val="24"/>
          <w:lang w:eastAsia="lt-LT"/>
        </w:rPr>
        <w:t>15.2.2</w:t>
      </w:r>
      <w:r>
        <w:rPr>
          <w:szCs w:val="24"/>
          <w:lang w:eastAsia="lt-LT"/>
        </w:rPr>
        <w:t xml:space="preserve">. sumažinti taršą </w:t>
      </w:r>
      <w:proofErr w:type="spellStart"/>
      <w:r>
        <w:rPr>
          <w:szCs w:val="24"/>
          <w:lang w:eastAsia="lt-LT"/>
        </w:rPr>
        <w:t>NO</w:t>
      </w:r>
      <w:r>
        <w:rPr>
          <w:szCs w:val="24"/>
          <w:vertAlign w:val="subscript"/>
          <w:lang w:eastAsia="lt-LT"/>
        </w:rPr>
        <w:t>x</w:t>
      </w:r>
      <w:proofErr w:type="spellEnd"/>
      <w:r>
        <w:rPr>
          <w:szCs w:val="24"/>
          <w:lang w:eastAsia="lt-LT"/>
        </w:rPr>
        <w:t>, didžiausią dėmesį skiriant taršos sumažinimui transporto sektoriuje;</w:t>
      </w:r>
    </w:p>
    <w:p w:rsidR="000E7C4C" w:rsidRDefault="003C3EA6">
      <w:pPr>
        <w:tabs>
          <w:tab w:val="left" w:pos="851"/>
          <w:tab w:val="left" w:pos="1560"/>
        </w:tabs>
        <w:ind w:firstLine="567"/>
        <w:jc w:val="both"/>
        <w:rPr>
          <w:szCs w:val="24"/>
        </w:rPr>
      </w:pPr>
      <w:r>
        <w:rPr>
          <w:szCs w:val="24"/>
          <w:lang w:eastAsia="lt-LT"/>
        </w:rPr>
        <w:t>15.2.3</w:t>
      </w:r>
      <w:r>
        <w:rPr>
          <w:szCs w:val="24"/>
          <w:lang w:eastAsia="lt-LT"/>
        </w:rPr>
        <w:t>. sumažinti taršą NMLOJ, didžiausią dėmesį skiriant taršos sumažinimui naftos perdirbimo, naftos produktų saugojimo ir paskirstymo sektoriuje, namų ūkiuose;</w:t>
      </w:r>
    </w:p>
    <w:p w:rsidR="000E7C4C" w:rsidRDefault="003C3EA6">
      <w:pPr>
        <w:tabs>
          <w:tab w:val="left" w:pos="851"/>
          <w:tab w:val="left" w:pos="1560"/>
        </w:tabs>
        <w:ind w:firstLine="567"/>
        <w:jc w:val="both"/>
        <w:rPr>
          <w:szCs w:val="24"/>
        </w:rPr>
      </w:pPr>
      <w:r>
        <w:rPr>
          <w:szCs w:val="24"/>
        </w:rPr>
        <w:t>15.2.4</w:t>
      </w:r>
      <w:r>
        <w:rPr>
          <w:szCs w:val="24"/>
        </w:rPr>
        <w:t>. sumažinti taršą NH</w:t>
      </w:r>
      <w:r>
        <w:rPr>
          <w:szCs w:val="24"/>
          <w:vertAlign w:val="subscript"/>
        </w:rPr>
        <w:t>3</w:t>
      </w:r>
      <w:r>
        <w:rPr>
          <w:szCs w:val="24"/>
        </w:rPr>
        <w:t>, didžiausią dėmesį skiriant taršos sumažinimui žemės ūkio sektoriuje;</w:t>
      </w:r>
    </w:p>
    <w:p w:rsidR="000E7C4C" w:rsidRDefault="003C3EA6">
      <w:pPr>
        <w:tabs>
          <w:tab w:val="left" w:pos="851"/>
          <w:tab w:val="left" w:pos="1560"/>
        </w:tabs>
        <w:ind w:firstLine="567"/>
        <w:jc w:val="both"/>
        <w:rPr>
          <w:szCs w:val="24"/>
        </w:rPr>
      </w:pPr>
      <w:r>
        <w:rPr>
          <w:szCs w:val="24"/>
        </w:rPr>
        <w:t>15.2.5</w:t>
      </w:r>
      <w:r>
        <w:rPr>
          <w:szCs w:val="24"/>
        </w:rPr>
        <w:t>. sumažinti taršą KD</w:t>
      </w:r>
      <w:r>
        <w:rPr>
          <w:szCs w:val="24"/>
          <w:vertAlign w:val="subscript"/>
        </w:rPr>
        <w:t>2,5</w:t>
      </w:r>
      <w:r>
        <w:rPr>
          <w:szCs w:val="24"/>
        </w:rPr>
        <w:t>, didžiausią dėmesį skiriant taršos sumažinimui iš namų ūkių.</w:t>
      </w:r>
    </w:p>
    <w:p w:rsidR="000E7C4C" w:rsidRDefault="003C3EA6">
      <w:pPr>
        <w:tabs>
          <w:tab w:val="left" w:pos="851"/>
          <w:tab w:val="left" w:pos="1418"/>
          <w:tab w:val="left" w:pos="7513"/>
        </w:tabs>
        <w:ind w:firstLine="567"/>
        <w:jc w:val="both"/>
        <w:rPr>
          <w:szCs w:val="24"/>
        </w:rPr>
      </w:pPr>
      <w:r>
        <w:rPr>
          <w:szCs w:val="24"/>
        </w:rPr>
        <w:t>15.3</w:t>
      </w:r>
      <w:r>
        <w:rPr>
          <w:szCs w:val="24"/>
        </w:rPr>
        <w:t>.</w:t>
      </w:r>
      <w:r>
        <w:rPr>
          <w:b/>
          <w:szCs w:val="24"/>
        </w:rPr>
        <w:t xml:space="preserve"> Antrasis tikslas</w:t>
      </w:r>
      <w:r>
        <w:rPr>
          <w:szCs w:val="24"/>
        </w:rPr>
        <w:t xml:space="preserve"> – apriboti taršą sunkiaisiais metalais ir patvariaisiais organiniais teršalais, siekiant neviršyti 1990 m. išmesto kiekvieno jų kiekio, </w:t>
      </w:r>
      <w:r>
        <w:rPr>
          <w:color w:val="000000"/>
          <w:szCs w:val="24"/>
          <w:lang w:eastAsia="lt-LT"/>
        </w:rPr>
        <w:t>didžiausią dėmesį skiriant taršos mažinimui iš pagrindinių teršėjų.</w:t>
      </w:r>
    </w:p>
    <w:p w:rsidR="000E7C4C" w:rsidRDefault="003C3EA6">
      <w:pPr>
        <w:tabs>
          <w:tab w:val="left" w:pos="851"/>
          <w:tab w:val="left" w:pos="1418"/>
          <w:tab w:val="left" w:pos="7513"/>
        </w:tabs>
        <w:ind w:firstLine="567"/>
        <w:jc w:val="both"/>
        <w:rPr>
          <w:color w:val="000000"/>
          <w:szCs w:val="24"/>
        </w:rPr>
      </w:pPr>
      <w:r>
        <w:rPr>
          <w:szCs w:val="24"/>
        </w:rPr>
        <w:t>15.3.1</w:t>
      </w:r>
      <w:r>
        <w:rPr>
          <w:szCs w:val="24"/>
        </w:rPr>
        <w:t xml:space="preserve">. Išanalizavus išmestų sunkiųjų metalų – kadmio (toliau – </w:t>
      </w:r>
      <w:proofErr w:type="spellStart"/>
      <w:r>
        <w:rPr>
          <w:szCs w:val="24"/>
        </w:rPr>
        <w:t>Cd</w:t>
      </w:r>
      <w:proofErr w:type="spellEnd"/>
      <w:r>
        <w:rPr>
          <w:szCs w:val="24"/>
        </w:rPr>
        <w:t xml:space="preserve">), švino (toliau – </w:t>
      </w:r>
      <w:proofErr w:type="spellStart"/>
      <w:r>
        <w:rPr>
          <w:szCs w:val="24"/>
        </w:rPr>
        <w:t>Pb</w:t>
      </w:r>
      <w:proofErr w:type="spellEnd"/>
      <w:r>
        <w:rPr>
          <w:szCs w:val="24"/>
        </w:rPr>
        <w:t xml:space="preserve">) ir gyvsidabrio (toliau – </w:t>
      </w:r>
      <w:proofErr w:type="spellStart"/>
      <w:r>
        <w:rPr>
          <w:szCs w:val="24"/>
        </w:rPr>
        <w:t>Hg</w:t>
      </w:r>
      <w:proofErr w:type="spellEnd"/>
      <w:r>
        <w:rPr>
          <w:szCs w:val="24"/>
        </w:rPr>
        <w:t xml:space="preserve">) kiekių dinamiką 1990–2015 m., nustatyta, kad ypatingas dėmesys turėtų būti skiriamas išmetamo </w:t>
      </w:r>
      <w:proofErr w:type="spellStart"/>
      <w:r>
        <w:rPr>
          <w:szCs w:val="24"/>
        </w:rPr>
        <w:t>Cd</w:t>
      </w:r>
      <w:proofErr w:type="spellEnd"/>
      <w:r>
        <w:rPr>
          <w:szCs w:val="24"/>
        </w:rPr>
        <w:t xml:space="preserve"> kiekio ribojimui. Nepaisant to, kad lyginant 1990 m. išmestą </w:t>
      </w:r>
      <w:proofErr w:type="spellStart"/>
      <w:r>
        <w:rPr>
          <w:szCs w:val="24"/>
        </w:rPr>
        <w:t>Cd</w:t>
      </w:r>
      <w:proofErr w:type="spellEnd"/>
      <w:r>
        <w:rPr>
          <w:szCs w:val="24"/>
        </w:rPr>
        <w:t xml:space="preserve"> kiekį ir 2015 m. išmestą </w:t>
      </w:r>
      <w:proofErr w:type="spellStart"/>
      <w:r>
        <w:rPr>
          <w:szCs w:val="24"/>
        </w:rPr>
        <w:t>Cd</w:t>
      </w:r>
      <w:proofErr w:type="spellEnd"/>
      <w:r>
        <w:rPr>
          <w:szCs w:val="24"/>
        </w:rPr>
        <w:t xml:space="preserve"> kiekį galima būtų teigti mažėjimo tendenciją, tačiau viso laikotarpio duomenų analizė rodo, kad beveik visais nagrinėjamo laikotarpio metais buvo išmestas didesnis </w:t>
      </w:r>
      <w:proofErr w:type="spellStart"/>
      <w:r>
        <w:rPr>
          <w:szCs w:val="24"/>
        </w:rPr>
        <w:t>Cd</w:t>
      </w:r>
      <w:proofErr w:type="spellEnd"/>
      <w:r>
        <w:rPr>
          <w:szCs w:val="24"/>
        </w:rPr>
        <w:t xml:space="preserve"> kiekis nei ataskaitiniais 1990 m. Tokia situaciją lemia, jog turi būti imamasi priemonių, kurios užtikrintų, kad Plano įgyvendinimo laikotarpiu kasmet nacionaliniu mastu išmetamas </w:t>
      </w:r>
      <w:proofErr w:type="spellStart"/>
      <w:r>
        <w:rPr>
          <w:szCs w:val="24"/>
        </w:rPr>
        <w:t>Cd</w:t>
      </w:r>
      <w:proofErr w:type="spellEnd"/>
      <w:r>
        <w:rPr>
          <w:szCs w:val="24"/>
        </w:rPr>
        <w:t xml:space="preserve"> kiekis neviršytų 1990 m. išmesto kiekio. Kadangi daugiausia </w:t>
      </w:r>
      <w:proofErr w:type="spellStart"/>
      <w:r>
        <w:rPr>
          <w:szCs w:val="24"/>
        </w:rPr>
        <w:t>Cd</w:t>
      </w:r>
      <w:proofErr w:type="spellEnd"/>
      <w:r>
        <w:rPr>
          <w:szCs w:val="24"/>
        </w:rPr>
        <w:t xml:space="preserve"> išmetama iš namų ūkių, dėmesys turėtų būti sutelktas į šiame sektoriuje taikytinas veiksmingas priemones (šildymo įrenginių atnaujinimas, jų atsisakymas jungiantis prie aplinkosauginiu požiūriu efektyvios CŠT sistemos, pakeičiant teršalų neišmetančiais AEI naudojančiais šildymo įrenginiais, kitos kietojo kuro naudojimą mažinančios priemonės). Kitų sunkiųjų metalų – </w:t>
      </w:r>
      <w:proofErr w:type="spellStart"/>
      <w:r>
        <w:rPr>
          <w:szCs w:val="24"/>
        </w:rPr>
        <w:t>Pb</w:t>
      </w:r>
      <w:proofErr w:type="spellEnd"/>
      <w:r>
        <w:rPr>
          <w:szCs w:val="24"/>
        </w:rPr>
        <w:t xml:space="preserve"> ir </w:t>
      </w:r>
      <w:proofErr w:type="spellStart"/>
      <w:r>
        <w:rPr>
          <w:szCs w:val="24"/>
        </w:rPr>
        <w:t>Hg</w:t>
      </w:r>
      <w:proofErr w:type="spellEnd"/>
      <w:r>
        <w:rPr>
          <w:szCs w:val="24"/>
        </w:rPr>
        <w:t xml:space="preserve"> – pagrindiniai išmetimo šaltiniai 2015 m. buvo atitinkamai šilumos gamyba namų ūkiuose ir deginimo procesai mineralinių medžiagų apdirbimo pramonėje. Atsižvelgiant į tai, kad išmestas </w:t>
      </w:r>
      <w:proofErr w:type="spellStart"/>
      <w:r>
        <w:rPr>
          <w:szCs w:val="24"/>
        </w:rPr>
        <w:t>Pb</w:t>
      </w:r>
      <w:proofErr w:type="spellEnd"/>
      <w:r>
        <w:rPr>
          <w:szCs w:val="24"/>
        </w:rPr>
        <w:t xml:space="preserve"> ir </w:t>
      </w:r>
      <w:proofErr w:type="spellStart"/>
      <w:r>
        <w:rPr>
          <w:szCs w:val="24"/>
        </w:rPr>
        <w:t>Hg</w:t>
      </w:r>
      <w:proofErr w:type="spellEnd"/>
      <w:r>
        <w:rPr>
          <w:szCs w:val="24"/>
        </w:rPr>
        <w:t xml:space="preserve"> kiekis nuo 2007 m. neviršija 1990 m. išmesto šių teršalų kiekio, todėl šiuose sektoriuose nuo 2020 m. taikant prevencines ir taršos mažinimo kitais teršalais priemones bus prisidedama ir prie išmetamo patvariųjų organinių teršalų kiekio mažinimo.</w:t>
      </w:r>
    </w:p>
    <w:p w:rsidR="000E7C4C" w:rsidRDefault="003C3EA6">
      <w:pPr>
        <w:tabs>
          <w:tab w:val="left" w:pos="851"/>
          <w:tab w:val="left" w:pos="1418"/>
        </w:tabs>
        <w:ind w:firstLine="567"/>
        <w:jc w:val="both"/>
        <w:rPr>
          <w:szCs w:val="24"/>
        </w:rPr>
      </w:pPr>
      <w:r>
        <w:rPr>
          <w:szCs w:val="24"/>
        </w:rPr>
        <w:t>15.3.2</w:t>
      </w:r>
      <w:r>
        <w:rPr>
          <w:szCs w:val="24"/>
        </w:rPr>
        <w:t xml:space="preserve">. Išmestam patvariųjų organinių teršalų kiekiui (išskyrus </w:t>
      </w:r>
      <w:proofErr w:type="spellStart"/>
      <w:r>
        <w:rPr>
          <w:szCs w:val="24"/>
        </w:rPr>
        <w:t>heksachlorbenzeną</w:t>
      </w:r>
      <w:proofErr w:type="spellEnd"/>
      <w:r>
        <w:rPr>
          <w:szCs w:val="24"/>
        </w:rPr>
        <w:t xml:space="preserve">) taip pat daugiausia įtakos turi namų ūkiai. </w:t>
      </w:r>
      <w:proofErr w:type="spellStart"/>
      <w:r>
        <w:rPr>
          <w:szCs w:val="24"/>
        </w:rPr>
        <w:t>Heksachlorbenzeno</w:t>
      </w:r>
      <w:proofErr w:type="spellEnd"/>
      <w:r>
        <w:rPr>
          <w:szCs w:val="24"/>
        </w:rPr>
        <w:t xml:space="preserve"> pagrindinis taršos šaltinis yra viešoji energijos gamyba. Visų patvariųjų organinių teršalų kiekiai nuo 2007 m. neviršijo ataskaitiniais 1990 m. išmesto kiekio (kai kurių teršalų neviršija nuo 1992 m.), todėl veiksmingos namų ūkiuose taikytinos priemonės padėtų išlaikyti tokią tendenciją ir dar labiau sumažinti išmetamą patvariųjų organinių teršalų kiekį.</w:t>
      </w:r>
    </w:p>
    <w:p w:rsidR="000E7C4C" w:rsidRDefault="003C3EA6">
      <w:pPr>
        <w:tabs>
          <w:tab w:val="left" w:pos="851"/>
          <w:tab w:val="left" w:pos="1418"/>
        </w:tabs>
        <w:ind w:firstLine="567"/>
        <w:jc w:val="both"/>
        <w:rPr>
          <w:szCs w:val="24"/>
        </w:rPr>
      </w:pPr>
      <w:r>
        <w:rPr>
          <w:szCs w:val="24"/>
        </w:rPr>
        <w:t>15.3.3</w:t>
      </w:r>
      <w:r>
        <w:rPr>
          <w:szCs w:val="24"/>
        </w:rPr>
        <w:t xml:space="preserve">. Svarbu pažymėti, kad didžiųjų miestų OKT stotyse dažnai fiksuojamas vieno iš šių patvariųjų organinių teršalų – </w:t>
      </w:r>
      <w:proofErr w:type="spellStart"/>
      <w:r>
        <w:rPr>
          <w:szCs w:val="24"/>
        </w:rPr>
        <w:t>benzo</w:t>
      </w:r>
      <w:proofErr w:type="spellEnd"/>
      <w:r>
        <w:rPr>
          <w:szCs w:val="24"/>
        </w:rPr>
        <w:t>(a)</w:t>
      </w:r>
      <w:proofErr w:type="spellStart"/>
      <w:r>
        <w:rPr>
          <w:szCs w:val="24"/>
        </w:rPr>
        <w:t>pireno</w:t>
      </w:r>
      <w:proofErr w:type="spellEnd"/>
      <w:r>
        <w:rPr>
          <w:szCs w:val="24"/>
        </w:rPr>
        <w:t xml:space="preserve"> – metinės siektinos vertės aplinkos ore viršijimas, šio teršalo koncentracija aplinkos ore ypač išauga prasidėjus šildymo laikotarpiui. Tokį padidėjimą lemia kietojo kuro deginimas namų ūkių židiniuose, įprastinėse krosnyse, neefektyviai veikiančiuose katiluose ir kituose kietąjį kurą naudojančiuose šildymo įrenginiuose. Todėl namų ūkiams skirtos priemonės prisidės ir prie šio sveikatai pavojingo teršalo koncentracijos aplinkos ore mažinimo.</w:t>
      </w:r>
    </w:p>
    <w:p w:rsidR="000E7C4C" w:rsidRDefault="003C3EA6">
      <w:pPr>
        <w:tabs>
          <w:tab w:val="left" w:pos="709"/>
          <w:tab w:val="left" w:pos="851"/>
        </w:tabs>
        <w:ind w:firstLine="567"/>
        <w:jc w:val="both"/>
        <w:rPr>
          <w:szCs w:val="24"/>
        </w:rPr>
      </w:pPr>
      <w:r>
        <w:rPr>
          <w:szCs w:val="24"/>
        </w:rPr>
        <w:t>15.4</w:t>
      </w:r>
      <w:r>
        <w:rPr>
          <w:szCs w:val="24"/>
        </w:rPr>
        <w:t>.</w:t>
      </w:r>
      <w:r>
        <w:rPr>
          <w:b/>
          <w:szCs w:val="24"/>
        </w:rPr>
        <w:t xml:space="preserve"> Antrajam tikslui</w:t>
      </w:r>
      <w:r>
        <w:rPr>
          <w:szCs w:val="24"/>
        </w:rPr>
        <w:t xml:space="preserve"> įgyvendinti numatomi tokie </w:t>
      </w:r>
      <w:r>
        <w:rPr>
          <w:b/>
          <w:szCs w:val="24"/>
        </w:rPr>
        <w:t>uždaviniai</w:t>
      </w:r>
      <w:r>
        <w:rPr>
          <w:szCs w:val="24"/>
        </w:rPr>
        <w:t>:</w:t>
      </w:r>
    </w:p>
    <w:p w:rsidR="000E7C4C" w:rsidRDefault="003C3EA6">
      <w:pPr>
        <w:tabs>
          <w:tab w:val="left" w:pos="709"/>
          <w:tab w:val="left" w:pos="851"/>
        </w:tabs>
        <w:ind w:firstLine="567"/>
        <w:jc w:val="both"/>
        <w:rPr>
          <w:szCs w:val="24"/>
        </w:rPr>
      </w:pPr>
      <w:r>
        <w:rPr>
          <w:szCs w:val="24"/>
        </w:rPr>
        <w:t>15.4.1</w:t>
      </w:r>
      <w:r>
        <w:rPr>
          <w:szCs w:val="24"/>
        </w:rPr>
        <w:t>. apriboti taršą sunkiaisiais metalais (</w:t>
      </w:r>
      <w:proofErr w:type="spellStart"/>
      <w:r>
        <w:rPr>
          <w:szCs w:val="24"/>
        </w:rPr>
        <w:t>Cd</w:t>
      </w:r>
      <w:proofErr w:type="spellEnd"/>
      <w:r>
        <w:rPr>
          <w:szCs w:val="24"/>
        </w:rPr>
        <w:t xml:space="preserve">, </w:t>
      </w:r>
      <w:proofErr w:type="spellStart"/>
      <w:r>
        <w:rPr>
          <w:szCs w:val="24"/>
        </w:rPr>
        <w:t>Pb</w:t>
      </w:r>
      <w:proofErr w:type="spellEnd"/>
      <w:r>
        <w:rPr>
          <w:szCs w:val="24"/>
        </w:rPr>
        <w:t xml:space="preserve">, </w:t>
      </w:r>
      <w:proofErr w:type="spellStart"/>
      <w:r>
        <w:rPr>
          <w:szCs w:val="24"/>
        </w:rPr>
        <w:t>Hg</w:t>
      </w:r>
      <w:proofErr w:type="spellEnd"/>
      <w:r>
        <w:rPr>
          <w:szCs w:val="24"/>
        </w:rPr>
        <w:t xml:space="preserve">), didžiausią dėmesį skiriant taršos sumažinimui iš namų ūkių; </w:t>
      </w:r>
    </w:p>
    <w:p w:rsidR="000E7C4C" w:rsidRDefault="003C3EA6">
      <w:pPr>
        <w:tabs>
          <w:tab w:val="left" w:pos="709"/>
          <w:tab w:val="left" w:pos="851"/>
        </w:tabs>
        <w:ind w:firstLine="567"/>
        <w:jc w:val="both"/>
        <w:rPr>
          <w:szCs w:val="24"/>
        </w:rPr>
      </w:pPr>
      <w:r>
        <w:rPr>
          <w:szCs w:val="24"/>
        </w:rPr>
        <w:t>15.4.2</w:t>
      </w:r>
      <w:r>
        <w:rPr>
          <w:szCs w:val="24"/>
        </w:rPr>
        <w:t>. apriboti taršą patvariaisiais organiniais teršalais (</w:t>
      </w:r>
      <w:proofErr w:type="spellStart"/>
      <w:r>
        <w:rPr>
          <w:szCs w:val="24"/>
        </w:rPr>
        <w:t>benzo</w:t>
      </w:r>
      <w:proofErr w:type="spellEnd"/>
      <w:r>
        <w:rPr>
          <w:szCs w:val="24"/>
        </w:rPr>
        <w:t>(a)</w:t>
      </w:r>
      <w:proofErr w:type="spellStart"/>
      <w:r>
        <w:rPr>
          <w:szCs w:val="24"/>
        </w:rPr>
        <w:t>pirenu</w:t>
      </w:r>
      <w:proofErr w:type="spellEnd"/>
      <w:r>
        <w:rPr>
          <w:szCs w:val="24"/>
        </w:rPr>
        <w:t xml:space="preserve">, </w:t>
      </w:r>
      <w:proofErr w:type="spellStart"/>
      <w:r>
        <w:rPr>
          <w:szCs w:val="24"/>
        </w:rPr>
        <w:t>benzo</w:t>
      </w:r>
      <w:proofErr w:type="spellEnd"/>
      <w:r>
        <w:rPr>
          <w:szCs w:val="24"/>
        </w:rPr>
        <w:t>(b)</w:t>
      </w:r>
      <w:proofErr w:type="spellStart"/>
      <w:r>
        <w:rPr>
          <w:szCs w:val="24"/>
        </w:rPr>
        <w:t>fluorantenu</w:t>
      </w:r>
      <w:proofErr w:type="spellEnd"/>
      <w:r>
        <w:rPr>
          <w:szCs w:val="24"/>
        </w:rPr>
        <w:t xml:space="preserve">, </w:t>
      </w:r>
      <w:proofErr w:type="spellStart"/>
      <w:r>
        <w:rPr>
          <w:szCs w:val="24"/>
        </w:rPr>
        <w:t>benzo</w:t>
      </w:r>
      <w:proofErr w:type="spellEnd"/>
      <w:r>
        <w:rPr>
          <w:szCs w:val="24"/>
        </w:rPr>
        <w:t>(k)</w:t>
      </w:r>
      <w:proofErr w:type="spellStart"/>
      <w:r>
        <w:rPr>
          <w:szCs w:val="24"/>
        </w:rPr>
        <w:t>fluorantenu</w:t>
      </w:r>
      <w:proofErr w:type="spellEnd"/>
      <w:r>
        <w:rPr>
          <w:szCs w:val="24"/>
        </w:rPr>
        <w:t xml:space="preserve">, </w:t>
      </w:r>
      <w:proofErr w:type="spellStart"/>
      <w:r>
        <w:rPr>
          <w:szCs w:val="24"/>
        </w:rPr>
        <w:t>indeno</w:t>
      </w:r>
      <w:proofErr w:type="spellEnd"/>
      <w:r>
        <w:rPr>
          <w:szCs w:val="24"/>
        </w:rPr>
        <w:t>(1,2,3-cd)</w:t>
      </w:r>
      <w:proofErr w:type="spellStart"/>
      <w:r>
        <w:rPr>
          <w:szCs w:val="24"/>
        </w:rPr>
        <w:t>pirenu</w:t>
      </w:r>
      <w:proofErr w:type="spellEnd"/>
      <w:r>
        <w:rPr>
          <w:szCs w:val="24"/>
        </w:rPr>
        <w:t>, dioksinais/</w:t>
      </w:r>
      <w:proofErr w:type="spellStart"/>
      <w:r>
        <w:rPr>
          <w:szCs w:val="24"/>
        </w:rPr>
        <w:t>furanais</w:t>
      </w:r>
      <w:proofErr w:type="spellEnd"/>
      <w:r>
        <w:rPr>
          <w:szCs w:val="24"/>
        </w:rPr>
        <w:t xml:space="preserve"> (PCDD/F), </w:t>
      </w:r>
      <w:proofErr w:type="spellStart"/>
      <w:r>
        <w:rPr>
          <w:szCs w:val="24"/>
        </w:rPr>
        <w:t>heksachlorbenzenu</w:t>
      </w:r>
      <w:proofErr w:type="spellEnd"/>
      <w:r>
        <w:rPr>
          <w:szCs w:val="24"/>
        </w:rPr>
        <w:t>), didžiausią dėmesį skiriant taršos sumažinimui iš namų ūkių.</w:t>
      </w:r>
    </w:p>
    <w:p w:rsidR="000E7C4C" w:rsidRDefault="003C3EA6">
      <w:pPr>
        <w:tabs>
          <w:tab w:val="left" w:pos="851"/>
        </w:tabs>
        <w:ind w:firstLine="567"/>
        <w:jc w:val="both"/>
        <w:rPr>
          <w:color w:val="000000"/>
          <w:szCs w:val="24"/>
        </w:rPr>
      </w:pPr>
      <w:r>
        <w:rPr>
          <w:color w:val="000000"/>
          <w:szCs w:val="24"/>
        </w:rPr>
        <w:t>15.5</w:t>
      </w:r>
      <w:r>
        <w:rPr>
          <w:color w:val="000000"/>
          <w:szCs w:val="24"/>
        </w:rPr>
        <w:t>.</w:t>
      </w:r>
      <w:r>
        <w:rPr>
          <w:b/>
          <w:color w:val="000000"/>
          <w:szCs w:val="24"/>
        </w:rPr>
        <w:t xml:space="preserve"> Trečiasis tikslas</w:t>
      </w:r>
      <w:r>
        <w:rPr>
          <w:color w:val="000000"/>
          <w:szCs w:val="24"/>
        </w:rPr>
        <w:t xml:space="preserve"> – modernizuoti aplinkos oro taršos atskaitomybės ir monitoringo sistemas, didinant jų rezultatų prieinamumą visoms suinteresuotoms šalims.</w:t>
      </w:r>
    </w:p>
    <w:p w:rsidR="000E7C4C" w:rsidRDefault="003C3EA6">
      <w:pPr>
        <w:tabs>
          <w:tab w:val="left" w:pos="851"/>
        </w:tabs>
        <w:ind w:firstLine="567"/>
        <w:jc w:val="both"/>
        <w:rPr>
          <w:szCs w:val="24"/>
        </w:rPr>
      </w:pPr>
      <w:r>
        <w:rPr>
          <w:szCs w:val="24"/>
        </w:rPr>
        <w:t xml:space="preserve">Pagal Konvencijos ir direktyvos (ES) 2016/2284 reikalavimus privaloma rengti ir kasmet atnaujinti </w:t>
      </w:r>
      <w:r>
        <w:rPr>
          <w:color w:val="000000"/>
        </w:rPr>
        <w:t xml:space="preserve">nacionalines į aplinkos orą išmetamų teršalų kiekio </w:t>
      </w:r>
      <w:r>
        <w:rPr>
          <w:szCs w:val="24"/>
        </w:rPr>
        <w:t xml:space="preserve">apskaitas, siekiant naudoti antro arba aukštesnio lygio (išsamesnę) (ne žemesnio kaip TIER2 lygio) apskaitos metodiką, rengti ir kas ketverius metus atnaujinti nacionalines išmetamųjų teršalų erdvinio pasiskirstymo apskaitas, didelių sutelktųjų taršos šaltinių apskaitas, rengti teršalų nacionalines prognozes. Siekiant tai įgyvendinti ir pasiekti kuo didesnį apskaitos detalumo (išsamumo) lygį, kuris kuo geriau atskleistų kiekvieno apskaitomo teršalo taršos šaltinius, jų poveikio mastą oro taršai, turi būti nuolat tobulinami administraciniai gebėjimai apskaitos vykdymui, išmetamo teršalų kiekio prognozavimui, apskaitos ataskaitų rengimui ir jų pateikimui nustatyta tvarka ir terminais tarptautinėms ir ES institucijoms, taip pat suinteresuotoms valstybės ir savivaldybių institucijoms ir įstaigoms sprendimams dėl oro taršos valdymo ir oro kokybės gerinimo priimti, visuomenės informavimui. </w:t>
      </w:r>
    </w:p>
    <w:p w:rsidR="000E7C4C" w:rsidRDefault="003C3EA6">
      <w:pPr>
        <w:tabs>
          <w:tab w:val="left" w:pos="851"/>
        </w:tabs>
        <w:ind w:firstLine="567"/>
        <w:jc w:val="both"/>
        <w:rPr>
          <w:color w:val="000000"/>
          <w:szCs w:val="21"/>
        </w:rPr>
      </w:pPr>
      <w:r>
        <w:rPr>
          <w:szCs w:val="24"/>
        </w:rPr>
        <w:t>15.5.1</w:t>
      </w:r>
      <w:r>
        <w:rPr>
          <w:szCs w:val="24"/>
        </w:rPr>
        <w:t>. Pažymėtina, kad Vyriausybės programos įgyvendinimo plane, patvirtintame Vyriausybės 2017 m. kovo 13 d. nutarimu Nr. 167 „Dėl Lietuvos Respublikos Vyriausybės programos įgyvendinimo plano patvirtinimo“, numatyta 1.5.3 darbo „</w:t>
      </w:r>
      <w:r>
        <w:rPr>
          <w:bCs/>
          <w:color w:val="000000"/>
        </w:rPr>
        <w:t xml:space="preserve">Teisinių ir ekonominių priemonių sukūrimas, siekiant sumažinti oro taršą ir klimato kaitą“ 1 priemonė – </w:t>
      </w:r>
      <w:r>
        <w:rPr>
          <w:color w:val="000000"/>
        </w:rPr>
        <w:t xml:space="preserve">Administracinių gebėjimų sustiprinimas ir nacionalinės į aplinkos orą išmetamo teršalų kiekio apskaitos vykdymas, taikant kuo didesnį detalumo lygį (TIER2 ar didesnį), kad būtų užtikrintas tarptautinių ir ES teisės aktų reikalaujamas apskaitos tikslumas, išsamumas, skaidrumas, nuoseklumas, duomenų atsekamumas, ir sprendimų aplinkos oro taršai mažinti priėmimas apskaitos duomenų pagrindu. </w:t>
      </w:r>
    </w:p>
    <w:p w:rsidR="000E7C4C" w:rsidRDefault="003C3EA6">
      <w:pPr>
        <w:tabs>
          <w:tab w:val="left" w:pos="851"/>
        </w:tabs>
        <w:ind w:firstLine="567"/>
        <w:jc w:val="both"/>
        <w:rPr>
          <w:color w:val="000000"/>
        </w:rPr>
      </w:pPr>
      <w:r>
        <w:rPr>
          <w:color w:val="000000"/>
        </w:rPr>
        <w:t>15.5.2</w:t>
      </w:r>
      <w:r>
        <w:rPr>
          <w:color w:val="000000"/>
        </w:rPr>
        <w:t>. Siekiant didinti visuomenės informuotumą ir sąmoningumą aplinkos oro taršos srityje, būtina kasmet AAA vykdant nacionalinę į aplinkos orą išmetamo teršalų kiekio apskaitą ir prognozes parengti išsamią, suprantamą, argumentuotą oro taršos, jos pokyčių, pokyčių priežasčių ir t. t., oro taršos prognozių apžvalgą, kuri būtų skirta suinteresuotoms institucijoms sprendimams dėl tolesnio poreikio mažinti (valdyti) oro taršą priimti ir visuomenei.</w:t>
      </w:r>
    </w:p>
    <w:p w:rsidR="000E7C4C" w:rsidRDefault="003C3EA6">
      <w:pPr>
        <w:tabs>
          <w:tab w:val="left" w:pos="851"/>
        </w:tabs>
        <w:ind w:firstLine="567"/>
        <w:jc w:val="both"/>
        <w:rPr>
          <w:color w:val="000000"/>
          <w:szCs w:val="24"/>
        </w:rPr>
      </w:pPr>
      <w:r>
        <w:rPr>
          <w:color w:val="000000"/>
        </w:rPr>
        <w:t>15.5.3</w:t>
      </w:r>
      <w:r>
        <w:rPr>
          <w:color w:val="000000"/>
        </w:rPr>
        <w:t>. Atsižvelgiant į tarptautinių organizacijų deklaruojamą oro taršos neigiamą poveikį žmonių sveikatai, būtina reguliariai vertinti nacionaliniu ir vietos mastu oro taršos poveikį žmonių sveikatai</w:t>
      </w:r>
      <w:r>
        <w:rPr>
          <w:szCs w:val="24"/>
        </w:rPr>
        <w:t xml:space="preserve">, prognozuojamus šio poveikio pokyčius dėl oro taršos mažinimo priemonių įgyvendinimo siekiant oro taršos mažinimo tikslų 2020 ir 2030 m., kitų Konvencija reguliuojamų teršalų (sunkiųjų metalų, patvariųjų organinių teršalų) mažinimo. Vadovaujantis tokio vertinimo rezultatais būtų argumentuojamas poreikis priimti, jei reikėtų, papildomus sprendimus oro taršai valdyti. Tokių rezultatų sklaida visuomenėje reikšmingai padidintų visuomenės informuotumą apie oro taršos neigiamą poveikį sveikatai, paskatintų patiems prisidėti prie oro taršos mažinimo, pavyzdžiui, keičiant nusistovėjusius </w:t>
      </w:r>
      <w:proofErr w:type="spellStart"/>
      <w:r>
        <w:rPr>
          <w:szCs w:val="24"/>
        </w:rPr>
        <w:t>judumo</w:t>
      </w:r>
      <w:proofErr w:type="spellEnd"/>
      <w:r>
        <w:rPr>
          <w:szCs w:val="24"/>
        </w:rPr>
        <w:t xml:space="preserve"> (susisiekimo) įpročius ir daugiau naudojantis </w:t>
      </w:r>
      <w:proofErr w:type="spellStart"/>
      <w:r>
        <w:rPr>
          <w:szCs w:val="24"/>
        </w:rPr>
        <w:t>bevarikliu</w:t>
      </w:r>
      <w:proofErr w:type="spellEnd"/>
      <w:r>
        <w:rPr>
          <w:szCs w:val="24"/>
        </w:rPr>
        <w:t xml:space="preserve">, visuomeniniu transportu, daugiau vaikštant, apsirūpinimo šiluma įpročius (būdą) ir pan. </w:t>
      </w:r>
    </w:p>
    <w:p w:rsidR="000E7C4C" w:rsidRDefault="003C3EA6">
      <w:pPr>
        <w:tabs>
          <w:tab w:val="left" w:pos="851"/>
        </w:tabs>
        <w:ind w:firstLine="567"/>
        <w:jc w:val="both"/>
        <w:rPr>
          <w:szCs w:val="24"/>
        </w:rPr>
      </w:pPr>
      <w:r>
        <w:rPr>
          <w:szCs w:val="24"/>
        </w:rPr>
        <w:t>15.5.4</w:t>
      </w:r>
      <w:r>
        <w:rPr>
          <w:szCs w:val="24"/>
        </w:rPr>
        <w:t>. Aplinkos oro tarša neigiamai veikia ne tik žmonių sveikatą, bet ir ekosistemas. Tarša SO</w:t>
      </w:r>
      <w:r>
        <w:rPr>
          <w:szCs w:val="24"/>
          <w:vertAlign w:val="subscript"/>
        </w:rPr>
        <w:t>2</w:t>
      </w:r>
      <w:r>
        <w:rPr>
          <w:szCs w:val="24"/>
        </w:rPr>
        <w:t xml:space="preserve"> neigiamai veikia paviršinio vandens kokybę, gyvūnų sveikatą, keičiant jų gyvenimo trukmę, reprodukcines galimybes ir kt. Tarša </w:t>
      </w:r>
      <w:proofErr w:type="spellStart"/>
      <w:r>
        <w:rPr>
          <w:szCs w:val="24"/>
        </w:rPr>
        <w:t>NO</w:t>
      </w:r>
      <w:r>
        <w:rPr>
          <w:szCs w:val="24"/>
          <w:vertAlign w:val="subscript"/>
        </w:rPr>
        <w:t>x</w:t>
      </w:r>
      <w:proofErr w:type="spellEnd"/>
      <w:r>
        <w:rPr>
          <w:szCs w:val="24"/>
        </w:rPr>
        <w:t xml:space="preserve"> sukelia dirvos rūgštėjimą, neigiamai veikia biologinę įvairovę dėl rūgščių kritulių, gali naikinti natūralias gyvūnų ar paukščių buveines. Tarša NMLOJ neigiamai veikia gyvūniją dėl kancerogenų, </w:t>
      </w:r>
      <w:proofErr w:type="spellStart"/>
      <w:r>
        <w:rPr>
          <w:szCs w:val="24"/>
        </w:rPr>
        <w:t>mutagenų</w:t>
      </w:r>
      <w:proofErr w:type="spellEnd"/>
      <w:r>
        <w:rPr>
          <w:szCs w:val="24"/>
        </w:rPr>
        <w:t xml:space="preserve"> ir </w:t>
      </w:r>
      <w:proofErr w:type="spellStart"/>
      <w:r>
        <w:rPr>
          <w:szCs w:val="24"/>
        </w:rPr>
        <w:t>toksiškumo</w:t>
      </w:r>
      <w:proofErr w:type="spellEnd"/>
      <w:r>
        <w:rPr>
          <w:szCs w:val="24"/>
        </w:rPr>
        <w:t xml:space="preserve"> reprodukcijai. Dėl NMLOJ ir </w:t>
      </w:r>
      <w:proofErr w:type="spellStart"/>
      <w:r>
        <w:rPr>
          <w:szCs w:val="24"/>
        </w:rPr>
        <w:t>NO</w:t>
      </w:r>
      <w:r>
        <w:rPr>
          <w:szCs w:val="24"/>
          <w:vertAlign w:val="subscript"/>
        </w:rPr>
        <w:t>x</w:t>
      </w:r>
      <w:proofErr w:type="spellEnd"/>
      <w:r>
        <w:rPr>
          <w:szCs w:val="24"/>
        </w:rPr>
        <w:t xml:space="preserve"> susidarantis ozonas daro neigiamą poveikį augalų genotipui ir įprastai vykstantiems gyvybiniams procesams, pavyzdžiui, fotosintezei, augimui ir pan. Dėl ozono poveikio sulėtėja augalų augimas, augalai pasidengia dėmėmis, mažėja sausos ir žalios biomasės kiekis. Ozonas daro neigiamą poveikį ir dirvožemiui, gyvūnijai. Didelis NH</w:t>
      </w:r>
      <w:r>
        <w:rPr>
          <w:szCs w:val="24"/>
          <w:vertAlign w:val="subscript"/>
        </w:rPr>
        <w:t>3</w:t>
      </w:r>
      <w:r>
        <w:rPr>
          <w:szCs w:val="24"/>
        </w:rPr>
        <w:t xml:space="preserve"> kiekis neigiamai veikia dirvožemį, paviršinius ir požeminius vandenis, sukeldamas deguonies vandenyje mažėjimą ir vandens gyvūnų nykimą, sukeldamas grėsmę gyvūnų sveikatai, eutrofikaciją. Tarša KD</w:t>
      </w:r>
      <w:r>
        <w:rPr>
          <w:szCs w:val="24"/>
          <w:vertAlign w:val="subscript"/>
        </w:rPr>
        <w:t>2,5</w:t>
      </w:r>
      <w:r>
        <w:rPr>
          <w:szCs w:val="24"/>
        </w:rPr>
        <w:t xml:space="preserve"> gali veikti klimato veiksnius, tokius kaip debesuotumas, šviesos sklaida, </w:t>
      </w:r>
      <w:proofErr w:type="spellStart"/>
      <w:r>
        <w:rPr>
          <w:szCs w:val="24"/>
        </w:rPr>
        <w:t>sugertis</w:t>
      </w:r>
      <w:proofErr w:type="spellEnd"/>
      <w:r>
        <w:rPr>
          <w:szCs w:val="24"/>
        </w:rPr>
        <w:t xml:space="preserve"> ir pan. Sunkieji metalai neigiamai veikia dirvožemį, vandenis, augalų augimą, gyvūnų sveikatą, sukeldami organų pakitimus ir sunkias ligas. Patvarieji organiniai teršalai neigiamai veikia natūralias buveines ir biologinę įvairovę, gali prasiskverbti į požeminį vandenį ir užteršti dirvožemį.</w:t>
      </w:r>
    </w:p>
    <w:p w:rsidR="000E7C4C" w:rsidRDefault="003C3EA6">
      <w:pPr>
        <w:tabs>
          <w:tab w:val="left" w:pos="851"/>
        </w:tabs>
        <w:ind w:firstLine="567"/>
        <w:jc w:val="both"/>
        <w:rPr>
          <w:szCs w:val="24"/>
        </w:rPr>
      </w:pPr>
      <w:r>
        <w:rPr>
          <w:szCs w:val="24"/>
        </w:rPr>
        <w:t>15.6</w:t>
      </w:r>
      <w:r>
        <w:rPr>
          <w:szCs w:val="24"/>
        </w:rPr>
        <w:t>.</w:t>
      </w:r>
      <w:r>
        <w:rPr>
          <w:b/>
          <w:szCs w:val="24"/>
        </w:rPr>
        <w:t xml:space="preserve"> Trečiajam tikslui</w:t>
      </w:r>
      <w:r>
        <w:rPr>
          <w:szCs w:val="24"/>
        </w:rPr>
        <w:t xml:space="preserve"> įgyvendinti numatomi </w:t>
      </w:r>
      <w:r>
        <w:rPr>
          <w:b/>
          <w:szCs w:val="24"/>
        </w:rPr>
        <w:t>uždaviniai</w:t>
      </w:r>
      <w:r>
        <w:rPr>
          <w:szCs w:val="24"/>
        </w:rPr>
        <w:t>:</w:t>
      </w:r>
    </w:p>
    <w:p w:rsidR="000E7C4C" w:rsidRDefault="003C3EA6">
      <w:pPr>
        <w:tabs>
          <w:tab w:val="left" w:pos="851"/>
        </w:tabs>
        <w:ind w:firstLine="567"/>
        <w:jc w:val="both"/>
        <w:rPr>
          <w:szCs w:val="24"/>
        </w:rPr>
      </w:pPr>
      <w:r>
        <w:rPr>
          <w:szCs w:val="24"/>
        </w:rPr>
        <w:t>15.6.1</w:t>
      </w:r>
      <w:r>
        <w:rPr>
          <w:szCs w:val="24"/>
        </w:rPr>
        <w:t>. padidinti išmetamų į aplinkos orą teršalų apskaitos ir prognozių kokybę, patikimumą, išsamumą ir apskaitos ataskaitų viešinimą;</w:t>
      </w:r>
    </w:p>
    <w:p w:rsidR="000E7C4C" w:rsidRDefault="003C3EA6">
      <w:pPr>
        <w:tabs>
          <w:tab w:val="left" w:pos="709"/>
          <w:tab w:val="left" w:pos="851"/>
        </w:tabs>
        <w:ind w:firstLine="567"/>
        <w:jc w:val="both"/>
        <w:rPr>
          <w:szCs w:val="24"/>
        </w:rPr>
      </w:pPr>
      <w:r>
        <w:t>15.6.2</w:t>
      </w:r>
      <w:r>
        <w:t>. stiprinti aplinkos oro taršos poveikio sveikatai ir ekosistemoms stebėsenos vykdymą ir jos vertinimo rezultatų viešinimą</w:t>
      </w:r>
      <w:r>
        <w:rPr>
          <w:szCs w:val="24"/>
        </w:rPr>
        <w:t>.</w:t>
      </w:r>
    </w:p>
    <w:p w:rsidR="000E7C4C" w:rsidRDefault="003C3EA6">
      <w:pPr>
        <w:tabs>
          <w:tab w:val="left" w:pos="851"/>
          <w:tab w:val="left" w:pos="5954"/>
        </w:tabs>
        <w:ind w:firstLine="567"/>
        <w:jc w:val="both"/>
        <w:rPr>
          <w:color w:val="000000"/>
          <w:szCs w:val="24"/>
        </w:rPr>
      </w:pPr>
      <w:r>
        <w:rPr>
          <w:szCs w:val="24"/>
        </w:rPr>
        <w:t>16</w:t>
      </w:r>
      <w:r>
        <w:rPr>
          <w:szCs w:val="24"/>
        </w:rPr>
        <w:t>. Plano tikslai, uždaviniai, įgyvendinimo vertinimo kriterijai ir jų reikšmės pateiktos Plano 1 priede.</w:t>
      </w:r>
    </w:p>
    <w:p w:rsidR="000E7C4C" w:rsidRDefault="003C3EA6">
      <w:pPr>
        <w:tabs>
          <w:tab w:val="left" w:pos="851"/>
          <w:tab w:val="left" w:pos="5954"/>
        </w:tabs>
        <w:ind w:firstLine="567"/>
        <w:jc w:val="both"/>
        <w:rPr>
          <w:szCs w:val="24"/>
        </w:rPr>
      </w:pPr>
      <w:r>
        <w:rPr>
          <w:szCs w:val="24"/>
        </w:rPr>
        <w:t>17</w:t>
      </w:r>
      <w:r>
        <w:rPr>
          <w:szCs w:val="24"/>
        </w:rPr>
        <w:t>. Priemonės nustatytiems Plano tikslams ir uždaviniams įgyvendinti (toliau – Priemonės) pateiktos Plano įgyvendinimo priemonių plane (Plano 2 priedas).</w:t>
      </w:r>
    </w:p>
    <w:p w:rsidR="000E7C4C" w:rsidRDefault="003C3EA6">
      <w:pPr>
        <w:tabs>
          <w:tab w:val="left" w:pos="5954"/>
        </w:tabs>
        <w:ind w:firstLine="720"/>
        <w:jc w:val="both"/>
        <w:rPr>
          <w:szCs w:val="21"/>
        </w:rPr>
      </w:pPr>
    </w:p>
    <w:p w:rsidR="000E7C4C" w:rsidRDefault="003C3EA6">
      <w:pPr>
        <w:keepNext/>
        <w:keepLines/>
        <w:jc w:val="center"/>
        <w:outlineLvl w:val="1"/>
        <w:rPr>
          <w:b/>
          <w:bCs/>
          <w:caps/>
          <w:color w:val="000000"/>
          <w:szCs w:val="32"/>
        </w:rPr>
      </w:pPr>
      <w:r>
        <w:rPr>
          <w:b/>
          <w:bCs/>
          <w:caps/>
          <w:color w:val="000000"/>
          <w:szCs w:val="32"/>
        </w:rPr>
        <w:t>III</w:t>
      </w:r>
      <w:r>
        <w:rPr>
          <w:b/>
          <w:bCs/>
          <w:caps/>
          <w:color w:val="000000"/>
          <w:szCs w:val="32"/>
        </w:rPr>
        <w:t xml:space="preserve"> SKYRIUS</w:t>
      </w:r>
    </w:p>
    <w:p w:rsidR="000E7C4C" w:rsidRDefault="003C3EA6">
      <w:pPr>
        <w:keepNext/>
        <w:keepLines/>
        <w:jc w:val="center"/>
        <w:outlineLvl w:val="1"/>
        <w:rPr>
          <w:b/>
          <w:bCs/>
          <w:caps/>
          <w:color w:val="000000"/>
          <w:szCs w:val="32"/>
        </w:rPr>
      </w:pPr>
      <w:r>
        <w:rPr>
          <w:b/>
          <w:bCs/>
          <w:caps/>
          <w:color w:val="000000"/>
          <w:szCs w:val="32"/>
        </w:rPr>
        <w:t>PLANO ĮGYVENDINIMAS, PERŽIŪRA IR ATSKAITOMYBĖ</w:t>
      </w:r>
    </w:p>
    <w:p w:rsidR="000E7C4C" w:rsidRDefault="000E7C4C">
      <w:pPr>
        <w:ind w:firstLine="720"/>
        <w:jc w:val="both"/>
      </w:pPr>
    </w:p>
    <w:p w:rsidR="000E7C4C" w:rsidRDefault="003C3EA6">
      <w:pPr>
        <w:tabs>
          <w:tab w:val="left" w:pos="851"/>
          <w:tab w:val="left" w:pos="6096"/>
        </w:tabs>
        <w:ind w:firstLine="567"/>
        <w:jc w:val="both"/>
      </w:pPr>
      <w:r>
        <w:t>18</w:t>
      </w:r>
      <w:r>
        <w:t xml:space="preserve">. Planą įgyvendina ir už Priemonių vykdymą pagal kompetenciją atsako Lietuvos Respublikos aplinkos ministerija, Lietuvos Respublikos ekonomikos ir inovacijų ministerija, Lietuvos Respublikos sveikatos apsaugos ministerija, Lietuvos Respublikos žemės ūkio ministerija, Lietuvos Respublikos susisiekimo ministerija, Lietuvos Respublikos energetikos ministerija, Lietuvos Respublikos vidaus reikalų ministerija, Lietuvos Respublikos švietimo, mokslo ir sporto ministerija ir kitos Plane nurodytos institucijos. Įgyvendinant Priemones rekomenduojama dalyvauti savivaldybėms, ūkio subjektams ir namų ūkiams, išnaudojant galimybes gauti finansines paskatas ir kitokiu Priemonėse numatytu būdu. </w:t>
      </w:r>
    </w:p>
    <w:p w:rsidR="000E7C4C" w:rsidRDefault="003C3EA6">
      <w:pPr>
        <w:tabs>
          <w:tab w:val="left" w:pos="540"/>
          <w:tab w:val="left" w:pos="720"/>
          <w:tab w:val="left" w:pos="851"/>
          <w:tab w:val="left" w:pos="6096"/>
        </w:tabs>
        <w:suppressAutoHyphens/>
        <w:ind w:firstLine="567"/>
        <w:jc w:val="both"/>
        <w:textAlignment w:val="center"/>
        <w:rPr>
          <w:szCs w:val="24"/>
        </w:rPr>
      </w:pPr>
      <w:r>
        <w:rPr>
          <w:szCs w:val="24"/>
        </w:rPr>
        <w:t>19</w:t>
      </w:r>
      <w:r>
        <w:rPr>
          <w:szCs w:val="24"/>
        </w:rPr>
        <w:t>. Priemonės finansuojamos iš Lietuvos Respublikos valstybės biudžeto asignavimų, numatytų jas įgyvendinančioms institucijoms, ES paramos ir kitų teisėtai gautų lėšų. Savivaldybės Priemones įgyvendina naudodamos savivaldybių biudžetų lėšas, ES paramos ir kitas teisėtai gautas lėšas. Ūkio subjektai Priemones įgyvendina naudodami savo lėšas, ES paramos ir kitas teisėtai gautas lėšas.</w:t>
      </w:r>
    </w:p>
    <w:p w:rsidR="000E7C4C" w:rsidRDefault="003C3EA6">
      <w:pPr>
        <w:tabs>
          <w:tab w:val="left" w:pos="851"/>
          <w:tab w:val="left" w:pos="6096"/>
        </w:tabs>
        <w:ind w:firstLine="567"/>
        <w:jc w:val="both"/>
        <w:rPr>
          <w:szCs w:val="24"/>
        </w:rPr>
      </w:pPr>
      <w:r>
        <w:t>20</w:t>
      </w:r>
      <w:r>
        <w:t>. Lietuvos Respublikos finansų ministerija, planuodama naujo laikotarpio (2021–2027 m.) finansavimą iš ES Sanglaudos fondo, atsižvelgia į lėšų poreikį Priemonėms įgyvendinti.</w:t>
      </w:r>
    </w:p>
    <w:p w:rsidR="000E7C4C" w:rsidRDefault="003C3EA6">
      <w:pPr>
        <w:tabs>
          <w:tab w:val="left" w:pos="540"/>
          <w:tab w:val="left" w:pos="720"/>
          <w:tab w:val="left" w:pos="851"/>
          <w:tab w:val="left" w:pos="6096"/>
        </w:tabs>
        <w:suppressAutoHyphens/>
        <w:ind w:firstLine="567"/>
        <w:jc w:val="both"/>
        <w:textAlignment w:val="center"/>
        <w:rPr>
          <w:szCs w:val="21"/>
        </w:rPr>
      </w:pPr>
      <w:r>
        <w:rPr>
          <w:szCs w:val="24"/>
        </w:rPr>
        <w:t>21</w:t>
      </w:r>
      <w:r>
        <w:rPr>
          <w:szCs w:val="24"/>
        </w:rPr>
        <w:t>. Aplinkos ministerija</w:t>
      </w:r>
      <w:r>
        <w:t xml:space="preserve"> vykdo Plano peržiūrą ne rečiau kaip kas ketverius metus ir, </w:t>
      </w:r>
      <w:r>
        <w:rPr>
          <w:color w:val="000000"/>
        </w:rPr>
        <w:t>vadovaujantis nacionalinės į aplinkos orą išmetamų teršalų apskaitos (ir prognozių) duomenimis,</w:t>
      </w:r>
      <w:r>
        <w:t xml:space="preserve"> prireikus papildomai mažinti į aplinkos orą išmetamą teršalo (-ų) kiekį oro taršos mažinimo tikslui (-</w:t>
      </w:r>
      <w:proofErr w:type="spellStart"/>
      <w:r>
        <w:t>ams</w:t>
      </w:r>
      <w:proofErr w:type="spellEnd"/>
      <w:r>
        <w:t>) pasiekti, jį pakeičia papildydama naujomis oro taršos mažinimo priemonėmis.</w:t>
      </w:r>
    </w:p>
    <w:p w:rsidR="000E7C4C" w:rsidRDefault="003C3EA6">
      <w:pPr>
        <w:tabs>
          <w:tab w:val="left" w:pos="540"/>
          <w:tab w:val="left" w:pos="720"/>
          <w:tab w:val="left" w:pos="851"/>
        </w:tabs>
        <w:suppressAutoHyphens/>
        <w:ind w:firstLine="567"/>
        <w:jc w:val="both"/>
        <w:textAlignment w:val="center"/>
        <w:rPr>
          <w:color w:val="000000"/>
        </w:rPr>
      </w:pPr>
      <w:r>
        <w:rPr>
          <w:color w:val="000000"/>
        </w:rPr>
        <w:t>22</w:t>
      </w:r>
      <w:r>
        <w:rPr>
          <w:color w:val="000000"/>
        </w:rPr>
        <w:t>. Plano:</w:t>
      </w:r>
    </w:p>
    <w:p w:rsidR="000E7C4C" w:rsidRDefault="003C3EA6">
      <w:pPr>
        <w:tabs>
          <w:tab w:val="left" w:pos="540"/>
          <w:tab w:val="left" w:pos="720"/>
          <w:tab w:val="left" w:pos="851"/>
        </w:tabs>
        <w:suppressAutoHyphens/>
        <w:ind w:firstLine="567"/>
        <w:jc w:val="both"/>
        <w:textAlignment w:val="center"/>
        <w:rPr>
          <w:color w:val="000000"/>
        </w:rPr>
      </w:pPr>
      <w:r>
        <w:rPr>
          <w:color w:val="000000"/>
        </w:rPr>
        <w:t>22.1</w:t>
      </w:r>
      <w:r>
        <w:rPr>
          <w:color w:val="000000"/>
        </w:rPr>
        <w:t>. įgyvendinimą koordinuoja Aplinkos ministerija;</w:t>
      </w:r>
    </w:p>
    <w:p w:rsidR="000E7C4C" w:rsidRDefault="003C3EA6">
      <w:pPr>
        <w:tabs>
          <w:tab w:val="left" w:pos="540"/>
          <w:tab w:val="left" w:pos="720"/>
          <w:tab w:val="left" w:pos="851"/>
        </w:tabs>
        <w:suppressAutoHyphens/>
        <w:ind w:firstLine="567"/>
        <w:jc w:val="both"/>
        <w:textAlignment w:val="center"/>
        <w:rPr>
          <w:color w:val="000000"/>
        </w:rPr>
      </w:pPr>
      <w:r>
        <w:rPr>
          <w:color w:val="000000"/>
        </w:rPr>
        <w:t>22.2</w:t>
      </w:r>
      <w:r>
        <w:rPr>
          <w:color w:val="000000"/>
        </w:rPr>
        <w:t>. tikslų ir uždavinių įgyvendinimo vertinimo kriterijų pasiekimo stebėseną ir analizę vykdo Plano 1 priede nurodytos institucijos. Pasiekimo stebėsenos rezultatus šios institucijos teikia Plano įgyvendinimo koordinatoriui iki kiekvienų metų vasario 20 d.;</w:t>
      </w:r>
    </w:p>
    <w:p w:rsidR="000E7C4C" w:rsidRDefault="003C3EA6">
      <w:pPr>
        <w:tabs>
          <w:tab w:val="left" w:pos="540"/>
          <w:tab w:val="left" w:pos="720"/>
          <w:tab w:val="left" w:pos="851"/>
          <w:tab w:val="left" w:pos="5954"/>
        </w:tabs>
        <w:suppressAutoHyphens/>
        <w:ind w:firstLine="567"/>
        <w:jc w:val="both"/>
        <w:textAlignment w:val="center"/>
        <w:rPr>
          <w:color w:val="000000"/>
        </w:rPr>
      </w:pPr>
      <w:r>
        <w:rPr>
          <w:color w:val="000000"/>
        </w:rPr>
        <w:t>22.3</w:t>
      </w:r>
      <w:r>
        <w:rPr>
          <w:color w:val="000000"/>
        </w:rPr>
        <w:t xml:space="preserve">. 2 priede nurodytos institucijos, atsakingos už Priemonių vykdymą, teikia informaciją apie Priemonių įgyvendinimą atitinkamo Plano uždavinio įgyvendinimo vertinimo kriterijaus stebėseną vykdančiai institucijai ir Aplinkos ministerijai iki kiekvienų metų vasario 1 d. </w:t>
      </w:r>
    </w:p>
    <w:p w:rsidR="000E7C4C" w:rsidRDefault="003C3EA6">
      <w:pPr>
        <w:tabs>
          <w:tab w:val="left" w:pos="540"/>
          <w:tab w:val="left" w:pos="720"/>
          <w:tab w:val="left" w:pos="851"/>
          <w:tab w:val="left" w:pos="5954"/>
        </w:tabs>
        <w:suppressAutoHyphens/>
        <w:ind w:firstLine="567"/>
        <w:jc w:val="both"/>
        <w:textAlignment w:val="center"/>
        <w:rPr>
          <w:color w:val="000000"/>
        </w:rPr>
      </w:pPr>
      <w:r>
        <w:rPr>
          <w:color w:val="000000"/>
        </w:rPr>
        <w:t>23</w:t>
      </w:r>
      <w:r>
        <w:rPr>
          <w:color w:val="000000"/>
        </w:rPr>
        <w:t xml:space="preserve">. Plano tikslų ir uždavinių įgyvendinimo vertinimo kriterijų stebėsena vykdoma vadovaujantis AAA kasmet vykdomos nacionalinės į aplinkos orą išmetamų teršalų apskaitos (ir prognozių) duomenimis. </w:t>
      </w:r>
    </w:p>
    <w:p w:rsidR="000E7C4C" w:rsidRDefault="003C3EA6">
      <w:pPr>
        <w:tabs>
          <w:tab w:val="left" w:pos="540"/>
          <w:tab w:val="left" w:pos="720"/>
          <w:tab w:val="left" w:pos="851"/>
          <w:tab w:val="left" w:pos="5954"/>
        </w:tabs>
        <w:suppressAutoHyphens/>
        <w:ind w:firstLine="567"/>
        <w:jc w:val="both"/>
        <w:textAlignment w:val="center"/>
      </w:pPr>
      <w:r>
        <w:t>24</w:t>
      </w:r>
      <w:r>
        <w:t xml:space="preserve">. Aplinkos ministerija metinėje veiklos ataskaitoje teikia Vyriausybei informaciją apie Plano įgyvendinimą. Visuomenė apie Plano įgyvendinimą informuojama kasmet – Aplinkos ministerijos interneto svetainėje viešai paskelbiama Vyriausybei teikiama metinė veiklos ataskaita, AAA interneto svetainėje paskelbiami </w:t>
      </w:r>
      <w:r>
        <w:rPr>
          <w:color w:val="000000"/>
        </w:rPr>
        <w:t>nacionalinės į aplinkos orą išmetamų teršalų apskaitos (ir prognozių) duomenys ir Lietuvos oro taršos apskaitos apžvalga.</w:t>
      </w:r>
      <w:r>
        <w:rPr>
          <w:sz w:val="18"/>
          <w:szCs w:val="18"/>
          <w:lang w:eastAsia="lt-LT"/>
        </w:rPr>
        <w:t xml:space="preserve"> </w:t>
      </w:r>
    </w:p>
    <w:p w:rsidR="000E7C4C" w:rsidRDefault="003C3EA6">
      <w:pPr>
        <w:tabs>
          <w:tab w:val="left" w:pos="540"/>
          <w:tab w:val="left" w:pos="720"/>
          <w:tab w:val="left" w:pos="851"/>
          <w:tab w:val="left" w:pos="5954"/>
        </w:tabs>
        <w:suppressAutoHyphens/>
        <w:ind w:firstLine="567"/>
        <w:jc w:val="both"/>
        <w:textAlignment w:val="center"/>
        <w:rPr>
          <w:color w:val="000000"/>
        </w:rPr>
      </w:pPr>
      <w:r>
        <w:rPr>
          <w:color w:val="000000"/>
        </w:rPr>
        <w:t>25</w:t>
      </w:r>
      <w:r>
        <w:rPr>
          <w:color w:val="000000"/>
        </w:rPr>
        <w:t>. Planas ir pakeistas Planas teikiami Komisijai. Pakeistas Planas Komisijai pateikiamas per 2 mėnesius nuo jo patvirtinimo.</w:t>
      </w:r>
    </w:p>
    <w:p w:rsidR="000E7C4C" w:rsidRDefault="003C3EA6">
      <w:pPr>
        <w:tabs>
          <w:tab w:val="left" w:pos="540"/>
          <w:tab w:val="left" w:pos="720"/>
          <w:tab w:val="left" w:pos="851"/>
          <w:tab w:val="left" w:pos="5954"/>
        </w:tabs>
        <w:suppressAutoHyphens/>
        <w:ind w:firstLine="567"/>
        <w:jc w:val="both"/>
        <w:textAlignment w:val="center"/>
      </w:pPr>
    </w:p>
    <w:p w:rsidR="000E7C4C" w:rsidRDefault="003C3EA6">
      <w:pPr>
        <w:tabs>
          <w:tab w:val="left" w:pos="540"/>
          <w:tab w:val="left" w:pos="1296"/>
        </w:tabs>
        <w:jc w:val="center"/>
      </w:pPr>
      <w:r>
        <w:rPr>
          <w:sz w:val="20"/>
        </w:rPr>
        <w:t>______________________________</w:t>
      </w:r>
    </w:p>
    <w:p w:rsidR="000E7C4C" w:rsidRDefault="000E7C4C">
      <w:pPr>
        <w:tabs>
          <w:tab w:val="left" w:pos="540"/>
          <w:tab w:val="left" w:pos="1296"/>
        </w:tabs>
        <w:jc w:val="center"/>
        <w:rPr>
          <w:szCs w:val="24"/>
        </w:rPr>
      </w:pPr>
    </w:p>
    <w:p w:rsidR="000E7C4C" w:rsidRDefault="000E7C4C">
      <w:pPr>
        <w:tabs>
          <w:tab w:val="left" w:pos="540"/>
          <w:tab w:val="left" w:pos="1296"/>
        </w:tabs>
        <w:jc w:val="center"/>
        <w:rPr>
          <w:szCs w:val="24"/>
        </w:rPr>
      </w:pPr>
    </w:p>
    <w:p w:rsidR="000E7C4C" w:rsidRDefault="003C3EA6">
      <w:pPr>
        <w:tabs>
          <w:tab w:val="center" w:pos="4819"/>
          <w:tab w:val="right" w:pos="9638"/>
        </w:tabs>
        <w:ind w:firstLine="720"/>
        <w:jc w:val="both"/>
        <w:rPr>
          <w:color w:val="000000"/>
          <w:szCs w:val="21"/>
          <w:lang w:val="en-US"/>
        </w:rPr>
      </w:pPr>
    </w:p>
    <w:p w:rsidR="003C3EA6" w:rsidRDefault="003C3EA6">
      <w:pPr>
        <w:tabs>
          <w:tab w:val="left" w:pos="1296"/>
        </w:tabs>
        <w:ind w:left="7088"/>
        <w:sectPr w:rsidR="003C3EA6" w:rsidSect="003C3EA6">
          <w:pgSz w:w="11906" w:h="16838"/>
          <w:pgMar w:top="1134" w:right="567" w:bottom="1134" w:left="1701" w:header="567" w:footer="567" w:gutter="0"/>
          <w:pgNumType w:start="1"/>
          <w:cols w:space="1296"/>
          <w:titlePg/>
          <w:docGrid w:linePitch="326"/>
        </w:sectPr>
      </w:pPr>
    </w:p>
    <w:p w:rsidR="000E7C4C" w:rsidRDefault="003C3EA6" w:rsidP="003C3EA6">
      <w:pPr>
        <w:tabs>
          <w:tab w:val="left" w:pos="1296"/>
        </w:tabs>
        <w:ind w:left="11340"/>
        <w:rPr>
          <w:color w:val="000000"/>
          <w:szCs w:val="24"/>
        </w:rPr>
      </w:pPr>
      <w:r>
        <w:rPr>
          <w:color w:val="000000"/>
          <w:szCs w:val="24"/>
        </w:rPr>
        <w:t xml:space="preserve">Nacionalinio oro taršos </w:t>
      </w:r>
    </w:p>
    <w:p w:rsidR="000E7C4C" w:rsidRDefault="003C3EA6" w:rsidP="003C3EA6">
      <w:pPr>
        <w:tabs>
          <w:tab w:val="left" w:pos="1296"/>
        </w:tabs>
        <w:ind w:left="11340"/>
        <w:rPr>
          <w:color w:val="000000"/>
          <w:szCs w:val="24"/>
        </w:rPr>
      </w:pPr>
      <w:r>
        <w:rPr>
          <w:color w:val="000000"/>
          <w:szCs w:val="24"/>
        </w:rPr>
        <w:t>mažinimo plano</w:t>
      </w:r>
    </w:p>
    <w:p w:rsidR="000E7C4C" w:rsidRDefault="003C3EA6" w:rsidP="003C3EA6">
      <w:pPr>
        <w:tabs>
          <w:tab w:val="left" w:pos="1296"/>
        </w:tabs>
        <w:ind w:left="11340"/>
        <w:rPr>
          <w:color w:val="000000"/>
          <w:szCs w:val="24"/>
        </w:rPr>
      </w:pPr>
      <w:r>
        <w:rPr>
          <w:color w:val="000000"/>
          <w:szCs w:val="24"/>
        </w:rPr>
        <w:t>1</w:t>
      </w:r>
      <w:r>
        <w:rPr>
          <w:color w:val="000000"/>
          <w:szCs w:val="24"/>
        </w:rPr>
        <w:t xml:space="preserve"> priedas</w:t>
      </w:r>
    </w:p>
    <w:p w:rsidR="000E7C4C" w:rsidRDefault="000E7C4C">
      <w:pPr>
        <w:tabs>
          <w:tab w:val="left" w:pos="1296"/>
        </w:tabs>
        <w:jc w:val="right"/>
        <w:rPr>
          <w:color w:val="000000"/>
          <w:szCs w:val="24"/>
        </w:rPr>
      </w:pPr>
    </w:p>
    <w:p w:rsidR="000E7C4C" w:rsidRDefault="003C3EA6">
      <w:pPr>
        <w:spacing w:line="360" w:lineRule="atLeast"/>
        <w:jc w:val="center"/>
        <w:rPr>
          <w:b/>
          <w:bCs/>
          <w:color w:val="000000"/>
          <w:szCs w:val="21"/>
        </w:rPr>
      </w:pPr>
      <w:r>
        <w:rPr>
          <w:b/>
          <w:bCs/>
          <w:color w:val="000000"/>
          <w:szCs w:val="21"/>
        </w:rPr>
        <w:t>NACIONALINIO ORO TARŠOS MAŽINIMO PLANO TIKSLAI, UŽDAVINIAI, ĮGYVENDINIMO VERTINIMO KRITERIJAI IR JŲ REIKŠMĖS</w:t>
      </w:r>
    </w:p>
    <w:p w:rsidR="000E7C4C" w:rsidRDefault="000E7C4C">
      <w:pPr>
        <w:spacing w:line="360" w:lineRule="atLeast"/>
        <w:ind w:firstLine="720"/>
        <w:jc w:val="both"/>
        <w:rPr>
          <w:b/>
          <w:bCs/>
          <w:color w:val="000000"/>
          <w:szCs w:val="21"/>
        </w:rPr>
      </w:pPr>
    </w:p>
    <w:tbl>
      <w:tblPr>
        <w:tblW w:w="14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418"/>
        <w:gridCol w:w="2544"/>
        <w:gridCol w:w="2971"/>
        <w:gridCol w:w="850"/>
        <w:gridCol w:w="850"/>
        <w:gridCol w:w="9"/>
        <w:gridCol w:w="11"/>
        <w:gridCol w:w="830"/>
        <w:gridCol w:w="25"/>
        <w:gridCol w:w="857"/>
        <w:gridCol w:w="2275"/>
      </w:tblGrid>
      <w:tr w:rsidR="000E7C4C">
        <w:trPr>
          <w:tblHeader/>
        </w:trPr>
        <w:tc>
          <w:tcPr>
            <w:tcW w:w="3418"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0E7C4C" w:rsidRDefault="003C3EA6">
            <w:pPr>
              <w:jc w:val="center"/>
              <w:rPr>
                <w:color w:val="000000"/>
                <w:szCs w:val="24"/>
              </w:rPr>
            </w:pPr>
            <w:r>
              <w:rPr>
                <w:color w:val="000000"/>
                <w:szCs w:val="24"/>
              </w:rPr>
              <w:t>Tikslai</w:t>
            </w:r>
          </w:p>
        </w:tc>
        <w:tc>
          <w:tcPr>
            <w:tcW w:w="2544"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0E7C4C" w:rsidRDefault="003C3EA6">
            <w:pPr>
              <w:jc w:val="center"/>
              <w:rPr>
                <w:bCs/>
                <w:color w:val="000000"/>
                <w:szCs w:val="24"/>
                <w:lang w:eastAsia="en-GB"/>
              </w:rPr>
            </w:pPr>
            <w:r>
              <w:rPr>
                <w:bCs/>
                <w:color w:val="000000"/>
                <w:szCs w:val="24"/>
                <w:lang w:eastAsia="en-GB"/>
              </w:rPr>
              <w:t>Uždaviniai</w:t>
            </w:r>
          </w:p>
        </w:tc>
        <w:tc>
          <w:tcPr>
            <w:tcW w:w="2971"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0E7C4C" w:rsidRDefault="003C3EA6">
            <w:pPr>
              <w:jc w:val="center"/>
              <w:rPr>
                <w:bCs/>
                <w:color w:val="000000"/>
                <w:szCs w:val="24"/>
                <w:lang w:eastAsia="en-GB"/>
              </w:rPr>
            </w:pPr>
            <w:r>
              <w:rPr>
                <w:bCs/>
                <w:color w:val="000000"/>
                <w:szCs w:val="24"/>
                <w:lang w:eastAsia="en-GB"/>
              </w:rPr>
              <w:t>Įgyvendinimo vertinimo kriterijus (-ai)</w:t>
            </w:r>
          </w:p>
        </w:tc>
        <w:tc>
          <w:tcPr>
            <w:tcW w:w="3432" w:type="dxa"/>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0E7C4C" w:rsidRDefault="003C3EA6">
            <w:pPr>
              <w:jc w:val="center"/>
              <w:rPr>
                <w:bCs/>
                <w:color w:val="000000"/>
                <w:szCs w:val="24"/>
                <w:lang w:eastAsia="en-GB"/>
              </w:rPr>
            </w:pPr>
            <w:r>
              <w:rPr>
                <w:bCs/>
                <w:color w:val="000000"/>
                <w:szCs w:val="24"/>
                <w:lang w:eastAsia="en-GB"/>
              </w:rPr>
              <w:t>Įgyvendinimo vertinimo kriterijų reikšmės*</w:t>
            </w:r>
          </w:p>
        </w:tc>
        <w:tc>
          <w:tcPr>
            <w:tcW w:w="227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0E7C4C" w:rsidRDefault="003C3EA6">
            <w:pPr>
              <w:jc w:val="center"/>
              <w:rPr>
                <w:bCs/>
                <w:color w:val="000000"/>
                <w:szCs w:val="24"/>
                <w:lang w:eastAsia="en-GB"/>
              </w:rPr>
            </w:pPr>
            <w:r>
              <w:rPr>
                <w:bCs/>
                <w:color w:val="000000"/>
                <w:szCs w:val="24"/>
                <w:lang w:eastAsia="en-GB"/>
              </w:rPr>
              <w:t>Įgyvendinimo vertinimo kriterijaus pasiekimo stebėseną vykdanti institucija**</w:t>
            </w:r>
          </w:p>
        </w:tc>
      </w:tr>
      <w:tr w:rsidR="000E7C4C">
        <w:trPr>
          <w:tblHeader/>
        </w:trPr>
        <w:tc>
          <w:tcPr>
            <w:tcW w:w="3418"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bCs/>
                <w:color w:val="000000"/>
                <w:szCs w:val="24"/>
                <w:lang w:eastAsia="en-GB"/>
              </w:rPr>
            </w:pPr>
          </w:p>
        </w:tc>
        <w:tc>
          <w:tcPr>
            <w:tcW w:w="2971"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bCs/>
                <w:color w:val="000000"/>
                <w:szCs w:val="24"/>
                <w:lang w:eastAsia="en-GB"/>
              </w:rPr>
            </w:pPr>
          </w:p>
        </w:tc>
        <w:tc>
          <w:tcPr>
            <w:tcW w:w="85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tcMar>
              <w:top w:w="28" w:type="dxa"/>
              <w:left w:w="0" w:type="dxa"/>
              <w:bottom w:w="28" w:type="dxa"/>
              <w:right w:w="0" w:type="dxa"/>
            </w:tcMar>
            <w:hideMark/>
          </w:tcPr>
          <w:p w:rsidR="000E7C4C" w:rsidRDefault="003C3EA6">
            <w:pPr>
              <w:jc w:val="center"/>
              <w:rPr>
                <w:color w:val="000000"/>
                <w:szCs w:val="24"/>
                <w:lang w:eastAsia="lt-LT"/>
              </w:rPr>
            </w:pPr>
            <w:r>
              <w:rPr>
                <w:color w:val="000000"/>
                <w:szCs w:val="24"/>
                <w:lang w:eastAsia="lt-LT"/>
              </w:rPr>
              <w:t>2015</w:t>
            </w:r>
          </w:p>
        </w:tc>
        <w:tc>
          <w:tcPr>
            <w:tcW w:w="85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tcMar>
              <w:top w:w="28" w:type="dxa"/>
              <w:left w:w="0" w:type="dxa"/>
              <w:bottom w:w="28" w:type="dxa"/>
              <w:right w:w="0" w:type="dxa"/>
            </w:tcMar>
            <w:hideMark/>
          </w:tcPr>
          <w:p w:rsidR="000E7C4C" w:rsidRDefault="003C3EA6">
            <w:pPr>
              <w:jc w:val="center"/>
              <w:rPr>
                <w:color w:val="000000"/>
                <w:szCs w:val="24"/>
                <w:lang w:eastAsia="lt-LT"/>
              </w:rPr>
            </w:pPr>
            <w:r>
              <w:rPr>
                <w:color w:val="000000"/>
                <w:szCs w:val="24"/>
                <w:lang w:eastAsia="lt-LT"/>
              </w:rPr>
              <w:t>2020</w:t>
            </w:r>
          </w:p>
        </w:tc>
        <w:tc>
          <w:tcPr>
            <w:tcW w:w="85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tcMar>
              <w:top w:w="28" w:type="dxa"/>
              <w:left w:w="0" w:type="dxa"/>
              <w:bottom w:w="28" w:type="dxa"/>
              <w:right w:w="0" w:type="dxa"/>
            </w:tcMar>
            <w:hideMark/>
          </w:tcPr>
          <w:p w:rsidR="000E7C4C" w:rsidRDefault="003C3EA6">
            <w:pPr>
              <w:jc w:val="center"/>
              <w:rPr>
                <w:color w:val="000000"/>
                <w:szCs w:val="24"/>
                <w:lang w:eastAsia="lt-LT"/>
              </w:rPr>
            </w:pPr>
            <w:r>
              <w:rPr>
                <w:color w:val="000000"/>
                <w:szCs w:val="24"/>
                <w:lang w:eastAsia="lt-LT"/>
              </w:rPr>
              <w:t>2025</w:t>
            </w:r>
          </w:p>
        </w:tc>
        <w:tc>
          <w:tcPr>
            <w:tcW w:w="882"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tcMar>
              <w:top w:w="28" w:type="dxa"/>
              <w:left w:w="0" w:type="dxa"/>
              <w:bottom w:w="28" w:type="dxa"/>
              <w:right w:w="0" w:type="dxa"/>
            </w:tcMar>
            <w:hideMark/>
          </w:tcPr>
          <w:p w:rsidR="000E7C4C" w:rsidRDefault="003C3EA6">
            <w:pPr>
              <w:jc w:val="center"/>
              <w:rPr>
                <w:color w:val="000000"/>
                <w:szCs w:val="24"/>
                <w:lang w:eastAsia="lt-LT"/>
              </w:rPr>
            </w:pPr>
            <w:r>
              <w:rPr>
                <w:color w:val="000000"/>
                <w:szCs w:val="24"/>
                <w:lang w:eastAsia="lt-LT"/>
              </w:rPr>
              <w:t>2030</w:t>
            </w: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bCs/>
                <w:color w:val="000000"/>
                <w:szCs w:val="24"/>
                <w:lang w:eastAsia="en-GB"/>
              </w:rPr>
            </w:pPr>
          </w:p>
        </w:tc>
      </w:tr>
      <w:tr w:rsidR="000E7C4C">
        <w:tc>
          <w:tcPr>
            <w:tcW w:w="341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lang w:eastAsia="lt-LT"/>
              </w:rPr>
            </w:pPr>
            <w:r>
              <w:rPr>
                <w:color w:val="000000"/>
                <w:szCs w:val="24"/>
                <w:lang w:eastAsia="lt-LT"/>
              </w:rPr>
              <w:t>Nacionalinio oro taršos mažinimo plano tikslas – apriboti nacionaliniu mastu iš antropogeninių taršos šaltinių išmetamą sieros dioksido (toliau – SO</w:t>
            </w:r>
            <w:r>
              <w:rPr>
                <w:color w:val="000000"/>
                <w:szCs w:val="24"/>
                <w:vertAlign w:val="subscript"/>
                <w:lang w:eastAsia="lt-LT"/>
              </w:rPr>
              <w:t>2</w:t>
            </w:r>
            <w:r>
              <w:rPr>
                <w:color w:val="000000"/>
                <w:szCs w:val="24"/>
                <w:lang w:eastAsia="lt-LT"/>
              </w:rPr>
              <w:t xml:space="preserve">), azoto oksidų (toliau – </w:t>
            </w:r>
            <w:proofErr w:type="spellStart"/>
            <w:r>
              <w:rPr>
                <w:color w:val="000000"/>
                <w:szCs w:val="24"/>
                <w:lang w:eastAsia="lt-LT"/>
              </w:rPr>
              <w:t>NO</w:t>
            </w:r>
            <w:r>
              <w:rPr>
                <w:color w:val="000000"/>
                <w:szCs w:val="24"/>
                <w:vertAlign w:val="subscript"/>
                <w:lang w:eastAsia="lt-LT"/>
              </w:rPr>
              <w:t>x</w:t>
            </w:r>
            <w:proofErr w:type="spellEnd"/>
            <w:r>
              <w:rPr>
                <w:color w:val="000000"/>
                <w:szCs w:val="24"/>
                <w:lang w:eastAsia="lt-LT"/>
              </w:rPr>
              <w:t>), amoniako (toliau – NH</w:t>
            </w:r>
            <w:r>
              <w:rPr>
                <w:color w:val="000000"/>
                <w:szCs w:val="24"/>
                <w:vertAlign w:val="subscript"/>
                <w:lang w:eastAsia="lt-LT"/>
              </w:rPr>
              <w:t>3</w:t>
            </w:r>
            <w:r>
              <w:rPr>
                <w:color w:val="000000"/>
                <w:szCs w:val="24"/>
                <w:lang w:eastAsia="lt-LT"/>
              </w:rPr>
              <w:t>), smulkiųjų kietųjų dalelių (toliau – KD</w:t>
            </w:r>
            <w:r>
              <w:rPr>
                <w:color w:val="000000"/>
                <w:szCs w:val="24"/>
                <w:vertAlign w:val="subscript"/>
                <w:lang w:eastAsia="lt-LT"/>
              </w:rPr>
              <w:t>2,5</w:t>
            </w:r>
            <w:r>
              <w:rPr>
                <w:color w:val="000000"/>
                <w:szCs w:val="24"/>
                <w:lang w:eastAsia="lt-LT"/>
              </w:rPr>
              <w:t>) ir nemetaninių lakiųjų organinių junginių (toliau – NMLOJ) kiekį, kad būtų laikomasi  Aplinkos apsaugos strategijoje Lietuvai nustatytų 2020 m. tikslų ir 2030 m. tikslų, taip pat siekiant valdyti nacionaliniu mastu iš antropogeninių taršos šaltinių išmetamų kitų oro teršalų kiekį, kad  nebūtų viršijamas ataskaitiniais 1990 m. išmestas kiekvieno jų kiekis.</w:t>
            </w:r>
          </w:p>
        </w:tc>
        <w:tc>
          <w:tcPr>
            <w:tcW w:w="2544" w:type="dxa"/>
            <w:tcBorders>
              <w:top w:val="single" w:sz="4" w:space="0" w:color="auto"/>
              <w:left w:val="single" w:sz="4" w:space="0" w:color="auto"/>
              <w:bottom w:val="single" w:sz="4" w:space="0" w:color="auto"/>
              <w:right w:val="single" w:sz="4" w:space="0" w:color="auto"/>
            </w:tcBorders>
          </w:tcPr>
          <w:p w:rsidR="000E7C4C" w:rsidRDefault="000E7C4C">
            <w:pPr>
              <w:rPr>
                <w:color w:val="000000"/>
                <w:szCs w:val="24"/>
                <w:lang w:eastAsia="lt-LT"/>
              </w:rPr>
            </w:pPr>
          </w:p>
        </w:tc>
        <w:tc>
          <w:tcPr>
            <w:tcW w:w="2971" w:type="dxa"/>
            <w:tcBorders>
              <w:top w:val="single" w:sz="4" w:space="0" w:color="auto"/>
              <w:left w:val="single" w:sz="4" w:space="0" w:color="auto"/>
              <w:bottom w:val="single" w:sz="4" w:space="0" w:color="auto"/>
              <w:right w:val="single" w:sz="4" w:space="0" w:color="auto"/>
            </w:tcBorders>
          </w:tcPr>
          <w:p w:rsidR="000E7C4C" w:rsidRDefault="000E7C4C">
            <w:pPr>
              <w:rPr>
                <w:color w:val="000000"/>
                <w:szCs w:val="24"/>
                <w:lang w:eastAsia="lt-LT"/>
              </w:rPr>
            </w:pPr>
          </w:p>
        </w:tc>
        <w:tc>
          <w:tcPr>
            <w:tcW w:w="85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tcPr>
          <w:p w:rsidR="000E7C4C" w:rsidRDefault="000E7C4C">
            <w:pPr>
              <w:jc w:val="center"/>
              <w:rPr>
                <w:color w:val="000000"/>
                <w:szCs w:val="24"/>
                <w:lang w:eastAsia="lt-LT"/>
              </w:rPr>
            </w:pPr>
          </w:p>
        </w:tc>
        <w:tc>
          <w:tcPr>
            <w:tcW w:w="85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tcPr>
          <w:p w:rsidR="000E7C4C" w:rsidRDefault="000E7C4C">
            <w:pPr>
              <w:jc w:val="center"/>
              <w:rPr>
                <w:color w:val="000000"/>
                <w:szCs w:val="24"/>
                <w:lang w:eastAsia="lt-LT"/>
              </w:rPr>
            </w:pPr>
          </w:p>
        </w:tc>
        <w:tc>
          <w:tcPr>
            <w:tcW w:w="850" w:type="dxa"/>
            <w:gridSpan w:val="3"/>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tcPr>
          <w:p w:rsidR="000E7C4C" w:rsidRDefault="000E7C4C">
            <w:pPr>
              <w:jc w:val="center"/>
              <w:rPr>
                <w:color w:val="000000"/>
                <w:szCs w:val="24"/>
                <w:lang w:eastAsia="lt-LT"/>
              </w:rPr>
            </w:pPr>
          </w:p>
        </w:tc>
        <w:tc>
          <w:tcPr>
            <w:tcW w:w="882" w:type="dxa"/>
            <w:gridSpan w:val="2"/>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tcPr>
          <w:p w:rsidR="000E7C4C" w:rsidRDefault="000E7C4C">
            <w:pPr>
              <w:jc w:val="center"/>
              <w:rPr>
                <w:color w:val="000000"/>
                <w:szCs w:val="24"/>
                <w:lang w:eastAsia="lt-LT"/>
              </w:rPr>
            </w:pPr>
          </w:p>
        </w:tc>
        <w:tc>
          <w:tcPr>
            <w:tcW w:w="2275" w:type="dxa"/>
            <w:tcBorders>
              <w:top w:val="single" w:sz="4" w:space="0" w:color="auto"/>
              <w:left w:val="single" w:sz="4" w:space="0" w:color="auto"/>
              <w:bottom w:val="single" w:sz="4" w:space="0" w:color="auto"/>
              <w:right w:val="single" w:sz="4" w:space="0" w:color="auto"/>
            </w:tcBorders>
          </w:tcPr>
          <w:p w:rsidR="000E7C4C" w:rsidRDefault="000E7C4C">
            <w:pPr>
              <w:rPr>
                <w:color w:val="000000"/>
                <w:szCs w:val="24"/>
                <w:lang w:eastAsia="lt-LT"/>
              </w:rPr>
            </w:pPr>
          </w:p>
        </w:tc>
      </w:tr>
      <w:tr w:rsidR="000E7C4C">
        <w:tc>
          <w:tcPr>
            <w:tcW w:w="3418"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lang w:eastAsia="lt-LT"/>
              </w:rPr>
            </w:pPr>
            <w:r>
              <w:rPr>
                <w:color w:val="000000"/>
                <w:szCs w:val="24"/>
                <w:lang w:eastAsia="lt-LT"/>
              </w:rPr>
              <w:t>1. Sumažinti taršą SO</w:t>
            </w:r>
            <w:r>
              <w:rPr>
                <w:color w:val="000000"/>
                <w:szCs w:val="24"/>
                <w:vertAlign w:val="subscript"/>
                <w:lang w:eastAsia="lt-LT"/>
              </w:rPr>
              <w:t>2</w:t>
            </w:r>
            <w:r>
              <w:rPr>
                <w:color w:val="000000"/>
                <w:szCs w:val="24"/>
                <w:lang w:eastAsia="lt-LT"/>
              </w:rPr>
              <w:t xml:space="preserve">, </w:t>
            </w:r>
            <w:proofErr w:type="spellStart"/>
            <w:r>
              <w:rPr>
                <w:color w:val="000000"/>
                <w:szCs w:val="24"/>
                <w:lang w:eastAsia="lt-LT"/>
              </w:rPr>
              <w:t>NO</w:t>
            </w:r>
            <w:r>
              <w:rPr>
                <w:color w:val="000000"/>
                <w:szCs w:val="24"/>
                <w:vertAlign w:val="subscript"/>
                <w:lang w:eastAsia="lt-LT"/>
              </w:rPr>
              <w:t>x</w:t>
            </w:r>
            <w:proofErr w:type="spellEnd"/>
            <w:r>
              <w:rPr>
                <w:color w:val="000000"/>
                <w:szCs w:val="24"/>
                <w:lang w:eastAsia="lt-LT"/>
              </w:rPr>
              <w:t>, NH</w:t>
            </w:r>
            <w:r>
              <w:rPr>
                <w:color w:val="000000"/>
                <w:szCs w:val="24"/>
                <w:vertAlign w:val="subscript"/>
                <w:lang w:eastAsia="lt-LT"/>
              </w:rPr>
              <w:t>3</w:t>
            </w:r>
            <w:r>
              <w:rPr>
                <w:color w:val="000000"/>
                <w:szCs w:val="24"/>
                <w:lang w:eastAsia="lt-LT"/>
              </w:rPr>
              <w:t>, KD</w:t>
            </w:r>
            <w:r>
              <w:rPr>
                <w:color w:val="000000"/>
                <w:szCs w:val="24"/>
                <w:vertAlign w:val="subscript"/>
                <w:lang w:eastAsia="lt-LT"/>
              </w:rPr>
              <w:t>2,5</w:t>
            </w:r>
            <w:r>
              <w:rPr>
                <w:color w:val="000000"/>
                <w:szCs w:val="24"/>
                <w:lang w:eastAsia="lt-LT"/>
              </w:rPr>
              <w:t xml:space="preserve"> ir NMLOJ, didžiausią dėmesį skiriant taršos mažinimui iš pagrindinių teršėjų</w:t>
            </w:r>
          </w:p>
        </w:tc>
        <w:tc>
          <w:tcPr>
            <w:tcW w:w="2544"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lang w:eastAsia="lt-LT"/>
              </w:rPr>
            </w:pPr>
            <w:r>
              <w:rPr>
                <w:color w:val="000000"/>
                <w:szCs w:val="24"/>
                <w:lang w:eastAsia="lt-LT"/>
              </w:rPr>
              <w:t>1.1. sumažinti taršą SO</w:t>
            </w:r>
            <w:r>
              <w:rPr>
                <w:color w:val="000000"/>
                <w:szCs w:val="24"/>
                <w:vertAlign w:val="subscript"/>
                <w:lang w:eastAsia="lt-LT"/>
              </w:rPr>
              <w:t>2</w:t>
            </w:r>
            <w:r>
              <w:rPr>
                <w:color w:val="000000"/>
                <w:szCs w:val="24"/>
                <w:lang w:eastAsia="lt-LT"/>
              </w:rPr>
              <w:t>, didžiausią dėmesį skiriant taršos sumažinimui pramonės, viešosios elektros energijos ir šilumos gamybos sektoriuose</w:t>
            </w: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lang w:eastAsia="lt-LT"/>
              </w:rPr>
            </w:pPr>
            <w:r>
              <w:rPr>
                <w:color w:val="000000"/>
                <w:szCs w:val="24"/>
                <w:lang w:eastAsia="lt-LT"/>
              </w:rPr>
              <w:t>Išmetamo SO</w:t>
            </w:r>
            <w:r>
              <w:rPr>
                <w:color w:val="000000"/>
                <w:szCs w:val="24"/>
                <w:vertAlign w:val="subscript"/>
                <w:lang w:eastAsia="lt-LT"/>
              </w:rPr>
              <w:t>2</w:t>
            </w:r>
            <w:r>
              <w:rPr>
                <w:color w:val="000000"/>
                <w:szCs w:val="24"/>
                <w:lang w:eastAsia="lt-LT"/>
              </w:rPr>
              <w:t xml:space="preserve"> kiekio pokytis, palyginti su 2005 m. išmestu kiekiu, proc. </w:t>
            </w:r>
          </w:p>
        </w:tc>
        <w:tc>
          <w:tcPr>
            <w:tcW w:w="85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lang w:eastAsia="lt-LT"/>
              </w:rPr>
            </w:pPr>
            <w:r>
              <w:rPr>
                <w:color w:val="000000"/>
                <w:szCs w:val="24"/>
                <w:lang w:eastAsia="lt-LT"/>
              </w:rPr>
              <w:t>-41,1</w:t>
            </w:r>
          </w:p>
        </w:tc>
        <w:tc>
          <w:tcPr>
            <w:tcW w:w="85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lang w:eastAsia="lt-LT"/>
              </w:rPr>
            </w:pPr>
            <w:r>
              <w:rPr>
                <w:color w:val="000000"/>
                <w:szCs w:val="24"/>
                <w:lang w:eastAsia="lt-LT"/>
              </w:rPr>
              <w:t>-55</w:t>
            </w:r>
          </w:p>
        </w:tc>
        <w:tc>
          <w:tcPr>
            <w:tcW w:w="850" w:type="dxa"/>
            <w:gridSpan w:val="3"/>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lang w:eastAsia="lt-LT"/>
              </w:rPr>
            </w:pPr>
            <w:r>
              <w:rPr>
                <w:color w:val="000000"/>
                <w:szCs w:val="24"/>
                <w:lang w:eastAsia="lt-LT"/>
              </w:rPr>
              <w:t>-57,5</w:t>
            </w:r>
          </w:p>
        </w:tc>
        <w:tc>
          <w:tcPr>
            <w:tcW w:w="882" w:type="dxa"/>
            <w:gridSpan w:val="2"/>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lang w:eastAsia="lt-LT"/>
              </w:rPr>
            </w:pPr>
            <w:r>
              <w:rPr>
                <w:color w:val="000000"/>
                <w:szCs w:val="24"/>
                <w:lang w:eastAsia="lt-LT"/>
              </w:rPr>
              <w:t>-60</w:t>
            </w:r>
          </w:p>
        </w:tc>
        <w:tc>
          <w:tcPr>
            <w:tcW w:w="2275"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lang w:eastAsia="lt-LT"/>
              </w:rPr>
            </w:pPr>
            <w:r>
              <w:rPr>
                <w:color w:val="000000"/>
                <w:szCs w:val="24"/>
                <w:lang w:eastAsia="lt-LT"/>
              </w:rPr>
              <w:t>Aplinkos apsaugos agentūra</w:t>
            </w:r>
          </w:p>
        </w:tc>
      </w:tr>
      <w:tr w:rsidR="000E7C4C">
        <w:tc>
          <w:tcPr>
            <w:tcW w:w="3418"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lang w:eastAsia="lt-LT"/>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lang w:eastAsia="lt-LT"/>
              </w:rPr>
            </w:pP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lang w:eastAsia="lt-LT"/>
              </w:rPr>
            </w:pPr>
            <w:r>
              <w:rPr>
                <w:color w:val="000000"/>
                <w:szCs w:val="24"/>
                <w:lang w:eastAsia="lt-LT"/>
              </w:rPr>
              <w:t>Išmestas SO</w:t>
            </w:r>
            <w:r>
              <w:rPr>
                <w:color w:val="000000"/>
                <w:szCs w:val="24"/>
                <w:vertAlign w:val="subscript"/>
                <w:lang w:eastAsia="lt-LT"/>
              </w:rPr>
              <w:t>2</w:t>
            </w:r>
            <w:r>
              <w:rPr>
                <w:color w:val="000000"/>
                <w:szCs w:val="24"/>
                <w:lang w:eastAsia="lt-LT"/>
              </w:rPr>
              <w:t xml:space="preserve"> kiekis, </w:t>
            </w:r>
            <w:proofErr w:type="spellStart"/>
            <w:r>
              <w:rPr>
                <w:color w:val="000000"/>
                <w:szCs w:val="24"/>
                <w:lang w:eastAsia="lt-LT"/>
              </w:rPr>
              <w:t>kt</w:t>
            </w:r>
            <w:proofErr w:type="spellEnd"/>
            <w:r>
              <w:rPr>
                <w:color w:val="000000"/>
                <w:szCs w:val="24"/>
                <w:lang w:eastAsia="lt-LT"/>
              </w:rPr>
              <w:t xml:space="preserve"> (2005 m. – 30,9 </w:t>
            </w:r>
            <w:proofErr w:type="spellStart"/>
            <w:r>
              <w:rPr>
                <w:color w:val="000000"/>
                <w:szCs w:val="24"/>
                <w:lang w:eastAsia="lt-LT"/>
              </w:rPr>
              <w:t>kt</w:t>
            </w:r>
            <w:proofErr w:type="spellEnd"/>
            <w:r>
              <w:rPr>
                <w:color w:val="000000"/>
                <w:szCs w:val="24"/>
                <w:lang w:eastAsia="lt-LT"/>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lang w:eastAsia="lt-LT"/>
              </w:rPr>
            </w:pPr>
            <w:r>
              <w:rPr>
                <w:color w:val="000000"/>
                <w:szCs w:val="24"/>
                <w:lang w:eastAsia="lt-LT"/>
              </w:rPr>
              <w:t>18,2</w:t>
            </w:r>
          </w:p>
        </w:tc>
        <w:tc>
          <w:tcPr>
            <w:tcW w:w="85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lang w:eastAsia="lt-LT"/>
              </w:rPr>
            </w:pPr>
            <w:r>
              <w:rPr>
                <w:color w:val="000000"/>
                <w:szCs w:val="24"/>
                <w:lang w:eastAsia="lt-LT"/>
              </w:rPr>
              <w:t>13,9</w:t>
            </w:r>
          </w:p>
        </w:tc>
        <w:tc>
          <w:tcPr>
            <w:tcW w:w="850" w:type="dxa"/>
            <w:gridSpan w:val="3"/>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lang w:eastAsia="lt-LT"/>
              </w:rPr>
            </w:pPr>
            <w:r>
              <w:rPr>
                <w:color w:val="000000"/>
                <w:szCs w:val="24"/>
                <w:lang w:eastAsia="lt-LT"/>
              </w:rPr>
              <w:t>13,1</w:t>
            </w:r>
          </w:p>
        </w:tc>
        <w:tc>
          <w:tcPr>
            <w:tcW w:w="882" w:type="dxa"/>
            <w:gridSpan w:val="2"/>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lang w:eastAsia="lt-LT"/>
              </w:rPr>
            </w:pPr>
            <w:r>
              <w:rPr>
                <w:color w:val="000000"/>
                <w:szCs w:val="24"/>
                <w:lang w:eastAsia="lt-LT"/>
              </w:rPr>
              <w:t>12,36</w:t>
            </w: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lang w:eastAsia="lt-LT"/>
              </w:rPr>
            </w:pPr>
          </w:p>
        </w:tc>
      </w:tr>
      <w:tr w:rsidR="000E7C4C">
        <w:tc>
          <w:tcPr>
            <w:tcW w:w="3418"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lang w:eastAsia="lt-LT"/>
              </w:rPr>
            </w:pPr>
          </w:p>
        </w:tc>
        <w:tc>
          <w:tcPr>
            <w:tcW w:w="2544"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lang w:eastAsia="lt-LT"/>
              </w:rPr>
            </w:pPr>
            <w:r>
              <w:rPr>
                <w:color w:val="000000"/>
                <w:szCs w:val="24"/>
                <w:lang w:eastAsia="lt-LT"/>
              </w:rPr>
              <w:t xml:space="preserve">1.2. sumažinti taršą </w:t>
            </w:r>
            <w:proofErr w:type="spellStart"/>
            <w:r>
              <w:rPr>
                <w:color w:val="000000"/>
                <w:szCs w:val="24"/>
                <w:lang w:eastAsia="lt-LT"/>
              </w:rPr>
              <w:t>NO</w:t>
            </w:r>
            <w:r>
              <w:rPr>
                <w:color w:val="000000"/>
                <w:szCs w:val="24"/>
                <w:vertAlign w:val="subscript"/>
                <w:lang w:eastAsia="lt-LT"/>
              </w:rPr>
              <w:t>x</w:t>
            </w:r>
            <w:proofErr w:type="spellEnd"/>
            <w:r>
              <w:rPr>
                <w:color w:val="000000"/>
                <w:szCs w:val="24"/>
                <w:lang w:eastAsia="lt-LT"/>
              </w:rPr>
              <w:t xml:space="preserve">, didžiausią dėmesį skiriant  taršos sumažinimui transporto sektoriuje  </w:t>
            </w: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lang w:eastAsia="lt-LT"/>
              </w:rPr>
            </w:pPr>
            <w:r>
              <w:rPr>
                <w:color w:val="000000"/>
                <w:szCs w:val="24"/>
                <w:lang w:eastAsia="lt-LT"/>
              </w:rPr>
              <w:t xml:space="preserve">Išmetamų </w:t>
            </w:r>
            <w:proofErr w:type="spellStart"/>
            <w:r>
              <w:rPr>
                <w:color w:val="000000"/>
                <w:szCs w:val="24"/>
                <w:lang w:eastAsia="lt-LT"/>
              </w:rPr>
              <w:t>NO</w:t>
            </w:r>
            <w:r>
              <w:rPr>
                <w:color w:val="000000"/>
                <w:szCs w:val="24"/>
                <w:vertAlign w:val="subscript"/>
                <w:lang w:eastAsia="lt-LT"/>
              </w:rPr>
              <w:t>x</w:t>
            </w:r>
            <w:proofErr w:type="spellEnd"/>
            <w:r>
              <w:rPr>
                <w:color w:val="000000"/>
                <w:szCs w:val="24"/>
                <w:lang w:eastAsia="lt-LT"/>
              </w:rPr>
              <w:t xml:space="preserve"> kiekio pokytis, palyginti su 2005 m. išmestu kiekiu, proc. </w:t>
            </w:r>
          </w:p>
        </w:tc>
        <w:tc>
          <w:tcPr>
            <w:tcW w:w="85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-8,8</w:t>
            </w:r>
          </w:p>
        </w:tc>
        <w:tc>
          <w:tcPr>
            <w:tcW w:w="85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-48</w:t>
            </w:r>
          </w:p>
        </w:tc>
        <w:tc>
          <w:tcPr>
            <w:tcW w:w="850" w:type="dxa"/>
            <w:gridSpan w:val="3"/>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-49,5</w:t>
            </w:r>
          </w:p>
        </w:tc>
        <w:tc>
          <w:tcPr>
            <w:tcW w:w="882" w:type="dxa"/>
            <w:gridSpan w:val="2"/>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-51</w:t>
            </w:r>
          </w:p>
        </w:tc>
        <w:tc>
          <w:tcPr>
            <w:tcW w:w="2275" w:type="dxa"/>
            <w:vMerge w:val="restart"/>
            <w:tcBorders>
              <w:top w:val="single" w:sz="4" w:space="0" w:color="auto"/>
              <w:left w:val="single" w:sz="4" w:space="0" w:color="auto"/>
              <w:bottom w:val="single" w:sz="4" w:space="0" w:color="auto"/>
              <w:right w:val="single" w:sz="4" w:space="0" w:color="auto"/>
            </w:tcBorders>
          </w:tcPr>
          <w:p w:rsidR="000E7C4C" w:rsidRDefault="003C3EA6">
            <w:pPr>
              <w:rPr>
                <w:color w:val="000000"/>
                <w:szCs w:val="24"/>
                <w:lang w:eastAsia="lt-LT"/>
              </w:rPr>
            </w:pPr>
            <w:r>
              <w:rPr>
                <w:color w:val="000000"/>
                <w:szCs w:val="24"/>
                <w:lang w:eastAsia="lt-LT"/>
              </w:rPr>
              <w:t>Aplinkos apsaugos agentūra</w:t>
            </w:r>
          </w:p>
          <w:p w:rsidR="000E7C4C" w:rsidRDefault="000E7C4C">
            <w:pPr>
              <w:rPr>
                <w:color w:val="000000"/>
                <w:szCs w:val="24"/>
                <w:lang w:eastAsia="lt-LT"/>
              </w:rPr>
            </w:pPr>
          </w:p>
        </w:tc>
      </w:tr>
      <w:tr w:rsidR="000E7C4C">
        <w:trPr>
          <w:trHeight w:val="683"/>
        </w:trPr>
        <w:tc>
          <w:tcPr>
            <w:tcW w:w="3418"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lang w:eastAsia="lt-LT"/>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lang w:eastAsia="lt-LT"/>
              </w:rPr>
            </w:pP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lang w:eastAsia="lt-LT"/>
              </w:rPr>
            </w:pPr>
            <w:r>
              <w:rPr>
                <w:color w:val="000000"/>
                <w:szCs w:val="24"/>
                <w:lang w:eastAsia="lt-LT"/>
              </w:rPr>
              <w:t xml:space="preserve">Išmestas </w:t>
            </w:r>
            <w:proofErr w:type="spellStart"/>
            <w:r>
              <w:rPr>
                <w:color w:val="000000"/>
                <w:szCs w:val="24"/>
                <w:lang w:eastAsia="lt-LT"/>
              </w:rPr>
              <w:t>NO</w:t>
            </w:r>
            <w:r>
              <w:rPr>
                <w:color w:val="000000"/>
                <w:szCs w:val="24"/>
                <w:vertAlign w:val="subscript"/>
                <w:lang w:eastAsia="lt-LT"/>
              </w:rPr>
              <w:t>x</w:t>
            </w:r>
            <w:proofErr w:type="spellEnd"/>
            <w:r>
              <w:rPr>
                <w:color w:val="000000"/>
                <w:szCs w:val="24"/>
                <w:lang w:eastAsia="lt-LT"/>
              </w:rPr>
              <w:t xml:space="preserve"> kiekis, </w:t>
            </w:r>
            <w:proofErr w:type="spellStart"/>
            <w:r>
              <w:rPr>
                <w:color w:val="000000"/>
                <w:szCs w:val="24"/>
                <w:lang w:eastAsia="lt-LT"/>
              </w:rPr>
              <w:t>kt</w:t>
            </w:r>
            <w:proofErr w:type="spellEnd"/>
            <w:r>
              <w:rPr>
                <w:color w:val="000000"/>
                <w:szCs w:val="24"/>
                <w:lang w:eastAsia="lt-LT"/>
              </w:rPr>
              <w:t xml:space="preserve"> (2005 m. – 60,3 </w:t>
            </w:r>
            <w:proofErr w:type="spellStart"/>
            <w:r>
              <w:rPr>
                <w:color w:val="000000"/>
                <w:szCs w:val="24"/>
                <w:lang w:eastAsia="lt-LT"/>
              </w:rPr>
              <w:t>kt</w:t>
            </w:r>
            <w:proofErr w:type="spellEnd"/>
            <w:r>
              <w:rPr>
                <w:color w:val="000000"/>
                <w:szCs w:val="24"/>
                <w:lang w:eastAsia="lt-LT"/>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55</w:t>
            </w:r>
          </w:p>
        </w:tc>
        <w:tc>
          <w:tcPr>
            <w:tcW w:w="85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31,36</w:t>
            </w:r>
          </w:p>
        </w:tc>
        <w:tc>
          <w:tcPr>
            <w:tcW w:w="850" w:type="dxa"/>
            <w:gridSpan w:val="3"/>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30,45</w:t>
            </w:r>
          </w:p>
        </w:tc>
        <w:tc>
          <w:tcPr>
            <w:tcW w:w="882" w:type="dxa"/>
            <w:gridSpan w:val="2"/>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29,55</w:t>
            </w: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lang w:eastAsia="lt-LT"/>
              </w:rPr>
            </w:pPr>
          </w:p>
        </w:tc>
      </w:tr>
      <w:tr w:rsidR="000E7C4C">
        <w:trPr>
          <w:trHeight w:val="629"/>
        </w:trPr>
        <w:tc>
          <w:tcPr>
            <w:tcW w:w="3418"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lang w:eastAsia="lt-LT"/>
              </w:rPr>
            </w:pPr>
          </w:p>
        </w:tc>
        <w:tc>
          <w:tcPr>
            <w:tcW w:w="2544"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lang w:eastAsia="lt-LT"/>
              </w:rPr>
            </w:pPr>
            <w:r>
              <w:rPr>
                <w:color w:val="000000"/>
                <w:szCs w:val="24"/>
                <w:lang w:eastAsia="lt-LT"/>
              </w:rPr>
              <w:t>1.3. sumažinti taršą NMLOJ, didžiausią dėmesį skiriant taršos sumažinimui naftos perdirbimo, naftos produktų saugojimo ir paskirstymo sektoriuje, namų ūkiuose.</w:t>
            </w: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lang w:eastAsia="lt-LT"/>
              </w:rPr>
            </w:pPr>
            <w:r>
              <w:rPr>
                <w:color w:val="000000"/>
                <w:szCs w:val="24"/>
                <w:lang w:eastAsia="lt-LT"/>
              </w:rPr>
              <w:t xml:space="preserve">Išmetamų NMLOJ kiekio pokytis, palyginti su 2005 m. išmestu kiekiu, proc. </w:t>
            </w:r>
          </w:p>
        </w:tc>
        <w:tc>
          <w:tcPr>
            <w:tcW w:w="85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-20,9</w:t>
            </w:r>
          </w:p>
        </w:tc>
        <w:tc>
          <w:tcPr>
            <w:tcW w:w="85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-32</w:t>
            </w:r>
          </w:p>
        </w:tc>
        <w:tc>
          <w:tcPr>
            <w:tcW w:w="850" w:type="dxa"/>
            <w:gridSpan w:val="3"/>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-39,5</w:t>
            </w:r>
          </w:p>
        </w:tc>
        <w:tc>
          <w:tcPr>
            <w:tcW w:w="882" w:type="dxa"/>
            <w:gridSpan w:val="2"/>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-47</w:t>
            </w:r>
          </w:p>
        </w:tc>
        <w:tc>
          <w:tcPr>
            <w:tcW w:w="2275" w:type="dxa"/>
            <w:vMerge w:val="restart"/>
            <w:tcBorders>
              <w:top w:val="single" w:sz="4" w:space="0" w:color="auto"/>
              <w:left w:val="single" w:sz="4" w:space="0" w:color="auto"/>
              <w:bottom w:val="single" w:sz="4" w:space="0" w:color="auto"/>
              <w:right w:val="single" w:sz="4" w:space="0" w:color="auto"/>
            </w:tcBorders>
          </w:tcPr>
          <w:p w:rsidR="000E7C4C" w:rsidRDefault="003C3EA6">
            <w:pPr>
              <w:rPr>
                <w:color w:val="000000"/>
                <w:szCs w:val="24"/>
                <w:lang w:eastAsia="lt-LT"/>
              </w:rPr>
            </w:pPr>
            <w:r>
              <w:rPr>
                <w:color w:val="000000"/>
                <w:szCs w:val="24"/>
                <w:lang w:eastAsia="lt-LT"/>
              </w:rPr>
              <w:t>Aplinkos apsaugos agentūra</w:t>
            </w:r>
          </w:p>
          <w:p w:rsidR="000E7C4C" w:rsidRDefault="000E7C4C">
            <w:pPr>
              <w:rPr>
                <w:strike/>
                <w:color w:val="000000"/>
                <w:szCs w:val="24"/>
              </w:rPr>
            </w:pPr>
          </w:p>
          <w:p w:rsidR="000E7C4C" w:rsidRDefault="000E7C4C">
            <w:pPr>
              <w:rPr>
                <w:color w:val="000000"/>
                <w:szCs w:val="24"/>
                <w:lang w:eastAsia="lt-LT"/>
              </w:rPr>
            </w:pPr>
          </w:p>
        </w:tc>
      </w:tr>
      <w:tr w:rsidR="000E7C4C">
        <w:trPr>
          <w:trHeight w:val="884"/>
        </w:trPr>
        <w:tc>
          <w:tcPr>
            <w:tcW w:w="3418"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lang w:eastAsia="lt-LT"/>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lang w:eastAsia="lt-LT"/>
              </w:rPr>
            </w:pPr>
          </w:p>
        </w:tc>
        <w:tc>
          <w:tcPr>
            <w:tcW w:w="2971" w:type="dxa"/>
            <w:tcBorders>
              <w:top w:val="single" w:sz="4" w:space="0" w:color="auto"/>
              <w:left w:val="single" w:sz="4" w:space="0" w:color="auto"/>
              <w:bottom w:val="single" w:sz="4" w:space="0" w:color="auto"/>
              <w:right w:val="single" w:sz="4" w:space="0" w:color="auto"/>
            </w:tcBorders>
          </w:tcPr>
          <w:p w:rsidR="000E7C4C" w:rsidRDefault="003C3EA6">
            <w:pPr>
              <w:rPr>
                <w:color w:val="000000"/>
                <w:szCs w:val="24"/>
                <w:lang w:eastAsia="lt-LT"/>
              </w:rPr>
            </w:pPr>
            <w:r>
              <w:rPr>
                <w:color w:val="000000"/>
                <w:szCs w:val="24"/>
                <w:lang w:eastAsia="lt-LT"/>
              </w:rPr>
              <w:t xml:space="preserve">Išmestas NMLOJ kiekis, </w:t>
            </w:r>
            <w:proofErr w:type="spellStart"/>
            <w:r>
              <w:rPr>
                <w:color w:val="000000"/>
                <w:szCs w:val="24"/>
                <w:lang w:eastAsia="lt-LT"/>
              </w:rPr>
              <w:t>kt</w:t>
            </w:r>
            <w:proofErr w:type="spellEnd"/>
            <w:r>
              <w:rPr>
                <w:color w:val="000000"/>
                <w:szCs w:val="24"/>
                <w:lang w:eastAsia="lt-LT"/>
              </w:rPr>
              <w:t xml:space="preserve"> (2005 m. – 75,1 </w:t>
            </w:r>
            <w:proofErr w:type="spellStart"/>
            <w:r>
              <w:rPr>
                <w:color w:val="000000"/>
                <w:szCs w:val="24"/>
                <w:lang w:eastAsia="lt-LT"/>
              </w:rPr>
              <w:t>kt</w:t>
            </w:r>
            <w:proofErr w:type="spellEnd"/>
            <w:r>
              <w:rPr>
                <w:color w:val="000000"/>
                <w:szCs w:val="24"/>
                <w:lang w:eastAsia="lt-LT"/>
              </w:rPr>
              <w:t>)</w:t>
            </w:r>
          </w:p>
          <w:p w:rsidR="000E7C4C" w:rsidRDefault="000E7C4C">
            <w:pPr>
              <w:tabs>
                <w:tab w:val="num" w:pos="360"/>
              </w:tabs>
              <w:spacing w:line="360" w:lineRule="atLeast"/>
              <w:ind w:firstLine="720"/>
              <w:jc w:val="both"/>
              <w:rPr>
                <w:color w:val="000000"/>
                <w:szCs w:val="24"/>
                <w:lang w:eastAsia="lt-LT"/>
              </w:rPr>
            </w:pPr>
          </w:p>
        </w:tc>
        <w:tc>
          <w:tcPr>
            <w:tcW w:w="85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59,4</w:t>
            </w:r>
          </w:p>
        </w:tc>
        <w:tc>
          <w:tcPr>
            <w:tcW w:w="85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51,07</w:t>
            </w:r>
          </w:p>
        </w:tc>
        <w:tc>
          <w:tcPr>
            <w:tcW w:w="850" w:type="dxa"/>
            <w:gridSpan w:val="3"/>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45,44</w:t>
            </w:r>
          </w:p>
        </w:tc>
        <w:tc>
          <w:tcPr>
            <w:tcW w:w="882" w:type="dxa"/>
            <w:gridSpan w:val="2"/>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39,75</w:t>
            </w: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lang w:eastAsia="lt-LT"/>
              </w:rPr>
            </w:pPr>
          </w:p>
        </w:tc>
      </w:tr>
      <w:tr w:rsidR="000E7C4C">
        <w:tc>
          <w:tcPr>
            <w:tcW w:w="3418"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lang w:eastAsia="lt-LT"/>
              </w:rPr>
            </w:pPr>
          </w:p>
        </w:tc>
        <w:tc>
          <w:tcPr>
            <w:tcW w:w="2544"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rPr>
            </w:pPr>
            <w:r>
              <w:rPr>
                <w:color w:val="000000"/>
                <w:szCs w:val="24"/>
              </w:rPr>
              <w:t>1.4. sumažinti taršą NH</w:t>
            </w:r>
            <w:r>
              <w:rPr>
                <w:color w:val="000000"/>
                <w:szCs w:val="24"/>
                <w:vertAlign w:val="subscript"/>
              </w:rPr>
              <w:t>3</w:t>
            </w:r>
            <w:r>
              <w:rPr>
                <w:color w:val="000000"/>
                <w:szCs w:val="24"/>
              </w:rPr>
              <w:t>, didžiausią dėmesį skiriant  taršos sumažinimui žemės ūkio sektoriuje</w:t>
            </w: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lang w:eastAsia="lt-LT"/>
              </w:rPr>
            </w:pPr>
            <w:r>
              <w:rPr>
                <w:color w:val="000000"/>
                <w:szCs w:val="24"/>
                <w:lang w:eastAsia="lt-LT"/>
              </w:rPr>
              <w:t>Išmetamo NH</w:t>
            </w:r>
            <w:r>
              <w:rPr>
                <w:color w:val="000000"/>
                <w:szCs w:val="24"/>
                <w:vertAlign w:val="subscript"/>
                <w:lang w:eastAsia="lt-LT"/>
              </w:rPr>
              <w:t>3</w:t>
            </w:r>
            <w:r>
              <w:rPr>
                <w:color w:val="000000"/>
                <w:szCs w:val="24"/>
                <w:lang w:eastAsia="lt-LT"/>
              </w:rPr>
              <w:t xml:space="preserve"> kiekio pokytis, palyginti su 2005 m. išmestu kiekiu, proc. </w:t>
            </w:r>
          </w:p>
        </w:tc>
        <w:tc>
          <w:tcPr>
            <w:tcW w:w="85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-10,8</w:t>
            </w:r>
          </w:p>
        </w:tc>
        <w:tc>
          <w:tcPr>
            <w:tcW w:w="85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-10</w:t>
            </w:r>
          </w:p>
        </w:tc>
        <w:tc>
          <w:tcPr>
            <w:tcW w:w="850" w:type="dxa"/>
            <w:gridSpan w:val="3"/>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-10</w:t>
            </w:r>
          </w:p>
        </w:tc>
        <w:tc>
          <w:tcPr>
            <w:tcW w:w="882" w:type="dxa"/>
            <w:gridSpan w:val="2"/>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-10</w:t>
            </w:r>
          </w:p>
        </w:tc>
        <w:tc>
          <w:tcPr>
            <w:tcW w:w="2275" w:type="dxa"/>
            <w:vMerge w:val="restart"/>
            <w:tcBorders>
              <w:top w:val="single" w:sz="4" w:space="0" w:color="auto"/>
              <w:left w:val="single" w:sz="4" w:space="0" w:color="auto"/>
              <w:bottom w:val="single" w:sz="4" w:space="0" w:color="auto"/>
              <w:right w:val="single" w:sz="4" w:space="0" w:color="auto"/>
            </w:tcBorders>
          </w:tcPr>
          <w:p w:rsidR="000E7C4C" w:rsidRDefault="003C3EA6">
            <w:pPr>
              <w:rPr>
                <w:color w:val="000000"/>
                <w:szCs w:val="24"/>
              </w:rPr>
            </w:pPr>
            <w:r>
              <w:rPr>
                <w:color w:val="000000"/>
                <w:szCs w:val="24"/>
              </w:rPr>
              <w:t>Aplinkos apsaugos agentūra</w:t>
            </w:r>
          </w:p>
          <w:p w:rsidR="000E7C4C" w:rsidRDefault="000E7C4C">
            <w:pPr>
              <w:ind w:firstLine="62"/>
              <w:rPr>
                <w:color w:val="000000"/>
                <w:szCs w:val="24"/>
              </w:rPr>
            </w:pPr>
          </w:p>
        </w:tc>
      </w:tr>
      <w:tr w:rsidR="000E7C4C">
        <w:tc>
          <w:tcPr>
            <w:tcW w:w="3418"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lang w:eastAsia="lt-LT"/>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lang w:eastAsia="lt-LT"/>
              </w:rPr>
            </w:pPr>
            <w:r>
              <w:rPr>
                <w:color w:val="000000"/>
                <w:szCs w:val="24"/>
                <w:lang w:eastAsia="lt-LT"/>
              </w:rPr>
              <w:t>Išmestas NH</w:t>
            </w:r>
            <w:r>
              <w:rPr>
                <w:color w:val="000000"/>
                <w:szCs w:val="24"/>
                <w:vertAlign w:val="subscript"/>
                <w:lang w:eastAsia="lt-LT"/>
              </w:rPr>
              <w:t>3</w:t>
            </w:r>
            <w:r>
              <w:rPr>
                <w:color w:val="000000"/>
                <w:szCs w:val="24"/>
                <w:lang w:eastAsia="lt-LT"/>
              </w:rPr>
              <w:t xml:space="preserve"> kiekis, </w:t>
            </w:r>
            <w:proofErr w:type="spellStart"/>
            <w:r>
              <w:rPr>
                <w:color w:val="000000"/>
                <w:szCs w:val="24"/>
                <w:lang w:eastAsia="lt-LT"/>
              </w:rPr>
              <w:t>kt</w:t>
            </w:r>
            <w:proofErr w:type="spellEnd"/>
            <w:r>
              <w:rPr>
                <w:color w:val="000000"/>
                <w:szCs w:val="24"/>
                <w:lang w:eastAsia="lt-LT"/>
              </w:rPr>
              <w:t xml:space="preserve"> (2005 m. – 32,4 </w:t>
            </w:r>
            <w:proofErr w:type="spellStart"/>
            <w:r>
              <w:rPr>
                <w:color w:val="000000"/>
                <w:szCs w:val="24"/>
                <w:lang w:eastAsia="lt-LT"/>
              </w:rPr>
              <w:t>kt</w:t>
            </w:r>
            <w:proofErr w:type="spellEnd"/>
            <w:r>
              <w:rPr>
                <w:color w:val="000000"/>
                <w:szCs w:val="24"/>
                <w:lang w:eastAsia="lt-LT"/>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28,9</w:t>
            </w:r>
          </w:p>
        </w:tc>
        <w:tc>
          <w:tcPr>
            <w:tcW w:w="85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29,16</w:t>
            </w:r>
          </w:p>
        </w:tc>
        <w:tc>
          <w:tcPr>
            <w:tcW w:w="850" w:type="dxa"/>
            <w:gridSpan w:val="3"/>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29,16</w:t>
            </w:r>
          </w:p>
        </w:tc>
        <w:tc>
          <w:tcPr>
            <w:tcW w:w="882" w:type="dxa"/>
            <w:gridSpan w:val="2"/>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29,16</w:t>
            </w: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r>
      <w:tr w:rsidR="000E7C4C">
        <w:tc>
          <w:tcPr>
            <w:tcW w:w="3418"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lang w:eastAsia="lt-LT"/>
              </w:rPr>
            </w:pPr>
          </w:p>
        </w:tc>
        <w:tc>
          <w:tcPr>
            <w:tcW w:w="2544"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color w:val="000000"/>
                <w:szCs w:val="24"/>
              </w:rPr>
            </w:pPr>
            <w:r>
              <w:rPr>
                <w:color w:val="000000"/>
                <w:szCs w:val="24"/>
              </w:rPr>
              <w:t>1.5. sumažinti taršą KD</w:t>
            </w:r>
            <w:r>
              <w:rPr>
                <w:color w:val="000000"/>
                <w:szCs w:val="24"/>
                <w:vertAlign w:val="subscript"/>
              </w:rPr>
              <w:t>2,5</w:t>
            </w:r>
            <w:r>
              <w:rPr>
                <w:color w:val="000000"/>
                <w:szCs w:val="24"/>
              </w:rPr>
              <w:t>, didžiausią dėmesį skiriant taršos sumažinimui iš namų ūkių</w:t>
            </w: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lang w:eastAsia="lt-LT"/>
              </w:rPr>
            </w:pPr>
            <w:r>
              <w:rPr>
                <w:color w:val="000000"/>
                <w:szCs w:val="24"/>
                <w:lang w:eastAsia="lt-LT"/>
              </w:rPr>
              <w:t>Išmetamų KD</w:t>
            </w:r>
            <w:r>
              <w:rPr>
                <w:color w:val="000000"/>
                <w:szCs w:val="24"/>
                <w:vertAlign w:val="subscript"/>
                <w:lang w:eastAsia="lt-LT"/>
              </w:rPr>
              <w:t>2,5</w:t>
            </w:r>
            <w:r>
              <w:rPr>
                <w:color w:val="000000"/>
                <w:szCs w:val="24"/>
                <w:lang w:eastAsia="lt-LT"/>
              </w:rPr>
              <w:t xml:space="preserve"> kiekio pokytis, palyginti su 2005 m. išmestu kiekiu, proc. </w:t>
            </w:r>
          </w:p>
        </w:tc>
        <w:tc>
          <w:tcPr>
            <w:tcW w:w="85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-11,4</w:t>
            </w:r>
          </w:p>
        </w:tc>
        <w:tc>
          <w:tcPr>
            <w:tcW w:w="850" w:type="dxa"/>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-20</w:t>
            </w:r>
          </w:p>
        </w:tc>
        <w:tc>
          <w:tcPr>
            <w:tcW w:w="850" w:type="dxa"/>
            <w:gridSpan w:val="3"/>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-28</w:t>
            </w:r>
          </w:p>
        </w:tc>
        <w:tc>
          <w:tcPr>
            <w:tcW w:w="882" w:type="dxa"/>
            <w:gridSpan w:val="2"/>
            <w:tcBorders>
              <w:top w:val="single" w:sz="4" w:space="0" w:color="auto"/>
              <w:left w:val="single" w:sz="4" w:space="0" w:color="auto"/>
              <w:bottom w:val="single" w:sz="4" w:space="0" w:color="auto"/>
              <w:right w:val="single" w:sz="4" w:space="0" w:color="auto"/>
            </w:tcBorders>
            <w:noWrap/>
            <w:tcMar>
              <w:top w:w="28" w:type="dxa"/>
              <w:left w:w="0" w:type="dxa"/>
              <w:bottom w:w="28" w:type="dxa"/>
              <w:right w:w="0" w:type="dxa"/>
            </w:tcMar>
            <w:hideMark/>
          </w:tcPr>
          <w:p w:rsidR="000E7C4C" w:rsidRDefault="003C3EA6">
            <w:pPr>
              <w:jc w:val="center"/>
              <w:rPr>
                <w:color w:val="000000"/>
                <w:szCs w:val="24"/>
              </w:rPr>
            </w:pPr>
            <w:r>
              <w:rPr>
                <w:color w:val="000000"/>
                <w:szCs w:val="24"/>
              </w:rPr>
              <w:t>-36</w:t>
            </w:r>
          </w:p>
        </w:tc>
        <w:tc>
          <w:tcPr>
            <w:tcW w:w="2275" w:type="dxa"/>
            <w:vMerge w:val="restart"/>
            <w:tcBorders>
              <w:top w:val="single" w:sz="4" w:space="0" w:color="auto"/>
              <w:left w:val="single" w:sz="4" w:space="0" w:color="auto"/>
              <w:bottom w:val="single" w:sz="4" w:space="0" w:color="auto"/>
              <w:right w:val="single" w:sz="4" w:space="0" w:color="auto"/>
            </w:tcBorders>
          </w:tcPr>
          <w:p w:rsidR="000E7C4C" w:rsidRDefault="003C3EA6">
            <w:pPr>
              <w:rPr>
                <w:color w:val="000000"/>
                <w:szCs w:val="24"/>
              </w:rPr>
            </w:pPr>
            <w:r>
              <w:rPr>
                <w:color w:val="000000"/>
                <w:szCs w:val="24"/>
              </w:rPr>
              <w:t>Aplinkos apsaugos agentūra</w:t>
            </w:r>
          </w:p>
          <w:p w:rsidR="000E7C4C" w:rsidRDefault="000E7C4C">
            <w:pPr>
              <w:rPr>
                <w:strike/>
                <w:color w:val="000000"/>
                <w:szCs w:val="24"/>
              </w:rPr>
            </w:pPr>
          </w:p>
          <w:p w:rsidR="000E7C4C" w:rsidRDefault="000E7C4C">
            <w:pPr>
              <w:rPr>
                <w:strike/>
                <w:color w:val="000000"/>
                <w:szCs w:val="24"/>
              </w:rPr>
            </w:pPr>
          </w:p>
          <w:p w:rsidR="000E7C4C" w:rsidRDefault="000E7C4C">
            <w:pPr>
              <w:rPr>
                <w:color w:val="000000"/>
                <w:szCs w:val="24"/>
              </w:rPr>
            </w:pPr>
          </w:p>
        </w:tc>
      </w:tr>
      <w:tr w:rsidR="000E7C4C">
        <w:tc>
          <w:tcPr>
            <w:tcW w:w="3418"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lang w:eastAsia="lt-LT"/>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lang w:eastAsia="lt-LT"/>
              </w:rPr>
            </w:pPr>
            <w:r>
              <w:rPr>
                <w:color w:val="000000"/>
                <w:szCs w:val="24"/>
                <w:lang w:eastAsia="lt-LT"/>
              </w:rPr>
              <w:t>Išmestas KD</w:t>
            </w:r>
            <w:r>
              <w:rPr>
                <w:color w:val="000000"/>
                <w:szCs w:val="24"/>
                <w:vertAlign w:val="subscript"/>
                <w:lang w:eastAsia="lt-LT"/>
              </w:rPr>
              <w:t>2,5</w:t>
            </w:r>
            <w:r>
              <w:rPr>
                <w:color w:val="000000"/>
                <w:szCs w:val="24"/>
                <w:lang w:eastAsia="lt-LT"/>
              </w:rPr>
              <w:t xml:space="preserve"> kiekis, </w:t>
            </w:r>
            <w:proofErr w:type="spellStart"/>
            <w:r>
              <w:rPr>
                <w:color w:val="000000"/>
                <w:szCs w:val="24"/>
                <w:lang w:eastAsia="lt-LT"/>
              </w:rPr>
              <w:t>kt</w:t>
            </w:r>
            <w:proofErr w:type="spellEnd"/>
            <w:r>
              <w:rPr>
                <w:color w:val="000000"/>
                <w:szCs w:val="24"/>
                <w:lang w:eastAsia="lt-LT"/>
              </w:rPr>
              <w:t xml:space="preserve"> (2005 m. – 20,2 </w:t>
            </w:r>
            <w:proofErr w:type="spellStart"/>
            <w:r>
              <w:rPr>
                <w:color w:val="000000"/>
                <w:szCs w:val="24"/>
                <w:lang w:eastAsia="lt-LT"/>
              </w:rPr>
              <w:t>kt</w:t>
            </w:r>
            <w:proofErr w:type="spellEnd"/>
            <w:r>
              <w:rPr>
                <w:color w:val="000000"/>
                <w:szCs w:val="24"/>
                <w:lang w:eastAsia="lt-LT"/>
              </w:rPr>
              <w:t>)</w:t>
            </w:r>
          </w:p>
        </w:tc>
        <w:tc>
          <w:tcPr>
            <w:tcW w:w="850" w:type="dxa"/>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hideMark/>
          </w:tcPr>
          <w:p w:rsidR="000E7C4C" w:rsidRDefault="003C3EA6">
            <w:pPr>
              <w:jc w:val="center"/>
              <w:rPr>
                <w:color w:val="000000"/>
                <w:szCs w:val="24"/>
              </w:rPr>
            </w:pPr>
            <w:r>
              <w:rPr>
                <w:color w:val="000000"/>
                <w:szCs w:val="24"/>
              </w:rPr>
              <w:t>17,9</w:t>
            </w:r>
          </w:p>
        </w:tc>
        <w:tc>
          <w:tcPr>
            <w:tcW w:w="850" w:type="dxa"/>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hideMark/>
          </w:tcPr>
          <w:p w:rsidR="000E7C4C" w:rsidRDefault="003C3EA6">
            <w:pPr>
              <w:jc w:val="center"/>
              <w:rPr>
                <w:color w:val="000000"/>
                <w:szCs w:val="24"/>
              </w:rPr>
            </w:pPr>
            <w:r>
              <w:rPr>
                <w:color w:val="000000"/>
                <w:szCs w:val="24"/>
              </w:rPr>
              <w:t>16,16</w:t>
            </w:r>
          </w:p>
        </w:tc>
        <w:tc>
          <w:tcPr>
            <w:tcW w:w="850" w:type="dxa"/>
            <w:gridSpan w:val="3"/>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hideMark/>
          </w:tcPr>
          <w:p w:rsidR="000E7C4C" w:rsidRDefault="003C3EA6">
            <w:pPr>
              <w:jc w:val="center"/>
              <w:rPr>
                <w:color w:val="000000"/>
                <w:szCs w:val="24"/>
              </w:rPr>
            </w:pPr>
            <w:r>
              <w:rPr>
                <w:color w:val="000000"/>
                <w:szCs w:val="24"/>
              </w:rPr>
              <w:t>14,55</w:t>
            </w:r>
          </w:p>
        </w:tc>
        <w:tc>
          <w:tcPr>
            <w:tcW w:w="882" w:type="dxa"/>
            <w:gridSpan w:val="2"/>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hideMark/>
          </w:tcPr>
          <w:p w:rsidR="000E7C4C" w:rsidRDefault="003C3EA6">
            <w:pPr>
              <w:jc w:val="center"/>
              <w:rPr>
                <w:color w:val="000000"/>
                <w:szCs w:val="24"/>
              </w:rPr>
            </w:pPr>
            <w:r>
              <w:rPr>
                <w:color w:val="000000"/>
                <w:szCs w:val="24"/>
              </w:rPr>
              <w:t>12,93</w:t>
            </w: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r>
      <w:tr w:rsidR="000E7C4C">
        <w:tc>
          <w:tcPr>
            <w:tcW w:w="3418"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rPr>
            </w:pPr>
            <w:r>
              <w:rPr>
                <w:color w:val="000000"/>
                <w:szCs w:val="24"/>
              </w:rPr>
              <w:t xml:space="preserve">2. Apriboti taršą sunkiaisiais metalais ir patvariaisiais organiniais teršalais, siekiant neviršyti 1990 m. išmesto kiekvieno jų kiekio, </w:t>
            </w:r>
            <w:r>
              <w:rPr>
                <w:color w:val="000000"/>
                <w:szCs w:val="24"/>
                <w:lang w:eastAsia="lt-LT"/>
              </w:rPr>
              <w:t>didžiausią dėmesį skiriant taršos mažinimui iš pagrindinių teršėjų</w:t>
            </w:r>
          </w:p>
        </w:tc>
        <w:tc>
          <w:tcPr>
            <w:tcW w:w="2544"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color w:val="000000"/>
                <w:szCs w:val="24"/>
              </w:rPr>
            </w:pPr>
            <w:r>
              <w:rPr>
                <w:color w:val="000000"/>
                <w:szCs w:val="24"/>
              </w:rPr>
              <w:t xml:space="preserve">2.1. apriboti taršą sunkiaisiais metalais (kadmiu (toliau – </w:t>
            </w:r>
            <w:proofErr w:type="spellStart"/>
            <w:r>
              <w:rPr>
                <w:color w:val="000000"/>
                <w:szCs w:val="24"/>
              </w:rPr>
              <w:t>Cd</w:t>
            </w:r>
            <w:proofErr w:type="spellEnd"/>
            <w:r>
              <w:rPr>
                <w:color w:val="000000"/>
                <w:szCs w:val="24"/>
              </w:rPr>
              <w:t xml:space="preserve">), švinu (toliau – </w:t>
            </w:r>
            <w:proofErr w:type="spellStart"/>
            <w:r>
              <w:rPr>
                <w:color w:val="000000"/>
                <w:szCs w:val="24"/>
              </w:rPr>
              <w:t>Pb</w:t>
            </w:r>
            <w:proofErr w:type="spellEnd"/>
            <w:r>
              <w:rPr>
                <w:color w:val="000000"/>
                <w:szCs w:val="24"/>
              </w:rPr>
              <w:t xml:space="preserve">), gyvsidabriu (toliau – </w:t>
            </w:r>
            <w:proofErr w:type="spellStart"/>
            <w:r>
              <w:rPr>
                <w:color w:val="000000"/>
                <w:szCs w:val="24"/>
              </w:rPr>
              <w:t>Hg</w:t>
            </w:r>
            <w:proofErr w:type="spellEnd"/>
            <w:r>
              <w:rPr>
                <w:color w:val="000000"/>
                <w:szCs w:val="24"/>
              </w:rPr>
              <w:t>), didžiausią dėmesį skiriant taršos sumažinimui iš namų ūkių</w:t>
            </w: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rPr>
            </w:pPr>
            <w:r>
              <w:rPr>
                <w:color w:val="000000"/>
                <w:szCs w:val="24"/>
              </w:rPr>
              <w:t xml:space="preserve">Išmestas </w:t>
            </w:r>
            <w:proofErr w:type="spellStart"/>
            <w:r>
              <w:rPr>
                <w:color w:val="000000"/>
                <w:szCs w:val="24"/>
              </w:rPr>
              <w:t>Cd</w:t>
            </w:r>
            <w:proofErr w:type="spellEnd"/>
            <w:r>
              <w:rPr>
                <w:color w:val="000000"/>
                <w:szCs w:val="24"/>
              </w:rPr>
              <w:t xml:space="preserve"> kiekis, t (1990 m. – 0,355 t)</w:t>
            </w:r>
          </w:p>
        </w:tc>
        <w:tc>
          <w:tcPr>
            <w:tcW w:w="850"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0,353</w:t>
            </w:r>
          </w:p>
        </w:tc>
        <w:tc>
          <w:tcPr>
            <w:tcW w:w="2582" w:type="dxa"/>
            <w:gridSpan w:val="6"/>
            <w:tcBorders>
              <w:top w:val="single" w:sz="4" w:space="0" w:color="auto"/>
              <w:left w:val="single" w:sz="4" w:space="0" w:color="auto"/>
              <w:bottom w:val="single" w:sz="4" w:space="0" w:color="auto"/>
              <w:right w:val="single" w:sz="4" w:space="0" w:color="auto"/>
            </w:tcBorders>
            <w:hideMark/>
          </w:tcPr>
          <w:p w:rsidR="000E7C4C" w:rsidRDefault="003C3EA6">
            <w:pPr>
              <w:ind w:firstLine="62"/>
              <w:jc w:val="center"/>
              <w:rPr>
                <w:color w:val="000000"/>
                <w:szCs w:val="24"/>
              </w:rPr>
            </w:pPr>
            <w:r>
              <w:rPr>
                <w:color w:val="000000"/>
                <w:szCs w:val="24"/>
              </w:rPr>
              <w:t>&lt;0,355</w:t>
            </w: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r>
      <w:tr w:rsidR="000E7C4C">
        <w:tc>
          <w:tcPr>
            <w:tcW w:w="3418"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rPr>
            </w:pPr>
            <w:r>
              <w:rPr>
                <w:color w:val="000000"/>
                <w:szCs w:val="24"/>
              </w:rPr>
              <w:t xml:space="preserve">Išmestas </w:t>
            </w:r>
            <w:proofErr w:type="spellStart"/>
            <w:r>
              <w:rPr>
                <w:color w:val="000000"/>
                <w:szCs w:val="24"/>
              </w:rPr>
              <w:t>Pb</w:t>
            </w:r>
            <w:proofErr w:type="spellEnd"/>
            <w:r>
              <w:rPr>
                <w:color w:val="000000"/>
                <w:szCs w:val="24"/>
              </w:rPr>
              <w:t xml:space="preserve"> kiekis, t (1990 m. – 150,352 t)</w:t>
            </w:r>
          </w:p>
        </w:tc>
        <w:tc>
          <w:tcPr>
            <w:tcW w:w="850"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4,090</w:t>
            </w:r>
          </w:p>
        </w:tc>
        <w:tc>
          <w:tcPr>
            <w:tcW w:w="2582" w:type="dxa"/>
            <w:gridSpan w:val="6"/>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&lt;150,352</w:t>
            </w: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r>
      <w:tr w:rsidR="000E7C4C">
        <w:tc>
          <w:tcPr>
            <w:tcW w:w="3418"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rPr>
            </w:pPr>
            <w:r>
              <w:rPr>
                <w:color w:val="000000"/>
                <w:szCs w:val="24"/>
              </w:rPr>
              <w:t xml:space="preserve">Išmestas </w:t>
            </w:r>
            <w:proofErr w:type="spellStart"/>
            <w:r>
              <w:rPr>
                <w:color w:val="000000"/>
                <w:szCs w:val="24"/>
              </w:rPr>
              <w:t>Hg</w:t>
            </w:r>
            <w:proofErr w:type="spellEnd"/>
            <w:r>
              <w:rPr>
                <w:color w:val="000000"/>
                <w:szCs w:val="24"/>
              </w:rPr>
              <w:t xml:space="preserve"> kiekis, t (1990 m. – 0,618 t)</w:t>
            </w:r>
          </w:p>
        </w:tc>
        <w:tc>
          <w:tcPr>
            <w:tcW w:w="850"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0,229</w:t>
            </w:r>
          </w:p>
        </w:tc>
        <w:tc>
          <w:tcPr>
            <w:tcW w:w="2582" w:type="dxa"/>
            <w:gridSpan w:val="6"/>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&lt;0,618</w:t>
            </w: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r>
      <w:tr w:rsidR="000E7C4C">
        <w:tc>
          <w:tcPr>
            <w:tcW w:w="3418"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544"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rPr>
            </w:pPr>
            <w:r>
              <w:rPr>
                <w:color w:val="000000"/>
                <w:szCs w:val="24"/>
              </w:rPr>
              <w:t>2.2. apriboti taršą patvariaisiais organiniais teršalais (</w:t>
            </w:r>
            <w:proofErr w:type="spellStart"/>
            <w:r>
              <w:rPr>
                <w:color w:val="000000"/>
                <w:szCs w:val="24"/>
              </w:rPr>
              <w:t>benzo</w:t>
            </w:r>
            <w:proofErr w:type="spellEnd"/>
            <w:r>
              <w:rPr>
                <w:color w:val="000000"/>
                <w:szCs w:val="24"/>
              </w:rPr>
              <w:t>(a)</w:t>
            </w:r>
            <w:proofErr w:type="spellStart"/>
            <w:r>
              <w:rPr>
                <w:color w:val="000000"/>
                <w:szCs w:val="24"/>
              </w:rPr>
              <w:t>pirenu</w:t>
            </w:r>
            <w:proofErr w:type="spellEnd"/>
            <w:r>
              <w:rPr>
                <w:color w:val="000000"/>
                <w:szCs w:val="24"/>
              </w:rPr>
              <w:t xml:space="preserve">, </w:t>
            </w:r>
            <w:proofErr w:type="spellStart"/>
            <w:r>
              <w:rPr>
                <w:color w:val="000000"/>
                <w:szCs w:val="24"/>
              </w:rPr>
              <w:t>benzo</w:t>
            </w:r>
            <w:proofErr w:type="spellEnd"/>
            <w:r>
              <w:rPr>
                <w:color w:val="000000"/>
                <w:szCs w:val="24"/>
              </w:rPr>
              <w:t>(b)</w:t>
            </w:r>
            <w:proofErr w:type="spellStart"/>
            <w:r>
              <w:rPr>
                <w:color w:val="000000"/>
                <w:szCs w:val="24"/>
              </w:rPr>
              <w:t>fluorantenu</w:t>
            </w:r>
            <w:proofErr w:type="spellEnd"/>
            <w:r>
              <w:rPr>
                <w:color w:val="000000"/>
                <w:szCs w:val="24"/>
              </w:rPr>
              <w:t xml:space="preserve">, </w:t>
            </w:r>
            <w:proofErr w:type="spellStart"/>
            <w:r>
              <w:rPr>
                <w:color w:val="000000"/>
                <w:szCs w:val="24"/>
              </w:rPr>
              <w:t>benzo</w:t>
            </w:r>
            <w:proofErr w:type="spellEnd"/>
            <w:r>
              <w:rPr>
                <w:color w:val="000000"/>
                <w:szCs w:val="24"/>
              </w:rPr>
              <w:t>(k)</w:t>
            </w:r>
            <w:proofErr w:type="spellStart"/>
            <w:r>
              <w:rPr>
                <w:color w:val="000000"/>
                <w:szCs w:val="24"/>
              </w:rPr>
              <w:t>fluorantenu</w:t>
            </w:r>
            <w:proofErr w:type="spellEnd"/>
            <w:r>
              <w:rPr>
                <w:color w:val="000000"/>
                <w:szCs w:val="24"/>
              </w:rPr>
              <w:t xml:space="preserve">, </w:t>
            </w:r>
            <w:proofErr w:type="spellStart"/>
            <w:r>
              <w:rPr>
                <w:color w:val="000000"/>
                <w:szCs w:val="24"/>
              </w:rPr>
              <w:t>indeno</w:t>
            </w:r>
            <w:proofErr w:type="spellEnd"/>
            <w:r>
              <w:rPr>
                <w:color w:val="000000"/>
                <w:szCs w:val="24"/>
              </w:rPr>
              <w:t>(1,2,3-cd)</w:t>
            </w:r>
            <w:proofErr w:type="spellStart"/>
            <w:r>
              <w:rPr>
                <w:color w:val="000000"/>
                <w:szCs w:val="24"/>
              </w:rPr>
              <w:t>pirenu</w:t>
            </w:r>
            <w:proofErr w:type="spellEnd"/>
            <w:r>
              <w:rPr>
                <w:color w:val="000000"/>
                <w:szCs w:val="24"/>
              </w:rPr>
              <w:t>, dioksinais/</w:t>
            </w:r>
            <w:proofErr w:type="spellStart"/>
            <w:r>
              <w:rPr>
                <w:color w:val="000000"/>
                <w:szCs w:val="24"/>
              </w:rPr>
              <w:t>furanais</w:t>
            </w:r>
            <w:proofErr w:type="spellEnd"/>
            <w:r>
              <w:rPr>
                <w:color w:val="000000"/>
                <w:szCs w:val="24"/>
              </w:rPr>
              <w:t xml:space="preserve"> (toliau – PCDD/F), </w:t>
            </w:r>
            <w:proofErr w:type="spellStart"/>
            <w:r>
              <w:rPr>
                <w:color w:val="000000"/>
                <w:szCs w:val="24"/>
              </w:rPr>
              <w:t>heksachlorbenzenu</w:t>
            </w:r>
            <w:proofErr w:type="spellEnd"/>
            <w:r>
              <w:rPr>
                <w:color w:val="000000"/>
                <w:szCs w:val="24"/>
              </w:rPr>
              <w:t>), didžiausią dėmesį skiriant taršos sumažinimui iš namų ūkių</w:t>
            </w: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rPr>
            </w:pPr>
            <w:r>
              <w:rPr>
                <w:color w:val="000000"/>
                <w:szCs w:val="24"/>
              </w:rPr>
              <w:t xml:space="preserve">Išmestas </w:t>
            </w:r>
            <w:proofErr w:type="spellStart"/>
            <w:r>
              <w:rPr>
                <w:color w:val="000000"/>
                <w:szCs w:val="24"/>
              </w:rPr>
              <w:t>benzo</w:t>
            </w:r>
            <w:proofErr w:type="spellEnd"/>
            <w:r>
              <w:rPr>
                <w:color w:val="000000"/>
                <w:szCs w:val="24"/>
              </w:rPr>
              <w:t>(a)</w:t>
            </w:r>
            <w:proofErr w:type="spellStart"/>
            <w:r>
              <w:rPr>
                <w:color w:val="000000"/>
                <w:szCs w:val="24"/>
              </w:rPr>
              <w:t>pireno</w:t>
            </w:r>
            <w:proofErr w:type="spellEnd"/>
            <w:r>
              <w:rPr>
                <w:color w:val="000000"/>
                <w:szCs w:val="24"/>
              </w:rPr>
              <w:t xml:space="preserve"> kiekis, t (1990 m. – 5,507 t)</w:t>
            </w:r>
          </w:p>
        </w:tc>
        <w:tc>
          <w:tcPr>
            <w:tcW w:w="850" w:type="dxa"/>
            <w:tcBorders>
              <w:top w:val="single" w:sz="4" w:space="0" w:color="auto"/>
              <w:left w:val="single" w:sz="4" w:space="0" w:color="auto"/>
              <w:bottom w:val="single" w:sz="4" w:space="0" w:color="auto"/>
              <w:right w:val="single" w:sz="4" w:space="0" w:color="auto"/>
            </w:tcBorders>
          </w:tcPr>
          <w:p w:rsidR="000E7C4C" w:rsidRDefault="003C3EA6">
            <w:pPr>
              <w:jc w:val="center"/>
              <w:rPr>
                <w:color w:val="000000"/>
                <w:szCs w:val="24"/>
              </w:rPr>
            </w:pPr>
            <w:r>
              <w:rPr>
                <w:color w:val="000000"/>
                <w:szCs w:val="24"/>
              </w:rPr>
              <w:t>3,405</w:t>
            </w:r>
          </w:p>
          <w:p w:rsidR="000E7C4C" w:rsidRDefault="000E7C4C">
            <w:pPr>
              <w:jc w:val="center"/>
              <w:rPr>
                <w:color w:val="000000"/>
                <w:szCs w:val="24"/>
              </w:rPr>
            </w:pPr>
          </w:p>
        </w:tc>
        <w:tc>
          <w:tcPr>
            <w:tcW w:w="2582" w:type="dxa"/>
            <w:gridSpan w:val="6"/>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&lt;5,507</w:t>
            </w: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r>
      <w:tr w:rsidR="000E7C4C">
        <w:tc>
          <w:tcPr>
            <w:tcW w:w="3418"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rPr>
            </w:pPr>
            <w:r>
              <w:rPr>
                <w:color w:val="000000"/>
                <w:szCs w:val="24"/>
              </w:rPr>
              <w:t xml:space="preserve">Išmestas </w:t>
            </w:r>
            <w:proofErr w:type="spellStart"/>
            <w:r>
              <w:rPr>
                <w:color w:val="000000"/>
                <w:szCs w:val="24"/>
              </w:rPr>
              <w:t>benzo</w:t>
            </w:r>
            <w:proofErr w:type="spellEnd"/>
            <w:r>
              <w:rPr>
                <w:color w:val="000000"/>
                <w:szCs w:val="24"/>
              </w:rPr>
              <w:t>(b)</w:t>
            </w:r>
            <w:proofErr w:type="spellStart"/>
            <w:r>
              <w:rPr>
                <w:color w:val="000000"/>
                <w:szCs w:val="24"/>
              </w:rPr>
              <w:t>fluoranteno</w:t>
            </w:r>
            <w:proofErr w:type="spellEnd"/>
            <w:r>
              <w:rPr>
                <w:color w:val="000000"/>
                <w:szCs w:val="24"/>
              </w:rPr>
              <w:t xml:space="preserve"> kiekis, t (1990 m. – 7,333 t)</w:t>
            </w:r>
          </w:p>
        </w:tc>
        <w:tc>
          <w:tcPr>
            <w:tcW w:w="850"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3,937</w:t>
            </w:r>
          </w:p>
        </w:tc>
        <w:tc>
          <w:tcPr>
            <w:tcW w:w="2582" w:type="dxa"/>
            <w:gridSpan w:val="6"/>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&lt;7,333</w:t>
            </w: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r>
      <w:tr w:rsidR="000E7C4C">
        <w:tc>
          <w:tcPr>
            <w:tcW w:w="3418"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rPr>
            </w:pPr>
            <w:r>
              <w:rPr>
                <w:color w:val="000000"/>
                <w:szCs w:val="24"/>
              </w:rPr>
              <w:t xml:space="preserve">Išmestas </w:t>
            </w:r>
            <w:proofErr w:type="spellStart"/>
            <w:r>
              <w:rPr>
                <w:color w:val="000000"/>
                <w:szCs w:val="24"/>
              </w:rPr>
              <w:t>benzo</w:t>
            </w:r>
            <w:proofErr w:type="spellEnd"/>
            <w:r>
              <w:rPr>
                <w:color w:val="000000"/>
                <w:szCs w:val="24"/>
              </w:rPr>
              <w:t>(k)</w:t>
            </w:r>
            <w:proofErr w:type="spellStart"/>
            <w:r>
              <w:rPr>
                <w:color w:val="000000"/>
                <w:szCs w:val="24"/>
              </w:rPr>
              <w:t>fluoranteno</w:t>
            </w:r>
            <w:proofErr w:type="spellEnd"/>
            <w:r>
              <w:rPr>
                <w:color w:val="000000"/>
                <w:szCs w:val="24"/>
              </w:rPr>
              <w:t xml:space="preserve"> kiekis, t (1990 m. – 2,917 t)</w:t>
            </w:r>
          </w:p>
        </w:tc>
        <w:tc>
          <w:tcPr>
            <w:tcW w:w="850" w:type="dxa"/>
            <w:tcBorders>
              <w:top w:val="single" w:sz="4" w:space="0" w:color="auto"/>
              <w:left w:val="single" w:sz="4" w:space="0" w:color="auto"/>
              <w:bottom w:val="single" w:sz="4" w:space="0" w:color="auto"/>
              <w:right w:val="single" w:sz="4" w:space="0" w:color="auto"/>
            </w:tcBorders>
          </w:tcPr>
          <w:p w:rsidR="000E7C4C" w:rsidRDefault="003C3EA6">
            <w:pPr>
              <w:jc w:val="center"/>
              <w:rPr>
                <w:color w:val="000000"/>
                <w:szCs w:val="24"/>
              </w:rPr>
            </w:pPr>
            <w:r>
              <w:rPr>
                <w:color w:val="000000"/>
                <w:szCs w:val="24"/>
              </w:rPr>
              <w:t>1,522</w:t>
            </w:r>
          </w:p>
          <w:p w:rsidR="000E7C4C" w:rsidRDefault="000E7C4C">
            <w:pPr>
              <w:jc w:val="center"/>
              <w:rPr>
                <w:color w:val="000000"/>
                <w:szCs w:val="24"/>
              </w:rPr>
            </w:pPr>
          </w:p>
        </w:tc>
        <w:tc>
          <w:tcPr>
            <w:tcW w:w="2582" w:type="dxa"/>
            <w:gridSpan w:val="6"/>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&lt;2,917</w:t>
            </w: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r>
      <w:tr w:rsidR="000E7C4C">
        <w:tc>
          <w:tcPr>
            <w:tcW w:w="3418"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rPr>
            </w:pPr>
            <w:r>
              <w:rPr>
                <w:color w:val="000000"/>
                <w:szCs w:val="24"/>
              </w:rPr>
              <w:t xml:space="preserve">Išmestas </w:t>
            </w:r>
            <w:proofErr w:type="spellStart"/>
            <w:r>
              <w:rPr>
                <w:color w:val="000000"/>
                <w:szCs w:val="24"/>
              </w:rPr>
              <w:t>indeno</w:t>
            </w:r>
            <w:proofErr w:type="spellEnd"/>
            <w:r>
              <w:rPr>
                <w:color w:val="000000"/>
                <w:szCs w:val="24"/>
              </w:rPr>
              <w:t>(1,2,3-cd)</w:t>
            </w:r>
            <w:proofErr w:type="spellStart"/>
            <w:r>
              <w:rPr>
                <w:color w:val="000000"/>
                <w:szCs w:val="24"/>
              </w:rPr>
              <w:t>pireno</w:t>
            </w:r>
            <w:proofErr w:type="spellEnd"/>
            <w:r>
              <w:rPr>
                <w:color w:val="000000"/>
                <w:szCs w:val="24"/>
              </w:rPr>
              <w:t xml:space="preserve"> kiekis, t (1990 m. – 2,741)</w:t>
            </w:r>
          </w:p>
        </w:tc>
        <w:tc>
          <w:tcPr>
            <w:tcW w:w="850"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1,946</w:t>
            </w:r>
          </w:p>
        </w:tc>
        <w:tc>
          <w:tcPr>
            <w:tcW w:w="2582" w:type="dxa"/>
            <w:gridSpan w:val="6"/>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&lt;2,741</w:t>
            </w: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r>
      <w:tr w:rsidR="000E7C4C">
        <w:tc>
          <w:tcPr>
            <w:tcW w:w="3418"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rPr>
            </w:pPr>
            <w:r>
              <w:rPr>
                <w:color w:val="000000"/>
                <w:szCs w:val="24"/>
              </w:rPr>
              <w:t>Išmestas dioksinų/</w:t>
            </w:r>
            <w:proofErr w:type="spellStart"/>
            <w:r>
              <w:rPr>
                <w:color w:val="000000"/>
                <w:szCs w:val="24"/>
              </w:rPr>
              <w:t>furanų</w:t>
            </w:r>
            <w:proofErr w:type="spellEnd"/>
            <w:r>
              <w:rPr>
                <w:color w:val="000000"/>
                <w:szCs w:val="24"/>
              </w:rPr>
              <w:t xml:space="preserve"> (PCDD/F) kiekis, g I-TEQ (1990 m. – 28,219 g I-TEQ)</w:t>
            </w:r>
          </w:p>
        </w:tc>
        <w:tc>
          <w:tcPr>
            <w:tcW w:w="850"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23,759</w:t>
            </w:r>
          </w:p>
        </w:tc>
        <w:tc>
          <w:tcPr>
            <w:tcW w:w="2582" w:type="dxa"/>
            <w:gridSpan w:val="6"/>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&lt;28,219</w:t>
            </w: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r>
      <w:tr w:rsidR="000E7C4C">
        <w:tc>
          <w:tcPr>
            <w:tcW w:w="3418"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rPr>
            </w:pPr>
            <w:r>
              <w:rPr>
                <w:color w:val="000000"/>
                <w:szCs w:val="24"/>
              </w:rPr>
              <w:t xml:space="preserve">Išmestas </w:t>
            </w:r>
            <w:proofErr w:type="spellStart"/>
            <w:r>
              <w:rPr>
                <w:color w:val="000000"/>
                <w:szCs w:val="24"/>
              </w:rPr>
              <w:t>heksachlorbenzeno</w:t>
            </w:r>
            <w:proofErr w:type="spellEnd"/>
            <w:r>
              <w:rPr>
                <w:color w:val="000000"/>
                <w:szCs w:val="24"/>
              </w:rPr>
              <w:t xml:space="preserve"> kiekis, kg (1990 m. – 11,131 kg)</w:t>
            </w:r>
          </w:p>
        </w:tc>
        <w:tc>
          <w:tcPr>
            <w:tcW w:w="850"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0,364</w:t>
            </w:r>
          </w:p>
        </w:tc>
        <w:tc>
          <w:tcPr>
            <w:tcW w:w="2582" w:type="dxa"/>
            <w:gridSpan w:val="6"/>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&lt;11,131</w:t>
            </w: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r>
      <w:tr w:rsidR="000E7C4C">
        <w:trPr>
          <w:trHeight w:val="1753"/>
        </w:trPr>
        <w:tc>
          <w:tcPr>
            <w:tcW w:w="3418" w:type="dxa"/>
            <w:vMerge w:val="restart"/>
            <w:tcBorders>
              <w:top w:val="single" w:sz="4" w:space="0" w:color="auto"/>
              <w:left w:val="single" w:sz="4" w:space="0" w:color="auto"/>
              <w:bottom w:val="nil"/>
              <w:right w:val="single" w:sz="4" w:space="0" w:color="auto"/>
            </w:tcBorders>
            <w:hideMark/>
          </w:tcPr>
          <w:p w:rsidR="000E7C4C" w:rsidRDefault="003C3EA6">
            <w:pPr>
              <w:rPr>
                <w:color w:val="000000"/>
                <w:szCs w:val="24"/>
              </w:rPr>
            </w:pPr>
            <w:r>
              <w:rPr>
                <w:color w:val="000000"/>
                <w:szCs w:val="24"/>
              </w:rPr>
              <w:t>3. Modernizuoti aplinkos oro taršos atskaitomybės ir monitoringo sistemas, didinant jų rezultatų prieinamumą visoms suinteresuotoms šalims</w:t>
            </w:r>
          </w:p>
        </w:tc>
        <w:tc>
          <w:tcPr>
            <w:tcW w:w="2544"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color w:val="000000"/>
                <w:szCs w:val="24"/>
              </w:rPr>
            </w:pPr>
            <w:r>
              <w:rPr>
                <w:color w:val="000000"/>
                <w:szCs w:val="24"/>
              </w:rPr>
              <w:t>3.1. padidinti išmetamų į aplinkos orą teršalų apskaitos ir prognozių kokybę, patikimumą, išsamumą ir apskaitos ataskaitų viešinimą</w:t>
            </w: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lang w:eastAsia="lt-LT"/>
              </w:rPr>
            </w:pPr>
            <w:r>
              <w:rPr>
                <w:color w:val="000000"/>
                <w:szCs w:val="24"/>
                <w:lang w:eastAsia="lt-LT"/>
              </w:rPr>
              <w:t xml:space="preserve">Aplinkos apsaugos agentūros darbuotojų, vykdančių nacionalinės į aplinkos orą išmetamo teršalų kiekio apskaitos ir prognozavimo funkcijas, skaičius, vnt. </w:t>
            </w:r>
          </w:p>
        </w:tc>
        <w:tc>
          <w:tcPr>
            <w:tcW w:w="850"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1</w:t>
            </w:r>
          </w:p>
        </w:tc>
        <w:tc>
          <w:tcPr>
            <w:tcW w:w="859"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5</w:t>
            </w:r>
          </w:p>
        </w:tc>
        <w:tc>
          <w:tcPr>
            <w:tcW w:w="866" w:type="dxa"/>
            <w:gridSpan w:val="3"/>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7</w:t>
            </w:r>
          </w:p>
        </w:tc>
        <w:tc>
          <w:tcPr>
            <w:tcW w:w="857"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7</w:t>
            </w:r>
          </w:p>
        </w:tc>
        <w:tc>
          <w:tcPr>
            <w:tcW w:w="2275" w:type="dxa"/>
            <w:tcBorders>
              <w:top w:val="single" w:sz="4" w:space="0" w:color="auto"/>
              <w:left w:val="single" w:sz="4" w:space="0" w:color="auto"/>
              <w:bottom w:val="single" w:sz="4" w:space="0" w:color="auto"/>
              <w:right w:val="single" w:sz="4" w:space="0" w:color="auto"/>
            </w:tcBorders>
          </w:tcPr>
          <w:p w:rsidR="000E7C4C" w:rsidRDefault="003C3EA6">
            <w:pPr>
              <w:rPr>
                <w:color w:val="000000"/>
                <w:szCs w:val="24"/>
              </w:rPr>
            </w:pPr>
            <w:r>
              <w:rPr>
                <w:color w:val="000000"/>
                <w:szCs w:val="24"/>
              </w:rPr>
              <w:t xml:space="preserve">Aplinkos apsaugos agentūra </w:t>
            </w:r>
          </w:p>
          <w:p w:rsidR="000E7C4C" w:rsidRDefault="000E7C4C">
            <w:pPr>
              <w:rPr>
                <w:color w:val="000000"/>
                <w:szCs w:val="24"/>
              </w:rPr>
            </w:pPr>
          </w:p>
        </w:tc>
      </w:tr>
      <w:tr w:rsidR="000E7C4C">
        <w:trPr>
          <w:trHeight w:val="1193"/>
        </w:trPr>
        <w:tc>
          <w:tcPr>
            <w:tcW w:w="3418" w:type="dxa"/>
            <w:vMerge/>
            <w:tcBorders>
              <w:top w:val="single" w:sz="4" w:space="0" w:color="auto"/>
              <w:left w:val="single" w:sz="4" w:space="0" w:color="auto"/>
              <w:bottom w:val="nil"/>
              <w:right w:val="single" w:sz="4" w:space="0" w:color="auto"/>
            </w:tcBorders>
            <w:vAlign w:val="center"/>
            <w:hideMark/>
          </w:tcPr>
          <w:p w:rsidR="000E7C4C" w:rsidRDefault="000E7C4C">
            <w:pPr>
              <w:rPr>
                <w:color w:val="000000"/>
                <w:szCs w:val="24"/>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color w:val="000000"/>
                <w:szCs w:val="24"/>
                <w:lang w:eastAsia="lt-LT"/>
              </w:rPr>
            </w:pPr>
            <w:r>
              <w:rPr>
                <w:color w:val="000000"/>
                <w:szCs w:val="24"/>
                <w:lang w:eastAsia="lt-LT"/>
              </w:rPr>
              <w:t>Lietuvių kalba parengta ir paviešinta išmetamų į aplinkos oro teršalų apskaitos ataskaitų, vnt.</w:t>
            </w:r>
          </w:p>
        </w:tc>
        <w:tc>
          <w:tcPr>
            <w:tcW w:w="850"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ind w:hanging="28"/>
              <w:jc w:val="center"/>
              <w:rPr>
                <w:color w:val="000000"/>
                <w:szCs w:val="24"/>
              </w:rPr>
            </w:pPr>
            <w:r>
              <w:rPr>
                <w:color w:val="000000"/>
                <w:szCs w:val="24"/>
              </w:rPr>
              <w:t>0</w:t>
            </w:r>
          </w:p>
        </w:tc>
        <w:tc>
          <w:tcPr>
            <w:tcW w:w="2582" w:type="dxa"/>
            <w:gridSpan w:val="6"/>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ind w:hanging="7"/>
              <w:jc w:val="center"/>
              <w:rPr>
                <w:color w:val="000000"/>
                <w:szCs w:val="24"/>
              </w:rPr>
            </w:pPr>
            <w:r>
              <w:rPr>
                <w:color w:val="000000"/>
                <w:szCs w:val="24"/>
              </w:rPr>
              <w:t>1</w:t>
            </w:r>
          </w:p>
          <w:p w:rsidR="000E7C4C" w:rsidRDefault="003C3EA6">
            <w:pPr>
              <w:tabs>
                <w:tab w:val="num" w:pos="360"/>
              </w:tabs>
              <w:ind w:hanging="7"/>
              <w:jc w:val="center"/>
              <w:rPr>
                <w:color w:val="000000"/>
                <w:szCs w:val="24"/>
              </w:rPr>
            </w:pPr>
            <w:r>
              <w:rPr>
                <w:color w:val="000000"/>
                <w:szCs w:val="24"/>
              </w:rPr>
              <w:t>(kiekvienais 2020–2030 m.)</w:t>
            </w:r>
          </w:p>
        </w:tc>
        <w:tc>
          <w:tcPr>
            <w:tcW w:w="2275"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rPr>
            </w:pPr>
            <w:r>
              <w:rPr>
                <w:color w:val="000000"/>
                <w:szCs w:val="24"/>
              </w:rPr>
              <w:t>Aplinkos apsaugos agentūra</w:t>
            </w:r>
          </w:p>
        </w:tc>
      </w:tr>
      <w:tr w:rsidR="000E7C4C">
        <w:trPr>
          <w:trHeight w:val="1932"/>
        </w:trPr>
        <w:tc>
          <w:tcPr>
            <w:tcW w:w="3418" w:type="dxa"/>
            <w:vMerge/>
            <w:tcBorders>
              <w:top w:val="single" w:sz="4" w:space="0" w:color="auto"/>
              <w:left w:val="single" w:sz="4" w:space="0" w:color="auto"/>
              <w:bottom w:val="nil"/>
              <w:right w:val="single" w:sz="4" w:space="0" w:color="auto"/>
            </w:tcBorders>
            <w:vAlign w:val="center"/>
            <w:hideMark/>
          </w:tcPr>
          <w:p w:rsidR="000E7C4C" w:rsidRDefault="000E7C4C">
            <w:pPr>
              <w:rPr>
                <w:color w:val="000000"/>
                <w:szCs w:val="24"/>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rPr>
            </w:pPr>
            <w:r>
              <w:rPr>
                <w:color w:val="000000"/>
                <w:szCs w:val="24"/>
              </w:rPr>
              <w:t>Atlikta mokslinių taikomųjų tyrimų, skirtų oro taršos apskaitai, oro taršos mažinimui (valdymui), oro kokybės valdymui (vertinimui, prognozavimui, gerinimui), vnt.</w:t>
            </w:r>
          </w:p>
        </w:tc>
        <w:tc>
          <w:tcPr>
            <w:tcW w:w="850"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0</w:t>
            </w:r>
          </w:p>
        </w:tc>
        <w:tc>
          <w:tcPr>
            <w:tcW w:w="859"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≥1</w:t>
            </w:r>
          </w:p>
        </w:tc>
        <w:tc>
          <w:tcPr>
            <w:tcW w:w="866" w:type="dxa"/>
            <w:gridSpan w:val="3"/>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jc w:val="center"/>
              <w:rPr>
                <w:color w:val="000000"/>
                <w:szCs w:val="24"/>
              </w:rPr>
            </w:pPr>
            <w:r>
              <w:rPr>
                <w:color w:val="000000"/>
                <w:szCs w:val="24"/>
              </w:rPr>
              <w:t>≥1</w:t>
            </w:r>
          </w:p>
        </w:tc>
        <w:tc>
          <w:tcPr>
            <w:tcW w:w="857"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ind w:left="6"/>
              <w:jc w:val="center"/>
              <w:rPr>
                <w:color w:val="000000"/>
                <w:szCs w:val="24"/>
              </w:rPr>
            </w:pPr>
            <w:r>
              <w:rPr>
                <w:color w:val="000000"/>
                <w:szCs w:val="24"/>
              </w:rPr>
              <w:t>≥1</w:t>
            </w:r>
          </w:p>
        </w:tc>
        <w:tc>
          <w:tcPr>
            <w:tcW w:w="2275"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rPr>
            </w:pPr>
            <w:r>
              <w:rPr>
                <w:color w:val="000000"/>
                <w:szCs w:val="24"/>
              </w:rPr>
              <w:t>Lietuvos Respublikos švietimo, mokslo ir sporto ministerija</w:t>
            </w:r>
          </w:p>
        </w:tc>
      </w:tr>
      <w:tr w:rsidR="000E7C4C">
        <w:trPr>
          <w:trHeight w:val="2330"/>
        </w:trPr>
        <w:tc>
          <w:tcPr>
            <w:tcW w:w="3418" w:type="dxa"/>
            <w:vMerge/>
            <w:tcBorders>
              <w:top w:val="single" w:sz="4" w:space="0" w:color="auto"/>
              <w:left w:val="single" w:sz="4" w:space="0" w:color="auto"/>
              <w:bottom w:val="nil"/>
              <w:right w:val="single" w:sz="4" w:space="0" w:color="auto"/>
            </w:tcBorders>
            <w:vAlign w:val="center"/>
            <w:hideMark/>
          </w:tcPr>
          <w:p w:rsidR="000E7C4C" w:rsidRDefault="000E7C4C">
            <w:pPr>
              <w:rPr>
                <w:color w:val="000000"/>
                <w:szCs w:val="24"/>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color w:val="000000"/>
                <w:szCs w:val="24"/>
              </w:rPr>
            </w:pPr>
            <w:r>
              <w:rPr>
                <w:color w:val="000000"/>
                <w:szCs w:val="24"/>
              </w:rPr>
              <w:t>Atlikta visuomenės švietimo kampanijų dėl aplinkos oro taršos, aplinkos oro taršos šaltinių, aplinkos oro taršos poveikio oro kokybei, ekosistemoms, aplinkos oro taršos prieinamo mažinimo ir kt. susijusiomis temomis, vnt.</w:t>
            </w:r>
          </w:p>
        </w:tc>
        <w:tc>
          <w:tcPr>
            <w:tcW w:w="850"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jc w:val="center"/>
              <w:rPr>
                <w:color w:val="000000"/>
                <w:szCs w:val="24"/>
              </w:rPr>
            </w:pPr>
            <w:r>
              <w:rPr>
                <w:color w:val="000000"/>
                <w:szCs w:val="24"/>
              </w:rPr>
              <w:t>0</w:t>
            </w:r>
          </w:p>
        </w:tc>
        <w:tc>
          <w:tcPr>
            <w:tcW w:w="2582" w:type="dxa"/>
            <w:gridSpan w:val="6"/>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ind w:left="6" w:hanging="13"/>
              <w:jc w:val="center"/>
              <w:rPr>
                <w:color w:val="000000"/>
                <w:szCs w:val="24"/>
              </w:rPr>
            </w:pPr>
            <w:r>
              <w:rPr>
                <w:color w:val="000000"/>
                <w:szCs w:val="24"/>
              </w:rPr>
              <w:t>1</w:t>
            </w:r>
          </w:p>
          <w:p w:rsidR="000E7C4C" w:rsidRDefault="003C3EA6">
            <w:pPr>
              <w:tabs>
                <w:tab w:val="num" w:pos="360"/>
              </w:tabs>
              <w:ind w:left="6" w:hanging="13"/>
              <w:jc w:val="center"/>
              <w:rPr>
                <w:color w:val="000000"/>
                <w:szCs w:val="24"/>
              </w:rPr>
            </w:pPr>
            <w:r>
              <w:rPr>
                <w:color w:val="000000"/>
                <w:szCs w:val="24"/>
              </w:rPr>
              <w:t>(kiekvienais 2020–2030 m.)</w:t>
            </w:r>
          </w:p>
        </w:tc>
        <w:tc>
          <w:tcPr>
            <w:tcW w:w="2275"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rPr>
            </w:pPr>
            <w:r>
              <w:rPr>
                <w:color w:val="000000"/>
                <w:szCs w:val="24"/>
              </w:rPr>
              <w:t>Aplinkos ministerija</w:t>
            </w:r>
          </w:p>
        </w:tc>
      </w:tr>
      <w:tr w:rsidR="000E7C4C">
        <w:trPr>
          <w:trHeight w:val="2490"/>
        </w:trPr>
        <w:tc>
          <w:tcPr>
            <w:tcW w:w="3418" w:type="dxa"/>
            <w:vMerge/>
            <w:tcBorders>
              <w:top w:val="single" w:sz="4" w:space="0" w:color="auto"/>
              <w:left w:val="single" w:sz="4" w:space="0" w:color="auto"/>
              <w:bottom w:val="nil"/>
              <w:right w:val="single" w:sz="4" w:space="0" w:color="auto"/>
            </w:tcBorders>
            <w:vAlign w:val="center"/>
            <w:hideMark/>
          </w:tcPr>
          <w:p w:rsidR="000E7C4C" w:rsidRDefault="000E7C4C">
            <w:pPr>
              <w:rPr>
                <w:color w:val="000000"/>
                <w:szCs w:val="24"/>
              </w:rPr>
            </w:pPr>
          </w:p>
        </w:tc>
        <w:tc>
          <w:tcPr>
            <w:tcW w:w="2544" w:type="dxa"/>
            <w:vMerge w:val="restart"/>
            <w:tcBorders>
              <w:top w:val="single" w:sz="4" w:space="0" w:color="auto"/>
              <w:left w:val="single" w:sz="4" w:space="0" w:color="auto"/>
              <w:bottom w:val="nil"/>
              <w:right w:val="single" w:sz="4" w:space="0" w:color="auto"/>
            </w:tcBorders>
            <w:hideMark/>
          </w:tcPr>
          <w:p w:rsidR="000E7C4C" w:rsidRDefault="003C3EA6">
            <w:pPr>
              <w:rPr>
                <w:color w:val="000000"/>
                <w:szCs w:val="24"/>
              </w:rPr>
            </w:pPr>
            <w:r>
              <w:rPr>
                <w:color w:val="000000"/>
                <w:szCs w:val="21"/>
              </w:rPr>
              <w:t>3.2. stiprinti aplinkos oro taršos poveikio sveikatai ir ekosistemoms stebėsenos vykdymą ir jos vertinimo rezultatų viešinimą</w:t>
            </w: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color w:val="000000"/>
                <w:szCs w:val="21"/>
              </w:rPr>
            </w:pPr>
            <w:r>
              <w:rPr>
                <w:color w:val="000000"/>
                <w:szCs w:val="21"/>
              </w:rPr>
              <w:t>1979 m. Tolimųjų tarpvalstybinių oro teršalų pernašų konvencijos Tarptautinių bendradarbiavimo programų (ICP), pagal kurias vykdoma aplinkos oro taršos poveikio ekosistemoms stebėsena, skaičius, vnt.</w:t>
            </w:r>
          </w:p>
        </w:tc>
        <w:tc>
          <w:tcPr>
            <w:tcW w:w="850"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2</w:t>
            </w:r>
          </w:p>
        </w:tc>
        <w:tc>
          <w:tcPr>
            <w:tcW w:w="870" w:type="dxa"/>
            <w:gridSpan w:val="3"/>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Cs w:val="24"/>
              </w:rPr>
            </w:pPr>
            <w:r>
              <w:rPr>
                <w:color w:val="000000"/>
                <w:szCs w:val="24"/>
              </w:rPr>
              <w:t>2</w:t>
            </w:r>
          </w:p>
        </w:tc>
        <w:tc>
          <w:tcPr>
            <w:tcW w:w="855" w:type="dxa"/>
            <w:gridSpan w:val="2"/>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jc w:val="center"/>
              <w:rPr>
                <w:color w:val="000000"/>
                <w:szCs w:val="24"/>
              </w:rPr>
            </w:pPr>
            <w:r>
              <w:rPr>
                <w:color w:val="000000"/>
                <w:szCs w:val="24"/>
              </w:rPr>
              <w:t>3</w:t>
            </w:r>
          </w:p>
        </w:tc>
        <w:tc>
          <w:tcPr>
            <w:tcW w:w="857"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jc w:val="center"/>
              <w:rPr>
                <w:color w:val="000000"/>
                <w:szCs w:val="24"/>
              </w:rPr>
            </w:pPr>
            <w:r>
              <w:rPr>
                <w:color w:val="000000"/>
                <w:szCs w:val="24"/>
              </w:rPr>
              <w:t>5</w:t>
            </w:r>
          </w:p>
        </w:tc>
        <w:tc>
          <w:tcPr>
            <w:tcW w:w="2275" w:type="dxa"/>
            <w:tcBorders>
              <w:top w:val="single" w:sz="4" w:space="0" w:color="auto"/>
              <w:left w:val="single" w:sz="4" w:space="0" w:color="auto"/>
              <w:bottom w:val="single" w:sz="4" w:space="0" w:color="auto"/>
              <w:right w:val="single" w:sz="4" w:space="0" w:color="auto"/>
            </w:tcBorders>
          </w:tcPr>
          <w:p w:rsidR="000E7C4C" w:rsidRDefault="003C3EA6">
            <w:pPr>
              <w:rPr>
                <w:color w:val="000000"/>
                <w:szCs w:val="24"/>
              </w:rPr>
            </w:pPr>
            <w:r>
              <w:rPr>
                <w:color w:val="000000"/>
                <w:szCs w:val="24"/>
              </w:rPr>
              <w:t>Aplinkos apsaugos agentūra</w:t>
            </w:r>
          </w:p>
          <w:p w:rsidR="000E7C4C" w:rsidRDefault="000E7C4C">
            <w:pPr>
              <w:rPr>
                <w:color w:val="000000"/>
                <w:szCs w:val="24"/>
              </w:rPr>
            </w:pPr>
          </w:p>
        </w:tc>
      </w:tr>
      <w:tr w:rsidR="000E7C4C">
        <w:trPr>
          <w:trHeight w:val="1185"/>
        </w:trPr>
        <w:tc>
          <w:tcPr>
            <w:tcW w:w="3418" w:type="dxa"/>
            <w:vMerge/>
            <w:tcBorders>
              <w:top w:val="single" w:sz="4" w:space="0" w:color="auto"/>
              <w:left w:val="single" w:sz="4" w:space="0" w:color="auto"/>
              <w:bottom w:val="nil"/>
              <w:right w:val="single" w:sz="4" w:space="0" w:color="auto"/>
            </w:tcBorders>
            <w:vAlign w:val="center"/>
            <w:hideMark/>
          </w:tcPr>
          <w:p w:rsidR="000E7C4C" w:rsidRDefault="000E7C4C">
            <w:pPr>
              <w:rPr>
                <w:color w:val="000000"/>
                <w:szCs w:val="24"/>
              </w:rPr>
            </w:pPr>
          </w:p>
        </w:tc>
        <w:tc>
          <w:tcPr>
            <w:tcW w:w="2544" w:type="dxa"/>
            <w:vMerge/>
            <w:tcBorders>
              <w:top w:val="single" w:sz="4" w:space="0" w:color="auto"/>
              <w:left w:val="single" w:sz="4" w:space="0" w:color="auto"/>
              <w:bottom w:val="nil"/>
              <w:right w:val="single" w:sz="4" w:space="0" w:color="auto"/>
            </w:tcBorders>
            <w:vAlign w:val="center"/>
            <w:hideMark/>
          </w:tcPr>
          <w:p w:rsidR="000E7C4C" w:rsidRDefault="000E7C4C">
            <w:pPr>
              <w:rPr>
                <w:color w:val="000000"/>
                <w:szCs w:val="24"/>
              </w:rPr>
            </w:pP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color w:val="000000"/>
                <w:szCs w:val="24"/>
              </w:rPr>
            </w:pPr>
            <w:r>
              <w:rPr>
                <w:color w:val="000000"/>
                <w:szCs w:val="24"/>
              </w:rPr>
              <w:t>Parengti ir paviešinti aplinkos oro taršos poveikio ekosistemoms vertinimo rezultatai, vnt.</w:t>
            </w:r>
          </w:p>
        </w:tc>
        <w:tc>
          <w:tcPr>
            <w:tcW w:w="850"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jc w:val="center"/>
              <w:rPr>
                <w:color w:val="000000"/>
                <w:szCs w:val="24"/>
              </w:rPr>
            </w:pPr>
            <w:r>
              <w:rPr>
                <w:color w:val="000000"/>
                <w:szCs w:val="24"/>
              </w:rPr>
              <w:t>0</w:t>
            </w:r>
          </w:p>
        </w:tc>
        <w:tc>
          <w:tcPr>
            <w:tcW w:w="2582" w:type="dxa"/>
            <w:gridSpan w:val="6"/>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jc w:val="center"/>
              <w:rPr>
                <w:color w:val="000000"/>
                <w:szCs w:val="24"/>
              </w:rPr>
            </w:pPr>
            <w:r>
              <w:rPr>
                <w:color w:val="000000"/>
                <w:szCs w:val="24"/>
              </w:rPr>
              <w:t>1</w:t>
            </w:r>
          </w:p>
          <w:p w:rsidR="000E7C4C" w:rsidRDefault="003C3EA6">
            <w:pPr>
              <w:tabs>
                <w:tab w:val="num" w:pos="360"/>
              </w:tabs>
              <w:jc w:val="center"/>
              <w:rPr>
                <w:color w:val="000000"/>
                <w:szCs w:val="24"/>
              </w:rPr>
            </w:pPr>
            <w:r>
              <w:rPr>
                <w:color w:val="000000"/>
                <w:szCs w:val="24"/>
              </w:rPr>
              <w:t>(kiekvienais 2020–2030 m.)</w:t>
            </w:r>
          </w:p>
        </w:tc>
        <w:tc>
          <w:tcPr>
            <w:tcW w:w="2275" w:type="dxa"/>
            <w:tcBorders>
              <w:top w:val="single" w:sz="4" w:space="0" w:color="auto"/>
              <w:left w:val="single" w:sz="4" w:space="0" w:color="auto"/>
              <w:bottom w:val="single" w:sz="4" w:space="0" w:color="auto"/>
              <w:right w:val="single" w:sz="4" w:space="0" w:color="auto"/>
            </w:tcBorders>
          </w:tcPr>
          <w:p w:rsidR="000E7C4C" w:rsidRDefault="003C3EA6">
            <w:pPr>
              <w:rPr>
                <w:color w:val="000000"/>
                <w:szCs w:val="24"/>
              </w:rPr>
            </w:pPr>
            <w:r>
              <w:rPr>
                <w:color w:val="000000"/>
                <w:szCs w:val="24"/>
              </w:rPr>
              <w:t>Aplinkos apsaugos agentūra</w:t>
            </w:r>
          </w:p>
          <w:p w:rsidR="000E7C4C" w:rsidRDefault="000E7C4C">
            <w:pPr>
              <w:rPr>
                <w:color w:val="000000"/>
                <w:szCs w:val="24"/>
              </w:rPr>
            </w:pPr>
          </w:p>
        </w:tc>
      </w:tr>
      <w:tr w:rsidR="000E7C4C">
        <w:trPr>
          <w:trHeight w:val="750"/>
        </w:trPr>
        <w:tc>
          <w:tcPr>
            <w:tcW w:w="3418" w:type="dxa"/>
            <w:vMerge/>
            <w:tcBorders>
              <w:top w:val="single" w:sz="4" w:space="0" w:color="auto"/>
              <w:left w:val="single" w:sz="4" w:space="0" w:color="auto"/>
              <w:bottom w:val="nil"/>
              <w:right w:val="single" w:sz="4" w:space="0" w:color="auto"/>
            </w:tcBorders>
            <w:vAlign w:val="center"/>
            <w:hideMark/>
          </w:tcPr>
          <w:p w:rsidR="000E7C4C" w:rsidRDefault="000E7C4C">
            <w:pPr>
              <w:rPr>
                <w:color w:val="000000"/>
                <w:szCs w:val="24"/>
              </w:rPr>
            </w:pPr>
          </w:p>
        </w:tc>
        <w:tc>
          <w:tcPr>
            <w:tcW w:w="2544" w:type="dxa"/>
            <w:vMerge/>
            <w:tcBorders>
              <w:top w:val="single" w:sz="4" w:space="0" w:color="auto"/>
              <w:left w:val="single" w:sz="4" w:space="0" w:color="auto"/>
              <w:bottom w:val="nil"/>
              <w:right w:val="single" w:sz="4" w:space="0" w:color="auto"/>
            </w:tcBorders>
            <w:vAlign w:val="center"/>
            <w:hideMark/>
          </w:tcPr>
          <w:p w:rsidR="000E7C4C" w:rsidRDefault="000E7C4C">
            <w:pPr>
              <w:rPr>
                <w:color w:val="000000"/>
                <w:szCs w:val="24"/>
              </w:rPr>
            </w:pP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color w:val="000000"/>
                <w:szCs w:val="24"/>
              </w:rPr>
            </w:pPr>
            <w:r>
              <w:rPr>
                <w:color w:val="000000"/>
                <w:szCs w:val="24"/>
              </w:rPr>
              <w:t>Įsisavintas oro taršos poveikio sveikatai  vertinimo metodas</w:t>
            </w:r>
          </w:p>
        </w:tc>
        <w:tc>
          <w:tcPr>
            <w:tcW w:w="850"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jc w:val="center"/>
              <w:rPr>
                <w:color w:val="000000"/>
                <w:szCs w:val="24"/>
              </w:rPr>
            </w:pPr>
            <w:r>
              <w:rPr>
                <w:color w:val="000000"/>
                <w:szCs w:val="24"/>
              </w:rPr>
              <w:t>0</w:t>
            </w:r>
          </w:p>
        </w:tc>
        <w:tc>
          <w:tcPr>
            <w:tcW w:w="870" w:type="dxa"/>
            <w:gridSpan w:val="3"/>
            <w:tcBorders>
              <w:top w:val="single" w:sz="4" w:space="0" w:color="auto"/>
              <w:left w:val="single" w:sz="4" w:space="0" w:color="auto"/>
              <w:bottom w:val="single" w:sz="4" w:space="0" w:color="auto"/>
              <w:right w:val="single" w:sz="4" w:space="0" w:color="auto"/>
            </w:tcBorders>
          </w:tcPr>
          <w:p w:rsidR="000E7C4C" w:rsidRDefault="003C3EA6">
            <w:pPr>
              <w:tabs>
                <w:tab w:val="num" w:pos="360"/>
              </w:tabs>
              <w:ind w:hanging="12"/>
              <w:jc w:val="center"/>
              <w:rPr>
                <w:color w:val="000000"/>
                <w:szCs w:val="24"/>
              </w:rPr>
            </w:pPr>
            <w:r>
              <w:rPr>
                <w:color w:val="000000"/>
                <w:szCs w:val="24"/>
              </w:rPr>
              <w:t>1</w:t>
            </w:r>
          </w:p>
          <w:p w:rsidR="000E7C4C" w:rsidRDefault="003C3EA6">
            <w:pPr>
              <w:tabs>
                <w:tab w:val="num" w:pos="360"/>
              </w:tabs>
              <w:ind w:hanging="12"/>
              <w:jc w:val="center"/>
              <w:rPr>
                <w:color w:val="000000"/>
                <w:szCs w:val="24"/>
              </w:rPr>
            </w:pPr>
            <w:r>
              <w:rPr>
                <w:color w:val="000000"/>
                <w:szCs w:val="24"/>
              </w:rPr>
              <w:t>(2019-2020 m.)</w:t>
            </w:r>
          </w:p>
          <w:p w:rsidR="000E7C4C" w:rsidRDefault="000E7C4C">
            <w:pPr>
              <w:tabs>
                <w:tab w:val="num" w:pos="360"/>
              </w:tabs>
              <w:ind w:hanging="12"/>
              <w:jc w:val="center"/>
              <w:rPr>
                <w:color w:val="000000"/>
                <w:szCs w:val="24"/>
              </w:rPr>
            </w:pPr>
          </w:p>
        </w:tc>
        <w:tc>
          <w:tcPr>
            <w:tcW w:w="855" w:type="dxa"/>
            <w:gridSpan w:val="2"/>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jc w:val="center"/>
              <w:rPr>
                <w:color w:val="000000"/>
                <w:szCs w:val="24"/>
              </w:rPr>
            </w:pPr>
            <w:r>
              <w:rPr>
                <w:color w:val="000000"/>
                <w:szCs w:val="24"/>
              </w:rPr>
              <w:t>-</w:t>
            </w:r>
          </w:p>
        </w:tc>
        <w:tc>
          <w:tcPr>
            <w:tcW w:w="857"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ind w:hanging="26"/>
              <w:jc w:val="center"/>
              <w:rPr>
                <w:color w:val="000000"/>
                <w:szCs w:val="24"/>
              </w:rPr>
            </w:pPr>
            <w:r>
              <w:rPr>
                <w:color w:val="000000"/>
                <w:szCs w:val="24"/>
              </w:rPr>
              <w:t>-</w:t>
            </w:r>
          </w:p>
        </w:tc>
        <w:tc>
          <w:tcPr>
            <w:tcW w:w="2275"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color w:val="000000"/>
                <w:szCs w:val="24"/>
              </w:rPr>
            </w:pPr>
            <w:r>
              <w:rPr>
                <w:color w:val="000000"/>
                <w:szCs w:val="24"/>
              </w:rPr>
              <w:t>Nacionalinis visuomenės sveikatos centras prie  Sveikatos apsaugos ministerijos (toliau –  NVSC)</w:t>
            </w:r>
          </w:p>
        </w:tc>
      </w:tr>
      <w:tr w:rsidR="000E7C4C">
        <w:trPr>
          <w:trHeight w:val="750"/>
        </w:trPr>
        <w:tc>
          <w:tcPr>
            <w:tcW w:w="3418" w:type="dxa"/>
            <w:vMerge/>
            <w:tcBorders>
              <w:top w:val="single" w:sz="4" w:space="0" w:color="auto"/>
              <w:left w:val="single" w:sz="4" w:space="0" w:color="auto"/>
              <w:bottom w:val="nil"/>
              <w:right w:val="single" w:sz="4" w:space="0" w:color="auto"/>
            </w:tcBorders>
            <w:vAlign w:val="center"/>
            <w:hideMark/>
          </w:tcPr>
          <w:p w:rsidR="000E7C4C" w:rsidRDefault="000E7C4C">
            <w:pPr>
              <w:rPr>
                <w:color w:val="000000"/>
                <w:szCs w:val="24"/>
              </w:rPr>
            </w:pPr>
          </w:p>
        </w:tc>
        <w:tc>
          <w:tcPr>
            <w:tcW w:w="2544" w:type="dxa"/>
            <w:vMerge/>
            <w:tcBorders>
              <w:top w:val="single" w:sz="4" w:space="0" w:color="auto"/>
              <w:left w:val="single" w:sz="4" w:space="0" w:color="auto"/>
              <w:bottom w:val="nil"/>
              <w:right w:val="single" w:sz="4" w:space="0" w:color="auto"/>
            </w:tcBorders>
            <w:vAlign w:val="center"/>
            <w:hideMark/>
          </w:tcPr>
          <w:p w:rsidR="000E7C4C" w:rsidRDefault="000E7C4C">
            <w:pPr>
              <w:rPr>
                <w:color w:val="000000"/>
                <w:szCs w:val="24"/>
              </w:rPr>
            </w:pP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color w:val="000000"/>
                <w:szCs w:val="24"/>
              </w:rPr>
            </w:pPr>
            <w:r>
              <w:rPr>
                <w:color w:val="000000"/>
                <w:szCs w:val="24"/>
              </w:rPr>
              <w:t>Parengti ir suinteresuotoms institucijoms pateikti preliminarūs  aplinkos oro taršos poveikio sveikatai vertinimo rezultatai, vnt.</w:t>
            </w:r>
          </w:p>
        </w:tc>
        <w:tc>
          <w:tcPr>
            <w:tcW w:w="850"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jc w:val="center"/>
              <w:rPr>
                <w:color w:val="000000"/>
                <w:szCs w:val="24"/>
              </w:rPr>
            </w:pPr>
            <w:r>
              <w:rPr>
                <w:color w:val="000000"/>
                <w:szCs w:val="24"/>
              </w:rPr>
              <w:t>0</w:t>
            </w:r>
          </w:p>
        </w:tc>
        <w:tc>
          <w:tcPr>
            <w:tcW w:w="870" w:type="dxa"/>
            <w:gridSpan w:val="3"/>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jc w:val="center"/>
              <w:rPr>
                <w:color w:val="000000"/>
                <w:szCs w:val="24"/>
              </w:rPr>
            </w:pPr>
            <w:r>
              <w:rPr>
                <w:color w:val="000000"/>
                <w:szCs w:val="24"/>
              </w:rPr>
              <w:t>1</w:t>
            </w:r>
          </w:p>
          <w:p w:rsidR="000E7C4C" w:rsidRDefault="003C3EA6">
            <w:pPr>
              <w:tabs>
                <w:tab w:val="num" w:pos="360"/>
              </w:tabs>
              <w:jc w:val="center"/>
              <w:rPr>
                <w:color w:val="000000"/>
                <w:szCs w:val="24"/>
              </w:rPr>
            </w:pPr>
            <w:r>
              <w:rPr>
                <w:color w:val="000000"/>
                <w:szCs w:val="24"/>
              </w:rPr>
              <w:t>(2020–2021 m.)</w:t>
            </w:r>
          </w:p>
        </w:tc>
        <w:tc>
          <w:tcPr>
            <w:tcW w:w="855" w:type="dxa"/>
            <w:gridSpan w:val="2"/>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jc w:val="center"/>
              <w:rPr>
                <w:color w:val="000000"/>
                <w:szCs w:val="24"/>
              </w:rPr>
            </w:pPr>
            <w:r>
              <w:rPr>
                <w:color w:val="000000"/>
                <w:szCs w:val="24"/>
              </w:rPr>
              <w:t>-</w:t>
            </w:r>
          </w:p>
        </w:tc>
        <w:tc>
          <w:tcPr>
            <w:tcW w:w="857"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ind w:hanging="2"/>
              <w:jc w:val="center"/>
              <w:rPr>
                <w:color w:val="000000"/>
                <w:szCs w:val="24"/>
              </w:rPr>
            </w:pPr>
            <w:r>
              <w:rPr>
                <w:color w:val="000000"/>
                <w:szCs w:val="24"/>
              </w:rPr>
              <w:t>-</w:t>
            </w:r>
          </w:p>
        </w:tc>
        <w:tc>
          <w:tcPr>
            <w:tcW w:w="2275"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rPr>
            </w:pPr>
            <w:r>
              <w:rPr>
                <w:color w:val="000000"/>
                <w:szCs w:val="24"/>
              </w:rPr>
              <w:t>NVSC</w:t>
            </w:r>
          </w:p>
        </w:tc>
      </w:tr>
      <w:tr w:rsidR="000E7C4C">
        <w:trPr>
          <w:trHeight w:val="645"/>
        </w:trPr>
        <w:tc>
          <w:tcPr>
            <w:tcW w:w="3418" w:type="dxa"/>
            <w:vMerge/>
            <w:tcBorders>
              <w:top w:val="single" w:sz="4" w:space="0" w:color="auto"/>
              <w:left w:val="single" w:sz="4" w:space="0" w:color="auto"/>
              <w:bottom w:val="nil"/>
              <w:right w:val="single" w:sz="4" w:space="0" w:color="auto"/>
            </w:tcBorders>
            <w:vAlign w:val="center"/>
            <w:hideMark/>
          </w:tcPr>
          <w:p w:rsidR="000E7C4C" w:rsidRDefault="000E7C4C">
            <w:pPr>
              <w:rPr>
                <w:color w:val="000000"/>
                <w:szCs w:val="24"/>
              </w:rPr>
            </w:pPr>
          </w:p>
        </w:tc>
        <w:tc>
          <w:tcPr>
            <w:tcW w:w="2544" w:type="dxa"/>
            <w:vMerge/>
            <w:tcBorders>
              <w:top w:val="single" w:sz="4" w:space="0" w:color="auto"/>
              <w:left w:val="single" w:sz="4" w:space="0" w:color="auto"/>
              <w:bottom w:val="nil"/>
              <w:right w:val="single" w:sz="4" w:space="0" w:color="auto"/>
            </w:tcBorders>
            <w:vAlign w:val="center"/>
            <w:hideMark/>
          </w:tcPr>
          <w:p w:rsidR="000E7C4C" w:rsidRDefault="000E7C4C">
            <w:pPr>
              <w:rPr>
                <w:color w:val="000000"/>
                <w:szCs w:val="24"/>
              </w:rPr>
            </w:pPr>
          </w:p>
        </w:tc>
        <w:tc>
          <w:tcPr>
            <w:tcW w:w="2971"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color w:val="000000"/>
                <w:szCs w:val="24"/>
              </w:rPr>
            </w:pPr>
            <w:r>
              <w:rPr>
                <w:color w:val="000000"/>
                <w:szCs w:val="24"/>
              </w:rPr>
              <w:t>Parengti ir paviešinti aplinkos oro taršos poveikio sveikatai vertinimo rezultatai, vnt.</w:t>
            </w:r>
          </w:p>
        </w:tc>
        <w:tc>
          <w:tcPr>
            <w:tcW w:w="850"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ind w:hanging="2"/>
              <w:jc w:val="center"/>
              <w:rPr>
                <w:color w:val="000000"/>
                <w:szCs w:val="24"/>
              </w:rPr>
            </w:pPr>
            <w:r>
              <w:rPr>
                <w:color w:val="000000"/>
                <w:szCs w:val="24"/>
              </w:rPr>
              <w:t>0</w:t>
            </w:r>
          </w:p>
        </w:tc>
        <w:tc>
          <w:tcPr>
            <w:tcW w:w="2582" w:type="dxa"/>
            <w:gridSpan w:val="6"/>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ind w:hanging="2"/>
              <w:jc w:val="center"/>
              <w:rPr>
                <w:color w:val="000000"/>
                <w:szCs w:val="24"/>
              </w:rPr>
            </w:pPr>
            <w:r>
              <w:rPr>
                <w:color w:val="000000"/>
                <w:szCs w:val="24"/>
              </w:rPr>
              <w:t>1</w:t>
            </w:r>
          </w:p>
          <w:p w:rsidR="000E7C4C" w:rsidRDefault="003C3EA6">
            <w:pPr>
              <w:tabs>
                <w:tab w:val="num" w:pos="360"/>
              </w:tabs>
              <w:ind w:hanging="2"/>
              <w:jc w:val="center"/>
              <w:rPr>
                <w:color w:val="000000"/>
                <w:szCs w:val="24"/>
              </w:rPr>
            </w:pPr>
            <w:r>
              <w:rPr>
                <w:color w:val="000000"/>
                <w:szCs w:val="24"/>
              </w:rPr>
              <w:t>(kiekvienais 2020-2030 m.)</w:t>
            </w:r>
          </w:p>
        </w:tc>
        <w:tc>
          <w:tcPr>
            <w:tcW w:w="2275"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Cs w:val="24"/>
              </w:rPr>
            </w:pPr>
            <w:r>
              <w:rPr>
                <w:color w:val="000000"/>
                <w:szCs w:val="24"/>
              </w:rPr>
              <w:t>NVSC</w:t>
            </w:r>
            <w:r>
              <w:rPr>
                <w:color w:val="000000"/>
                <w:szCs w:val="21"/>
                <w:lang w:val="en-US"/>
              </w:rPr>
              <w:t xml:space="preserve"> </w:t>
            </w:r>
          </w:p>
        </w:tc>
      </w:tr>
      <w:tr w:rsidR="000E7C4C">
        <w:trPr>
          <w:trHeight w:val="1760"/>
        </w:trPr>
        <w:tc>
          <w:tcPr>
            <w:tcW w:w="3418" w:type="dxa"/>
            <w:vMerge/>
            <w:tcBorders>
              <w:top w:val="single" w:sz="4" w:space="0" w:color="auto"/>
              <w:left w:val="single" w:sz="4" w:space="0" w:color="auto"/>
              <w:bottom w:val="nil"/>
              <w:right w:val="single" w:sz="4" w:space="0" w:color="auto"/>
            </w:tcBorders>
            <w:vAlign w:val="center"/>
            <w:hideMark/>
          </w:tcPr>
          <w:p w:rsidR="000E7C4C" w:rsidRDefault="000E7C4C">
            <w:pPr>
              <w:rPr>
                <w:color w:val="000000"/>
                <w:szCs w:val="24"/>
              </w:rPr>
            </w:pPr>
          </w:p>
        </w:tc>
        <w:tc>
          <w:tcPr>
            <w:tcW w:w="2544" w:type="dxa"/>
            <w:vMerge/>
            <w:tcBorders>
              <w:top w:val="single" w:sz="4" w:space="0" w:color="auto"/>
              <w:left w:val="single" w:sz="4" w:space="0" w:color="auto"/>
              <w:bottom w:val="nil"/>
              <w:right w:val="single" w:sz="4" w:space="0" w:color="auto"/>
            </w:tcBorders>
            <w:vAlign w:val="center"/>
            <w:hideMark/>
          </w:tcPr>
          <w:p w:rsidR="000E7C4C" w:rsidRDefault="000E7C4C">
            <w:pPr>
              <w:rPr>
                <w:color w:val="000000"/>
                <w:szCs w:val="24"/>
              </w:rPr>
            </w:pPr>
          </w:p>
        </w:tc>
        <w:tc>
          <w:tcPr>
            <w:tcW w:w="2971"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color w:val="000000"/>
                <w:szCs w:val="24"/>
              </w:rPr>
            </w:pPr>
            <w:r>
              <w:rPr>
                <w:color w:val="000000"/>
                <w:szCs w:val="24"/>
              </w:rPr>
              <w:t>Atlikta visuomenės švietimo kampanijų apie aplinkos oro taršos poveikį sveikatai, vnt.</w:t>
            </w:r>
          </w:p>
        </w:tc>
        <w:tc>
          <w:tcPr>
            <w:tcW w:w="850"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ind w:hanging="2"/>
              <w:jc w:val="center"/>
              <w:rPr>
                <w:color w:val="000000"/>
                <w:szCs w:val="24"/>
              </w:rPr>
            </w:pPr>
            <w:r>
              <w:rPr>
                <w:color w:val="000000"/>
                <w:szCs w:val="24"/>
              </w:rPr>
              <w:t>0</w:t>
            </w:r>
          </w:p>
        </w:tc>
        <w:tc>
          <w:tcPr>
            <w:tcW w:w="2582" w:type="dxa"/>
            <w:gridSpan w:val="6"/>
            <w:vMerge w:val="restart"/>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ind w:hanging="2"/>
              <w:jc w:val="center"/>
              <w:rPr>
                <w:color w:val="000000"/>
                <w:szCs w:val="24"/>
              </w:rPr>
            </w:pPr>
            <w:r>
              <w:rPr>
                <w:color w:val="000000"/>
                <w:szCs w:val="24"/>
              </w:rPr>
              <w:t xml:space="preserve">1 </w:t>
            </w:r>
          </w:p>
          <w:p w:rsidR="000E7C4C" w:rsidRDefault="003C3EA6">
            <w:pPr>
              <w:tabs>
                <w:tab w:val="num" w:pos="360"/>
              </w:tabs>
              <w:ind w:hanging="2"/>
              <w:jc w:val="center"/>
              <w:rPr>
                <w:color w:val="000000"/>
                <w:szCs w:val="24"/>
              </w:rPr>
            </w:pPr>
            <w:r>
              <w:rPr>
                <w:color w:val="000000"/>
                <w:szCs w:val="24"/>
              </w:rPr>
              <w:t>(kiekvienais 2020-2030 m.)</w:t>
            </w:r>
          </w:p>
        </w:tc>
        <w:tc>
          <w:tcPr>
            <w:tcW w:w="2275"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color w:val="000000"/>
                <w:szCs w:val="24"/>
              </w:rPr>
            </w:pPr>
            <w:r>
              <w:rPr>
                <w:color w:val="000000"/>
                <w:szCs w:val="24"/>
              </w:rPr>
              <w:t xml:space="preserve">Lietuvos Respublikos sveikatos apsaugos ministerija </w:t>
            </w:r>
          </w:p>
        </w:tc>
      </w:tr>
      <w:tr w:rsidR="000E7C4C">
        <w:trPr>
          <w:trHeight w:val="42"/>
        </w:trPr>
        <w:tc>
          <w:tcPr>
            <w:tcW w:w="3418" w:type="dxa"/>
            <w:tcBorders>
              <w:top w:val="nil"/>
              <w:left w:val="single" w:sz="4" w:space="0" w:color="auto"/>
              <w:bottom w:val="single" w:sz="4" w:space="0" w:color="auto"/>
              <w:right w:val="single" w:sz="4" w:space="0" w:color="auto"/>
            </w:tcBorders>
          </w:tcPr>
          <w:p w:rsidR="000E7C4C" w:rsidRDefault="000E7C4C">
            <w:pPr>
              <w:rPr>
                <w:color w:val="000000"/>
                <w:szCs w:val="24"/>
              </w:rPr>
            </w:pPr>
          </w:p>
        </w:tc>
        <w:tc>
          <w:tcPr>
            <w:tcW w:w="2544" w:type="dxa"/>
            <w:tcBorders>
              <w:top w:val="nil"/>
              <w:left w:val="single" w:sz="4" w:space="0" w:color="auto"/>
              <w:bottom w:val="single" w:sz="4" w:space="0" w:color="auto"/>
              <w:right w:val="single" w:sz="4" w:space="0" w:color="auto"/>
            </w:tcBorders>
          </w:tcPr>
          <w:p w:rsidR="000E7C4C" w:rsidRDefault="000E7C4C">
            <w:pPr>
              <w:rPr>
                <w:color w:val="000000"/>
                <w:szCs w:val="24"/>
              </w:rPr>
            </w:pPr>
          </w:p>
        </w:tc>
        <w:tc>
          <w:tcPr>
            <w:tcW w:w="2971"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3432"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6892" w:type="dxa"/>
            <w:gridSpan w:val="6"/>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Cs w:val="24"/>
              </w:rPr>
            </w:pPr>
          </w:p>
        </w:tc>
      </w:tr>
    </w:tbl>
    <w:p w:rsidR="000E7C4C" w:rsidRDefault="000E7C4C"/>
    <w:p w:rsidR="000E7C4C" w:rsidRDefault="003C3EA6">
      <w:pPr>
        <w:tabs>
          <w:tab w:val="num" w:pos="360"/>
        </w:tabs>
        <w:jc w:val="both"/>
        <w:rPr>
          <w:color w:val="000000"/>
          <w:szCs w:val="21"/>
        </w:rPr>
      </w:pPr>
      <w:r>
        <w:rPr>
          <w:color w:val="000000"/>
          <w:szCs w:val="21"/>
        </w:rPr>
        <w:t>*Ženklas „+“ rodo vertinimo kriterijaus reikšmės padidėjimą, „-“ – sumažėjimą.</w:t>
      </w:r>
    </w:p>
    <w:p w:rsidR="000E7C4C" w:rsidRDefault="003C3EA6">
      <w:pPr>
        <w:tabs>
          <w:tab w:val="num" w:pos="360"/>
        </w:tabs>
        <w:jc w:val="both"/>
        <w:rPr>
          <w:color w:val="000000"/>
          <w:szCs w:val="21"/>
        </w:rPr>
      </w:pPr>
      <w:r>
        <w:rPr>
          <w:color w:val="000000"/>
          <w:szCs w:val="21"/>
        </w:rPr>
        <w:t>** Renka informaciją apie vertinimo kriterijaus pasiekimo būklę iš institucijų, vykdančių atitinkamas Nacionalinio oro taršos mažinimo plano (toliau – Planas) įgyvendinimo priemones, ir kitų duomenų šaltinių, ją apibendrina, vertina ir teikia Lietuvos Respublikos aplinkos ministerijai.</w:t>
      </w:r>
    </w:p>
    <w:p w:rsidR="000E7C4C" w:rsidRDefault="000E7C4C">
      <w:pPr>
        <w:tabs>
          <w:tab w:val="num" w:pos="360"/>
        </w:tabs>
        <w:spacing w:line="360" w:lineRule="atLeast"/>
        <w:jc w:val="both"/>
        <w:rPr>
          <w:color w:val="000000"/>
          <w:szCs w:val="21"/>
        </w:rPr>
      </w:pPr>
    </w:p>
    <w:p w:rsidR="000E7C4C" w:rsidRDefault="003C3EA6">
      <w:pPr>
        <w:tabs>
          <w:tab w:val="left" w:pos="1296"/>
        </w:tabs>
        <w:jc w:val="center"/>
        <w:rPr>
          <w:color w:val="000000"/>
          <w:szCs w:val="21"/>
        </w:rPr>
      </w:pPr>
      <w:r>
        <w:rPr>
          <w:color w:val="000000"/>
          <w:sz w:val="20"/>
          <w:szCs w:val="21"/>
        </w:rPr>
        <w:t>______________________________</w:t>
      </w:r>
    </w:p>
    <w:p w:rsidR="000E7C4C" w:rsidRDefault="000E7C4C">
      <w:pPr>
        <w:tabs>
          <w:tab w:val="left" w:pos="540"/>
          <w:tab w:val="left" w:pos="1296"/>
        </w:tabs>
        <w:rPr>
          <w:szCs w:val="24"/>
        </w:rPr>
      </w:pPr>
    </w:p>
    <w:p w:rsidR="000E7C4C" w:rsidRDefault="003C3EA6">
      <w:pPr>
        <w:tabs>
          <w:tab w:val="center" w:pos="4819"/>
          <w:tab w:val="right" w:pos="9638"/>
        </w:tabs>
        <w:ind w:firstLine="720"/>
        <w:jc w:val="both"/>
        <w:rPr>
          <w:color w:val="000000"/>
          <w:szCs w:val="21"/>
          <w:lang w:val="en-US"/>
        </w:rPr>
      </w:pPr>
    </w:p>
    <w:p w:rsidR="003C3EA6" w:rsidRDefault="003C3EA6">
      <w:pPr>
        <w:ind w:left="7088"/>
        <w:sectPr w:rsidR="003C3EA6" w:rsidSect="003C3EA6">
          <w:pgSz w:w="16838" w:h="11906" w:orient="landscape"/>
          <w:pgMar w:top="567" w:right="1134" w:bottom="1701" w:left="1134" w:header="567" w:footer="567" w:gutter="0"/>
          <w:pgNumType w:start="1"/>
          <w:cols w:space="1296"/>
          <w:titlePg/>
          <w:docGrid w:linePitch="326"/>
        </w:sectPr>
      </w:pPr>
    </w:p>
    <w:p w:rsidR="000E7C4C" w:rsidRDefault="003C3EA6" w:rsidP="003C3EA6">
      <w:pPr>
        <w:ind w:left="11340"/>
        <w:rPr>
          <w:color w:val="000000"/>
          <w:szCs w:val="24"/>
        </w:rPr>
      </w:pPr>
      <w:r>
        <w:rPr>
          <w:color w:val="000000"/>
          <w:szCs w:val="24"/>
        </w:rPr>
        <w:t xml:space="preserve">Nacionalinio oro taršos </w:t>
      </w:r>
    </w:p>
    <w:p w:rsidR="000E7C4C" w:rsidRDefault="003C3EA6" w:rsidP="003C3EA6">
      <w:pPr>
        <w:ind w:left="11340"/>
        <w:rPr>
          <w:color w:val="000000"/>
          <w:szCs w:val="24"/>
        </w:rPr>
      </w:pPr>
      <w:r>
        <w:rPr>
          <w:color w:val="000000"/>
          <w:szCs w:val="24"/>
        </w:rPr>
        <w:t>mažinimo plano</w:t>
      </w:r>
    </w:p>
    <w:p w:rsidR="000E7C4C" w:rsidRDefault="003C3EA6" w:rsidP="003C3EA6">
      <w:pPr>
        <w:ind w:left="11340"/>
        <w:rPr>
          <w:color w:val="000000"/>
          <w:szCs w:val="24"/>
        </w:rPr>
      </w:pPr>
      <w:r>
        <w:rPr>
          <w:color w:val="000000"/>
          <w:szCs w:val="24"/>
        </w:rPr>
        <w:t>2</w:t>
      </w:r>
      <w:r>
        <w:rPr>
          <w:color w:val="000000"/>
          <w:szCs w:val="24"/>
        </w:rPr>
        <w:t xml:space="preserve"> priedas</w:t>
      </w:r>
    </w:p>
    <w:p w:rsidR="000E7C4C" w:rsidRDefault="000E7C4C">
      <w:pPr>
        <w:ind w:left="8931"/>
        <w:jc w:val="right"/>
        <w:rPr>
          <w:bCs/>
          <w:szCs w:val="21"/>
        </w:rPr>
      </w:pPr>
    </w:p>
    <w:p w:rsidR="000E7C4C" w:rsidRDefault="003C3EA6">
      <w:pPr>
        <w:spacing w:line="360" w:lineRule="atLeast"/>
        <w:jc w:val="center"/>
        <w:rPr>
          <w:b/>
          <w:bCs/>
          <w:szCs w:val="21"/>
        </w:rPr>
      </w:pPr>
      <w:r>
        <w:rPr>
          <w:b/>
          <w:bCs/>
          <w:szCs w:val="21"/>
        </w:rPr>
        <w:t>NACIONALINIO ORO TARŠOS MAŽINIMO PLANO ĮGYVENDINIMO PRIEMONIŲ PLANAS</w:t>
      </w:r>
    </w:p>
    <w:p w:rsidR="000E7C4C" w:rsidRDefault="000E7C4C">
      <w:pPr>
        <w:spacing w:line="360" w:lineRule="atLeast"/>
        <w:jc w:val="center"/>
        <w:rPr>
          <w:b/>
          <w:bCs/>
          <w:szCs w:val="21"/>
        </w:rPr>
      </w:pPr>
    </w:p>
    <w:tbl>
      <w:tblPr>
        <w:tblW w:w="154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2"/>
        <w:gridCol w:w="1016"/>
        <w:gridCol w:w="21"/>
        <w:gridCol w:w="1227"/>
        <w:gridCol w:w="3426"/>
        <w:gridCol w:w="25"/>
        <w:gridCol w:w="1109"/>
        <w:gridCol w:w="25"/>
        <w:gridCol w:w="1109"/>
        <w:gridCol w:w="25"/>
        <w:gridCol w:w="1069"/>
        <w:gridCol w:w="979"/>
        <w:gridCol w:w="1394"/>
        <w:gridCol w:w="703"/>
        <w:gridCol w:w="691"/>
        <w:gridCol w:w="7"/>
        <w:gridCol w:w="1252"/>
      </w:tblGrid>
      <w:tr w:rsidR="000E7C4C">
        <w:trPr>
          <w:trHeight w:val="274"/>
        </w:trPr>
        <w:tc>
          <w:tcPr>
            <w:tcW w:w="1373" w:type="dxa"/>
            <w:vMerge w:val="restart"/>
            <w:tcBorders>
              <w:top w:val="single" w:sz="4" w:space="0" w:color="auto"/>
              <w:left w:val="single" w:sz="4" w:space="0" w:color="auto"/>
              <w:bottom w:val="single" w:sz="4" w:space="0" w:color="auto"/>
              <w:right w:val="single" w:sz="4" w:space="0" w:color="auto"/>
            </w:tcBorders>
            <w:vAlign w:val="center"/>
            <w:hideMark/>
          </w:tcPr>
          <w:p w:rsidR="000E7C4C" w:rsidRDefault="003C3EA6">
            <w:pPr>
              <w:tabs>
                <w:tab w:val="num" w:pos="360"/>
              </w:tabs>
              <w:jc w:val="center"/>
              <w:rPr>
                <w:sz w:val="18"/>
                <w:szCs w:val="18"/>
                <w:lang w:eastAsia="lt-LT"/>
              </w:rPr>
            </w:pPr>
            <w:r>
              <w:rPr>
                <w:sz w:val="18"/>
                <w:szCs w:val="18"/>
                <w:lang w:eastAsia="lt-LT"/>
              </w:rPr>
              <w:t>Uždaviniai</w:t>
            </w:r>
          </w:p>
        </w:tc>
        <w:tc>
          <w:tcPr>
            <w:tcW w:w="103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E7C4C" w:rsidRDefault="003C3EA6">
            <w:pPr>
              <w:jc w:val="center"/>
              <w:rPr>
                <w:sz w:val="18"/>
                <w:szCs w:val="18"/>
                <w:lang w:eastAsia="lt-LT"/>
              </w:rPr>
            </w:pPr>
            <w:r>
              <w:rPr>
                <w:sz w:val="18"/>
                <w:szCs w:val="18"/>
                <w:lang w:eastAsia="lt-LT"/>
              </w:rPr>
              <w:t>Priemonės Nr.</w:t>
            </w:r>
          </w:p>
        </w:tc>
        <w:tc>
          <w:tcPr>
            <w:tcW w:w="1227" w:type="dxa"/>
            <w:vMerge w:val="restart"/>
            <w:tcBorders>
              <w:top w:val="single" w:sz="4" w:space="0" w:color="auto"/>
              <w:left w:val="single" w:sz="4" w:space="0" w:color="auto"/>
              <w:bottom w:val="single" w:sz="4" w:space="0" w:color="auto"/>
              <w:right w:val="single" w:sz="4" w:space="0" w:color="auto"/>
            </w:tcBorders>
            <w:vAlign w:val="center"/>
            <w:hideMark/>
          </w:tcPr>
          <w:p w:rsidR="000E7C4C" w:rsidRDefault="003C3EA6">
            <w:pPr>
              <w:tabs>
                <w:tab w:val="num" w:pos="360"/>
              </w:tabs>
              <w:jc w:val="center"/>
              <w:rPr>
                <w:sz w:val="18"/>
                <w:szCs w:val="18"/>
                <w:lang w:eastAsia="lt-LT"/>
              </w:rPr>
            </w:pPr>
            <w:r>
              <w:rPr>
                <w:sz w:val="18"/>
                <w:szCs w:val="18"/>
                <w:lang w:eastAsia="lt-LT"/>
              </w:rPr>
              <w:t>Priemonės</w:t>
            </w:r>
          </w:p>
        </w:tc>
        <w:tc>
          <w:tcPr>
            <w:tcW w:w="3426" w:type="dxa"/>
            <w:vMerge w:val="restart"/>
            <w:tcBorders>
              <w:top w:val="single" w:sz="4" w:space="0" w:color="auto"/>
              <w:left w:val="single" w:sz="4" w:space="0" w:color="auto"/>
              <w:bottom w:val="single" w:sz="4" w:space="0" w:color="auto"/>
              <w:right w:val="single" w:sz="4" w:space="0" w:color="auto"/>
            </w:tcBorders>
            <w:vAlign w:val="center"/>
            <w:hideMark/>
          </w:tcPr>
          <w:p w:rsidR="000E7C4C" w:rsidRDefault="003C3EA6">
            <w:pPr>
              <w:tabs>
                <w:tab w:val="num" w:pos="360"/>
              </w:tabs>
              <w:jc w:val="center"/>
              <w:rPr>
                <w:sz w:val="18"/>
                <w:szCs w:val="18"/>
                <w:lang w:eastAsia="lt-LT"/>
              </w:rPr>
            </w:pPr>
            <w:r>
              <w:rPr>
                <w:sz w:val="18"/>
                <w:szCs w:val="18"/>
                <w:lang w:eastAsia="lt-LT"/>
              </w:rPr>
              <w:t>Trumpas priemonės aprašymas</w:t>
            </w:r>
          </w:p>
        </w:tc>
        <w:tc>
          <w:tcPr>
            <w:tcW w:w="1134"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0E7C4C" w:rsidRDefault="003C3EA6">
            <w:pPr>
              <w:jc w:val="center"/>
              <w:rPr>
                <w:sz w:val="18"/>
                <w:szCs w:val="18"/>
                <w:lang w:eastAsia="lt-LT"/>
              </w:rPr>
            </w:pPr>
            <w:r>
              <w:rPr>
                <w:sz w:val="18"/>
                <w:szCs w:val="18"/>
                <w:lang w:eastAsia="lt-LT"/>
              </w:rPr>
              <w:t>Priemonės tipas</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E7C4C" w:rsidRDefault="003C3EA6">
            <w:pPr>
              <w:tabs>
                <w:tab w:val="num" w:pos="360"/>
              </w:tabs>
              <w:jc w:val="center"/>
              <w:rPr>
                <w:sz w:val="18"/>
                <w:szCs w:val="18"/>
                <w:lang w:eastAsia="lt-LT"/>
              </w:rPr>
            </w:pPr>
            <w:r>
              <w:rPr>
                <w:sz w:val="18"/>
                <w:szCs w:val="18"/>
                <w:lang w:eastAsia="lt-LT"/>
              </w:rPr>
              <w:t>Tikslas</w:t>
            </w:r>
          </w:p>
        </w:tc>
        <w:tc>
          <w:tcPr>
            <w:tcW w:w="10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E7C4C" w:rsidRDefault="003C3EA6">
            <w:pPr>
              <w:tabs>
                <w:tab w:val="num" w:pos="360"/>
              </w:tabs>
              <w:jc w:val="center"/>
              <w:rPr>
                <w:sz w:val="18"/>
                <w:szCs w:val="18"/>
                <w:lang w:eastAsia="lt-LT"/>
              </w:rPr>
            </w:pPr>
            <w:r>
              <w:rPr>
                <w:sz w:val="18"/>
                <w:szCs w:val="18"/>
                <w:lang w:eastAsia="lt-LT"/>
              </w:rPr>
              <w:t>Pagrindi-</w:t>
            </w:r>
            <w:proofErr w:type="spellStart"/>
            <w:r>
              <w:rPr>
                <w:sz w:val="18"/>
                <w:szCs w:val="18"/>
                <w:lang w:eastAsia="lt-LT"/>
              </w:rPr>
              <w:t>nis</w:t>
            </w:r>
            <w:proofErr w:type="spellEnd"/>
            <w:r>
              <w:rPr>
                <w:sz w:val="18"/>
                <w:szCs w:val="18"/>
                <w:lang w:eastAsia="lt-LT"/>
              </w:rPr>
              <w:t xml:space="preserve"> paveiktas sektorius</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rsidR="000E7C4C" w:rsidRDefault="003C3EA6">
            <w:pPr>
              <w:tabs>
                <w:tab w:val="num" w:pos="360"/>
              </w:tabs>
              <w:jc w:val="center"/>
              <w:rPr>
                <w:sz w:val="18"/>
                <w:szCs w:val="18"/>
                <w:lang w:eastAsia="lt-LT"/>
              </w:rPr>
            </w:pPr>
            <w:r>
              <w:rPr>
                <w:sz w:val="18"/>
                <w:szCs w:val="18"/>
                <w:lang w:eastAsia="lt-LT"/>
              </w:rPr>
              <w:t>Atsakingi subjektai</w:t>
            </w:r>
          </w:p>
        </w:tc>
        <w:tc>
          <w:tcPr>
            <w:tcW w:w="1401" w:type="dxa"/>
            <w:gridSpan w:val="3"/>
            <w:tcBorders>
              <w:top w:val="single" w:sz="4" w:space="0" w:color="auto"/>
              <w:left w:val="single" w:sz="4" w:space="0" w:color="auto"/>
              <w:bottom w:val="single" w:sz="4" w:space="0" w:color="auto"/>
              <w:right w:val="single" w:sz="4" w:space="0" w:color="auto"/>
            </w:tcBorders>
            <w:noWrap/>
            <w:vAlign w:val="center"/>
            <w:hideMark/>
          </w:tcPr>
          <w:p w:rsidR="000E7C4C" w:rsidRDefault="003C3EA6">
            <w:pPr>
              <w:tabs>
                <w:tab w:val="num" w:pos="360"/>
              </w:tabs>
              <w:jc w:val="center"/>
              <w:rPr>
                <w:sz w:val="18"/>
                <w:szCs w:val="18"/>
                <w:lang w:eastAsia="lt-LT"/>
              </w:rPr>
            </w:pPr>
            <w:r>
              <w:rPr>
                <w:sz w:val="18"/>
                <w:szCs w:val="18"/>
                <w:lang w:eastAsia="lt-LT"/>
              </w:rPr>
              <w:t>Laikotarpis</w:t>
            </w:r>
          </w:p>
        </w:tc>
        <w:tc>
          <w:tcPr>
            <w:tcW w:w="1252" w:type="dxa"/>
            <w:vMerge w:val="restart"/>
            <w:tcBorders>
              <w:top w:val="single" w:sz="4" w:space="0" w:color="auto"/>
              <w:left w:val="single" w:sz="4" w:space="0" w:color="auto"/>
              <w:bottom w:val="single" w:sz="4" w:space="0" w:color="auto"/>
              <w:right w:val="single" w:sz="4" w:space="0" w:color="auto"/>
            </w:tcBorders>
            <w:noWrap/>
            <w:vAlign w:val="center"/>
            <w:hideMark/>
          </w:tcPr>
          <w:p w:rsidR="000E7C4C" w:rsidRDefault="003C3EA6">
            <w:pPr>
              <w:jc w:val="center"/>
              <w:rPr>
                <w:sz w:val="18"/>
                <w:szCs w:val="18"/>
                <w:lang w:eastAsia="lt-LT"/>
              </w:rPr>
            </w:pPr>
            <w:r>
              <w:rPr>
                <w:sz w:val="18"/>
                <w:szCs w:val="18"/>
                <w:lang w:eastAsia="lt-LT"/>
              </w:rPr>
              <w:t>Asignavimų poreikis</w:t>
            </w:r>
            <w:r>
              <w:rPr>
                <w:sz w:val="18"/>
                <w:szCs w:val="18"/>
                <w:lang w:val="en-US" w:eastAsia="lt-LT"/>
              </w:rPr>
              <w:t>*</w:t>
            </w:r>
            <w:r>
              <w:rPr>
                <w:sz w:val="18"/>
                <w:szCs w:val="18"/>
                <w:lang w:eastAsia="lt-LT"/>
              </w:rPr>
              <w:t>, tūkst. eurų</w:t>
            </w:r>
          </w:p>
        </w:tc>
      </w:tr>
      <w:tr w:rsidR="000E7C4C">
        <w:trPr>
          <w:trHeight w:val="860"/>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2285" w:type="dxa"/>
            <w:gridSpan w:val="2"/>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3451"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2163" w:type="dxa"/>
            <w:gridSpan w:val="2"/>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Tipas</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Pavadinimas</w:t>
            </w:r>
          </w:p>
        </w:tc>
        <w:tc>
          <w:tcPr>
            <w:tcW w:w="703" w:type="dxa"/>
            <w:tcBorders>
              <w:top w:val="single" w:sz="4" w:space="0" w:color="auto"/>
              <w:left w:val="single" w:sz="4" w:space="0" w:color="auto"/>
              <w:bottom w:val="single" w:sz="4" w:space="0" w:color="auto"/>
              <w:right w:val="single" w:sz="4" w:space="0" w:color="auto"/>
            </w:tcBorders>
            <w:noWrap/>
            <w:textDirection w:val="btLr"/>
            <w:hideMark/>
          </w:tcPr>
          <w:p w:rsidR="000E7C4C" w:rsidRDefault="003C3EA6">
            <w:pPr>
              <w:ind w:left="113" w:right="113"/>
              <w:jc w:val="center"/>
              <w:rPr>
                <w:sz w:val="18"/>
                <w:szCs w:val="18"/>
                <w:lang w:eastAsia="lt-LT"/>
              </w:rPr>
            </w:pPr>
            <w:r>
              <w:rPr>
                <w:sz w:val="18"/>
                <w:szCs w:val="18"/>
                <w:lang w:eastAsia="lt-LT"/>
              </w:rPr>
              <w:t>Pradžia</w:t>
            </w:r>
          </w:p>
        </w:tc>
        <w:tc>
          <w:tcPr>
            <w:tcW w:w="698" w:type="dxa"/>
            <w:gridSpan w:val="2"/>
            <w:tcBorders>
              <w:top w:val="single" w:sz="4" w:space="0" w:color="auto"/>
              <w:left w:val="single" w:sz="4" w:space="0" w:color="auto"/>
              <w:bottom w:val="single" w:sz="4" w:space="0" w:color="auto"/>
              <w:right w:val="single" w:sz="4" w:space="0" w:color="auto"/>
            </w:tcBorders>
            <w:noWrap/>
            <w:textDirection w:val="btLr"/>
            <w:hideMark/>
          </w:tcPr>
          <w:p w:rsidR="000E7C4C" w:rsidRDefault="003C3EA6">
            <w:pPr>
              <w:ind w:left="113" w:right="113"/>
              <w:jc w:val="center"/>
              <w:rPr>
                <w:sz w:val="18"/>
                <w:szCs w:val="18"/>
                <w:lang w:eastAsia="lt-LT"/>
              </w:rPr>
            </w:pPr>
            <w:r>
              <w:rPr>
                <w:sz w:val="18"/>
                <w:szCs w:val="18"/>
                <w:lang w:eastAsia="lt-LT"/>
              </w:rPr>
              <w:t>Pabaiga</w:t>
            </w: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r>
      <w:tr w:rsidR="000E7C4C">
        <w:trPr>
          <w:trHeight w:val="274"/>
        </w:trPr>
        <w:tc>
          <w:tcPr>
            <w:tcW w:w="1373"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1.1. Sumažinti taršą sieros dioksidu (toliau – SO</w:t>
            </w:r>
            <w:r>
              <w:rPr>
                <w:sz w:val="18"/>
                <w:szCs w:val="18"/>
                <w:vertAlign w:val="subscript"/>
                <w:lang w:eastAsia="lt-LT"/>
              </w:rPr>
              <w:t>2</w:t>
            </w:r>
            <w:r>
              <w:rPr>
                <w:sz w:val="18"/>
                <w:szCs w:val="18"/>
                <w:lang w:eastAsia="lt-LT"/>
              </w:rPr>
              <w:t>), didžiausią dėmesį skiriant taršos sumažinimui pramonės, viešosios elektros energijos ir šilumos gamybos sektoriuose</w:t>
            </w:r>
          </w:p>
        </w:tc>
        <w:tc>
          <w:tcPr>
            <w:tcW w:w="1037"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P1</w:t>
            </w:r>
          </w:p>
        </w:tc>
        <w:tc>
          <w:tcPr>
            <w:tcW w:w="1227"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SO</w:t>
            </w:r>
            <w:r>
              <w:rPr>
                <w:sz w:val="18"/>
                <w:szCs w:val="18"/>
                <w:vertAlign w:val="subscript"/>
                <w:lang w:eastAsia="lt-LT"/>
              </w:rPr>
              <w:t>2</w:t>
            </w:r>
            <w:r>
              <w:rPr>
                <w:sz w:val="18"/>
                <w:szCs w:val="18"/>
                <w:lang w:eastAsia="lt-LT"/>
              </w:rPr>
              <w:t xml:space="preserve"> sumažinimui skirtų gamybos </w:t>
            </w:r>
            <w:proofErr w:type="spellStart"/>
            <w:r>
              <w:rPr>
                <w:sz w:val="18"/>
                <w:szCs w:val="18"/>
                <w:lang w:eastAsia="lt-LT"/>
              </w:rPr>
              <w:t>moderniza</w:t>
            </w:r>
            <w:proofErr w:type="spellEnd"/>
            <w:r>
              <w:rPr>
                <w:sz w:val="18"/>
                <w:szCs w:val="18"/>
                <w:lang w:eastAsia="lt-LT"/>
              </w:rPr>
              <w:t>-vimo priemonių įgyvendini-</w:t>
            </w:r>
            <w:proofErr w:type="spellStart"/>
            <w:r>
              <w:rPr>
                <w:sz w:val="18"/>
                <w:szCs w:val="18"/>
                <w:lang w:eastAsia="lt-LT"/>
              </w:rPr>
              <w:t>mas</w:t>
            </w:r>
            <w:proofErr w:type="spellEnd"/>
            <w:r>
              <w:rPr>
                <w:sz w:val="18"/>
                <w:szCs w:val="18"/>
                <w:lang w:eastAsia="lt-LT"/>
              </w:rPr>
              <w:t xml:space="preserve"> naftos perdirbimo pramonėje</w:t>
            </w:r>
          </w:p>
        </w:tc>
        <w:tc>
          <w:tcPr>
            <w:tcW w:w="3426" w:type="dxa"/>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Finansinės paskatos (dalies įgyvendinimo išlaidų kompensavimas) naftos perdirbimo įmonėms gamybos modernizavimo, susijusio su išmetamo SO</w:t>
            </w:r>
            <w:r>
              <w:rPr>
                <w:sz w:val="18"/>
                <w:szCs w:val="18"/>
                <w:vertAlign w:val="subscript"/>
                <w:lang w:eastAsia="lt-LT"/>
              </w:rPr>
              <w:t>2</w:t>
            </w:r>
            <w:r>
              <w:rPr>
                <w:sz w:val="18"/>
                <w:szCs w:val="18"/>
                <w:lang w:eastAsia="lt-LT"/>
              </w:rPr>
              <w:t xml:space="preserve"> kiekio mažinimu, priemonių įgyvendinimui</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rPr>
                <w:sz w:val="18"/>
                <w:szCs w:val="18"/>
                <w:lang w:eastAsia="lt-LT"/>
              </w:rPr>
            </w:pPr>
            <w:r>
              <w:rPr>
                <w:sz w:val="18"/>
                <w:szCs w:val="18"/>
                <w:lang w:eastAsia="lt-LT"/>
              </w:rPr>
              <w:t>Ekonominė</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Taršos mažinimo technologijų diegimas</w:t>
            </w:r>
          </w:p>
        </w:tc>
        <w:tc>
          <w:tcPr>
            <w:tcW w:w="109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Pramonės procesai</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Lietuvos Respublikos aplinkos ministerija,</w:t>
            </w:r>
          </w:p>
          <w:p w:rsidR="000E7C4C" w:rsidRDefault="003C3EA6">
            <w:pPr>
              <w:rPr>
                <w:strike/>
                <w:sz w:val="18"/>
                <w:szCs w:val="18"/>
                <w:lang w:eastAsia="lt-LT"/>
              </w:rPr>
            </w:pPr>
            <w:r>
              <w:rPr>
                <w:sz w:val="18"/>
                <w:szCs w:val="18"/>
                <w:lang w:eastAsia="lt-LT"/>
              </w:rPr>
              <w:t xml:space="preserve">Lietuvos Respublikos ekonomikos ir inovacijų ministerija </w:t>
            </w:r>
          </w:p>
        </w:tc>
        <w:tc>
          <w:tcPr>
            <w:tcW w:w="703"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2021</w:t>
            </w:r>
          </w:p>
        </w:tc>
        <w:tc>
          <w:tcPr>
            <w:tcW w:w="698"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2029</w:t>
            </w:r>
          </w:p>
        </w:tc>
        <w:tc>
          <w:tcPr>
            <w:tcW w:w="1252"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20.000</w:t>
            </w:r>
          </w:p>
        </w:tc>
      </w:tr>
      <w:tr w:rsidR="000E7C4C">
        <w:trPr>
          <w:trHeight w:val="711"/>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37"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P2</w:t>
            </w:r>
          </w:p>
        </w:tc>
        <w:tc>
          <w:tcPr>
            <w:tcW w:w="1227"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Išankstinis </w:t>
            </w:r>
            <w:proofErr w:type="spellStart"/>
            <w:r>
              <w:rPr>
                <w:sz w:val="18"/>
                <w:szCs w:val="18"/>
                <w:lang w:eastAsia="lt-LT"/>
              </w:rPr>
              <w:t>eksploatuo-jamų</w:t>
            </w:r>
            <w:proofErr w:type="spellEnd"/>
            <w:r>
              <w:rPr>
                <w:sz w:val="18"/>
                <w:szCs w:val="18"/>
                <w:lang w:eastAsia="lt-LT"/>
              </w:rPr>
              <w:t xml:space="preserve"> vidutinių (1-50 MW) kurą deginančių įrenginių </w:t>
            </w:r>
            <w:proofErr w:type="spellStart"/>
            <w:r>
              <w:rPr>
                <w:sz w:val="18"/>
                <w:szCs w:val="18"/>
                <w:lang w:eastAsia="lt-LT"/>
              </w:rPr>
              <w:t>moderniza-vimas</w:t>
            </w:r>
            <w:proofErr w:type="spellEnd"/>
            <w:r>
              <w:rPr>
                <w:sz w:val="18"/>
                <w:szCs w:val="18"/>
                <w:lang w:eastAsia="lt-LT"/>
              </w:rPr>
              <w:t xml:space="preserve"> ar keitimas </w:t>
            </w:r>
          </w:p>
        </w:tc>
        <w:tc>
          <w:tcPr>
            <w:tcW w:w="3426" w:type="dxa"/>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Finansinės paskatos (dalies įgyvendinimo išlaidų kompensavimas) eksploatuojamų vidutinių kietąjį kurą deginančių įrenginių modernizavimui dėl išmetimų į aplinkos orą sumažinimo iki 2015 m. lapkričio 25 d. Europos Parlamento ir Tarybos direktyvoje (ES) 2015/2193 dėl tam tikrų teršalų, išmetamų į orą iš vidutinio dydžio kurą deginančių įrenginių, kiekio apribojimo (OL 2015 L 313, p. 1), nurodytų ribinių verčių anksčiau, nei pagal šią direktyvą privaloma, ar keitimui (t. y. 1–5 MW įrenginiams – ribinių verčių atitikčiai nuo 2024-01-01; 5–50 MW įrenginiams – ribinių verčių atitikčiai nuo 2022-01-01)</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rPr>
                <w:sz w:val="18"/>
                <w:szCs w:val="18"/>
                <w:lang w:eastAsia="lt-LT"/>
              </w:rPr>
            </w:pPr>
            <w:r>
              <w:rPr>
                <w:sz w:val="18"/>
                <w:szCs w:val="18"/>
                <w:lang w:eastAsia="lt-LT"/>
              </w:rPr>
              <w:t>Ekonominė</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Taršos mažinimo technologijų diegimas,</w:t>
            </w:r>
          </w:p>
          <w:p w:rsidR="000E7C4C" w:rsidRDefault="003C3EA6">
            <w:pPr>
              <w:rPr>
                <w:sz w:val="18"/>
                <w:szCs w:val="18"/>
                <w:lang w:eastAsia="lt-LT"/>
              </w:rPr>
            </w:pPr>
            <w:r>
              <w:rPr>
                <w:sz w:val="18"/>
                <w:szCs w:val="18"/>
                <w:lang w:eastAsia="lt-LT"/>
              </w:rPr>
              <w:t>Prietaisų energijos vartojimo efektyvumo didinimas</w:t>
            </w:r>
          </w:p>
        </w:tc>
        <w:tc>
          <w:tcPr>
            <w:tcW w:w="109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Pramonės procesai,</w:t>
            </w:r>
            <w:r>
              <w:rPr>
                <w:sz w:val="18"/>
                <w:szCs w:val="18"/>
                <w:lang w:eastAsia="lt-LT"/>
              </w:rPr>
              <w:br/>
              <w:t>Energijos vartojimas</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Lietuvos Respublikos energetikos ministerija,</w:t>
            </w:r>
          </w:p>
          <w:p w:rsidR="000E7C4C" w:rsidRDefault="003C3EA6">
            <w:pPr>
              <w:rPr>
                <w:sz w:val="18"/>
                <w:szCs w:val="18"/>
                <w:lang w:eastAsia="lt-LT"/>
              </w:rPr>
            </w:pPr>
            <w:r>
              <w:rPr>
                <w:sz w:val="18"/>
                <w:szCs w:val="18"/>
                <w:lang w:eastAsia="lt-LT"/>
              </w:rPr>
              <w:t>Aplinkos ministerija</w:t>
            </w:r>
          </w:p>
        </w:tc>
        <w:tc>
          <w:tcPr>
            <w:tcW w:w="703"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2020</w:t>
            </w:r>
          </w:p>
        </w:tc>
        <w:tc>
          <w:tcPr>
            <w:tcW w:w="698"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2024</w:t>
            </w:r>
          </w:p>
        </w:tc>
        <w:tc>
          <w:tcPr>
            <w:tcW w:w="1252"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20.000</w:t>
            </w:r>
          </w:p>
        </w:tc>
      </w:tr>
      <w:tr w:rsidR="000E7C4C">
        <w:trPr>
          <w:trHeight w:val="428"/>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37"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P3</w:t>
            </w:r>
          </w:p>
        </w:tc>
        <w:tc>
          <w:tcPr>
            <w:tcW w:w="1227"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Integruoto išmetamųjų teršalų valymo metodo taikymas naftos perdirbimo pramonėje</w:t>
            </w:r>
          </w:p>
        </w:tc>
        <w:tc>
          <w:tcPr>
            <w:tcW w:w="3426" w:type="dxa"/>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Naftos perdirbimo produktų gamybos įrenginių optimizavimas, keičiant katilo degiklį ir didinant dujinio kuro deginimą šiluminės elektrinės katiluose</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Taršos ir taršos šaltinių mažinimas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Taršos mažinimo technologijų diegimas</w:t>
            </w:r>
          </w:p>
        </w:tc>
        <w:tc>
          <w:tcPr>
            <w:tcW w:w="109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Pramonės procesai,</w:t>
            </w:r>
            <w:r>
              <w:rPr>
                <w:sz w:val="18"/>
                <w:szCs w:val="18"/>
                <w:lang w:eastAsia="lt-LT"/>
              </w:rPr>
              <w:br/>
              <w:t>Energijos vartojimas</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Ūkio subjekto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Ūkio subjektai</w:t>
            </w:r>
          </w:p>
        </w:tc>
        <w:tc>
          <w:tcPr>
            <w:tcW w:w="703"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2019</w:t>
            </w:r>
          </w:p>
        </w:tc>
        <w:tc>
          <w:tcPr>
            <w:tcW w:w="698"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2030</w:t>
            </w:r>
          </w:p>
        </w:tc>
        <w:tc>
          <w:tcPr>
            <w:tcW w:w="1252"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w:t>
            </w:r>
          </w:p>
        </w:tc>
      </w:tr>
      <w:tr w:rsidR="000E7C4C">
        <w:trPr>
          <w:trHeight w:val="900"/>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37"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P4</w:t>
            </w:r>
          </w:p>
        </w:tc>
        <w:tc>
          <w:tcPr>
            <w:tcW w:w="1227"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SO</w:t>
            </w:r>
            <w:r>
              <w:rPr>
                <w:sz w:val="18"/>
                <w:szCs w:val="18"/>
                <w:vertAlign w:val="subscript"/>
                <w:lang w:eastAsia="lt-LT"/>
              </w:rPr>
              <w:t>2</w:t>
            </w:r>
            <w:r>
              <w:rPr>
                <w:sz w:val="18"/>
                <w:szCs w:val="18"/>
                <w:lang w:eastAsia="lt-LT"/>
              </w:rPr>
              <w:t xml:space="preserve"> išmetimų mažinimo naftos perdirbimo pramonėje technologijos diegimas</w:t>
            </w:r>
          </w:p>
        </w:tc>
        <w:tc>
          <w:tcPr>
            <w:tcW w:w="3426" w:type="dxa"/>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Geriausius prieinamus gamybos būdus atitinkančios SO</w:t>
            </w:r>
            <w:r>
              <w:rPr>
                <w:sz w:val="18"/>
                <w:szCs w:val="18"/>
                <w:vertAlign w:val="subscript"/>
                <w:lang w:eastAsia="lt-LT"/>
              </w:rPr>
              <w:t>2</w:t>
            </w:r>
            <w:r>
              <w:rPr>
                <w:sz w:val="18"/>
                <w:szCs w:val="18"/>
                <w:lang w:eastAsia="lt-LT"/>
              </w:rPr>
              <w:t xml:space="preserve"> išmetimų iš </w:t>
            </w:r>
            <w:proofErr w:type="spellStart"/>
            <w:r>
              <w:rPr>
                <w:sz w:val="18"/>
                <w:szCs w:val="18"/>
                <w:lang w:eastAsia="lt-LT"/>
              </w:rPr>
              <w:t>elementinės</w:t>
            </w:r>
            <w:proofErr w:type="spellEnd"/>
            <w:r>
              <w:rPr>
                <w:sz w:val="18"/>
                <w:szCs w:val="18"/>
                <w:lang w:eastAsia="lt-LT"/>
              </w:rPr>
              <w:t xml:space="preserve"> sieros gamybos įrenginių mažinimo technologijos įdiegimas ir taikymas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Taršos ir taršos šaltinių mažinimas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Taršos mažinimo technologijų diegimas</w:t>
            </w:r>
          </w:p>
        </w:tc>
        <w:tc>
          <w:tcPr>
            <w:tcW w:w="109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Pramonės procesai</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Ūkio subjekto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Ūkio subjektai</w:t>
            </w:r>
          </w:p>
        </w:tc>
        <w:tc>
          <w:tcPr>
            <w:tcW w:w="703"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2027</w:t>
            </w:r>
          </w:p>
        </w:tc>
        <w:tc>
          <w:tcPr>
            <w:tcW w:w="698"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2030</w:t>
            </w:r>
          </w:p>
        </w:tc>
        <w:tc>
          <w:tcPr>
            <w:tcW w:w="1252"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w:t>
            </w:r>
          </w:p>
        </w:tc>
      </w:tr>
      <w:tr w:rsidR="000E7C4C">
        <w:trPr>
          <w:trHeight w:val="1042"/>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37"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18"/>
                <w:szCs w:val="18"/>
                <w:lang w:eastAsia="lt-LT"/>
              </w:rPr>
            </w:pPr>
            <w:r>
              <w:rPr>
                <w:color w:val="000000"/>
                <w:sz w:val="18"/>
                <w:szCs w:val="18"/>
                <w:lang w:eastAsia="lt-LT"/>
              </w:rPr>
              <w:t>P5</w:t>
            </w:r>
          </w:p>
        </w:tc>
        <w:tc>
          <w:tcPr>
            <w:tcW w:w="1227"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Daugiabučių renovacija</w:t>
            </w:r>
            <w:r>
              <w:rPr>
                <w:sz w:val="18"/>
                <w:szCs w:val="18"/>
                <w:vertAlign w:val="superscript"/>
              </w:rPr>
              <w:t>(1)</w:t>
            </w:r>
          </w:p>
        </w:tc>
        <w:tc>
          <w:tcPr>
            <w:tcW w:w="3426"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18"/>
                <w:szCs w:val="18"/>
              </w:rPr>
            </w:pPr>
            <w:r>
              <w:rPr>
                <w:sz w:val="18"/>
                <w:szCs w:val="18"/>
                <w:lang w:eastAsia="lt-LT"/>
              </w:rPr>
              <w:t>Kasmet renovuoti (modernizuoti) 500 daugiabučių.</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Šaltiniais grindžiamas taršos valdymas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proofErr w:type="spellStart"/>
            <w:r>
              <w:rPr>
                <w:color w:val="000000"/>
                <w:sz w:val="18"/>
                <w:szCs w:val="18"/>
                <w:lang w:val="en-US"/>
              </w:rPr>
              <w:t>Pastatų</w:t>
            </w:r>
            <w:proofErr w:type="spellEnd"/>
            <w:r>
              <w:rPr>
                <w:color w:val="000000"/>
                <w:sz w:val="18"/>
                <w:szCs w:val="18"/>
                <w:lang w:val="en-US"/>
              </w:rPr>
              <w:t xml:space="preserve"> </w:t>
            </w:r>
            <w:proofErr w:type="spellStart"/>
            <w:r>
              <w:rPr>
                <w:color w:val="000000"/>
                <w:sz w:val="18"/>
                <w:szCs w:val="18"/>
                <w:lang w:val="en-US"/>
              </w:rPr>
              <w:t>energijos</w:t>
            </w:r>
            <w:proofErr w:type="spellEnd"/>
            <w:r>
              <w:rPr>
                <w:color w:val="000000"/>
                <w:sz w:val="18"/>
                <w:szCs w:val="18"/>
                <w:lang w:val="en-US"/>
              </w:rPr>
              <w:t xml:space="preserve"> </w:t>
            </w:r>
            <w:proofErr w:type="spellStart"/>
            <w:r>
              <w:rPr>
                <w:color w:val="000000"/>
                <w:sz w:val="18"/>
                <w:szCs w:val="18"/>
                <w:lang w:val="en-US"/>
              </w:rPr>
              <w:t>vartojimo</w:t>
            </w:r>
            <w:proofErr w:type="spellEnd"/>
            <w:r>
              <w:rPr>
                <w:color w:val="000000"/>
                <w:sz w:val="18"/>
                <w:szCs w:val="18"/>
                <w:lang w:val="en-US"/>
              </w:rPr>
              <w:t xml:space="preserve"> </w:t>
            </w:r>
            <w:proofErr w:type="spellStart"/>
            <w:r>
              <w:rPr>
                <w:color w:val="000000"/>
                <w:sz w:val="18"/>
                <w:szCs w:val="18"/>
                <w:lang w:val="en-US"/>
              </w:rPr>
              <w:t>efektyvumo</w:t>
            </w:r>
            <w:proofErr w:type="spellEnd"/>
            <w:r>
              <w:rPr>
                <w:color w:val="000000"/>
                <w:sz w:val="18"/>
                <w:szCs w:val="18"/>
                <w:lang w:val="en-US"/>
              </w:rPr>
              <w:t xml:space="preserve"> </w:t>
            </w:r>
            <w:proofErr w:type="spellStart"/>
            <w:r>
              <w:rPr>
                <w:color w:val="000000"/>
                <w:sz w:val="18"/>
                <w:szCs w:val="18"/>
                <w:lang w:val="en-US"/>
              </w:rPr>
              <w:t>didinimas</w:t>
            </w:r>
            <w:proofErr w:type="spellEnd"/>
          </w:p>
        </w:tc>
        <w:tc>
          <w:tcPr>
            <w:tcW w:w="109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18"/>
                <w:szCs w:val="18"/>
                <w:lang w:val="en-US"/>
              </w:rPr>
            </w:pPr>
            <w:proofErr w:type="spellStart"/>
            <w:r>
              <w:rPr>
                <w:color w:val="000000"/>
                <w:sz w:val="18"/>
                <w:szCs w:val="18"/>
                <w:lang w:val="en-US"/>
              </w:rPr>
              <w:t>Energijos</w:t>
            </w:r>
            <w:proofErr w:type="spellEnd"/>
            <w:r>
              <w:rPr>
                <w:color w:val="000000"/>
                <w:sz w:val="18"/>
                <w:szCs w:val="18"/>
                <w:lang w:val="en-US"/>
              </w:rPr>
              <w:t xml:space="preserve"> </w:t>
            </w:r>
            <w:proofErr w:type="spellStart"/>
            <w:r>
              <w:rPr>
                <w:color w:val="000000"/>
                <w:sz w:val="18"/>
                <w:szCs w:val="18"/>
                <w:lang w:val="en-US"/>
              </w:rPr>
              <w:t>vartojimas</w:t>
            </w:r>
            <w:proofErr w:type="spellEnd"/>
            <w:r>
              <w:rPr>
                <w:color w:val="000000"/>
                <w:sz w:val="18"/>
                <w:szCs w:val="18"/>
                <w:lang w:val="en-US"/>
              </w:rPr>
              <w:t>,</w:t>
            </w:r>
          </w:p>
          <w:p w:rsidR="000E7C4C" w:rsidRDefault="003C3EA6">
            <w:pPr>
              <w:rPr>
                <w:sz w:val="18"/>
                <w:szCs w:val="18"/>
                <w:lang w:eastAsia="lt-LT"/>
              </w:rPr>
            </w:pPr>
            <w:proofErr w:type="spellStart"/>
            <w:r>
              <w:rPr>
                <w:color w:val="000000"/>
                <w:sz w:val="18"/>
                <w:szCs w:val="18"/>
                <w:lang w:val="en-US"/>
              </w:rPr>
              <w:t>Namų</w:t>
            </w:r>
            <w:proofErr w:type="spellEnd"/>
            <w:r>
              <w:rPr>
                <w:color w:val="000000"/>
                <w:sz w:val="18"/>
                <w:szCs w:val="18"/>
                <w:lang w:val="en-US"/>
              </w:rPr>
              <w:t xml:space="preserve"> </w:t>
            </w:r>
            <w:proofErr w:type="spellStart"/>
            <w:r>
              <w:rPr>
                <w:color w:val="000000"/>
                <w:sz w:val="18"/>
                <w:szCs w:val="18"/>
                <w:lang w:val="en-US"/>
              </w:rPr>
              <w:t>ūkis</w:t>
            </w:r>
            <w:proofErr w:type="spellEnd"/>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proofErr w:type="spellStart"/>
            <w:r>
              <w:rPr>
                <w:color w:val="000000"/>
                <w:sz w:val="18"/>
                <w:szCs w:val="18"/>
                <w:lang w:val="en-US"/>
              </w:rPr>
              <w:t>Valstybės</w:t>
            </w:r>
            <w:proofErr w:type="spellEnd"/>
            <w:r>
              <w:rPr>
                <w:color w:val="000000"/>
                <w:sz w:val="18"/>
                <w:szCs w:val="18"/>
                <w:lang w:val="en-US"/>
              </w:rPr>
              <w:t xml:space="preserve"> </w:t>
            </w:r>
            <w:proofErr w:type="spellStart"/>
            <w:r>
              <w:rPr>
                <w:color w:val="000000"/>
                <w:sz w:val="18"/>
                <w:szCs w:val="18"/>
                <w:lang w:val="en-US"/>
              </w:rPr>
              <w:t>lygiu</w:t>
            </w:r>
            <w:proofErr w:type="spellEnd"/>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Aplinkos ministerija</w:t>
            </w:r>
          </w:p>
        </w:tc>
        <w:tc>
          <w:tcPr>
            <w:tcW w:w="703"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2019</w:t>
            </w:r>
          </w:p>
        </w:tc>
        <w:tc>
          <w:tcPr>
            <w:tcW w:w="698"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2030</w:t>
            </w:r>
          </w:p>
        </w:tc>
        <w:tc>
          <w:tcPr>
            <w:tcW w:w="1252"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trike/>
                <w:sz w:val="18"/>
                <w:szCs w:val="18"/>
                <w:lang w:eastAsia="lt-LT"/>
              </w:rPr>
            </w:pPr>
            <w:r>
              <w:rPr>
                <w:sz w:val="18"/>
                <w:szCs w:val="18"/>
                <w:lang w:eastAsia="lt-LT"/>
              </w:rPr>
              <w:t>-</w:t>
            </w:r>
          </w:p>
        </w:tc>
      </w:tr>
      <w:tr w:rsidR="000E7C4C">
        <w:trPr>
          <w:trHeight w:val="900"/>
        </w:trPr>
        <w:tc>
          <w:tcPr>
            <w:tcW w:w="1373"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sz w:val="18"/>
                <w:szCs w:val="18"/>
                <w:lang w:eastAsia="lt-LT"/>
              </w:rPr>
            </w:pPr>
            <w:r>
              <w:rPr>
                <w:sz w:val="18"/>
                <w:szCs w:val="18"/>
                <w:lang w:eastAsia="lt-LT"/>
              </w:rPr>
              <w:t xml:space="preserve">1.2. Sumažinti taršą azoto oksidais (toliau – </w:t>
            </w:r>
            <w:proofErr w:type="spellStart"/>
            <w:r>
              <w:rPr>
                <w:sz w:val="18"/>
                <w:szCs w:val="18"/>
                <w:lang w:eastAsia="lt-LT"/>
              </w:rPr>
              <w:t>NO</w:t>
            </w:r>
            <w:r>
              <w:rPr>
                <w:sz w:val="18"/>
                <w:szCs w:val="18"/>
                <w:vertAlign w:val="subscript"/>
                <w:lang w:eastAsia="lt-LT"/>
              </w:rPr>
              <w:t>x</w:t>
            </w:r>
            <w:proofErr w:type="spellEnd"/>
            <w:r>
              <w:rPr>
                <w:sz w:val="18"/>
                <w:szCs w:val="18"/>
                <w:lang w:eastAsia="lt-LT"/>
              </w:rPr>
              <w:t>), didžiausią dėmesį skiriant taršos sumažinimui transporto sektoriuje</w:t>
            </w:r>
          </w:p>
        </w:tc>
        <w:tc>
          <w:tcPr>
            <w:tcW w:w="1037"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P6</w:t>
            </w:r>
          </w:p>
        </w:tc>
        <w:tc>
          <w:tcPr>
            <w:tcW w:w="1227"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Ekologinio vairavimo įgūdžių formavimas ir skatinimas</w:t>
            </w:r>
            <w:r>
              <w:rPr>
                <w:sz w:val="18"/>
                <w:szCs w:val="18"/>
                <w:vertAlign w:val="superscript"/>
                <w:lang w:eastAsia="lt-LT"/>
              </w:rPr>
              <w:t>(</w:t>
            </w:r>
            <w:r>
              <w:rPr>
                <w:color w:val="000000"/>
                <w:sz w:val="18"/>
                <w:szCs w:val="18"/>
                <w:vertAlign w:val="superscript"/>
                <w:lang w:val="en-US"/>
              </w:rPr>
              <w:t>1) (2)</w:t>
            </w:r>
          </w:p>
        </w:tc>
        <w:tc>
          <w:tcPr>
            <w:tcW w:w="3426" w:type="dxa"/>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color w:val="000000"/>
                <w:sz w:val="18"/>
                <w:szCs w:val="18"/>
              </w:rPr>
              <w:t xml:space="preserve">Ekonomiško ir ekologiško transporto priemonės vairavimo teorinių žinių ir praktinių įgūdžių ir gebėjimų formavimas ir skatinimas </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Švietimas </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proofErr w:type="spellStart"/>
            <w:r>
              <w:rPr>
                <w:sz w:val="18"/>
                <w:szCs w:val="18"/>
                <w:lang w:eastAsia="lt-LT"/>
              </w:rPr>
              <w:t>Sąmonin-gesnis</w:t>
            </w:r>
            <w:proofErr w:type="spellEnd"/>
            <w:r>
              <w:rPr>
                <w:sz w:val="18"/>
                <w:szCs w:val="18"/>
                <w:lang w:eastAsia="lt-LT"/>
              </w:rPr>
              <w:t xml:space="preserve"> vartotojų elgesys</w:t>
            </w:r>
          </w:p>
        </w:tc>
        <w:tc>
          <w:tcPr>
            <w:tcW w:w="109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Transportas</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Lietuvos Respublikos susisiekimo ministerija,</w:t>
            </w:r>
            <w:r>
              <w:rPr>
                <w:sz w:val="18"/>
                <w:szCs w:val="18"/>
                <w:lang w:eastAsia="lt-LT"/>
              </w:rPr>
              <w:br/>
              <w:t xml:space="preserve">Lietuvos transporto saugos administracija, </w:t>
            </w:r>
          </w:p>
          <w:p w:rsidR="000E7C4C" w:rsidRDefault="003C3EA6">
            <w:pPr>
              <w:rPr>
                <w:b/>
                <w:sz w:val="18"/>
                <w:szCs w:val="18"/>
                <w:lang w:eastAsia="lt-LT"/>
              </w:rPr>
            </w:pPr>
            <w:r>
              <w:rPr>
                <w:sz w:val="18"/>
                <w:szCs w:val="18"/>
                <w:lang w:eastAsia="lt-LT"/>
              </w:rPr>
              <w:t>Lietuvos automobilių kelių direkcija prie Susisiekimo ministerijos</w:t>
            </w:r>
          </w:p>
        </w:tc>
        <w:tc>
          <w:tcPr>
            <w:tcW w:w="703"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2019</w:t>
            </w:r>
          </w:p>
        </w:tc>
        <w:tc>
          <w:tcPr>
            <w:tcW w:w="698"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2030</w:t>
            </w:r>
          </w:p>
        </w:tc>
        <w:tc>
          <w:tcPr>
            <w:tcW w:w="1252"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trike/>
                <w:sz w:val="18"/>
                <w:szCs w:val="18"/>
                <w:lang w:eastAsia="lt-LT"/>
              </w:rPr>
            </w:pPr>
            <w:r>
              <w:rPr>
                <w:strike/>
                <w:sz w:val="18"/>
                <w:szCs w:val="18"/>
                <w:lang w:eastAsia="lt-LT"/>
              </w:rPr>
              <w:t>-</w:t>
            </w:r>
          </w:p>
        </w:tc>
      </w:tr>
      <w:tr w:rsidR="000E7C4C">
        <w:trPr>
          <w:trHeight w:val="415"/>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37"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P7</w:t>
            </w:r>
          </w:p>
        </w:tc>
        <w:tc>
          <w:tcPr>
            <w:tcW w:w="1227"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jc w:val="both"/>
              <w:rPr>
                <w:strike/>
                <w:sz w:val="18"/>
                <w:szCs w:val="18"/>
                <w:lang w:eastAsia="lt-LT"/>
              </w:rPr>
            </w:pPr>
            <w:r>
              <w:rPr>
                <w:color w:val="000000"/>
                <w:sz w:val="18"/>
                <w:szCs w:val="18"/>
                <w:lang w:eastAsia="lt-LT"/>
              </w:rPr>
              <w:t xml:space="preserve">Finansinės paskatos rinktis mažiau taršias </w:t>
            </w:r>
            <w:proofErr w:type="spellStart"/>
            <w:r>
              <w:rPr>
                <w:color w:val="000000"/>
                <w:sz w:val="18"/>
                <w:szCs w:val="18"/>
                <w:lang w:eastAsia="lt-LT"/>
              </w:rPr>
              <w:t>judumo</w:t>
            </w:r>
            <w:proofErr w:type="spellEnd"/>
            <w:r>
              <w:rPr>
                <w:color w:val="000000"/>
                <w:sz w:val="18"/>
                <w:szCs w:val="18"/>
                <w:lang w:eastAsia="lt-LT"/>
              </w:rPr>
              <w:t xml:space="preserve"> priemones</w:t>
            </w:r>
          </w:p>
        </w:tc>
        <w:tc>
          <w:tcPr>
            <w:tcW w:w="3426"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jc w:val="both"/>
              <w:rPr>
                <w:color w:val="000000"/>
                <w:sz w:val="18"/>
                <w:szCs w:val="18"/>
              </w:rPr>
            </w:pPr>
            <w:r>
              <w:rPr>
                <w:color w:val="000000"/>
                <w:sz w:val="18"/>
                <w:szCs w:val="18"/>
              </w:rPr>
              <w:t>Finansinės paskatos</w:t>
            </w:r>
            <w:r>
              <w:rPr>
                <w:b/>
                <w:color w:val="000000"/>
                <w:sz w:val="18"/>
                <w:szCs w:val="18"/>
              </w:rPr>
              <w:t xml:space="preserve"> </w:t>
            </w:r>
            <w:r>
              <w:rPr>
                <w:color w:val="000000"/>
                <w:sz w:val="18"/>
                <w:szCs w:val="18"/>
              </w:rPr>
              <w:t>(fiksuoto dydžio vienkartinė kompensacija)</w:t>
            </w:r>
            <w:r>
              <w:rPr>
                <w:b/>
                <w:color w:val="000000"/>
                <w:sz w:val="18"/>
                <w:szCs w:val="18"/>
              </w:rPr>
              <w:t xml:space="preserve"> </w:t>
            </w:r>
            <w:r>
              <w:rPr>
                <w:color w:val="000000"/>
                <w:sz w:val="18"/>
                <w:szCs w:val="18"/>
              </w:rPr>
              <w:t>fiziniams asmenims, atidavusiems nustatytą laiką Lietuvoje eksploatuotą taršų lengvąjį automobilį kaip eksploatuoti netinkamą transporto priemonę, skirtos atsiskaityti už viešojo transporto paslaugas</w:t>
            </w:r>
            <w:r>
              <w:rPr>
                <w:b/>
                <w:i/>
                <w:color w:val="000000"/>
                <w:sz w:val="18"/>
                <w:szCs w:val="18"/>
              </w:rPr>
              <w:t xml:space="preserve"> </w:t>
            </w:r>
            <w:r>
              <w:rPr>
                <w:color w:val="000000"/>
                <w:sz w:val="18"/>
                <w:szCs w:val="18"/>
              </w:rPr>
              <w:t xml:space="preserve">elektroninių bilietų sistemose arba įsigyti mažos taršos kriterijus atitinkantį lengvąjį automobilį </w:t>
            </w:r>
          </w:p>
        </w:tc>
        <w:tc>
          <w:tcPr>
            <w:tcW w:w="1134" w:type="dxa"/>
            <w:gridSpan w:val="2"/>
            <w:tcBorders>
              <w:top w:val="single" w:sz="4" w:space="0" w:color="auto"/>
              <w:left w:val="single" w:sz="4" w:space="0" w:color="auto"/>
              <w:bottom w:val="single" w:sz="4" w:space="0" w:color="auto"/>
              <w:right w:val="single" w:sz="4" w:space="0" w:color="auto"/>
            </w:tcBorders>
          </w:tcPr>
          <w:p w:rsidR="000E7C4C" w:rsidRDefault="003C3EA6">
            <w:pPr>
              <w:tabs>
                <w:tab w:val="num" w:pos="360"/>
              </w:tabs>
              <w:rPr>
                <w:sz w:val="18"/>
                <w:szCs w:val="18"/>
                <w:lang w:eastAsia="lt-LT"/>
              </w:rPr>
            </w:pPr>
            <w:r>
              <w:rPr>
                <w:sz w:val="18"/>
                <w:szCs w:val="18"/>
                <w:lang w:eastAsia="lt-LT"/>
              </w:rPr>
              <w:t>Ekonominė</w:t>
            </w:r>
          </w:p>
          <w:p w:rsidR="000E7C4C" w:rsidRDefault="000E7C4C">
            <w:pPr>
              <w:tabs>
                <w:tab w:val="num" w:pos="360"/>
              </w:tabs>
              <w:rPr>
                <w:strike/>
                <w:sz w:val="18"/>
                <w:szCs w:val="18"/>
                <w:lang w:eastAsia="lt-LT"/>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sz w:val="18"/>
                <w:szCs w:val="18"/>
                <w:lang w:eastAsia="lt-LT"/>
              </w:rPr>
            </w:pPr>
            <w:r>
              <w:rPr>
                <w:sz w:val="18"/>
                <w:szCs w:val="18"/>
                <w:lang w:eastAsia="lt-LT"/>
              </w:rPr>
              <w:t>Paklausos valdymas/ mažinimas, Perėjimas prie viešojo transporto arba mažiau taršių transporto priemonių</w:t>
            </w:r>
          </w:p>
        </w:tc>
        <w:tc>
          <w:tcPr>
            <w:tcW w:w="1094" w:type="dxa"/>
            <w:gridSpan w:val="2"/>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sz w:val="18"/>
                <w:szCs w:val="18"/>
                <w:lang w:eastAsia="lt-LT"/>
              </w:rPr>
            </w:pPr>
            <w:proofErr w:type="spellStart"/>
            <w:r>
              <w:rPr>
                <w:sz w:val="18"/>
                <w:szCs w:val="18"/>
                <w:lang w:eastAsia="lt-LT"/>
              </w:rPr>
              <w:t>Transpor</w:t>
            </w:r>
            <w:proofErr w:type="spellEnd"/>
            <w:r>
              <w:rPr>
                <w:sz w:val="18"/>
                <w:szCs w:val="18"/>
                <w:lang w:eastAsia="lt-LT"/>
              </w:rPr>
              <w:t>-tas</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strike/>
                <w:sz w:val="18"/>
                <w:szCs w:val="18"/>
                <w:lang w:eastAsia="lt-LT"/>
              </w:rPr>
            </w:pPr>
            <w:r>
              <w:rPr>
                <w:sz w:val="18"/>
                <w:szCs w:val="18"/>
                <w:lang w:eastAsia="lt-LT"/>
              </w:rPr>
              <w:t>Valstybės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strike/>
                <w:sz w:val="18"/>
                <w:szCs w:val="18"/>
                <w:lang w:eastAsia="lt-LT"/>
              </w:rPr>
            </w:pPr>
            <w:r>
              <w:rPr>
                <w:sz w:val="18"/>
                <w:szCs w:val="18"/>
                <w:lang w:eastAsia="lt-LT"/>
              </w:rPr>
              <w:t>Aplinkos ministerija</w:t>
            </w:r>
          </w:p>
        </w:tc>
        <w:tc>
          <w:tcPr>
            <w:tcW w:w="703"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trike/>
                <w:sz w:val="18"/>
                <w:szCs w:val="18"/>
                <w:lang w:eastAsia="lt-LT"/>
              </w:rPr>
            </w:pPr>
            <w:r>
              <w:rPr>
                <w:sz w:val="18"/>
                <w:szCs w:val="18"/>
                <w:lang w:eastAsia="lt-LT"/>
              </w:rPr>
              <w:t>2019</w:t>
            </w:r>
          </w:p>
        </w:tc>
        <w:tc>
          <w:tcPr>
            <w:tcW w:w="698"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tabs>
                <w:tab w:val="num" w:pos="360"/>
              </w:tabs>
              <w:jc w:val="center"/>
              <w:rPr>
                <w:strike/>
                <w:sz w:val="18"/>
                <w:szCs w:val="18"/>
                <w:lang w:eastAsia="lt-LT"/>
              </w:rPr>
            </w:pPr>
            <w:r>
              <w:rPr>
                <w:sz w:val="18"/>
                <w:szCs w:val="18"/>
                <w:lang w:eastAsia="lt-LT"/>
              </w:rPr>
              <w:t>2022</w:t>
            </w:r>
          </w:p>
        </w:tc>
        <w:tc>
          <w:tcPr>
            <w:tcW w:w="1252" w:type="dxa"/>
            <w:tcBorders>
              <w:top w:val="single" w:sz="4" w:space="0" w:color="auto"/>
              <w:left w:val="single" w:sz="4" w:space="0" w:color="auto"/>
              <w:bottom w:val="single" w:sz="4" w:space="0" w:color="auto"/>
              <w:right w:val="single" w:sz="4" w:space="0" w:color="auto"/>
            </w:tcBorders>
            <w:noWrap/>
            <w:hideMark/>
          </w:tcPr>
          <w:p w:rsidR="000E7C4C" w:rsidRDefault="003C3EA6">
            <w:pPr>
              <w:tabs>
                <w:tab w:val="num" w:pos="360"/>
              </w:tabs>
              <w:jc w:val="center"/>
              <w:rPr>
                <w:strike/>
                <w:sz w:val="18"/>
                <w:szCs w:val="18"/>
                <w:lang w:eastAsia="lt-LT"/>
              </w:rPr>
            </w:pPr>
            <w:r>
              <w:rPr>
                <w:sz w:val="18"/>
                <w:szCs w:val="18"/>
                <w:lang w:eastAsia="lt-LT"/>
              </w:rPr>
              <w:t>30.000</w:t>
            </w:r>
          </w:p>
        </w:tc>
      </w:tr>
      <w:tr w:rsidR="000E7C4C">
        <w:trPr>
          <w:trHeight w:val="558"/>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37" w:type="dxa"/>
            <w:gridSpan w:val="2"/>
            <w:tcBorders>
              <w:top w:val="dashed"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P8</w:t>
            </w:r>
          </w:p>
        </w:tc>
        <w:tc>
          <w:tcPr>
            <w:tcW w:w="1227" w:type="dxa"/>
            <w:tcBorders>
              <w:top w:val="dashed"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Miesto susisiekimo viešojo transporto priemonių parko atnaujinimas </w:t>
            </w:r>
          </w:p>
        </w:tc>
        <w:tc>
          <w:tcPr>
            <w:tcW w:w="3426" w:type="dxa"/>
            <w:tcBorders>
              <w:top w:val="dashed"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Finansinės paskatos savivaldybėms elektra, gamtinėmis dujomis ir (arba) vandeniliu varomų miesto susisiekimo viešojo transporto priemonių įsigijimui</w:t>
            </w:r>
          </w:p>
        </w:tc>
        <w:tc>
          <w:tcPr>
            <w:tcW w:w="1134" w:type="dxa"/>
            <w:gridSpan w:val="2"/>
            <w:tcBorders>
              <w:top w:val="dashed"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Taršos ir taršos šaltinių mažinimas</w:t>
            </w:r>
          </w:p>
        </w:tc>
        <w:tc>
          <w:tcPr>
            <w:tcW w:w="1134" w:type="dxa"/>
            <w:gridSpan w:val="2"/>
            <w:tcBorders>
              <w:top w:val="dashed"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Transporto priemonių </w:t>
            </w:r>
            <w:proofErr w:type="spellStart"/>
            <w:r>
              <w:rPr>
                <w:sz w:val="18"/>
                <w:szCs w:val="18"/>
                <w:lang w:eastAsia="lt-LT"/>
              </w:rPr>
              <w:t>alternaty-vieji</w:t>
            </w:r>
            <w:proofErr w:type="spellEnd"/>
            <w:r>
              <w:rPr>
                <w:sz w:val="18"/>
                <w:szCs w:val="18"/>
                <w:lang w:eastAsia="lt-LT"/>
              </w:rPr>
              <w:t xml:space="preserve"> degalai,</w:t>
            </w:r>
          </w:p>
          <w:p w:rsidR="000E7C4C" w:rsidRDefault="003C3EA6">
            <w:pPr>
              <w:rPr>
                <w:sz w:val="18"/>
                <w:szCs w:val="18"/>
                <w:lang w:eastAsia="lt-LT"/>
              </w:rPr>
            </w:pPr>
            <w:r>
              <w:rPr>
                <w:sz w:val="18"/>
                <w:szCs w:val="18"/>
                <w:lang w:eastAsia="lt-LT"/>
              </w:rPr>
              <w:t>Perėjimas prie viešojo transporto</w:t>
            </w:r>
          </w:p>
        </w:tc>
        <w:tc>
          <w:tcPr>
            <w:tcW w:w="1094" w:type="dxa"/>
            <w:gridSpan w:val="2"/>
            <w:tcBorders>
              <w:top w:val="dashed"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Transportas</w:t>
            </w:r>
          </w:p>
        </w:tc>
        <w:tc>
          <w:tcPr>
            <w:tcW w:w="979" w:type="dxa"/>
            <w:tcBorders>
              <w:top w:val="dashed"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r>
              <w:rPr>
                <w:sz w:val="18"/>
                <w:szCs w:val="18"/>
                <w:lang w:eastAsia="lt-LT"/>
              </w:rPr>
              <w:br/>
            </w:r>
            <w:r>
              <w:rPr>
                <w:sz w:val="18"/>
                <w:szCs w:val="18"/>
                <w:lang w:eastAsia="lt-LT"/>
              </w:rPr>
              <w:br/>
              <w:t>Vietos lygiu</w:t>
            </w:r>
          </w:p>
        </w:tc>
        <w:tc>
          <w:tcPr>
            <w:tcW w:w="1394" w:type="dxa"/>
            <w:tcBorders>
              <w:top w:val="dashed" w:sz="4" w:space="0" w:color="auto"/>
              <w:left w:val="single" w:sz="4" w:space="0" w:color="auto"/>
              <w:bottom w:val="single" w:sz="4" w:space="0" w:color="auto"/>
              <w:right w:val="single" w:sz="4" w:space="0" w:color="auto"/>
            </w:tcBorders>
          </w:tcPr>
          <w:p w:rsidR="000E7C4C" w:rsidRDefault="003C3EA6">
            <w:pPr>
              <w:rPr>
                <w:sz w:val="18"/>
                <w:szCs w:val="18"/>
                <w:lang w:eastAsia="lt-LT"/>
              </w:rPr>
            </w:pPr>
            <w:r>
              <w:rPr>
                <w:sz w:val="18"/>
                <w:szCs w:val="18"/>
                <w:lang w:eastAsia="lt-LT"/>
              </w:rPr>
              <w:t>Susisiekimo ministerija,</w:t>
            </w:r>
            <w:r>
              <w:rPr>
                <w:sz w:val="18"/>
                <w:szCs w:val="18"/>
                <w:lang w:eastAsia="lt-LT"/>
              </w:rPr>
              <w:br/>
              <w:t>Savivaldybės</w:t>
            </w:r>
          </w:p>
          <w:p w:rsidR="000E7C4C" w:rsidRDefault="000E7C4C">
            <w:pPr>
              <w:rPr>
                <w:strike/>
                <w:sz w:val="18"/>
                <w:szCs w:val="18"/>
                <w:lang w:eastAsia="lt-LT"/>
              </w:rPr>
            </w:pPr>
          </w:p>
        </w:tc>
        <w:tc>
          <w:tcPr>
            <w:tcW w:w="703" w:type="dxa"/>
            <w:tcBorders>
              <w:top w:val="dashed"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2021</w:t>
            </w:r>
          </w:p>
        </w:tc>
        <w:tc>
          <w:tcPr>
            <w:tcW w:w="698" w:type="dxa"/>
            <w:gridSpan w:val="2"/>
            <w:tcBorders>
              <w:top w:val="dashed"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2029</w:t>
            </w:r>
          </w:p>
        </w:tc>
        <w:tc>
          <w:tcPr>
            <w:tcW w:w="1252" w:type="dxa"/>
            <w:tcBorders>
              <w:top w:val="dashed"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30.000</w:t>
            </w:r>
          </w:p>
        </w:tc>
      </w:tr>
      <w:tr w:rsidR="000E7C4C">
        <w:trPr>
          <w:trHeight w:val="286"/>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37"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P9</w:t>
            </w:r>
          </w:p>
        </w:tc>
        <w:tc>
          <w:tcPr>
            <w:tcW w:w="1227"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Priemiestinio susisiekimo viešojo transporto priemonių parko atnaujinimas </w:t>
            </w:r>
          </w:p>
        </w:tc>
        <w:tc>
          <w:tcPr>
            <w:tcW w:w="3426" w:type="dxa"/>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Finansinės paskatos savivaldybėms elektra, gamtinėmis dujomis ir (arba) vandeniliu varomų priemiestinio susisiekimo viešojo transporto priemonių įsigijimui</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Taršos ir taršos šaltinių mažinimas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Transporto priemonių </w:t>
            </w:r>
            <w:proofErr w:type="spellStart"/>
            <w:r>
              <w:rPr>
                <w:sz w:val="18"/>
                <w:szCs w:val="18"/>
                <w:lang w:eastAsia="lt-LT"/>
              </w:rPr>
              <w:t>alternaty-vieji</w:t>
            </w:r>
            <w:proofErr w:type="spellEnd"/>
            <w:r>
              <w:rPr>
                <w:sz w:val="18"/>
                <w:szCs w:val="18"/>
                <w:lang w:eastAsia="lt-LT"/>
              </w:rPr>
              <w:t xml:space="preserve"> degalai,</w:t>
            </w:r>
          </w:p>
          <w:p w:rsidR="000E7C4C" w:rsidRDefault="003C3EA6">
            <w:pPr>
              <w:rPr>
                <w:sz w:val="18"/>
                <w:szCs w:val="18"/>
                <w:lang w:eastAsia="lt-LT"/>
              </w:rPr>
            </w:pPr>
            <w:r>
              <w:rPr>
                <w:sz w:val="18"/>
                <w:szCs w:val="18"/>
                <w:lang w:eastAsia="lt-LT"/>
              </w:rPr>
              <w:t>Perėjimas prie viešojo transporto</w:t>
            </w:r>
          </w:p>
        </w:tc>
        <w:tc>
          <w:tcPr>
            <w:tcW w:w="109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Transportas</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r>
              <w:rPr>
                <w:sz w:val="18"/>
                <w:szCs w:val="18"/>
                <w:lang w:eastAsia="lt-LT"/>
              </w:rPr>
              <w:br/>
            </w:r>
            <w:r>
              <w:rPr>
                <w:sz w:val="18"/>
                <w:szCs w:val="18"/>
                <w:lang w:eastAsia="lt-LT"/>
              </w:rPr>
              <w:br/>
              <w:t>Vietos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trike/>
                <w:sz w:val="18"/>
                <w:szCs w:val="18"/>
                <w:lang w:eastAsia="lt-LT"/>
              </w:rPr>
            </w:pPr>
            <w:r>
              <w:rPr>
                <w:sz w:val="18"/>
                <w:szCs w:val="18"/>
                <w:lang w:eastAsia="lt-LT"/>
              </w:rPr>
              <w:t>Susisiekimo ministerija,</w:t>
            </w:r>
            <w:r>
              <w:rPr>
                <w:sz w:val="18"/>
                <w:szCs w:val="18"/>
                <w:lang w:eastAsia="lt-LT"/>
              </w:rPr>
              <w:br/>
              <w:t>Savivaldybės</w:t>
            </w:r>
          </w:p>
        </w:tc>
        <w:tc>
          <w:tcPr>
            <w:tcW w:w="703"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2021</w:t>
            </w:r>
          </w:p>
        </w:tc>
        <w:tc>
          <w:tcPr>
            <w:tcW w:w="698"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2029</w:t>
            </w:r>
          </w:p>
        </w:tc>
        <w:tc>
          <w:tcPr>
            <w:tcW w:w="1252"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30.000</w:t>
            </w:r>
          </w:p>
        </w:tc>
      </w:tr>
      <w:tr w:rsidR="000E7C4C">
        <w:trPr>
          <w:trHeight w:val="1005"/>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37"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P10</w:t>
            </w:r>
          </w:p>
        </w:tc>
        <w:tc>
          <w:tcPr>
            <w:tcW w:w="1227"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rFonts w:ascii="Calibri" w:hAnsi="Calibri"/>
                <w:sz w:val="18"/>
                <w:szCs w:val="18"/>
              </w:rPr>
            </w:pPr>
            <w:r>
              <w:rPr>
                <w:sz w:val="18"/>
                <w:szCs w:val="18"/>
              </w:rPr>
              <w:t xml:space="preserve">Geležinkelių </w:t>
            </w:r>
            <w:proofErr w:type="spellStart"/>
            <w:r>
              <w:rPr>
                <w:sz w:val="18"/>
                <w:szCs w:val="18"/>
              </w:rPr>
              <w:t>elektrifika-vimas</w:t>
            </w:r>
            <w:proofErr w:type="spellEnd"/>
            <w:r>
              <w:rPr>
                <w:sz w:val="18"/>
                <w:szCs w:val="18"/>
              </w:rPr>
              <w:t xml:space="preserve"> </w:t>
            </w:r>
            <w:r>
              <w:rPr>
                <w:sz w:val="18"/>
                <w:szCs w:val="18"/>
                <w:vertAlign w:val="superscript"/>
              </w:rPr>
              <w:t>(1)</w:t>
            </w:r>
          </w:p>
        </w:tc>
        <w:tc>
          <w:tcPr>
            <w:tcW w:w="3426"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jc w:val="both"/>
              <w:rPr>
                <w:sz w:val="18"/>
                <w:szCs w:val="18"/>
                <w:lang w:eastAsia="lt-LT"/>
              </w:rPr>
            </w:pPr>
            <w:r>
              <w:rPr>
                <w:sz w:val="18"/>
                <w:szCs w:val="18"/>
              </w:rPr>
              <w:t>Geležinkelių elektrifikavimas ruože Kaišiadorys–Klaipėda</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Taršos ir taršos šaltinių mažinimas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Patobulinta transporto </w:t>
            </w:r>
            <w:proofErr w:type="spellStart"/>
            <w:r>
              <w:rPr>
                <w:sz w:val="18"/>
                <w:szCs w:val="18"/>
                <w:lang w:eastAsia="lt-LT"/>
              </w:rPr>
              <w:t>infrastruktū</w:t>
            </w:r>
            <w:proofErr w:type="spellEnd"/>
            <w:r>
              <w:rPr>
                <w:sz w:val="18"/>
                <w:szCs w:val="18"/>
                <w:lang w:eastAsia="lt-LT"/>
              </w:rPr>
              <w:t>-ra,</w:t>
            </w:r>
          </w:p>
          <w:p w:rsidR="000E7C4C" w:rsidRDefault="003C3EA6">
            <w:pPr>
              <w:rPr>
                <w:sz w:val="18"/>
                <w:szCs w:val="18"/>
                <w:lang w:eastAsia="lt-LT"/>
              </w:rPr>
            </w:pPr>
            <w:r>
              <w:rPr>
                <w:sz w:val="18"/>
                <w:szCs w:val="18"/>
                <w:lang w:eastAsia="lt-LT"/>
              </w:rPr>
              <w:t xml:space="preserve">Transporto priemonių </w:t>
            </w:r>
            <w:proofErr w:type="spellStart"/>
            <w:r>
              <w:rPr>
                <w:sz w:val="18"/>
                <w:szCs w:val="18"/>
                <w:lang w:eastAsia="lt-LT"/>
              </w:rPr>
              <w:t>alternaty-vieji</w:t>
            </w:r>
            <w:proofErr w:type="spellEnd"/>
            <w:r>
              <w:rPr>
                <w:sz w:val="18"/>
                <w:szCs w:val="18"/>
                <w:lang w:eastAsia="lt-LT"/>
              </w:rPr>
              <w:t xml:space="preserve"> degalai</w:t>
            </w:r>
          </w:p>
        </w:tc>
        <w:tc>
          <w:tcPr>
            <w:tcW w:w="109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Transportas</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Ūkio subjektų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Susisiekimo ministerija</w:t>
            </w:r>
          </w:p>
          <w:p w:rsidR="000E7C4C" w:rsidRDefault="003C3EA6">
            <w:pPr>
              <w:rPr>
                <w:sz w:val="18"/>
                <w:szCs w:val="18"/>
                <w:lang w:eastAsia="lt-LT"/>
              </w:rPr>
            </w:pPr>
            <w:r>
              <w:rPr>
                <w:sz w:val="18"/>
                <w:szCs w:val="18"/>
                <w:lang w:eastAsia="lt-LT"/>
              </w:rPr>
              <w:t>AB „Lietuvos geležinkeliai“</w:t>
            </w:r>
          </w:p>
        </w:tc>
        <w:tc>
          <w:tcPr>
            <w:tcW w:w="703"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2022</w:t>
            </w:r>
          </w:p>
        </w:tc>
        <w:tc>
          <w:tcPr>
            <w:tcW w:w="698"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2026</w:t>
            </w:r>
          </w:p>
        </w:tc>
        <w:tc>
          <w:tcPr>
            <w:tcW w:w="1252"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w:t>
            </w:r>
          </w:p>
        </w:tc>
      </w:tr>
      <w:tr w:rsidR="000E7C4C">
        <w:trPr>
          <w:trHeight w:val="1263"/>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37" w:type="dxa"/>
            <w:gridSpan w:val="2"/>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jc w:val="center"/>
              <w:rPr>
                <w:color w:val="000000"/>
                <w:sz w:val="18"/>
                <w:szCs w:val="18"/>
                <w:lang w:eastAsia="lt-LT"/>
              </w:rPr>
            </w:pPr>
            <w:r>
              <w:rPr>
                <w:color w:val="000000"/>
                <w:sz w:val="18"/>
                <w:szCs w:val="18"/>
                <w:lang w:eastAsia="lt-LT"/>
              </w:rPr>
              <w:t>P11</w:t>
            </w:r>
          </w:p>
        </w:tc>
        <w:tc>
          <w:tcPr>
            <w:tcW w:w="1227"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sz w:val="18"/>
                <w:szCs w:val="18"/>
              </w:rPr>
            </w:pPr>
            <w:r>
              <w:rPr>
                <w:sz w:val="18"/>
                <w:szCs w:val="18"/>
                <w:lang w:eastAsia="lt-LT"/>
              </w:rPr>
              <w:t xml:space="preserve">Gamtinių dujų degalų </w:t>
            </w:r>
            <w:proofErr w:type="spellStart"/>
            <w:r>
              <w:rPr>
                <w:sz w:val="18"/>
                <w:szCs w:val="18"/>
                <w:lang w:eastAsia="lt-LT"/>
              </w:rPr>
              <w:t>infrastruktū</w:t>
            </w:r>
            <w:proofErr w:type="spellEnd"/>
            <w:r>
              <w:rPr>
                <w:sz w:val="18"/>
                <w:szCs w:val="18"/>
                <w:lang w:eastAsia="lt-LT"/>
              </w:rPr>
              <w:t>-ros diegimas</w:t>
            </w:r>
            <w:r>
              <w:rPr>
                <w:sz w:val="18"/>
                <w:szCs w:val="18"/>
                <w:vertAlign w:val="superscript"/>
                <w:lang w:eastAsia="lt-LT"/>
              </w:rPr>
              <w:t>(1) (2)</w:t>
            </w:r>
          </w:p>
        </w:tc>
        <w:tc>
          <w:tcPr>
            <w:tcW w:w="3426"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jc w:val="both"/>
              <w:rPr>
                <w:sz w:val="18"/>
                <w:szCs w:val="18"/>
              </w:rPr>
            </w:pPr>
            <w:r>
              <w:rPr>
                <w:sz w:val="18"/>
                <w:szCs w:val="18"/>
                <w:lang w:eastAsia="lt-LT"/>
              </w:rPr>
              <w:t>Gamtinių dujų skirstymo sistemų, skirtų gamtinių dujų degalų papildymo punktams aprūpinti ir viešai prieinamų gamtinių dujų degalų papildymo punktų įrengimas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sz w:val="18"/>
                <w:szCs w:val="18"/>
                <w:lang w:eastAsia="lt-LT"/>
              </w:rPr>
            </w:pPr>
            <w:r>
              <w:rPr>
                <w:color w:val="000000"/>
                <w:sz w:val="18"/>
                <w:szCs w:val="18"/>
              </w:rPr>
              <w:t>Taršos ir taršos šaltinių mažinimas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sz w:val="18"/>
                <w:szCs w:val="18"/>
                <w:lang w:eastAsia="lt-LT"/>
              </w:rPr>
            </w:pPr>
            <w:r>
              <w:rPr>
                <w:sz w:val="18"/>
                <w:szCs w:val="18"/>
                <w:lang w:eastAsia="lt-LT"/>
              </w:rPr>
              <w:t xml:space="preserve">Geresnė transporto </w:t>
            </w:r>
            <w:proofErr w:type="spellStart"/>
            <w:r>
              <w:rPr>
                <w:sz w:val="18"/>
                <w:szCs w:val="18"/>
                <w:lang w:eastAsia="lt-LT"/>
              </w:rPr>
              <w:t>infrastruk-tūra</w:t>
            </w:r>
            <w:proofErr w:type="spellEnd"/>
            <w:r>
              <w:rPr>
                <w:sz w:val="18"/>
                <w:szCs w:val="18"/>
                <w:lang w:eastAsia="lt-LT"/>
              </w:rPr>
              <w:t xml:space="preserve">, Transporto priemonių </w:t>
            </w:r>
            <w:proofErr w:type="spellStart"/>
            <w:r>
              <w:rPr>
                <w:sz w:val="18"/>
                <w:szCs w:val="18"/>
                <w:lang w:eastAsia="lt-LT"/>
              </w:rPr>
              <w:t>alternaty-vieji</w:t>
            </w:r>
            <w:proofErr w:type="spellEnd"/>
            <w:r>
              <w:rPr>
                <w:sz w:val="18"/>
                <w:szCs w:val="18"/>
                <w:lang w:eastAsia="lt-LT"/>
              </w:rPr>
              <w:t xml:space="preserve"> degalai</w:t>
            </w:r>
          </w:p>
        </w:tc>
        <w:tc>
          <w:tcPr>
            <w:tcW w:w="1094" w:type="dxa"/>
            <w:gridSpan w:val="2"/>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sz w:val="18"/>
                <w:szCs w:val="18"/>
                <w:lang w:eastAsia="lt-LT"/>
              </w:rPr>
            </w:pPr>
            <w:r>
              <w:rPr>
                <w:color w:val="000000"/>
                <w:sz w:val="18"/>
                <w:szCs w:val="18"/>
              </w:rPr>
              <w:t>Transportas</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sz w:val="18"/>
                <w:szCs w:val="18"/>
                <w:lang w:eastAsia="lt-LT"/>
              </w:rPr>
            </w:pPr>
            <w:r>
              <w:rPr>
                <w:color w:val="000000"/>
                <w:sz w:val="18"/>
                <w:szCs w:val="18"/>
              </w:rPr>
              <w:t>Valstybės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18"/>
                <w:szCs w:val="18"/>
              </w:rPr>
            </w:pPr>
            <w:r>
              <w:rPr>
                <w:color w:val="000000"/>
                <w:sz w:val="18"/>
                <w:szCs w:val="18"/>
              </w:rPr>
              <w:t xml:space="preserve">Energetikos ministerija, </w:t>
            </w:r>
          </w:p>
          <w:p w:rsidR="000E7C4C" w:rsidRDefault="003C3EA6">
            <w:pPr>
              <w:rPr>
                <w:color w:val="000000"/>
                <w:sz w:val="18"/>
                <w:szCs w:val="18"/>
              </w:rPr>
            </w:pPr>
            <w:r>
              <w:rPr>
                <w:color w:val="000000"/>
                <w:sz w:val="18"/>
                <w:szCs w:val="18"/>
              </w:rPr>
              <w:t>Susisiekimo ministerija,</w:t>
            </w:r>
          </w:p>
          <w:p w:rsidR="000E7C4C" w:rsidRDefault="003C3EA6">
            <w:pPr>
              <w:tabs>
                <w:tab w:val="num" w:pos="360"/>
              </w:tabs>
              <w:rPr>
                <w:sz w:val="18"/>
                <w:szCs w:val="18"/>
                <w:lang w:eastAsia="lt-LT"/>
              </w:rPr>
            </w:pPr>
            <w:r>
              <w:rPr>
                <w:color w:val="000000"/>
                <w:sz w:val="18"/>
                <w:szCs w:val="18"/>
              </w:rPr>
              <w:t>Savivaldybės</w:t>
            </w:r>
          </w:p>
        </w:tc>
        <w:tc>
          <w:tcPr>
            <w:tcW w:w="703" w:type="dxa"/>
            <w:tcBorders>
              <w:top w:val="single" w:sz="4" w:space="0" w:color="auto"/>
              <w:left w:val="single" w:sz="4" w:space="0" w:color="auto"/>
              <w:bottom w:val="single" w:sz="4" w:space="0" w:color="auto"/>
              <w:right w:val="single" w:sz="4" w:space="0" w:color="auto"/>
            </w:tcBorders>
            <w:noWrap/>
            <w:hideMark/>
          </w:tcPr>
          <w:p w:rsidR="000E7C4C" w:rsidRDefault="003C3EA6">
            <w:pPr>
              <w:tabs>
                <w:tab w:val="num" w:pos="360"/>
              </w:tabs>
              <w:ind w:firstLine="720"/>
              <w:jc w:val="center"/>
              <w:rPr>
                <w:sz w:val="18"/>
                <w:szCs w:val="18"/>
                <w:lang w:eastAsia="lt-LT"/>
              </w:rPr>
            </w:pPr>
            <w:r>
              <w:rPr>
                <w:sz w:val="18"/>
                <w:szCs w:val="18"/>
                <w:lang w:eastAsia="lt-LT"/>
              </w:rPr>
              <w:t>22019</w:t>
            </w:r>
          </w:p>
        </w:tc>
        <w:tc>
          <w:tcPr>
            <w:tcW w:w="698"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tabs>
                <w:tab w:val="num" w:pos="360"/>
              </w:tabs>
              <w:ind w:firstLine="720"/>
              <w:jc w:val="center"/>
              <w:rPr>
                <w:sz w:val="18"/>
                <w:szCs w:val="18"/>
                <w:lang w:eastAsia="lt-LT"/>
              </w:rPr>
            </w:pPr>
            <w:r>
              <w:rPr>
                <w:sz w:val="18"/>
                <w:szCs w:val="18"/>
                <w:lang w:eastAsia="lt-LT"/>
              </w:rPr>
              <w:t>22025</w:t>
            </w:r>
          </w:p>
        </w:tc>
        <w:tc>
          <w:tcPr>
            <w:tcW w:w="1252" w:type="dxa"/>
            <w:tcBorders>
              <w:top w:val="single" w:sz="4" w:space="0" w:color="auto"/>
              <w:left w:val="single" w:sz="4" w:space="0" w:color="auto"/>
              <w:bottom w:val="single" w:sz="4" w:space="0" w:color="auto"/>
              <w:right w:val="single" w:sz="4" w:space="0" w:color="auto"/>
            </w:tcBorders>
            <w:noWrap/>
            <w:hideMark/>
          </w:tcPr>
          <w:p w:rsidR="000E7C4C" w:rsidRDefault="003C3EA6">
            <w:pPr>
              <w:tabs>
                <w:tab w:val="num" w:pos="360"/>
              </w:tabs>
              <w:ind w:firstLine="10"/>
              <w:jc w:val="center"/>
              <w:rPr>
                <w:sz w:val="18"/>
                <w:szCs w:val="18"/>
                <w:lang w:eastAsia="lt-LT"/>
              </w:rPr>
            </w:pPr>
            <w:r>
              <w:rPr>
                <w:sz w:val="18"/>
                <w:szCs w:val="18"/>
                <w:lang w:eastAsia="lt-LT"/>
              </w:rPr>
              <w:t>-</w:t>
            </w:r>
          </w:p>
        </w:tc>
      </w:tr>
      <w:tr w:rsidR="000E7C4C">
        <w:trPr>
          <w:trHeight w:val="900"/>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37"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P12</w:t>
            </w:r>
          </w:p>
        </w:tc>
        <w:tc>
          <w:tcPr>
            <w:tcW w:w="1227"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Augalų juostų kūrimas</w:t>
            </w:r>
          </w:p>
        </w:tc>
        <w:tc>
          <w:tcPr>
            <w:tcW w:w="3426" w:type="dxa"/>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Augalų sodinimas šalia didžiausių taršos šaltinių miestuose (stacionarių taršos šaltinių, intensyvaus eismo vietų ir pan.), siekiant sumažinti teršalų sklidimą nuo taršos šaltinių</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Pasekmių poveikio mažinimo</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Neigiamo poveikio sveikatai mažinimas</w:t>
            </w:r>
          </w:p>
        </w:tc>
        <w:tc>
          <w:tcPr>
            <w:tcW w:w="109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Namų ūkis</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Vietos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Savivaldybės</w:t>
            </w:r>
          </w:p>
        </w:tc>
        <w:tc>
          <w:tcPr>
            <w:tcW w:w="703"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2019</w:t>
            </w:r>
          </w:p>
        </w:tc>
        <w:tc>
          <w:tcPr>
            <w:tcW w:w="698"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2030</w:t>
            </w:r>
          </w:p>
        </w:tc>
        <w:tc>
          <w:tcPr>
            <w:tcW w:w="1252"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trike/>
                <w:sz w:val="18"/>
                <w:szCs w:val="18"/>
                <w:lang w:eastAsia="lt-LT"/>
              </w:rPr>
            </w:pPr>
            <w:r>
              <w:rPr>
                <w:sz w:val="18"/>
                <w:szCs w:val="18"/>
                <w:lang w:eastAsia="lt-LT"/>
              </w:rPr>
              <w:t>-</w:t>
            </w:r>
          </w:p>
        </w:tc>
      </w:tr>
      <w:tr w:rsidR="000E7C4C">
        <w:trPr>
          <w:trHeight w:val="1505"/>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37"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P13</w:t>
            </w:r>
          </w:p>
        </w:tc>
        <w:tc>
          <w:tcPr>
            <w:tcW w:w="1227"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Taršių transporto priemonių naudojimo miestuose patrauklumo mažinimas</w:t>
            </w:r>
          </w:p>
        </w:tc>
        <w:tc>
          <w:tcPr>
            <w:tcW w:w="3426" w:type="dxa"/>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 xml:space="preserve">Finansinės paskatos darnaus </w:t>
            </w:r>
            <w:proofErr w:type="spellStart"/>
            <w:r>
              <w:rPr>
                <w:sz w:val="18"/>
                <w:szCs w:val="18"/>
                <w:lang w:eastAsia="lt-LT"/>
              </w:rPr>
              <w:t>judumo</w:t>
            </w:r>
            <w:proofErr w:type="spellEnd"/>
            <w:r>
              <w:rPr>
                <w:sz w:val="18"/>
                <w:szCs w:val="18"/>
                <w:lang w:eastAsia="lt-LT"/>
              </w:rPr>
              <w:t xml:space="preserve"> priemonių įgyvendinimui Vilniaus m., Kauno m., Klaipėdos m., Šiaulių m., Panevėžio m., Palangos m., Neringos, Druskininkų ir Birštono savivaldybėms, įsidiegusioms dyzelinu varomų transporto priemonių eismo ribojimo sistemas savivaldybės teritorijoje ar jos dalyje</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Šaltiniais grindžiamas taršos valdymas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Paklausos valdymas/</w:t>
            </w:r>
          </w:p>
          <w:p w:rsidR="000E7C4C" w:rsidRDefault="003C3EA6">
            <w:pPr>
              <w:rPr>
                <w:sz w:val="18"/>
                <w:szCs w:val="18"/>
                <w:lang w:eastAsia="lt-LT"/>
              </w:rPr>
            </w:pPr>
            <w:r>
              <w:rPr>
                <w:sz w:val="18"/>
                <w:szCs w:val="18"/>
                <w:lang w:eastAsia="lt-LT"/>
              </w:rPr>
              <w:t>mažinimas</w:t>
            </w:r>
          </w:p>
        </w:tc>
        <w:tc>
          <w:tcPr>
            <w:tcW w:w="109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Transportas</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r>
              <w:rPr>
                <w:sz w:val="18"/>
                <w:szCs w:val="18"/>
                <w:lang w:eastAsia="lt-LT"/>
              </w:rPr>
              <w:br/>
            </w:r>
            <w:r>
              <w:rPr>
                <w:sz w:val="18"/>
                <w:szCs w:val="18"/>
                <w:lang w:eastAsia="lt-LT"/>
              </w:rPr>
              <w:br/>
              <w:t>Vietos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tabs>
                <w:tab w:val="left" w:pos="1296"/>
              </w:tabs>
              <w:rPr>
                <w:sz w:val="18"/>
                <w:szCs w:val="18"/>
                <w:lang w:eastAsia="lt-LT"/>
              </w:rPr>
            </w:pPr>
            <w:r>
              <w:rPr>
                <w:sz w:val="18"/>
                <w:szCs w:val="18"/>
                <w:lang w:eastAsia="lt-LT"/>
              </w:rPr>
              <w:t>Susisiekimo ministerija,</w:t>
            </w:r>
          </w:p>
          <w:p w:rsidR="000E7C4C" w:rsidRDefault="003C3EA6">
            <w:pPr>
              <w:rPr>
                <w:sz w:val="18"/>
                <w:szCs w:val="18"/>
                <w:lang w:eastAsia="lt-LT"/>
              </w:rPr>
            </w:pPr>
            <w:r>
              <w:rPr>
                <w:sz w:val="18"/>
                <w:szCs w:val="18"/>
                <w:lang w:eastAsia="lt-LT"/>
              </w:rPr>
              <w:t>Aplinkos ministerija,</w:t>
            </w:r>
          </w:p>
          <w:p w:rsidR="000E7C4C" w:rsidRDefault="003C3EA6">
            <w:pPr>
              <w:rPr>
                <w:strike/>
                <w:sz w:val="18"/>
                <w:szCs w:val="18"/>
                <w:lang w:eastAsia="lt-LT"/>
              </w:rPr>
            </w:pPr>
            <w:r>
              <w:rPr>
                <w:sz w:val="18"/>
                <w:szCs w:val="18"/>
                <w:lang w:eastAsia="lt-LT"/>
              </w:rPr>
              <w:t>Savivaldybės</w:t>
            </w:r>
          </w:p>
        </w:tc>
        <w:tc>
          <w:tcPr>
            <w:tcW w:w="703"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2021</w:t>
            </w:r>
          </w:p>
        </w:tc>
        <w:tc>
          <w:tcPr>
            <w:tcW w:w="698"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2029</w:t>
            </w:r>
          </w:p>
        </w:tc>
        <w:tc>
          <w:tcPr>
            <w:tcW w:w="1252"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20.000</w:t>
            </w:r>
          </w:p>
        </w:tc>
      </w:tr>
      <w:tr w:rsidR="000E7C4C">
        <w:trPr>
          <w:trHeight w:val="570"/>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37" w:type="dxa"/>
            <w:gridSpan w:val="2"/>
            <w:tcBorders>
              <w:top w:val="single" w:sz="4" w:space="0" w:color="auto"/>
              <w:left w:val="single" w:sz="4" w:space="0" w:color="auto"/>
              <w:bottom w:val="single" w:sz="4" w:space="0" w:color="auto"/>
              <w:right w:val="single" w:sz="4" w:space="0" w:color="auto"/>
            </w:tcBorders>
          </w:tcPr>
          <w:p w:rsidR="000E7C4C" w:rsidRDefault="003C3EA6">
            <w:pPr>
              <w:jc w:val="center"/>
              <w:rPr>
                <w:color w:val="000000"/>
                <w:sz w:val="18"/>
                <w:szCs w:val="18"/>
                <w:lang w:eastAsia="lt-LT"/>
              </w:rPr>
            </w:pPr>
            <w:r>
              <w:rPr>
                <w:color w:val="000000"/>
                <w:sz w:val="18"/>
                <w:szCs w:val="18"/>
                <w:lang w:eastAsia="lt-LT"/>
              </w:rPr>
              <w:t>P14</w:t>
            </w:r>
          </w:p>
          <w:p w:rsidR="000E7C4C" w:rsidRDefault="000E7C4C">
            <w:pPr>
              <w:jc w:val="center"/>
              <w:rPr>
                <w:sz w:val="18"/>
                <w:szCs w:val="18"/>
                <w:lang w:eastAsia="lt-LT"/>
              </w:rPr>
            </w:pPr>
          </w:p>
        </w:tc>
        <w:tc>
          <w:tcPr>
            <w:tcW w:w="1227"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Transporto priemonių išmetamų teršalų nuotolinės stebėsenos sistemos taikymas </w:t>
            </w:r>
          </w:p>
        </w:tc>
        <w:tc>
          <w:tcPr>
            <w:tcW w:w="3426" w:type="dxa"/>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Siekiant mažinti techniškai netvarkingų transporto priemonių naudojimą, išbandyti ir įdiegti kilnojamą transporto priemonių išmetamų teršalų nuotolinės stebėsenos sistemą:</w:t>
            </w:r>
          </w:p>
          <w:p w:rsidR="000E7C4C" w:rsidRDefault="003C3EA6">
            <w:pPr>
              <w:tabs>
                <w:tab w:val="left" w:pos="666"/>
              </w:tabs>
              <w:ind w:firstLine="426"/>
              <w:jc w:val="both"/>
              <w:rPr>
                <w:sz w:val="18"/>
                <w:szCs w:val="18"/>
                <w:lang w:eastAsia="lt-LT"/>
              </w:rPr>
            </w:pPr>
            <w:r>
              <w:rPr>
                <w:sz w:val="18"/>
                <w:szCs w:val="18"/>
                <w:lang w:eastAsia="lt-LT"/>
              </w:rPr>
              <w:t>a)</w:t>
            </w:r>
            <w:r>
              <w:rPr>
                <w:sz w:val="18"/>
                <w:szCs w:val="18"/>
                <w:lang w:eastAsia="lt-LT"/>
              </w:rPr>
              <w:tab/>
              <w:t xml:space="preserve">vykdyti kilnojamos transporto priemonių išmetamų teršalų nuotolinio matavimo kelyje įrangos praktinį taikymą (edukacinio / informacinio pobūdžio pilotinis projektas) ir priimti sprendimą dėl nuotolinės stebėsenos sistemos taikymo; </w:t>
            </w:r>
          </w:p>
          <w:p w:rsidR="000E7C4C" w:rsidRDefault="003C3EA6">
            <w:pPr>
              <w:tabs>
                <w:tab w:val="left" w:pos="616"/>
              </w:tabs>
              <w:ind w:firstLine="426"/>
              <w:jc w:val="both"/>
              <w:rPr>
                <w:sz w:val="18"/>
                <w:szCs w:val="18"/>
                <w:lang w:eastAsia="lt-LT"/>
              </w:rPr>
            </w:pPr>
            <w:r>
              <w:rPr>
                <w:sz w:val="18"/>
                <w:szCs w:val="18"/>
                <w:lang w:eastAsia="lt-LT"/>
              </w:rPr>
              <w:t>b)</w:t>
            </w:r>
            <w:r>
              <w:rPr>
                <w:sz w:val="18"/>
                <w:szCs w:val="18"/>
                <w:lang w:eastAsia="lt-LT"/>
              </w:rPr>
              <w:tab/>
              <w:t xml:space="preserve">įdiegti transporto priemonių išmetamų teršalų nuotolinės stebėsenos sistemą. </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proofErr w:type="spellStart"/>
            <w:r>
              <w:rPr>
                <w:sz w:val="18"/>
                <w:szCs w:val="18"/>
                <w:lang w:eastAsia="lt-LT"/>
              </w:rPr>
              <w:t>Reguliavi-mo</w:t>
            </w:r>
            <w:proofErr w:type="spellEnd"/>
            <w:r>
              <w:rPr>
                <w:sz w:val="18"/>
                <w:szCs w:val="18"/>
                <w:lang w:eastAsia="lt-LT"/>
              </w:rPr>
              <w:t>,</w:t>
            </w:r>
            <w:r>
              <w:rPr>
                <w:sz w:val="18"/>
                <w:szCs w:val="18"/>
                <w:lang w:eastAsia="lt-LT"/>
              </w:rPr>
              <w:br/>
              <w:t>Tyrimai</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proofErr w:type="spellStart"/>
            <w:r>
              <w:rPr>
                <w:sz w:val="18"/>
                <w:szCs w:val="18"/>
                <w:lang w:eastAsia="lt-LT"/>
              </w:rPr>
              <w:t>Sąmonin-gesnis</w:t>
            </w:r>
            <w:proofErr w:type="spellEnd"/>
            <w:r>
              <w:rPr>
                <w:sz w:val="18"/>
                <w:szCs w:val="18"/>
                <w:lang w:eastAsia="lt-LT"/>
              </w:rPr>
              <w:t xml:space="preserve"> vartotojų elgesys,</w:t>
            </w:r>
          </w:p>
          <w:p w:rsidR="000E7C4C" w:rsidRDefault="003C3EA6">
            <w:pPr>
              <w:rPr>
                <w:sz w:val="18"/>
                <w:szCs w:val="18"/>
                <w:lang w:eastAsia="lt-LT"/>
              </w:rPr>
            </w:pPr>
            <w:r>
              <w:rPr>
                <w:sz w:val="18"/>
                <w:szCs w:val="18"/>
                <w:lang w:eastAsia="lt-LT"/>
              </w:rPr>
              <w:t>Taršos mažinimo technologijų diegimas transporto priemonėse</w:t>
            </w:r>
          </w:p>
        </w:tc>
        <w:tc>
          <w:tcPr>
            <w:tcW w:w="109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Transportas</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Vietos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Lietuvos Respublikos vidaus reikalų ministerija,</w:t>
            </w:r>
          </w:p>
          <w:p w:rsidR="000E7C4C" w:rsidRDefault="003C3EA6">
            <w:pPr>
              <w:rPr>
                <w:sz w:val="18"/>
                <w:szCs w:val="18"/>
                <w:lang w:eastAsia="lt-LT"/>
              </w:rPr>
            </w:pPr>
            <w:r>
              <w:rPr>
                <w:sz w:val="18"/>
                <w:szCs w:val="18"/>
                <w:lang w:eastAsia="lt-LT"/>
              </w:rPr>
              <w:t>Susisiekimo ministerija</w:t>
            </w:r>
          </w:p>
        </w:tc>
        <w:tc>
          <w:tcPr>
            <w:tcW w:w="703" w:type="dxa"/>
            <w:tcBorders>
              <w:top w:val="single" w:sz="4" w:space="0" w:color="auto"/>
              <w:left w:val="single" w:sz="4" w:space="0" w:color="auto"/>
              <w:bottom w:val="single" w:sz="4" w:space="0" w:color="auto"/>
              <w:right w:val="single" w:sz="4" w:space="0" w:color="auto"/>
            </w:tcBorders>
            <w:noWrap/>
          </w:tcPr>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3C3EA6">
            <w:pPr>
              <w:jc w:val="center"/>
              <w:rPr>
                <w:sz w:val="18"/>
                <w:szCs w:val="18"/>
                <w:lang w:eastAsia="lt-LT"/>
              </w:rPr>
            </w:pPr>
            <w:r>
              <w:rPr>
                <w:sz w:val="18"/>
                <w:szCs w:val="18"/>
                <w:lang w:eastAsia="lt-LT"/>
              </w:rPr>
              <w:t>2022</w:t>
            </w: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3C3EA6">
            <w:pPr>
              <w:jc w:val="center"/>
              <w:rPr>
                <w:sz w:val="18"/>
                <w:szCs w:val="18"/>
                <w:lang w:eastAsia="lt-LT"/>
              </w:rPr>
            </w:pPr>
            <w:r>
              <w:rPr>
                <w:sz w:val="18"/>
                <w:szCs w:val="18"/>
                <w:lang w:eastAsia="lt-LT"/>
              </w:rPr>
              <w:t>2024</w:t>
            </w:r>
          </w:p>
          <w:p w:rsidR="000E7C4C" w:rsidRDefault="000E7C4C">
            <w:pPr>
              <w:jc w:val="center"/>
              <w:rPr>
                <w:sz w:val="18"/>
                <w:szCs w:val="18"/>
                <w:lang w:eastAsia="lt-LT"/>
              </w:rPr>
            </w:pPr>
          </w:p>
        </w:tc>
        <w:tc>
          <w:tcPr>
            <w:tcW w:w="698" w:type="dxa"/>
            <w:gridSpan w:val="2"/>
            <w:tcBorders>
              <w:top w:val="single" w:sz="4" w:space="0" w:color="auto"/>
              <w:left w:val="single" w:sz="4" w:space="0" w:color="auto"/>
              <w:bottom w:val="single" w:sz="4" w:space="0" w:color="auto"/>
              <w:right w:val="single" w:sz="4" w:space="0" w:color="auto"/>
            </w:tcBorders>
            <w:noWrap/>
          </w:tcPr>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3C3EA6">
            <w:pPr>
              <w:jc w:val="center"/>
              <w:rPr>
                <w:sz w:val="18"/>
                <w:szCs w:val="18"/>
                <w:lang w:eastAsia="lt-LT"/>
              </w:rPr>
            </w:pPr>
            <w:r>
              <w:rPr>
                <w:sz w:val="18"/>
                <w:szCs w:val="18"/>
                <w:lang w:eastAsia="lt-LT"/>
              </w:rPr>
              <w:t>2023</w:t>
            </w: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3C3EA6">
            <w:pPr>
              <w:jc w:val="center"/>
              <w:rPr>
                <w:sz w:val="18"/>
                <w:szCs w:val="18"/>
                <w:lang w:eastAsia="lt-LT"/>
              </w:rPr>
            </w:pPr>
            <w:r>
              <w:rPr>
                <w:sz w:val="18"/>
                <w:szCs w:val="18"/>
                <w:lang w:eastAsia="lt-LT"/>
              </w:rPr>
              <w:t>2030</w:t>
            </w:r>
          </w:p>
        </w:tc>
        <w:tc>
          <w:tcPr>
            <w:tcW w:w="1252" w:type="dxa"/>
            <w:tcBorders>
              <w:top w:val="single" w:sz="4" w:space="0" w:color="auto"/>
              <w:left w:val="single" w:sz="4" w:space="0" w:color="auto"/>
              <w:bottom w:val="single" w:sz="4" w:space="0" w:color="auto"/>
              <w:right w:val="single" w:sz="4" w:space="0" w:color="auto"/>
            </w:tcBorders>
            <w:noWrap/>
          </w:tcPr>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3C3EA6">
            <w:pPr>
              <w:jc w:val="center"/>
              <w:rPr>
                <w:sz w:val="18"/>
                <w:szCs w:val="18"/>
                <w:lang w:eastAsia="lt-LT"/>
              </w:rPr>
            </w:pPr>
            <w:r>
              <w:rPr>
                <w:sz w:val="18"/>
                <w:szCs w:val="18"/>
                <w:lang w:eastAsia="lt-LT"/>
              </w:rPr>
              <w:t>4.000</w:t>
            </w: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3C3EA6">
            <w:pPr>
              <w:jc w:val="center"/>
              <w:rPr>
                <w:sz w:val="18"/>
                <w:szCs w:val="18"/>
                <w:lang w:eastAsia="lt-LT"/>
              </w:rPr>
            </w:pPr>
            <w:r>
              <w:rPr>
                <w:sz w:val="18"/>
                <w:szCs w:val="18"/>
                <w:lang w:eastAsia="lt-LT"/>
              </w:rPr>
              <w:t>-</w:t>
            </w:r>
          </w:p>
        </w:tc>
      </w:tr>
      <w:tr w:rsidR="000E7C4C">
        <w:trPr>
          <w:trHeight w:val="2078"/>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37" w:type="dxa"/>
            <w:gridSpan w:val="2"/>
            <w:tcBorders>
              <w:top w:val="single" w:sz="4" w:space="0" w:color="auto"/>
              <w:left w:val="single" w:sz="4" w:space="0" w:color="auto"/>
              <w:bottom w:val="single" w:sz="4" w:space="0" w:color="auto"/>
              <w:right w:val="single" w:sz="4" w:space="0" w:color="auto"/>
            </w:tcBorders>
          </w:tcPr>
          <w:p w:rsidR="000E7C4C" w:rsidRDefault="003C3EA6">
            <w:pPr>
              <w:jc w:val="center"/>
              <w:rPr>
                <w:color w:val="000000"/>
                <w:sz w:val="18"/>
                <w:szCs w:val="18"/>
                <w:lang w:eastAsia="lt-LT"/>
              </w:rPr>
            </w:pPr>
            <w:r>
              <w:rPr>
                <w:color w:val="000000"/>
                <w:sz w:val="18"/>
                <w:szCs w:val="18"/>
                <w:lang w:eastAsia="lt-LT"/>
              </w:rPr>
              <w:t>P15</w:t>
            </w:r>
          </w:p>
          <w:p w:rsidR="000E7C4C" w:rsidRDefault="000E7C4C">
            <w:pPr>
              <w:jc w:val="center"/>
              <w:rPr>
                <w:sz w:val="18"/>
                <w:szCs w:val="18"/>
                <w:highlight w:val="yellow"/>
                <w:lang w:eastAsia="lt-LT"/>
              </w:rPr>
            </w:pPr>
          </w:p>
        </w:tc>
        <w:tc>
          <w:tcPr>
            <w:tcW w:w="1227"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Pranešimo apie kelyje eksploatuojamas aplinkos orą daugiau teršiančias transporto priemones sistemos sukūrimas</w:t>
            </w:r>
          </w:p>
        </w:tc>
        <w:tc>
          <w:tcPr>
            <w:tcW w:w="3426" w:type="dxa"/>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 xml:space="preserve">Siekiant mažinti techniškai netvarkingų transporto priemonių naudojimą, sukurti galimybę pranešti apie kelyje pastebėtą vizualiai matomą transporto priemonių </w:t>
            </w:r>
            <w:proofErr w:type="spellStart"/>
            <w:r>
              <w:rPr>
                <w:sz w:val="18"/>
                <w:szCs w:val="18"/>
                <w:lang w:eastAsia="lt-LT"/>
              </w:rPr>
              <w:t>dūmingumą</w:t>
            </w:r>
            <w:proofErr w:type="spellEnd"/>
            <w:r>
              <w:rPr>
                <w:sz w:val="18"/>
                <w:szCs w:val="18"/>
                <w:lang w:eastAsia="lt-LT"/>
              </w:rPr>
              <w:t>:</w:t>
            </w:r>
          </w:p>
          <w:p w:rsidR="000E7C4C" w:rsidRDefault="003C3EA6">
            <w:pPr>
              <w:tabs>
                <w:tab w:val="left" w:pos="508"/>
              </w:tabs>
              <w:ind w:left="83" w:firstLine="141"/>
              <w:jc w:val="both"/>
              <w:rPr>
                <w:sz w:val="18"/>
                <w:szCs w:val="18"/>
                <w:lang w:eastAsia="lt-LT"/>
              </w:rPr>
            </w:pPr>
            <w:r>
              <w:rPr>
                <w:sz w:val="18"/>
                <w:szCs w:val="18"/>
                <w:lang w:eastAsia="lt-LT"/>
              </w:rPr>
              <w:t>a)</w:t>
            </w:r>
            <w:r>
              <w:rPr>
                <w:sz w:val="18"/>
                <w:szCs w:val="18"/>
                <w:lang w:eastAsia="lt-LT"/>
              </w:rPr>
              <w:tab/>
              <w:t>vykdyti edukacinio / informacinio pobūdžio pranešimo apie kelyje eksploatuojamas aplinkos orą daugiau teršiančias transporto priemones sistemos pilotinį projektą ir priimti sprendimą dėl pranešimo sistemos  taikymo;</w:t>
            </w:r>
          </w:p>
          <w:p w:rsidR="000E7C4C" w:rsidRDefault="003C3EA6">
            <w:pPr>
              <w:tabs>
                <w:tab w:val="left" w:pos="453"/>
              </w:tabs>
              <w:ind w:left="83" w:firstLine="141"/>
              <w:jc w:val="both"/>
              <w:rPr>
                <w:sz w:val="18"/>
                <w:szCs w:val="18"/>
                <w:lang w:eastAsia="lt-LT"/>
              </w:rPr>
            </w:pPr>
            <w:r>
              <w:rPr>
                <w:sz w:val="18"/>
                <w:szCs w:val="18"/>
                <w:lang w:eastAsia="lt-LT"/>
              </w:rPr>
              <w:t>b)</w:t>
            </w:r>
            <w:r>
              <w:rPr>
                <w:sz w:val="18"/>
                <w:szCs w:val="18"/>
                <w:lang w:eastAsia="lt-LT"/>
              </w:rPr>
              <w:tab/>
              <w:t xml:space="preserve"> įgyvendinti pranešimo apie kelyje eksploatuojamas aplinkos orą daugiau teršiančias transporto priemones sistemą.</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Taršos iš taršos šaltinių kontrolė</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proofErr w:type="spellStart"/>
            <w:r>
              <w:rPr>
                <w:sz w:val="18"/>
                <w:szCs w:val="18"/>
                <w:lang w:eastAsia="lt-LT"/>
              </w:rPr>
              <w:t>Sąmonin-gesnis</w:t>
            </w:r>
            <w:proofErr w:type="spellEnd"/>
            <w:r>
              <w:rPr>
                <w:sz w:val="18"/>
                <w:szCs w:val="18"/>
                <w:lang w:eastAsia="lt-LT"/>
              </w:rPr>
              <w:t xml:space="preserve"> vartotojų elgesys,</w:t>
            </w:r>
          </w:p>
          <w:p w:rsidR="000E7C4C" w:rsidRDefault="003C3EA6">
            <w:pPr>
              <w:rPr>
                <w:sz w:val="18"/>
                <w:szCs w:val="18"/>
                <w:lang w:eastAsia="lt-LT"/>
              </w:rPr>
            </w:pPr>
            <w:r>
              <w:rPr>
                <w:sz w:val="18"/>
                <w:szCs w:val="18"/>
                <w:lang w:eastAsia="lt-LT"/>
              </w:rPr>
              <w:t>Taršos mažinimo technologijų diegimas transporto priemonėse</w:t>
            </w:r>
          </w:p>
        </w:tc>
        <w:tc>
          <w:tcPr>
            <w:tcW w:w="109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Transporto</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r>
              <w:rPr>
                <w:sz w:val="18"/>
                <w:szCs w:val="18"/>
                <w:lang w:eastAsia="lt-LT"/>
              </w:rPr>
              <w:br/>
            </w:r>
            <w:r>
              <w:rPr>
                <w:sz w:val="18"/>
                <w:szCs w:val="18"/>
                <w:lang w:eastAsia="lt-LT"/>
              </w:rPr>
              <w:br/>
              <w:t>Vietos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Vidaus reikalų ministerija,</w:t>
            </w:r>
          </w:p>
          <w:p w:rsidR="000E7C4C" w:rsidRDefault="003C3EA6">
            <w:pPr>
              <w:rPr>
                <w:sz w:val="18"/>
                <w:szCs w:val="18"/>
                <w:lang w:eastAsia="lt-LT"/>
              </w:rPr>
            </w:pPr>
            <w:r>
              <w:rPr>
                <w:sz w:val="18"/>
                <w:szCs w:val="18"/>
                <w:lang w:eastAsia="lt-LT"/>
              </w:rPr>
              <w:t>Susisiekimo ministerija</w:t>
            </w:r>
          </w:p>
        </w:tc>
        <w:tc>
          <w:tcPr>
            <w:tcW w:w="703" w:type="dxa"/>
            <w:tcBorders>
              <w:top w:val="single" w:sz="4" w:space="0" w:color="auto"/>
              <w:left w:val="single" w:sz="4" w:space="0" w:color="auto"/>
              <w:bottom w:val="single" w:sz="4" w:space="0" w:color="auto"/>
              <w:right w:val="single" w:sz="4" w:space="0" w:color="auto"/>
            </w:tcBorders>
            <w:noWrap/>
          </w:tcPr>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both"/>
              <w:rPr>
                <w:sz w:val="18"/>
                <w:szCs w:val="18"/>
                <w:lang w:eastAsia="lt-LT"/>
              </w:rPr>
            </w:pPr>
          </w:p>
          <w:p w:rsidR="000E7C4C" w:rsidRDefault="000E7C4C">
            <w:pPr>
              <w:jc w:val="center"/>
              <w:rPr>
                <w:sz w:val="18"/>
                <w:szCs w:val="18"/>
                <w:lang w:eastAsia="lt-LT"/>
              </w:rPr>
            </w:pPr>
          </w:p>
          <w:p w:rsidR="000E7C4C" w:rsidRDefault="003C3EA6">
            <w:pPr>
              <w:jc w:val="center"/>
              <w:rPr>
                <w:sz w:val="18"/>
                <w:szCs w:val="18"/>
                <w:lang w:eastAsia="lt-LT"/>
              </w:rPr>
            </w:pPr>
            <w:r>
              <w:rPr>
                <w:sz w:val="18"/>
                <w:szCs w:val="18"/>
                <w:lang w:eastAsia="lt-LT"/>
              </w:rPr>
              <w:t>2021</w:t>
            </w: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3C3EA6">
            <w:pPr>
              <w:jc w:val="center"/>
              <w:rPr>
                <w:sz w:val="18"/>
                <w:szCs w:val="18"/>
                <w:lang w:eastAsia="lt-LT"/>
              </w:rPr>
            </w:pPr>
            <w:r>
              <w:rPr>
                <w:sz w:val="18"/>
                <w:szCs w:val="18"/>
                <w:lang w:eastAsia="lt-LT"/>
              </w:rPr>
              <w:t>2024</w:t>
            </w:r>
          </w:p>
          <w:p w:rsidR="000E7C4C" w:rsidRDefault="000E7C4C">
            <w:pPr>
              <w:jc w:val="center"/>
              <w:rPr>
                <w:sz w:val="18"/>
                <w:szCs w:val="18"/>
                <w:lang w:eastAsia="lt-LT"/>
              </w:rPr>
            </w:pPr>
          </w:p>
        </w:tc>
        <w:tc>
          <w:tcPr>
            <w:tcW w:w="698" w:type="dxa"/>
            <w:gridSpan w:val="2"/>
            <w:tcBorders>
              <w:top w:val="single" w:sz="4" w:space="0" w:color="auto"/>
              <w:left w:val="single" w:sz="4" w:space="0" w:color="auto"/>
              <w:bottom w:val="single" w:sz="4" w:space="0" w:color="auto"/>
              <w:right w:val="single" w:sz="4" w:space="0" w:color="auto"/>
            </w:tcBorders>
            <w:noWrap/>
          </w:tcPr>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3C3EA6">
            <w:pPr>
              <w:jc w:val="center"/>
              <w:rPr>
                <w:sz w:val="18"/>
                <w:szCs w:val="18"/>
                <w:lang w:eastAsia="lt-LT"/>
              </w:rPr>
            </w:pPr>
            <w:r>
              <w:rPr>
                <w:sz w:val="18"/>
                <w:szCs w:val="18"/>
                <w:lang w:eastAsia="lt-LT"/>
              </w:rPr>
              <w:t>2023</w:t>
            </w: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3C3EA6">
            <w:pPr>
              <w:jc w:val="center"/>
              <w:rPr>
                <w:sz w:val="18"/>
                <w:szCs w:val="18"/>
                <w:lang w:eastAsia="lt-LT"/>
              </w:rPr>
            </w:pPr>
            <w:r>
              <w:rPr>
                <w:sz w:val="18"/>
                <w:szCs w:val="18"/>
                <w:lang w:eastAsia="lt-LT"/>
              </w:rPr>
              <w:t>2030</w:t>
            </w:r>
          </w:p>
        </w:tc>
        <w:tc>
          <w:tcPr>
            <w:tcW w:w="1252" w:type="dxa"/>
            <w:tcBorders>
              <w:top w:val="single" w:sz="4" w:space="0" w:color="auto"/>
              <w:left w:val="single" w:sz="4" w:space="0" w:color="auto"/>
              <w:bottom w:val="single" w:sz="4" w:space="0" w:color="auto"/>
              <w:right w:val="single" w:sz="4" w:space="0" w:color="auto"/>
            </w:tcBorders>
            <w:noWrap/>
          </w:tcPr>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0E7C4C">
            <w:pPr>
              <w:jc w:val="center"/>
              <w:rPr>
                <w:sz w:val="18"/>
                <w:szCs w:val="18"/>
                <w:lang w:eastAsia="lt-LT"/>
              </w:rPr>
            </w:pPr>
          </w:p>
          <w:p w:rsidR="000E7C4C" w:rsidRDefault="003C3EA6">
            <w:pPr>
              <w:jc w:val="center"/>
              <w:rPr>
                <w:sz w:val="18"/>
                <w:szCs w:val="18"/>
                <w:lang w:eastAsia="lt-LT"/>
              </w:rPr>
            </w:pPr>
            <w:r>
              <w:rPr>
                <w:sz w:val="18"/>
                <w:szCs w:val="18"/>
                <w:lang w:eastAsia="lt-LT"/>
              </w:rPr>
              <w:t>-</w:t>
            </w:r>
          </w:p>
        </w:tc>
      </w:tr>
      <w:tr w:rsidR="000E7C4C">
        <w:trPr>
          <w:trHeight w:val="1399"/>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37" w:type="dxa"/>
            <w:gridSpan w:val="2"/>
            <w:vMerge w:val="restart"/>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P16</w:t>
            </w:r>
          </w:p>
        </w:tc>
        <w:tc>
          <w:tcPr>
            <w:tcW w:w="1227"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Kelių naudotojo mokesčio pakeitimas</w:t>
            </w:r>
          </w:p>
        </w:tc>
        <w:tc>
          <w:tcPr>
            <w:tcW w:w="3426"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 xml:space="preserve">Pakeisti Lietuvos Respublikos kelių priežiūros ir plėtros programos finansavimo įstatymą, nustatant, kad mokesčio dydžiai proporcingi nuvažiuotam atstumui; </w:t>
            </w:r>
            <w:r>
              <w:rPr>
                <w:color w:val="000000"/>
                <w:sz w:val="18"/>
                <w:szCs w:val="18"/>
              </w:rPr>
              <w:t xml:space="preserve">Kelių naudotojo mokesčio dydžių ir šio mokesčio mokėjimo, administravimo ir priežiūros tvarkos aprašą, suskirstant transporto priemonės ir mokesčio dydį pagal transporto priemonės teršalų išmetimo standartus (EURO emisijos klases) </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Fiskalinė</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Paklausos valdymas/</w:t>
            </w:r>
          </w:p>
          <w:p w:rsidR="000E7C4C" w:rsidRDefault="003C3EA6">
            <w:pPr>
              <w:rPr>
                <w:sz w:val="18"/>
                <w:szCs w:val="18"/>
                <w:lang w:eastAsia="lt-LT"/>
              </w:rPr>
            </w:pPr>
            <w:r>
              <w:rPr>
                <w:sz w:val="18"/>
                <w:szCs w:val="18"/>
                <w:lang w:eastAsia="lt-LT"/>
              </w:rPr>
              <w:t>mažinimas</w:t>
            </w:r>
          </w:p>
        </w:tc>
        <w:tc>
          <w:tcPr>
            <w:tcW w:w="1094" w:type="dxa"/>
            <w:gridSpan w:val="2"/>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Transportas</w:t>
            </w:r>
          </w:p>
        </w:tc>
        <w:tc>
          <w:tcPr>
            <w:tcW w:w="979"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p>
        </w:tc>
        <w:tc>
          <w:tcPr>
            <w:tcW w:w="1394"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Susisiekimo ministerija,</w:t>
            </w:r>
            <w:r>
              <w:rPr>
                <w:sz w:val="18"/>
                <w:szCs w:val="18"/>
                <w:lang w:eastAsia="lt-LT"/>
              </w:rPr>
              <w:br/>
              <w:t xml:space="preserve">Lietuvos automobilių kelių direkcija prie Susisiekimo ministerijos </w:t>
            </w:r>
          </w:p>
        </w:tc>
        <w:tc>
          <w:tcPr>
            <w:tcW w:w="703" w:type="dxa"/>
            <w:vMerge w:val="restart"/>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2019</w:t>
            </w:r>
          </w:p>
        </w:tc>
        <w:tc>
          <w:tcPr>
            <w:tcW w:w="698" w:type="dxa"/>
            <w:gridSpan w:val="2"/>
            <w:tcBorders>
              <w:top w:val="single" w:sz="4" w:space="0" w:color="auto"/>
              <w:left w:val="single" w:sz="4" w:space="0" w:color="auto"/>
              <w:bottom w:val="nil"/>
              <w:right w:val="single" w:sz="4" w:space="0" w:color="auto"/>
            </w:tcBorders>
            <w:noWrap/>
            <w:hideMark/>
          </w:tcPr>
          <w:p w:rsidR="000E7C4C" w:rsidRDefault="003C3EA6">
            <w:pPr>
              <w:jc w:val="center"/>
              <w:rPr>
                <w:strike/>
                <w:sz w:val="18"/>
                <w:szCs w:val="18"/>
                <w:lang w:eastAsia="lt-LT"/>
              </w:rPr>
            </w:pPr>
            <w:r>
              <w:rPr>
                <w:sz w:val="18"/>
                <w:szCs w:val="18"/>
                <w:lang w:eastAsia="lt-LT"/>
              </w:rPr>
              <w:t>2020</w:t>
            </w:r>
          </w:p>
        </w:tc>
        <w:tc>
          <w:tcPr>
            <w:tcW w:w="1252" w:type="dxa"/>
            <w:tcBorders>
              <w:top w:val="single" w:sz="4" w:space="0" w:color="auto"/>
              <w:left w:val="single" w:sz="4" w:space="0" w:color="auto"/>
              <w:bottom w:val="nil"/>
              <w:right w:val="single" w:sz="4" w:space="0" w:color="auto"/>
            </w:tcBorders>
            <w:noWrap/>
            <w:hideMark/>
          </w:tcPr>
          <w:p w:rsidR="000E7C4C" w:rsidRDefault="003C3EA6">
            <w:pPr>
              <w:jc w:val="center"/>
              <w:rPr>
                <w:sz w:val="18"/>
                <w:szCs w:val="18"/>
                <w:lang w:eastAsia="lt-LT"/>
              </w:rPr>
            </w:pPr>
            <w:r>
              <w:rPr>
                <w:sz w:val="18"/>
                <w:szCs w:val="18"/>
                <w:lang w:eastAsia="lt-LT"/>
              </w:rPr>
              <w:t>-</w:t>
            </w:r>
          </w:p>
        </w:tc>
      </w:tr>
      <w:tr w:rsidR="000E7C4C">
        <w:trPr>
          <w:trHeight w:val="419"/>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2285" w:type="dxa"/>
            <w:gridSpan w:val="2"/>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3451"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2163" w:type="dxa"/>
            <w:gridSpan w:val="2"/>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2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394"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691" w:type="dxa"/>
            <w:tcBorders>
              <w:top w:val="nil"/>
              <w:left w:val="single" w:sz="4" w:space="0" w:color="auto"/>
              <w:bottom w:val="single" w:sz="4" w:space="0" w:color="auto"/>
              <w:right w:val="single" w:sz="4" w:space="0" w:color="auto"/>
            </w:tcBorders>
          </w:tcPr>
          <w:p w:rsidR="000E7C4C" w:rsidRDefault="000E7C4C">
            <w:pPr>
              <w:tabs>
                <w:tab w:val="num" w:pos="360"/>
              </w:tabs>
              <w:rPr>
                <w:sz w:val="18"/>
                <w:szCs w:val="18"/>
                <w:lang w:eastAsia="lt-LT"/>
              </w:rPr>
            </w:pPr>
          </w:p>
        </w:tc>
        <w:tc>
          <w:tcPr>
            <w:tcW w:w="1259" w:type="dxa"/>
            <w:gridSpan w:val="2"/>
            <w:tcBorders>
              <w:top w:val="nil"/>
              <w:left w:val="single" w:sz="4" w:space="0" w:color="auto"/>
              <w:bottom w:val="single" w:sz="4" w:space="0" w:color="auto"/>
              <w:right w:val="single" w:sz="4" w:space="0" w:color="auto"/>
            </w:tcBorders>
          </w:tcPr>
          <w:p w:rsidR="000E7C4C" w:rsidRDefault="000E7C4C">
            <w:pPr>
              <w:tabs>
                <w:tab w:val="num" w:pos="360"/>
              </w:tabs>
              <w:rPr>
                <w:sz w:val="18"/>
                <w:szCs w:val="18"/>
                <w:lang w:eastAsia="lt-LT"/>
              </w:rPr>
            </w:pPr>
          </w:p>
        </w:tc>
      </w:tr>
      <w:tr w:rsidR="000E7C4C">
        <w:trPr>
          <w:trHeight w:val="1397"/>
        </w:trPr>
        <w:tc>
          <w:tcPr>
            <w:tcW w:w="1373"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1.3. Sumažinti taršą nemetaniniais lakiaisiais junginiais (toliau – NMLOJ), didžiausią dėmesį skiriant taršos sumažinimui naftos perdirbimo,  naftos produktų saugojimo ir paskirstymo sektoriuje, namų ūkiuose</w:t>
            </w:r>
          </w:p>
        </w:tc>
        <w:tc>
          <w:tcPr>
            <w:tcW w:w="1016"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P17</w:t>
            </w:r>
          </w:p>
        </w:tc>
        <w:tc>
          <w:tcPr>
            <w:tcW w:w="1248"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NMLOJ išsiskyrimo vietų aptikimo ir NMLOJ išmetimo mažinimo sistemos tobulinimas</w:t>
            </w:r>
          </w:p>
        </w:tc>
        <w:tc>
          <w:tcPr>
            <w:tcW w:w="3451"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 xml:space="preserve">Finansinės paskatos (dalies išlaidų kompensavimas) naftos perdirbimo, naftos produktų saugojimo ir paskirstymo veiklą vykdantiems subjektams NMLOJ išsiskyrimo vietų nustatymo (aptikimo) ir NMLOJ išsiskyrimo mažinimo priemonių taikymui </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Ekonominė</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Geresnė pramonės procesų metu </w:t>
            </w:r>
            <w:proofErr w:type="spellStart"/>
            <w:r>
              <w:rPr>
                <w:sz w:val="18"/>
                <w:szCs w:val="18"/>
                <w:lang w:eastAsia="lt-LT"/>
              </w:rPr>
              <w:t>neorgani-zuotai</w:t>
            </w:r>
            <w:proofErr w:type="spellEnd"/>
            <w:r>
              <w:rPr>
                <w:sz w:val="18"/>
                <w:szCs w:val="18"/>
                <w:lang w:eastAsia="lt-LT"/>
              </w:rPr>
              <w:t xml:space="preserve"> išmetamų teršalų kontrolė,</w:t>
            </w:r>
          </w:p>
          <w:p w:rsidR="000E7C4C" w:rsidRDefault="003C3EA6">
            <w:pPr>
              <w:rPr>
                <w:sz w:val="18"/>
                <w:szCs w:val="18"/>
                <w:lang w:eastAsia="lt-LT"/>
              </w:rPr>
            </w:pPr>
            <w:r>
              <w:rPr>
                <w:sz w:val="18"/>
                <w:szCs w:val="18"/>
                <w:lang w:eastAsia="lt-LT"/>
              </w:rPr>
              <w:t>Taršos mažinimo technologijų diegimas</w:t>
            </w:r>
          </w:p>
        </w:tc>
        <w:tc>
          <w:tcPr>
            <w:tcW w:w="106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Pramonės procesai</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Aplinkos ministerija,</w:t>
            </w:r>
          </w:p>
          <w:p w:rsidR="000E7C4C" w:rsidRDefault="003C3EA6">
            <w:pPr>
              <w:rPr>
                <w:sz w:val="18"/>
                <w:szCs w:val="18"/>
                <w:lang w:eastAsia="lt-LT"/>
              </w:rPr>
            </w:pPr>
            <w:r>
              <w:rPr>
                <w:sz w:val="18"/>
                <w:szCs w:val="18"/>
                <w:lang w:eastAsia="lt-LT"/>
              </w:rPr>
              <w:t>Ekonomikos ir inovacijų ministerija</w:t>
            </w:r>
          </w:p>
        </w:tc>
        <w:tc>
          <w:tcPr>
            <w:tcW w:w="703"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2021</w:t>
            </w:r>
          </w:p>
        </w:tc>
        <w:tc>
          <w:tcPr>
            <w:tcW w:w="698"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2029</w:t>
            </w:r>
          </w:p>
        </w:tc>
        <w:tc>
          <w:tcPr>
            <w:tcW w:w="1252"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5.000</w:t>
            </w:r>
          </w:p>
        </w:tc>
      </w:tr>
      <w:tr w:rsidR="000E7C4C">
        <w:trPr>
          <w:trHeight w:val="900"/>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16"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color w:val="000000"/>
                <w:sz w:val="18"/>
                <w:szCs w:val="18"/>
                <w:lang w:eastAsia="lt-LT"/>
              </w:rPr>
              <w:t>P18</w:t>
            </w:r>
          </w:p>
        </w:tc>
        <w:tc>
          <w:tcPr>
            <w:tcW w:w="1248"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NMLOJ nuotėkio aptikimo ir šalinimo metodų taikymas</w:t>
            </w:r>
          </w:p>
        </w:tc>
        <w:tc>
          <w:tcPr>
            <w:tcW w:w="3451"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Nesandarių naftos perdirbimo pramonės įrangos dalių nustatymas ir šių trūkumų pašalinimas, taikant rizikos vertinimu pagrįstą NMLOJ nuotėkio aptikimo ir remonto programą</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Šaltiniais grindžiamas taršos valdymas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Geresnė pramonės procesų metu </w:t>
            </w:r>
            <w:proofErr w:type="spellStart"/>
            <w:r>
              <w:rPr>
                <w:sz w:val="18"/>
                <w:szCs w:val="18"/>
                <w:lang w:eastAsia="lt-LT"/>
              </w:rPr>
              <w:t>neorgani-zuotai</w:t>
            </w:r>
            <w:proofErr w:type="spellEnd"/>
            <w:r>
              <w:rPr>
                <w:sz w:val="18"/>
                <w:szCs w:val="18"/>
                <w:lang w:eastAsia="lt-LT"/>
              </w:rPr>
              <w:t xml:space="preserve"> išmetamų teršalų kontrolė,</w:t>
            </w:r>
          </w:p>
          <w:p w:rsidR="000E7C4C" w:rsidRDefault="003C3EA6">
            <w:pPr>
              <w:rPr>
                <w:sz w:val="18"/>
                <w:szCs w:val="18"/>
                <w:lang w:eastAsia="lt-LT"/>
              </w:rPr>
            </w:pPr>
            <w:r>
              <w:rPr>
                <w:sz w:val="18"/>
                <w:szCs w:val="18"/>
                <w:lang w:eastAsia="lt-LT"/>
              </w:rPr>
              <w:t>Taršos mažinimo technologijų diegimas</w:t>
            </w:r>
          </w:p>
        </w:tc>
        <w:tc>
          <w:tcPr>
            <w:tcW w:w="106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Pramonės procesai</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Ūkio subjekto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Ūkio subjektai</w:t>
            </w:r>
          </w:p>
        </w:tc>
        <w:tc>
          <w:tcPr>
            <w:tcW w:w="703"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2019</w:t>
            </w:r>
          </w:p>
        </w:tc>
        <w:tc>
          <w:tcPr>
            <w:tcW w:w="698"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2030</w:t>
            </w:r>
          </w:p>
        </w:tc>
        <w:tc>
          <w:tcPr>
            <w:tcW w:w="1252"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w:t>
            </w:r>
          </w:p>
        </w:tc>
      </w:tr>
      <w:tr w:rsidR="000E7C4C">
        <w:trPr>
          <w:trHeight w:val="1116"/>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16"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P19</w:t>
            </w:r>
          </w:p>
        </w:tc>
        <w:tc>
          <w:tcPr>
            <w:tcW w:w="1248" w:type="dxa"/>
            <w:gridSpan w:val="2"/>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rFonts w:ascii="Calibri" w:hAnsi="Calibri"/>
                <w:sz w:val="18"/>
                <w:szCs w:val="18"/>
              </w:rPr>
            </w:pPr>
            <w:r>
              <w:rPr>
                <w:sz w:val="18"/>
                <w:szCs w:val="18"/>
                <w:lang w:eastAsia="lt-LT"/>
              </w:rPr>
              <w:t xml:space="preserve">Visuomenės švietimas apie tirpiklių vartojimą namų ūkiuose </w:t>
            </w:r>
          </w:p>
        </w:tc>
        <w:tc>
          <w:tcPr>
            <w:tcW w:w="3451"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Visuomenės švietimo kampanija (socialinė reklama) siekiant mažinti tirpiklių vartojimą namų ūkiuose</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proofErr w:type="spellStart"/>
            <w:r>
              <w:rPr>
                <w:sz w:val="18"/>
                <w:szCs w:val="18"/>
                <w:lang w:eastAsia="lt-LT"/>
              </w:rPr>
              <w:t>Informavi-mo</w:t>
            </w:r>
            <w:proofErr w:type="spellEnd"/>
            <w:r>
              <w:rPr>
                <w:sz w:val="18"/>
                <w:szCs w:val="18"/>
                <w:lang w:eastAsia="lt-LT"/>
              </w:rPr>
              <w:t>, švietimo</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Sąmoningesnis vartotojų elgesys,</w:t>
            </w:r>
          </w:p>
          <w:p w:rsidR="000E7C4C" w:rsidRDefault="003C3EA6">
            <w:pPr>
              <w:rPr>
                <w:sz w:val="18"/>
                <w:szCs w:val="18"/>
                <w:lang w:eastAsia="lt-LT"/>
              </w:rPr>
            </w:pPr>
            <w:r>
              <w:rPr>
                <w:sz w:val="18"/>
                <w:szCs w:val="18"/>
                <w:lang w:eastAsia="lt-LT"/>
              </w:rPr>
              <w:t>Paklausos valdymas/ mažinimas</w:t>
            </w:r>
          </w:p>
        </w:tc>
        <w:tc>
          <w:tcPr>
            <w:tcW w:w="106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Namų ūkis</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Aplinkos ministerija</w:t>
            </w:r>
          </w:p>
        </w:tc>
        <w:tc>
          <w:tcPr>
            <w:tcW w:w="703"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2020</w:t>
            </w:r>
          </w:p>
        </w:tc>
        <w:tc>
          <w:tcPr>
            <w:tcW w:w="698"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2020</w:t>
            </w:r>
          </w:p>
        </w:tc>
        <w:tc>
          <w:tcPr>
            <w:tcW w:w="1252"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w:t>
            </w:r>
          </w:p>
        </w:tc>
      </w:tr>
      <w:tr w:rsidR="000E7C4C">
        <w:trPr>
          <w:trHeight w:val="421"/>
        </w:trPr>
        <w:tc>
          <w:tcPr>
            <w:tcW w:w="1373"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1.4. Sumažinti taršą amoniaku (toliau – NH</w:t>
            </w:r>
            <w:r>
              <w:rPr>
                <w:sz w:val="18"/>
                <w:szCs w:val="18"/>
                <w:vertAlign w:val="subscript"/>
                <w:lang w:eastAsia="lt-LT"/>
              </w:rPr>
              <w:t>3</w:t>
            </w:r>
            <w:r>
              <w:rPr>
                <w:sz w:val="18"/>
                <w:szCs w:val="18"/>
                <w:lang w:eastAsia="lt-LT"/>
              </w:rPr>
              <w:t>), didžiausią dėmesį skiriant  taršos sumažinimui žemės ūkio sektoriuje</w:t>
            </w:r>
          </w:p>
        </w:tc>
        <w:tc>
          <w:tcPr>
            <w:tcW w:w="1016"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P20</w:t>
            </w:r>
          </w:p>
        </w:tc>
        <w:tc>
          <w:tcPr>
            <w:tcW w:w="1248"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Gerosios žemės ūkio praktikos kodekso parengimas (atnaujini-</w:t>
            </w:r>
            <w:proofErr w:type="spellStart"/>
            <w:r>
              <w:rPr>
                <w:sz w:val="18"/>
                <w:szCs w:val="18"/>
                <w:lang w:eastAsia="lt-LT"/>
              </w:rPr>
              <w:t>mas</w:t>
            </w:r>
            <w:proofErr w:type="spellEnd"/>
            <w:r>
              <w:rPr>
                <w:sz w:val="18"/>
                <w:szCs w:val="18"/>
                <w:lang w:eastAsia="lt-LT"/>
              </w:rPr>
              <w:t>)</w:t>
            </w:r>
          </w:p>
        </w:tc>
        <w:tc>
          <w:tcPr>
            <w:tcW w:w="3451"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both"/>
              <w:rPr>
                <w:strike/>
                <w:sz w:val="18"/>
                <w:szCs w:val="18"/>
                <w:lang w:eastAsia="lt-LT"/>
              </w:rPr>
            </w:pPr>
            <w:r>
              <w:rPr>
                <w:sz w:val="18"/>
                <w:szCs w:val="18"/>
                <w:lang w:eastAsia="lt-LT"/>
              </w:rPr>
              <w:t xml:space="preserve">Atnaujinto gerosios žemės ūkio praktikos kodekso (apimančio neorganinių trąšų pakeitimą organinėmis ir derliaus liekanų valdymą) parengimas ir taikymas sudarytų sąlygas mažinti neigiamą žemės ūkio poveikį dirvožemiui, vandens telkinių būklei, aplinkos orui ir klimatui </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Švietimo </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Žemės ūkio veiklos optimizavimas </w:t>
            </w:r>
          </w:p>
        </w:tc>
        <w:tc>
          <w:tcPr>
            <w:tcW w:w="106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Žemės ūkis</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p>
        </w:tc>
        <w:tc>
          <w:tcPr>
            <w:tcW w:w="1394" w:type="dxa"/>
            <w:tcBorders>
              <w:top w:val="single" w:sz="4" w:space="0" w:color="auto"/>
              <w:left w:val="single" w:sz="4" w:space="0" w:color="auto"/>
              <w:bottom w:val="single" w:sz="4" w:space="0" w:color="auto"/>
              <w:right w:val="single" w:sz="4" w:space="0" w:color="auto"/>
            </w:tcBorders>
            <w:noWrap/>
            <w:hideMark/>
          </w:tcPr>
          <w:p w:rsidR="000E7C4C" w:rsidRDefault="003C3EA6">
            <w:pPr>
              <w:rPr>
                <w:sz w:val="18"/>
                <w:szCs w:val="18"/>
                <w:lang w:eastAsia="lt-LT"/>
              </w:rPr>
            </w:pPr>
            <w:r>
              <w:rPr>
                <w:sz w:val="18"/>
                <w:szCs w:val="18"/>
                <w:lang w:eastAsia="lt-LT"/>
              </w:rPr>
              <w:t>Lietuvos Respublikos žemės ūkio ministerija,</w:t>
            </w:r>
          </w:p>
          <w:p w:rsidR="000E7C4C" w:rsidRDefault="003C3EA6">
            <w:pPr>
              <w:rPr>
                <w:sz w:val="18"/>
                <w:szCs w:val="18"/>
                <w:lang w:eastAsia="lt-LT"/>
              </w:rPr>
            </w:pPr>
            <w:r>
              <w:rPr>
                <w:sz w:val="18"/>
                <w:szCs w:val="18"/>
                <w:lang w:eastAsia="lt-LT"/>
              </w:rPr>
              <w:t>Aplinkos ministerija</w:t>
            </w:r>
          </w:p>
        </w:tc>
        <w:tc>
          <w:tcPr>
            <w:tcW w:w="703"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2019</w:t>
            </w:r>
          </w:p>
        </w:tc>
        <w:tc>
          <w:tcPr>
            <w:tcW w:w="698"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2019</w:t>
            </w:r>
          </w:p>
        </w:tc>
        <w:tc>
          <w:tcPr>
            <w:tcW w:w="1252"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w:t>
            </w:r>
          </w:p>
        </w:tc>
      </w:tr>
      <w:tr w:rsidR="000E7C4C">
        <w:trPr>
          <w:trHeight w:val="2113"/>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16"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P21</w:t>
            </w:r>
          </w:p>
        </w:tc>
        <w:tc>
          <w:tcPr>
            <w:tcW w:w="1248"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Neorganinių trąšų naudojimo mažinimo ir gerosios žemės ūkio praktikos kodekso įgyvendinimo skatinimas</w:t>
            </w:r>
          </w:p>
        </w:tc>
        <w:tc>
          <w:tcPr>
            <w:tcW w:w="3451"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Finansinės paskatos neorganinių trąšų naudojimo pakeitimui organinėmis trąšomis, organinių trąšų naudojimo technologijoms atnaujinti, gerosios žemės ūkio praktikos kodekso priemonėms, susijusioms su oro taršos mažinimu, įgyvendinti</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Ekonominė</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proofErr w:type="spellStart"/>
            <w:r>
              <w:rPr>
                <w:sz w:val="18"/>
                <w:szCs w:val="18"/>
                <w:lang w:eastAsia="lt-LT"/>
              </w:rPr>
              <w:t>Mažataršis</w:t>
            </w:r>
            <w:proofErr w:type="spellEnd"/>
            <w:r>
              <w:rPr>
                <w:sz w:val="18"/>
                <w:szCs w:val="18"/>
                <w:lang w:eastAsia="lt-LT"/>
              </w:rPr>
              <w:t xml:space="preserve"> trąšų naudojimas, Patobulintas </w:t>
            </w:r>
            <w:proofErr w:type="spellStart"/>
            <w:r>
              <w:rPr>
                <w:sz w:val="18"/>
                <w:szCs w:val="18"/>
                <w:lang w:eastAsia="lt-LT"/>
              </w:rPr>
              <w:t>gyvulinin-kystės</w:t>
            </w:r>
            <w:proofErr w:type="spellEnd"/>
            <w:r>
              <w:rPr>
                <w:sz w:val="18"/>
                <w:szCs w:val="18"/>
                <w:lang w:eastAsia="lt-LT"/>
              </w:rPr>
              <w:t xml:space="preserve"> valdymas </w:t>
            </w:r>
          </w:p>
        </w:tc>
        <w:tc>
          <w:tcPr>
            <w:tcW w:w="106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Žemės ūkis</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trike/>
                <w:sz w:val="18"/>
                <w:szCs w:val="18"/>
                <w:lang w:eastAsia="lt-LT"/>
              </w:rPr>
            </w:pPr>
            <w:r>
              <w:rPr>
                <w:sz w:val="18"/>
                <w:szCs w:val="18"/>
                <w:lang w:eastAsia="lt-LT"/>
              </w:rPr>
              <w:t>Žemės ūkio ministerija</w:t>
            </w:r>
          </w:p>
        </w:tc>
        <w:tc>
          <w:tcPr>
            <w:tcW w:w="703"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2021</w:t>
            </w:r>
          </w:p>
        </w:tc>
        <w:tc>
          <w:tcPr>
            <w:tcW w:w="698"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2029</w:t>
            </w:r>
          </w:p>
        </w:tc>
        <w:tc>
          <w:tcPr>
            <w:tcW w:w="1252"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5.000</w:t>
            </w:r>
          </w:p>
        </w:tc>
      </w:tr>
      <w:tr w:rsidR="000E7C4C">
        <w:trPr>
          <w:trHeight w:val="1142"/>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16" w:type="dxa"/>
            <w:tcBorders>
              <w:top w:val="single" w:sz="4" w:space="0" w:color="auto"/>
              <w:left w:val="single" w:sz="4" w:space="0" w:color="auto"/>
              <w:bottom w:val="single" w:sz="4" w:space="0" w:color="auto"/>
              <w:right w:val="single" w:sz="4" w:space="0" w:color="auto"/>
            </w:tcBorders>
          </w:tcPr>
          <w:p w:rsidR="000E7C4C" w:rsidRDefault="003C3EA6">
            <w:pPr>
              <w:jc w:val="center"/>
              <w:rPr>
                <w:color w:val="000000"/>
                <w:sz w:val="18"/>
                <w:szCs w:val="18"/>
                <w:lang w:eastAsia="lt-LT"/>
              </w:rPr>
            </w:pPr>
            <w:r>
              <w:rPr>
                <w:color w:val="000000"/>
                <w:sz w:val="18"/>
                <w:szCs w:val="18"/>
                <w:lang w:eastAsia="lt-LT"/>
              </w:rPr>
              <w:t>P22</w:t>
            </w:r>
          </w:p>
          <w:p w:rsidR="000E7C4C" w:rsidRDefault="000E7C4C">
            <w:pPr>
              <w:jc w:val="center"/>
              <w:rPr>
                <w:sz w:val="18"/>
                <w:szCs w:val="18"/>
                <w:lang w:eastAsia="lt-LT"/>
              </w:rPr>
            </w:pPr>
          </w:p>
        </w:tc>
        <w:tc>
          <w:tcPr>
            <w:tcW w:w="1248"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Mėšlo ir srutų laikymo ir tvarkymo reikalavimų  peržiūra</w:t>
            </w:r>
          </w:p>
        </w:tc>
        <w:tc>
          <w:tcPr>
            <w:tcW w:w="3451"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 xml:space="preserve">Pakeisti Mėšlo ir srutų tvarkymo aplinkosaugos reikalavimus,  susijusius su mėšlo ir srutų laikymu ir tvarkymu, išskyrus jų laikymą ir tvarkymą mažuose ir labai mažuose ūkiuose </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Šaltiniais grindžiamas taršos valdymas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Patobulinta mėšlo ir srutų valdymo sistema</w:t>
            </w:r>
          </w:p>
        </w:tc>
        <w:tc>
          <w:tcPr>
            <w:tcW w:w="106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Žemės ūkio</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Aplinkos ministerija,</w:t>
            </w:r>
          </w:p>
          <w:p w:rsidR="000E7C4C" w:rsidRDefault="003C3EA6">
            <w:pPr>
              <w:rPr>
                <w:sz w:val="18"/>
                <w:szCs w:val="18"/>
                <w:lang w:eastAsia="lt-LT"/>
              </w:rPr>
            </w:pPr>
            <w:r>
              <w:rPr>
                <w:sz w:val="18"/>
                <w:szCs w:val="18"/>
                <w:lang w:eastAsia="lt-LT"/>
              </w:rPr>
              <w:t>Žemės ūkio ministerija</w:t>
            </w:r>
          </w:p>
        </w:tc>
        <w:tc>
          <w:tcPr>
            <w:tcW w:w="703"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2021</w:t>
            </w:r>
          </w:p>
        </w:tc>
        <w:tc>
          <w:tcPr>
            <w:tcW w:w="698"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2023</w:t>
            </w:r>
          </w:p>
        </w:tc>
        <w:tc>
          <w:tcPr>
            <w:tcW w:w="1252"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w:t>
            </w:r>
          </w:p>
        </w:tc>
      </w:tr>
      <w:tr w:rsidR="000E7C4C">
        <w:trPr>
          <w:trHeight w:val="1136"/>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16"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P23</w:t>
            </w:r>
          </w:p>
        </w:tc>
        <w:tc>
          <w:tcPr>
            <w:tcW w:w="1248"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rFonts w:eastAsia="Calibri"/>
                <w:bCs/>
                <w:sz w:val="18"/>
                <w:szCs w:val="18"/>
                <w:lang w:eastAsia="lt-LT"/>
              </w:rPr>
              <w:t xml:space="preserve">Ūkinių gyvūnų laikymo vietų projektavimo techninių ir technologinių </w:t>
            </w:r>
            <w:r>
              <w:rPr>
                <w:rFonts w:eastAsia="Calibri"/>
                <w:bCs/>
                <w:color w:val="000000"/>
                <w:sz w:val="18"/>
                <w:szCs w:val="18"/>
                <w:lang w:eastAsia="lt-LT"/>
              </w:rPr>
              <w:t>sprendimų peržiūra ir atnaujinimas</w:t>
            </w:r>
          </w:p>
        </w:tc>
        <w:tc>
          <w:tcPr>
            <w:tcW w:w="3451"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both"/>
              <w:rPr>
                <w:rFonts w:eastAsia="Calibri"/>
                <w:bCs/>
                <w:sz w:val="18"/>
                <w:szCs w:val="18"/>
                <w:lang w:eastAsia="lt-LT"/>
              </w:rPr>
            </w:pPr>
            <w:r>
              <w:rPr>
                <w:rFonts w:eastAsia="Calibri"/>
                <w:bCs/>
                <w:color w:val="000000"/>
                <w:sz w:val="18"/>
                <w:szCs w:val="18"/>
                <w:lang w:eastAsia="lt-LT"/>
              </w:rPr>
              <w:t>Atnaujinti kiaulidžių</w:t>
            </w:r>
            <w:r>
              <w:rPr>
                <w:rFonts w:eastAsia="Calibri"/>
                <w:bCs/>
                <w:sz w:val="18"/>
                <w:szCs w:val="18"/>
                <w:lang w:eastAsia="lt-LT"/>
              </w:rPr>
              <w:t xml:space="preserve">, galvijų pastatų, avininkystės ūkių, paukštininkystės ūkių, kailinės žvėrininkystės ir triušininkystės ūkių projektavimo taisykles, papildant jas galimais naujais techniniais ir (ar) technologiniais sprendimais teršalų išmetimui į aplinkos orą valdyti. </w:t>
            </w:r>
          </w:p>
          <w:p w:rsidR="000E7C4C" w:rsidRDefault="003C3EA6">
            <w:pPr>
              <w:jc w:val="both"/>
              <w:rPr>
                <w:sz w:val="18"/>
                <w:szCs w:val="18"/>
                <w:lang w:eastAsia="lt-LT"/>
              </w:rPr>
            </w:pPr>
            <w:r>
              <w:rPr>
                <w:rFonts w:eastAsia="Calibri"/>
                <w:bCs/>
                <w:sz w:val="18"/>
                <w:szCs w:val="18"/>
                <w:lang w:eastAsia="lt-LT"/>
              </w:rPr>
              <w:t>Tokie reikalavimai neturi būti taikomi mažiems ir labai mažiems ūkiams.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Oro taršos iš ūkinės veiklos taršos šaltinių </w:t>
            </w:r>
            <w:proofErr w:type="spellStart"/>
            <w:r>
              <w:rPr>
                <w:sz w:val="18"/>
                <w:szCs w:val="18"/>
                <w:lang w:eastAsia="lt-LT"/>
              </w:rPr>
              <w:t>reguliavi-mas</w:t>
            </w:r>
            <w:proofErr w:type="spellEnd"/>
            <w:r>
              <w:rPr>
                <w:sz w:val="18"/>
                <w:szCs w:val="18"/>
                <w:lang w:eastAsia="lt-LT"/>
              </w:rPr>
              <w:t xml:space="preserve"> ir mažinimas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Oro taršos mažinimo technologijų diegimas</w:t>
            </w:r>
          </w:p>
        </w:tc>
        <w:tc>
          <w:tcPr>
            <w:tcW w:w="106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Žemės ūkis (gyvulininkystės sektorius)</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Žemės ūkio ministerija,</w:t>
            </w:r>
            <w:r>
              <w:rPr>
                <w:sz w:val="18"/>
                <w:szCs w:val="18"/>
                <w:lang w:eastAsia="lt-LT"/>
              </w:rPr>
              <w:br/>
              <w:t>Aplinkos ministerija</w:t>
            </w:r>
          </w:p>
        </w:tc>
        <w:tc>
          <w:tcPr>
            <w:tcW w:w="703"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2020</w:t>
            </w:r>
          </w:p>
        </w:tc>
        <w:tc>
          <w:tcPr>
            <w:tcW w:w="698"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2022</w:t>
            </w:r>
          </w:p>
        </w:tc>
        <w:tc>
          <w:tcPr>
            <w:tcW w:w="1252"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10</w:t>
            </w:r>
          </w:p>
        </w:tc>
      </w:tr>
      <w:tr w:rsidR="000E7C4C">
        <w:trPr>
          <w:trHeight w:val="699"/>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16"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18"/>
                <w:szCs w:val="18"/>
                <w:lang w:eastAsia="lt-LT"/>
              </w:rPr>
            </w:pPr>
            <w:r>
              <w:rPr>
                <w:color w:val="000000"/>
                <w:sz w:val="18"/>
                <w:szCs w:val="18"/>
                <w:lang w:eastAsia="lt-LT"/>
              </w:rPr>
              <w:t>P24</w:t>
            </w:r>
          </w:p>
        </w:tc>
        <w:tc>
          <w:tcPr>
            <w:tcW w:w="1248"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rFonts w:eastAsia="Calibri"/>
                <w:bCs/>
                <w:sz w:val="18"/>
                <w:szCs w:val="18"/>
                <w:lang w:eastAsia="lt-LT"/>
              </w:rPr>
              <w:t>Ūkinių gyvūnų laikymo vietų eksploatavimo bendrųjų taisyklių nustatymas</w:t>
            </w:r>
          </w:p>
        </w:tc>
        <w:tc>
          <w:tcPr>
            <w:tcW w:w="3451"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both"/>
              <w:rPr>
                <w:rFonts w:eastAsia="Calibri"/>
                <w:bCs/>
                <w:sz w:val="18"/>
                <w:szCs w:val="18"/>
                <w:lang w:eastAsia="lt-LT"/>
              </w:rPr>
            </w:pPr>
            <w:r>
              <w:rPr>
                <w:rFonts w:eastAsia="Calibri"/>
                <w:bCs/>
                <w:sz w:val="18"/>
                <w:szCs w:val="18"/>
                <w:lang w:eastAsia="lt-LT"/>
              </w:rPr>
              <w:t>Nustatyti bendruosius privalomus techninius ir (ar) technologinius eksploatavimo reikalavimus kiaulių, galvijų, paukščių ir kitų gyvūnų laikymo pastatams kontroliuojant ir mažinant teršalų išmetimą į aplinkos orą.</w:t>
            </w:r>
          </w:p>
          <w:p w:rsidR="000E7C4C" w:rsidRDefault="003C3EA6">
            <w:pPr>
              <w:jc w:val="both"/>
              <w:rPr>
                <w:sz w:val="18"/>
                <w:szCs w:val="18"/>
                <w:lang w:eastAsia="lt-LT"/>
              </w:rPr>
            </w:pPr>
            <w:r>
              <w:rPr>
                <w:rFonts w:eastAsia="Calibri"/>
                <w:bCs/>
                <w:sz w:val="18"/>
                <w:szCs w:val="18"/>
                <w:lang w:eastAsia="lt-LT"/>
              </w:rPr>
              <w:t>Tokie reikalavimai neturi būti taikomi mažiems ir labai mažiems ūkiams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Oro taršos iš ūkinės veiklos taršos šaltinių </w:t>
            </w:r>
            <w:proofErr w:type="spellStart"/>
            <w:r>
              <w:rPr>
                <w:sz w:val="18"/>
                <w:szCs w:val="18"/>
                <w:lang w:eastAsia="lt-LT"/>
              </w:rPr>
              <w:t>reguliavi-mas</w:t>
            </w:r>
            <w:proofErr w:type="spellEnd"/>
            <w:r>
              <w:rPr>
                <w:sz w:val="18"/>
                <w:szCs w:val="18"/>
                <w:lang w:eastAsia="lt-LT"/>
              </w:rPr>
              <w:t xml:space="preserve"> ir mažinimas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Oro taršos mažinimo technologijų diegimas</w:t>
            </w:r>
          </w:p>
        </w:tc>
        <w:tc>
          <w:tcPr>
            <w:tcW w:w="1069"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bCs/>
                <w:color w:val="000000"/>
                <w:sz w:val="18"/>
                <w:szCs w:val="18"/>
                <w:lang w:val="en-US" w:eastAsia="lt-LT"/>
              </w:rPr>
            </w:pPr>
            <w:r>
              <w:rPr>
                <w:sz w:val="18"/>
                <w:szCs w:val="18"/>
                <w:lang w:eastAsia="lt-LT"/>
              </w:rPr>
              <w:t>Žemės ūkis (gyvulininkystės sektorius)</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tabs>
                <w:tab w:val="num" w:pos="360"/>
              </w:tabs>
              <w:rPr>
                <w:bCs/>
                <w:color w:val="000000"/>
                <w:sz w:val="18"/>
                <w:szCs w:val="18"/>
                <w:lang w:val="en-US" w:eastAsia="lt-LT"/>
              </w:rPr>
            </w:pPr>
            <w:r>
              <w:rPr>
                <w:sz w:val="18"/>
                <w:szCs w:val="18"/>
                <w:lang w:eastAsia="lt-LT"/>
              </w:rPr>
              <w:t>Valstybės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bCs/>
                <w:color w:val="000000"/>
                <w:sz w:val="18"/>
                <w:szCs w:val="18"/>
                <w:lang w:val="en-US" w:eastAsia="lt-LT"/>
              </w:rPr>
            </w:pPr>
            <w:r>
              <w:rPr>
                <w:sz w:val="18"/>
                <w:szCs w:val="18"/>
                <w:lang w:eastAsia="lt-LT"/>
              </w:rPr>
              <w:t>Žemės ūkio ministerija,</w:t>
            </w:r>
            <w:r>
              <w:rPr>
                <w:sz w:val="18"/>
                <w:szCs w:val="18"/>
                <w:lang w:eastAsia="lt-LT"/>
              </w:rPr>
              <w:br/>
              <w:t>Aplinkos ministerija</w:t>
            </w:r>
          </w:p>
        </w:tc>
        <w:tc>
          <w:tcPr>
            <w:tcW w:w="703" w:type="dxa"/>
            <w:tcBorders>
              <w:top w:val="single" w:sz="4" w:space="0" w:color="auto"/>
              <w:left w:val="single" w:sz="4" w:space="0" w:color="auto"/>
              <w:bottom w:val="single" w:sz="4" w:space="0" w:color="auto"/>
              <w:right w:val="single" w:sz="4" w:space="0" w:color="auto"/>
            </w:tcBorders>
            <w:noWrap/>
            <w:hideMark/>
          </w:tcPr>
          <w:p w:rsidR="000E7C4C" w:rsidRDefault="003C3EA6">
            <w:pPr>
              <w:tabs>
                <w:tab w:val="num" w:pos="360"/>
              </w:tabs>
              <w:jc w:val="center"/>
              <w:rPr>
                <w:bCs/>
                <w:color w:val="000000"/>
                <w:sz w:val="18"/>
                <w:szCs w:val="18"/>
                <w:lang w:val="en-US" w:eastAsia="lt-LT"/>
              </w:rPr>
            </w:pPr>
            <w:r>
              <w:rPr>
                <w:bCs/>
                <w:color w:val="000000"/>
                <w:sz w:val="18"/>
                <w:szCs w:val="18"/>
                <w:lang w:val="en-US" w:eastAsia="lt-LT"/>
              </w:rPr>
              <w:t>2023</w:t>
            </w:r>
          </w:p>
        </w:tc>
        <w:tc>
          <w:tcPr>
            <w:tcW w:w="698"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tabs>
                <w:tab w:val="num" w:pos="360"/>
              </w:tabs>
              <w:jc w:val="center"/>
              <w:rPr>
                <w:bCs/>
                <w:color w:val="000000"/>
                <w:sz w:val="18"/>
                <w:szCs w:val="18"/>
                <w:lang w:val="en-US" w:eastAsia="lt-LT"/>
              </w:rPr>
            </w:pPr>
            <w:r>
              <w:rPr>
                <w:bCs/>
                <w:color w:val="000000"/>
                <w:sz w:val="18"/>
                <w:szCs w:val="18"/>
                <w:lang w:val="en-US" w:eastAsia="lt-LT"/>
              </w:rPr>
              <w:t>2024</w:t>
            </w:r>
          </w:p>
        </w:tc>
        <w:tc>
          <w:tcPr>
            <w:tcW w:w="1252" w:type="dxa"/>
            <w:tcBorders>
              <w:top w:val="single" w:sz="4" w:space="0" w:color="auto"/>
              <w:left w:val="single" w:sz="4" w:space="0" w:color="auto"/>
              <w:bottom w:val="single" w:sz="4" w:space="0" w:color="auto"/>
              <w:right w:val="single" w:sz="4" w:space="0" w:color="auto"/>
            </w:tcBorders>
            <w:noWrap/>
            <w:hideMark/>
          </w:tcPr>
          <w:p w:rsidR="000E7C4C" w:rsidRDefault="003C3EA6">
            <w:pPr>
              <w:tabs>
                <w:tab w:val="num" w:pos="360"/>
              </w:tabs>
              <w:jc w:val="center"/>
              <w:rPr>
                <w:bCs/>
                <w:color w:val="000000"/>
                <w:sz w:val="18"/>
                <w:szCs w:val="18"/>
                <w:lang w:val="en-US" w:eastAsia="lt-LT"/>
              </w:rPr>
            </w:pPr>
            <w:r>
              <w:rPr>
                <w:bCs/>
                <w:color w:val="000000"/>
                <w:sz w:val="18"/>
                <w:szCs w:val="18"/>
                <w:lang w:val="en-US" w:eastAsia="lt-LT"/>
              </w:rPr>
              <w:t>20</w:t>
            </w:r>
          </w:p>
        </w:tc>
      </w:tr>
      <w:tr w:rsidR="000E7C4C">
        <w:trPr>
          <w:trHeight w:val="1136"/>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16"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P25</w:t>
            </w:r>
          </w:p>
        </w:tc>
        <w:tc>
          <w:tcPr>
            <w:tcW w:w="1248"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Amonio karbonato trąšų naudojimo teisinis reglamentavimas </w:t>
            </w:r>
          </w:p>
        </w:tc>
        <w:tc>
          <w:tcPr>
            <w:tcW w:w="3451"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Lietuvos Respublikos tręšiamųjų produktų įstatymo</w:t>
            </w:r>
            <w:r>
              <w:rPr>
                <w:sz w:val="18"/>
                <w:szCs w:val="18"/>
                <w:vertAlign w:val="superscript"/>
                <w:lang w:eastAsia="lt-LT"/>
              </w:rPr>
              <w:t>(3)</w:t>
            </w:r>
            <w:r>
              <w:rPr>
                <w:sz w:val="18"/>
                <w:szCs w:val="18"/>
                <w:lang w:eastAsia="lt-LT"/>
              </w:rPr>
              <w:t xml:space="preserve"> </w:t>
            </w:r>
            <w:r>
              <w:rPr>
                <w:sz w:val="18"/>
                <w:szCs w:val="18"/>
                <w:vertAlign w:val="superscript"/>
                <w:lang w:eastAsia="lt-LT"/>
              </w:rPr>
              <w:t xml:space="preserve"> </w:t>
            </w:r>
            <w:r>
              <w:rPr>
                <w:sz w:val="18"/>
                <w:szCs w:val="18"/>
                <w:lang w:eastAsia="lt-LT"/>
              </w:rPr>
              <w:t>pagrindu parengti Tręšiamųjų produktų naudojimo reikalavimus, kuriuose būtų įtvirtintas draudimas naudoti amonio karbonato trąšas.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proofErr w:type="spellStart"/>
            <w:r>
              <w:rPr>
                <w:sz w:val="18"/>
                <w:szCs w:val="18"/>
                <w:lang w:eastAsia="lt-LT"/>
              </w:rPr>
              <w:t>Reguliavi-mo</w:t>
            </w:r>
            <w:proofErr w:type="spellEnd"/>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proofErr w:type="spellStart"/>
            <w:r>
              <w:rPr>
                <w:sz w:val="18"/>
                <w:szCs w:val="18"/>
                <w:lang w:eastAsia="lt-LT"/>
              </w:rPr>
              <w:t>Mažataršių</w:t>
            </w:r>
            <w:proofErr w:type="spellEnd"/>
            <w:r>
              <w:rPr>
                <w:sz w:val="18"/>
                <w:szCs w:val="18"/>
                <w:lang w:eastAsia="lt-LT"/>
              </w:rPr>
              <w:t xml:space="preserve"> trąšų naudojimas</w:t>
            </w:r>
          </w:p>
        </w:tc>
        <w:tc>
          <w:tcPr>
            <w:tcW w:w="106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Žemės ūkis</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Žemės ūkio ministerija</w:t>
            </w:r>
          </w:p>
        </w:tc>
        <w:tc>
          <w:tcPr>
            <w:tcW w:w="703"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2019</w:t>
            </w:r>
          </w:p>
        </w:tc>
        <w:tc>
          <w:tcPr>
            <w:tcW w:w="698" w:type="dxa"/>
            <w:gridSpan w:val="2"/>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2019</w:t>
            </w:r>
          </w:p>
        </w:tc>
        <w:tc>
          <w:tcPr>
            <w:tcW w:w="1252" w:type="dxa"/>
            <w:tcBorders>
              <w:top w:val="single" w:sz="4" w:space="0" w:color="auto"/>
              <w:left w:val="single" w:sz="4" w:space="0" w:color="auto"/>
              <w:bottom w:val="single" w:sz="4" w:space="0" w:color="auto"/>
              <w:right w:val="single" w:sz="4" w:space="0" w:color="auto"/>
            </w:tcBorders>
            <w:noWrap/>
            <w:hideMark/>
          </w:tcPr>
          <w:p w:rsidR="000E7C4C" w:rsidRDefault="003C3EA6">
            <w:pPr>
              <w:jc w:val="center"/>
              <w:rPr>
                <w:sz w:val="18"/>
                <w:szCs w:val="18"/>
                <w:lang w:eastAsia="lt-LT"/>
              </w:rPr>
            </w:pPr>
            <w:r>
              <w:rPr>
                <w:sz w:val="18"/>
                <w:szCs w:val="18"/>
                <w:lang w:eastAsia="lt-LT"/>
              </w:rPr>
              <w:t>-</w:t>
            </w:r>
          </w:p>
        </w:tc>
      </w:tr>
      <w:tr w:rsidR="000E7C4C">
        <w:trPr>
          <w:trHeight w:val="1845"/>
        </w:trPr>
        <w:tc>
          <w:tcPr>
            <w:tcW w:w="1373" w:type="dxa"/>
            <w:vMerge w:val="restart"/>
            <w:tcBorders>
              <w:top w:val="single" w:sz="4" w:space="0" w:color="auto"/>
              <w:left w:val="single" w:sz="4" w:space="0" w:color="auto"/>
              <w:bottom w:val="single" w:sz="4" w:space="0" w:color="auto"/>
              <w:right w:val="single" w:sz="4" w:space="0" w:color="auto"/>
            </w:tcBorders>
          </w:tcPr>
          <w:p w:rsidR="000E7C4C" w:rsidRDefault="003C3EA6">
            <w:pPr>
              <w:rPr>
                <w:sz w:val="18"/>
                <w:szCs w:val="18"/>
                <w:lang w:eastAsia="lt-LT"/>
              </w:rPr>
            </w:pPr>
            <w:r>
              <w:rPr>
                <w:sz w:val="18"/>
                <w:szCs w:val="18"/>
                <w:lang w:eastAsia="lt-LT"/>
              </w:rPr>
              <w:t>1.5. Sumažinti taršą smulkiosiomis kietosiomis dalelėmis (toliau – KD</w:t>
            </w:r>
            <w:r>
              <w:rPr>
                <w:sz w:val="18"/>
                <w:szCs w:val="18"/>
                <w:vertAlign w:val="subscript"/>
                <w:lang w:eastAsia="lt-LT"/>
              </w:rPr>
              <w:t>2,5</w:t>
            </w:r>
            <w:r>
              <w:rPr>
                <w:sz w:val="18"/>
                <w:szCs w:val="18"/>
                <w:lang w:eastAsia="lt-LT"/>
              </w:rPr>
              <w:t>), didžiausią dėmesį skiriant taršos sumažinimui iš namų ūkių</w:t>
            </w:r>
          </w:p>
          <w:p w:rsidR="000E7C4C" w:rsidRDefault="000E7C4C">
            <w:pPr>
              <w:rPr>
                <w:sz w:val="18"/>
                <w:szCs w:val="18"/>
                <w:lang w:eastAsia="lt-LT"/>
              </w:rPr>
            </w:pPr>
          </w:p>
          <w:p w:rsidR="000E7C4C" w:rsidRDefault="003C3EA6">
            <w:pPr>
              <w:rPr>
                <w:sz w:val="18"/>
                <w:szCs w:val="18"/>
                <w:lang w:eastAsia="lt-LT"/>
              </w:rPr>
            </w:pPr>
            <w:r>
              <w:rPr>
                <w:sz w:val="18"/>
                <w:szCs w:val="18"/>
                <w:lang w:eastAsia="lt-LT"/>
              </w:rPr>
              <w:t xml:space="preserve">2.1. Apriboti  taršą sunkiaisiais metalais (kadmiu (toliau – </w:t>
            </w:r>
            <w:proofErr w:type="spellStart"/>
            <w:r>
              <w:rPr>
                <w:sz w:val="18"/>
                <w:szCs w:val="18"/>
                <w:lang w:eastAsia="lt-LT"/>
              </w:rPr>
              <w:t>Cd</w:t>
            </w:r>
            <w:proofErr w:type="spellEnd"/>
            <w:r>
              <w:rPr>
                <w:sz w:val="18"/>
                <w:szCs w:val="18"/>
                <w:lang w:eastAsia="lt-LT"/>
              </w:rPr>
              <w:t xml:space="preserve">), švinu (toliau – </w:t>
            </w:r>
            <w:proofErr w:type="spellStart"/>
            <w:r>
              <w:rPr>
                <w:sz w:val="18"/>
                <w:szCs w:val="18"/>
                <w:lang w:eastAsia="lt-LT"/>
              </w:rPr>
              <w:t>Pb</w:t>
            </w:r>
            <w:proofErr w:type="spellEnd"/>
            <w:r>
              <w:rPr>
                <w:sz w:val="18"/>
                <w:szCs w:val="18"/>
                <w:lang w:eastAsia="lt-LT"/>
              </w:rPr>
              <w:t xml:space="preserve">), gyvsidabriu (toliau – </w:t>
            </w:r>
            <w:proofErr w:type="spellStart"/>
            <w:r>
              <w:rPr>
                <w:sz w:val="18"/>
                <w:szCs w:val="18"/>
                <w:lang w:eastAsia="lt-LT"/>
              </w:rPr>
              <w:t>Hg</w:t>
            </w:r>
            <w:proofErr w:type="spellEnd"/>
            <w:r>
              <w:rPr>
                <w:sz w:val="18"/>
                <w:szCs w:val="18"/>
                <w:lang w:eastAsia="lt-LT"/>
              </w:rPr>
              <w:t>)), didžiausią dėmesį skiriant taršos sumažinimui iš namų ūkių</w:t>
            </w:r>
          </w:p>
          <w:p w:rsidR="000E7C4C" w:rsidRDefault="000E7C4C">
            <w:pPr>
              <w:rPr>
                <w:sz w:val="18"/>
                <w:szCs w:val="18"/>
                <w:lang w:eastAsia="lt-LT"/>
              </w:rPr>
            </w:pPr>
          </w:p>
          <w:p w:rsidR="000E7C4C" w:rsidRDefault="003C3EA6">
            <w:pPr>
              <w:rPr>
                <w:sz w:val="18"/>
                <w:szCs w:val="18"/>
                <w:lang w:eastAsia="lt-LT"/>
              </w:rPr>
            </w:pPr>
            <w:r>
              <w:rPr>
                <w:sz w:val="18"/>
                <w:szCs w:val="18"/>
                <w:lang w:eastAsia="lt-LT"/>
              </w:rPr>
              <w:t>2.2. Apriboti  taršą patvariaisiais organiniais teršalais (</w:t>
            </w:r>
            <w:proofErr w:type="spellStart"/>
            <w:r>
              <w:rPr>
                <w:sz w:val="18"/>
                <w:szCs w:val="18"/>
                <w:lang w:eastAsia="lt-LT"/>
              </w:rPr>
              <w:t>benzo</w:t>
            </w:r>
            <w:proofErr w:type="spellEnd"/>
            <w:r>
              <w:rPr>
                <w:sz w:val="18"/>
                <w:szCs w:val="18"/>
                <w:lang w:eastAsia="lt-LT"/>
              </w:rPr>
              <w:t>(a)</w:t>
            </w:r>
            <w:proofErr w:type="spellStart"/>
            <w:r>
              <w:rPr>
                <w:sz w:val="18"/>
                <w:szCs w:val="18"/>
                <w:lang w:eastAsia="lt-LT"/>
              </w:rPr>
              <w:t>pirenu</w:t>
            </w:r>
            <w:proofErr w:type="spellEnd"/>
            <w:r>
              <w:rPr>
                <w:sz w:val="18"/>
                <w:szCs w:val="18"/>
                <w:lang w:eastAsia="lt-LT"/>
              </w:rPr>
              <w:t xml:space="preserve">, </w:t>
            </w:r>
            <w:proofErr w:type="spellStart"/>
            <w:r>
              <w:rPr>
                <w:sz w:val="18"/>
                <w:szCs w:val="18"/>
                <w:lang w:eastAsia="lt-LT"/>
              </w:rPr>
              <w:t>benzo</w:t>
            </w:r>
            <w:proofErr w:type="spellEnd"/>
            <w:r>
              <w:rPr>
                <w:sz w:val="18"/>
                <w:szCs w:val="18"/>
                <w:lang w:eastAsia="lt-LT"/>
              </w:rPr>
              <w:t>(b)</w:t>
            </w:r>
            <w:proofErr w:type="spellStart"/>
            <w:r>
              <w:rPr>
                <w:sz w:val="18"/>
                <w:szCs w:val="18"/>
                <w:lang w:eastAsia="lt-LT"/>
              </w:rPr>
              <w:t>fluorantenu</w:t>
            </w:r>
            <w:proofErr w:type="spellEnd"/>
            <w:r>
              <w:rPr>
                <w:sz w:val="18"/>
                <w:szCs w:val="18"/>
                <w:lang w:eastAsia="lt-LT"/>
              </w:rPr>
              <w:t xml:space="preserve">, </w:t>
            </w:r>
            <w:proofErr w:type="spellStart"/>
            <w:r>
              <w:rPr>
                <w:sz w:val="18"/>
                <w:szCs w:val="18"/>
                <w:lang w:eastAsia="lt-LT"/>
              </w:rPr>
              <w:t>benzo</w:t>
            </w:r>
            <w:proofErr w:type="spellEnd"/>
            <w:r>
              <w:rPr>
                <w:sz w:val="18"/>
                <w:szCs w:val="18"/>
                <w:lang w:eastAsia="lt-LT"/>
              </w:rPr>
              <w:t>(k)</w:t>
            </w:r>
            <w:proofErr w:type="spellStart"/>
            <w:r>
              <w:rPr>
                <w:sz w:val="18"/>
                <w:szCs w:val="18"/>
                <w:lang w:eastAsia="lt-LT"/>
              </w:rPr>
              <w:t>fluorantenu</w:t>
            </w:r>
            <w:proofErr w:type="spellEnd"/>
            <w:r>
              <w:rPr>
                <w:sz w:val="18"/>
                <w:szCs w:val="18"/>
                <w:lang w:eastAsia="lt-LT"/>
              </w:rPr>
              <w:t xml:space="preserve">, </w:t>
            </w:r>
            <w:proofErr w:type="spellStart"/>
            <w:r>
              <w:rPr>
                <w:sz w:val="18"/>
                <w:szCs w:val="18"/>
                <w:lang w:eastAsia="lt-LT"/>
              </w:rPr>
              <w:t>indeno</w:t>
            </w:r>
            <w:proofErr w:type="spellEnd"/>
            <w:r>
              <w:rPr>
                <w:sz w:val="18"/>
                <w:szCs w:val="18"/>
                <w:lang w:eastAsia="lt-LT"/>
              </w:rPr>
              <w:t>(1,2,3-cd)</w:t>
            </w:r>
            <w:proofErr w:type="spellStart"/>
            <w:r>
              <w:rPr>
                <w:sz w:val="18"/>
                <w:szCs w:val="18"/>
                <w:lang w:eastAsia="lt-LT"/>
              </w:rPr>
              <w:t>pirenu</w:t>
            </w:r>
            <w:proofErr w:type="spellEnd"/>
            <w:r>
              <w:rPr>
                <w:sz w:val="18"/>
                <w:szCs w:val="18"/>
                <w:lang w:eastAsia="lt-LT"/>
              </w:rPr>
              <w:t>, dioksinais/</w:t>
            </w:r>
            <w:proofErr w:type="spellStart"/>
            <w:r>
              <w:rPr>
                <w:sz w:val="18"/>
                <w:szCs w:val="18"/>
                <w:lang w:eastAsia="lt-LT"/>
              </w:rPr>
              <w:t>furanais</w:t>
            </w:r>
            <w:proofErr w:type="spellEnd"/>
            <w:r>
              <w:rPr>
                <w:sz w:val="18"/>
                <w:szCs w:val="18"/>
                <w:lang w:eastAsia="lt-LT"/>
              </w:rPr>
              <w:t xml:space="preserve"> (toliau – PCDD/F), </w:t>
            </w:r>
            <w:proofErr w:type="spellStart"/>
            <w:r>
              <w:rPr>
                <w:sz w:val="18"/>
                <w:szCs w:val="18"/>
                <w:lang w:eastAsia="lt-LT"/>
              </w:rPr>
              <w:t>heksachlorbenzenu</w:t>
            </w:r>
            <w:proofErr w:type="spellEnd"/>
            <w:r>
              <w:rPr>
                <w:sz w:val="18"/>
                <w:szCs w:val="18"/>
                <w:lang w:eastAsia="lt-LT"/>
              </w:rPr>
              <w:t>), didžiausią dėmesį skiriant taršos sumažinimui iš namų ūkių</w:t>
            </w:r>
          </w:p>
          <w:p w:rsidR="000E7C4C" w:rsidRDefault="000E7C4C">
            <w:pPr>
              <w:rPr>
                <w:sz w:val="18"/>
                <w:szCs w:val="18"/>
                <w:lang w:eastAsia="lt-LT"/>
              </w:rPr>
            </w:pPr>
          </w:p>
          <w:p w:rsidR="000E7C4C" w:rsidRDefault="003C3EA6">
            <w:pPr>
              <w:rPr>
                <w:sz w:val="18"/>
                <w:szCs w:val="18"/>
                <w:lang w:eastAsia="lt-LT"/>
              </w:rPr>
            </w:pPr>
            <w:r>
              <w:rPr>
                <w:sz w:val="18"/>
                <w:szCs w:val="18"/>
                <w:lang w:eastAsia="lt-LT"/>
              </w:rPr>
              <w:t>1.3. Sumažinti taršą NMLOJ, didžiausią dėmesį skiriant taršos sumažinimui naftos saugojimo ir transportavimo, namų ūkių sektoriuose</w:t>
            </w:r>
          </w:p>
        </w:tc>
        <w:tc>
          <w:tcPr>
            <w:tcW w:w="1016"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P26</w:t>
            </w:r>
          </w:p>
        </w:tc>
        <w:tc>
          <w:tcPr>
            <w:tcW w:w="1248"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Visuomenės informuotu-</w:t>
            </w:r>
            <w:proofErr w:type="spellStart"/>
            <w:r>
              <w:rPr>
                <w:sz w:val="18"/>
                <w:szCs w:val="18"/>
                <w:lang w:eastAsia="lt-LT"/>
              </w:rPr>
              <w:t>mo</w:t>
            </w:r>
            <w:proofErr w:type="spellEnd"/>
            <w:r>
              <w:rPr>
                <w:sz w:val="18"/>
                <w:szCs w:val="18"/>
                <w:lang w:eastAsia="lt-LT"/>
              </w:rPr>
              <w:t xml:space="preserve"> didinimas apie namų ūkių (būstų) šildymą</w:t>
            </w:r>
          </w:p>
        </w:tc>
        <w:tc>
          <w:tcPr>
            <w:tcW w:w="3451"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Informacinės kampanijos teikiant informacinę medžiagą ir ekspertų konsultacijas gyventojams susipažinti su:</w:t>
            </w:r>
          </w:p>
          <w:p w:rsidR="000E7C4C" w:rsidRDefault="003C3EA6">
            <w:pPr>
              <w:jc w:val="both"/>
              <w:rPr>
                <w:sz w:val="18"/>
                <w:szCs w:val="18"/>
                <w:lang w:eastAsia="lt-LT"/>
              </w:rPr>
            </w:pPr>
            <w:r>
              <w:rPr>
                <w:sz w:val="18"/>
                <w:szCs w:val="18"/>
                <w:lang w:eastAsia="lt-LT"/>
              </w:rPr>
              <w:t xml:space="preserve">- kietojo kuro ir atliekų deginimo poveikiu sveikatai; </w:t>
            </w:r>
          </w:p>
          <w:p w:rsidR="000E7C4C" w:rsidRDefault="003C3EA6">
            <w:pPr>
              <w:jc w:val="both"/>
              <w:rPr>
                <w:sz w:val="18"/>
                <w:szCs w:val="18"/>
                <w:lang w:eastAsia="lt-LT"/>
              </w:rPr>
            </w:pPr>
            <w:r>
              <w:rPr>
                <w:sz w:val="18"/>
                <w:szCs w:val="18"/>
                <w:lang w:eastAsia="lt-LT"/>
              </w:rPr>
              <w:t xml:space="preserve">- kietojo kuro ir atliekų deginimo poveikiu aplinkai; </w:t>
            </w:r>
          </w:p>
          <w:p w:rsidR="000E7C4C" w:rsidRDefault="003C3EA6">
            <w:pPr>
              <w:jc w:val="both"/>
              <w:rPr>
                <w:sz w:val="18"/>
                <w:szCs w:val="18"/>
                <w:lang w:eastAsia="lt-LT"/>
              </w:rPr>
            </w:pPr>
            <w:r>
              <w:rPr>
                <w:sz w:val="18"/>
                <w:szCs w:val="18"/>
                <w:lang w:eastAsia="lt-LT"/>
              </w:rPr>
              <w:t>- prievolėmis ir galimybėmis tinkamai eksploatuoti ir prižiūrėti šildymo katilus ir kaminus;</w:t>
            </w:r>
          </w:p>
          <w:p w:rsidR="000E7C4C" w:rsidRDefault="003C3EA6">
            <w:pPr>
              <w:jc w:val="both"/>
              <w:rPr>
                <w:sz w:val="18"/>
                <w:szCs w:val="18"/>
                <w:lang w:eastAsia="lt-LT"/>
              </w:rPr>
            </w:pPr>
            <w:r>
              <w:rPr>
                <w:sz w:val="18"/>
                <w:szCs w:val="18"/>
                <w:lang w:eastAsia="lt-LT"/>
              </w:rPr>
              <w:t xml:space="preserve">- galimybėmis įsirengti ekonomiškai naudingas ir </w:t>
            </w:r>
            <w:proofErr w:type="spellStart"/>
            <w:r>
              <w:rPr>
                <w:sz w:val="18"/>
                <w:szCs w:val="18"/>
                <w:lang w:eastAsia="lt-LT"/>
              </w:rPr>
              <w:t>energiškai</w:t>
            </w:r>
            <w:proofErr w:type="spellEnd"/>
            <w:r>
              <w:rPr>
                <w:sz w:val="18"/>
                <w:szCs w:val="18"/>
                <w:lang w:eastAsia="lt-LT"/>
              </w:rPr>
              <w:t xml:space="preserve"> efektyvias būsto šildymo sistemas; </w:t>
            </w:r>
          </w:p>
          <w:p w:rsidR="000E7C4C" w:rsidRDefault="003C3EA6">
            <w:pPr>
              <w:jc w:val="both"/>
              <w:rPr>
                <w:sz w:val="18"/>
                <w:szCs w:val="18"/>
                <w:lang w:eastAsia="lt-LT"/>
              </w:rPr>
            </w:pPr>
            <w:r>
              <w:rPr>
                <w:sz w:val="18"/>
                <w:szCs w:val="18"/>
                <w:lang w:eastAsia="lt-LT"/>
              </w:rPr>
              <w:t>- galimybėmis pagerinti pastato energetinį efektyvumą.</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Švietimas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Sąmoningesnis vartotojų elgesys,</w:t>
            </w:r>
          </w:p>
          <w:p w:rsidR="000E7C4C" w:rsidRDefault="003C3EA6">
            <w:pPr>
              <w:rPr>
                <w:sz w:val="18"/>
                <w:szCs w:val="18"/>
                <w:lang w:eastAsia="lt-LT"/>
              </w:rPr>
            </w:pPr>
            <w:r>
              <w:rPr>
                <w:sz w:val="18"/>
                <w:szCs w:val="18"/>
                <w:lang w:eastAsia="lt-LT"/>
              </w:rPr>
              <w:t xml:space="preserve">Perėjimas prie mažiau taršaus kuro, </w:t>
            </w:r>
          </w:p>
          <w:p w:rsidR="000E7C4C" w:rsidRDefault="003C3EA6">
            <w:pPr>
              <w:rPr>
                <w:sz w:val="18"/>
                <w:szCs w:val="18"/>
                <w:lang w:eastAsia="lt-LT"/>
              </w:rPr>
            </w:pPr>
            <w:r>
              <w:rPr>
                <w:sz w:val="18"/>
                <w:szCs w:val="18"/>
                <w:lang w:eastAsia="lt-LT"/>
              </w:rPr>
              <w:t>Įrenginių efektyvumo didinimas</w:t>
            </w:r>
          </w:p>
        </w:tc>
        <w:tc>
          <w:tcPr>
            <w:tcW w:w="106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Energijos tiekimas</w:t>
            </w:r>
          </w:p>
        </w:tc>
        <w:tc>
          <w:tcPr>
            <w:tcW w:w="979" w:type="dxa"/>
            <w:tcBorders>
              <w:top w:val="single" w:sz="4" w:space="0" w:color="auto"/>
              <w:left w:val="single" w:sz="4" w:space="0" w:color="auto"/>
              <w:bottom w:val="single" w:sz="4" w:space="0" w:color="auto"/>
              <w:right w:val="single" w:sz="4" w:space="0" w:color="auto"/>
            </w:tcBorders>
          </w:tcPr>
          <w:p w:rsidR="000E7C4C" w:rsidRDefault="003C3EA6">
            <w:pPr>
              <w:rPr>
                <w:sz w:val="18"/>
                <w:szCs w:val="18"/>
                <w:lang w:eastAsia="lt-LT"/>
              </w:rPr>
            </w:pPr>
            <w:r>
              <w:rPr>
                <w:sz w:val="18"/>
                <w:szCs w:val="18"/>
                <w:lang w:eastAsia="lt-LT"/>
              </w:rPr>
              <w:t>Valstybės lygiu</w:t>
            </w:r>
          </w:p>
          <w:p w:rsidR="000E7C4C" w:rsidRDefault="000E7C4C">
            <w:pPr>
              <w:rPr>
                <w:sz w:val="18"/>
                <w:szCs w:val="18"/>
                <w:lang w:eastAsia="lt-LT"/>
              </w:rPr>
            </w:pPr>
          </w:p>
          <w:p w:rsidR="000E7C4C" w:rsidRDefault="003C3EA6">
            <w:pPr>
              <w:rPr>
                <w:sz w:val="18"/>
                <w:szCs w:val="18"/>
                <w:lang w:eastAsia="lt-LT"/>
              </w:rPr>
            </w:pPr>
            <w:r>
              <w:rPr>
                <w:sz w:val="18"/>
                <w:szCs w:val="18"/>
                <w:lang w:eastAsia="lt-LT"/>
              </w:rPr>
              <w:t>Vietos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Lietuvos Respublikos sveikatos apsaugos ministerija,</w:t>
            </w:r>
          </w:p>
          <w:p w:rsidR="000E7C4C" w:rsidRDefault="003C3EA6">
            <w:pPr>
              <w:rPr>
                <w:sz w:val="18"/>
                <w:szCs w:val="18"/>
                <w:lang w:eastAsia="lt-LT"/>
              </w:rPr>
            </w:pPr>
            <w:r>
              <w:rPr>
                <w:sz w:val="18"/>
                <w:szCs w:val="18"/>
                <w:lang w:eastAsia="lt-LT"/>
              </w:rPr>
              <w:t>Nacionalinis visuomenės sveikatos centras prie Sveikatos apsaugos ministerijos (toliau – NVSC),</w:t>
            </w:r>
          </w:p>
          <w:p w:rsidR="000E7C4C" w:rsidRDefault="003C3EA6">
            <w:pPr>
              <w:rPr>
                <w:sz w:val="18"/>
                <w:szCs w:val="18"/>
                <w:lang w:eastAsia="lt-LT"/>
              </w:rPr>
            </w:pPr>
            <w:r>
              <w:rPr>
                <w:sz w:val="18"/>
                <w:szCs w:val="18"/>
                <w:lang w:eastAsia="lt-LT"/>
              </w:rPr>
              <w:t>kitos Sveikatos apsaugos ministerijai pavaldžios įstaigos,</w:t>
            </w:r>
          </w:p>
          <w:p w:rsidR="000E7C4C" w:rsidRDefault="003C3EA6">
            <w:pPr>
              <w:rPr>
                <w:sz w:val="18"/>
                <w:szCs w:val="18"/>
                <w:lang w:eastAsia="lt-LT"/>
              </w:rPr>
            </w:pPr>
            <w:r>
              <w:rPr>
                <w:sz w:val="18"/>
                <w:szCs w:val="18"/>
                <w:lang w:eastAsia="lt-LT"/>
              </w:rPr>
              <w:t>Aplinkos ministerija,</w:t>
            </w:r>
          </w:p>
          <w:p w:rsidR="000E7C4C" w:rsidRDefault="003C3EA6">
            <w:pPr>
              <w:ind w:firstLine="48"/>
              <w:rPr>
                <w:sz w:val="18"/>
                <w:szCs w:val="18"/>
                <w:lang w:eastAsia="lt-LT"/>
              </w:rPr>
            </w:pPr>
            <w:r>
              <w:rPr>
                <w:sz w:val="18"/>
                <w:szCs w:val="18"/>
                <w:lang w:eastAsia="lt-LT"/>
              </w:rPr>
              <w:t>Priešgaisrinės apsaugos ir gelbėjimo departamentas prie Vidaus reikalų ministerijos,</w:t>
            </w:r>
          </w:p>
          <w:p w:rsidR="000E7C4C" w:rsidRDefault="003C3EA6">
            <w:pPr>
              <w:rPr>
                <w:sz w:val="18"/>
                <w:szCs w:val="18"/>
                <w:lang w:eastAsia="lt-LT"/>
              </w:rPr>
            </w:pPr>
            <w:r>
              <w:rPr>
                <w:sz w:val="18"/>
                <w:szCs w:val="18"/>
                <w:lang w:eastAsia="lt-LT"/>
              </w:rPr>
              <w:t>Energetikos ministerija,</w:t>
            </w:r>
          </w:p>
          <w:p w:rsidR="000E7C4C" w:rsidRDefault="003C3EA6">
            <w:pPr>
              <w:rPr>
                <w:sz w:val="18"/>
                <w:szCs w:val="18"/>
                <w:lang w:eastAsia="lt-LT"/>
              </w:rPr>
            </w:pPr>
            <w:r>
              <w:rPr>
                <w:sz w:val="18"/>
                <w:szCs w:val="18"/>
                <w:lang w:eastAsia="lt-LT"/>
              </w:rPr>
              <w:t>Savivaldybės</w:t>
            </w:r>
          </w:p>
        </w:tc>
        <w:tc>
          <w:tcPr>
            <w:tcW w:w="70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2020</w:t>
            </w:r>
          </w:p>
        </w:tc>
        <w:tc>
          <w:tcPr>
            <w:tcW w:w="698"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2030</w:t>
            </w:r>
          </w:p>
        </w:tc>
        <w:tc>
          <w:tcPr>
            <w:tcW w:w="1252"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trike/>
                <w:sz w:val="18"/>
                <w:szCs w:val="18"/>
                <w:lang w:eastAsia="lt-LT"/>
              </w:rPr>
            </w:pPr>
            <w:r>
              <w:rPr>
                <w:sz w:val="18"/>
                <w:szCs w:val="18"/>
                <w:lang w:eastAsia="lt-LT"/>
              </w:rPr>
              <w:t>-</w:t>
            </w:r>
          </w:p>
        </w:tc>
      </w:tr>
      <w:tr w:rsidR="000E7C4C">
        <w:trPr>
          <w:trHeight w:val="840"/>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16"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P27</w:t>
            </w:r>
          </w:p>
        </w:tc>
        <w:tc>
          <w:tcPr>
            <w:tcW w:w="1248"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Namų ūkiuose (būstuose) įrengtų kietojo kuro įrenginių modernizavimas ar keitimas </w:t>
            </w:r>
          </w:p>
        </w:tc>
        <w:tc>
          <w:tcPr>
            <w:tcW w:w="3451"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both"/>
              <w:rPr>
                <w:strike/>
                <w:sz w:val="18"/>
                <w:szCs w:val="18"/>
                <w:lang w:eastAsia="lt-LT"/>
              </w:rPr>
            </w:pPr>
            <w:r>
              <w:rPr>
                <w:sz w:val="18"/>
                <w:szCs w:val="18"/>
                <w:lang w:eastAsia="lt-LT"/>
              </w:rPr>
              <w:t>Finansinės paskatos</w:t>
            </w:r>
            <w:r>
              <w:rPr>
                <w:b/>
                <w:sz w:val="18"/>
                <w:szCs w:val="18"/>
                <w:lang w:eastAsia="lt-LT"/>
              </w:rPr>
              <w:t xml:space="preserve"> </w:t>
            </w:r>
            <w:r>
              <w:rPr>
                <w:sz w:val="18"/>
                <w:szCs w:val="18"/>
                <w:lang w:eastAsia="lt-LT"/>
              </w:rPr>
              <w:t>kietojo kuro katilų modernizavimui ar keitimui</w:t>
            </w:r>
            <w:r>
              <w:rPr>
                <w:sz w:val="18"/>
                <w:szCs w:val="18"/>
              </w:rPr>
              <w:t xml:space="preserve"> </w:t>
            </w:r>
            <w:r>
              <w:rPr>
                <w:sz w:val="18"/>
                <w:szCs w:val="18"/>
                <w:lang w:eastAsia="lt-LT"/>
              </w:rPr>
              <w:t xml:space="preserve">atsinaujinančios energijos išteklius naudojančiomis šildymo sistemomis </w:t>
            </w:r>
            <w:r>
              <w:rPr>
                <w:sz w:val="18"/>
                <w:szCs w:val="18"/>
              </w:rPr>
              <w:t xml:space="preserve">namų ūkiuose (būstuose), </w:t>
            </w:r>
            <w:r>
              <w:rPr>
                <w:sz w:val="18"/>
                <w:szCs w:val="18"/>
                <w:lang w:eastAsia="lt-LT"/>
              </w:rPr>
              <w:t xml:space="preserve">atsižvelgiant į vietovės aplinkos oro užterštumo lygį </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Ekonominė</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Įrenginių efektyvumo didinimas,</w:t>
            </w:r>
          </w:p>
          <w:p w:rsidR="000E7C4C" w:rsidRDefault="003C3EA6">
            <w:pPr>
              <w:rPr>
                <w:sz w:val="18"/>
                <w:szCs w:val="18"/>
                <w:lang w:eastAsia="lt-LT"/>
              </w:rPr>
            </w:pPr>
            <w:r>
              <w:rPr>
                <w:sz w:val="18"/>
                <w:szCs w:val="18"/>
                <w:lang w:eastAsia="lt-LT"/>
              </w:rPr>
              <w:t>Perėjimas prie mažiau taršaus kuro</w:t>
            </w:r>
          </w:p>
        </w:tc>
        <w:tc>
          <w:tcPr>
            <w:tcW w:w="106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Energijos tiekimas</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r>
              <w:rPr>
                <w:sz w:val="18"/>
                <w:szCs w:val="18"/>
                <w:lang w:eastAsia="lt-LT"/>
              </w:rPr>
              <w:br/>
            </w:r>
            <w:r>
              <w:rPr>
                <w:sz w:val="18"/>
                <w:szCs w:val="18"/>
                <w:lang w:eastAsia="lt-LT"/>
              </w:rPr>
              <w:br/>
              <w:t>Vietos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trike/>
                <w:sz w:val="18"/>
                <w:szCs w:val="18"/>
                <w:lang w:eastAsia="lt-LT"/>
              </w:rPr>
            </w:pPr>
            <w:r>
              <w:rPr>
                <w:sz w:val="18"/>
                <w:szCs w:val="18"/>
                <w:lang w:eastAsia="lt-LT"/>
              </w:rPr>
              <w:t>Energetikos ministerija,</w:t>
            </w:r>
            <w:r>
              <w:rPr>
                <w:sz w:val="18"/>
                <w:szCs w:val="18"/>
                <w:lang w:eastAsia="lt-LT"/>
              </w:rPr>
              <w:br/>
              <w:t>Aplinkos ministerija</w:t>
            </w:r>
          </w:p>
        </w:tc>
        <w:tc>
          <w:tcPr>
            <w:tcW w:w="70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2019</w:t>
            </w:r>
          </w:p>
        </w:tc>
        <w:tc>
          <w:tcPr>
            <w:tcW w:w="698"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2029</w:t>
            </w:r>
          </w:p>
        </w:tc>
        <w:tc>
          <w:tcPr>
            <w:tcW w:w="1252"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50.000</w:t>
            </w:r>
          </w:p>
        </w:tc>
      </w:tr>
      <w:tr w:rsidR="000E7C4C">
        <w:trPr>
          <w:trHeight w:val="840"/>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16"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B050"/>
                <w:sz w:val="18"/>
                <w:szCs w:val="18"/>
                <w:lang w:eastAsia="lt-LT"/>
              </w:rPr>
            </w:pPr>
            <w:r>
              <w:rPr>
                <w:color w:val="000000"/>
                <w:sz w:val="18"/>
                <w:szCs w:val="18"/>
                <w:lang w:eastAsia="lt-LT"/>
              </w:rPr>
              <w:t>P28</w:t>
            </w:r>
          </w:p>
        </w:tc>
        <w:tc>
          <w:tcPr>
            <w:tcW w:w="1248"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Namų ūkių (būstų) jungimosi prie centralizuoto šilumos tiekimo (toliau – CŠT) sistemos skatinimas</w:t>
            </w:r>
            <w:r>
              <w:rPr>
                <w:strike/>
                <w:sz w:val="18"/>
                <w:szCs w:val="18"/>
                <w:lang w:eastAsia="lt-LT"/>
              </w:rPr>
              <w:t xml:space="preserve"> </w:t>
            </w:r>
          </w:p>
        </w:tc>
        <w:tc>
          <w:tcPr>
            <w:tcW w:w="3451" w:type="dxa"/>
            <w:gridSpan w:val="2"/>
            <w:tcBorders>
              <w:top w:val="single" w:sz="4" w:space="0" w:color="auto"/>
              <w:left w:val="single" w:sz="4" w:space="0" w:color="auto"/>
              <w:bottom w:val="single" w:sz="4" w:space="0" w:color="auto"/>
              <w:right w:val="single" w:sz="4" w:space="0" w:color="auto"/>
            </w:tcBorders>
            <w:hideMark/>
          </w:tcPr>
          <w:p w:rsidR="000E7C4C" w:rsidRDefault="003C3EA6">
            <w:pPr>
              <w:tabs>
                <w:tab w:val="left" w:pos="1296"/>
              </w:tabs>
              <w:jc w:val="both"/>
              <w:rPr>
                <w:sz w:val="18"/>
                <w:szCs w:val="18"/>
                <w:lang w:val="en-US" w:eastAsia="lt-LT"/>
              </w:rPr>
            </w:pPr>
            <w:r>
              <w:rPr>
                <w:sz w:val="18"/>
                <w:szCs w:val="18"/>
                <w:lang w:eastAsia="lt-LT"/>
              </w:rPr>
              <w:t>Finansinės paskatos</w:t>
            </w:r>
            <w:r>
              <w:rPr>
                <w:b/>
                <w:sz w:val="18"/>
                <w:szCs w:val="18"/>
                <w:lang w:eastAsia="lt-LT"/>
              </w:rPr>
              <w:t xml:space="preserve"> </w:t>
            </w:r>
            <w:r>
              <w:rPr>
                <w:sz w:val="18"/>
                <w:szCs w:val="18"/>
                <w:lang w:eastAsia="lt-LT"/>
              </w:rPr>
              <w:t>namų ūkiams (būstams), kurie jungiasi prie CŠT sistemos Savivaldybių specialiuosiuose šilumos ūkio planuose numatytoje CŠT zonoje (diferencijuota vienkartinė negrąžinamoji subsidija jungimosi prie CŠT sistemos išlaidoms ir šildymo išlaidoms prisijungus prie CŠT sistemos  dalinai kompensuoti)</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Taršos ir taršos šaltinių mažinimas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Paklausos valdymas/</w:t>
            </w:r>
          </w:p>
          <w:p w:rsidR="000E7C4C" w:rsidRDefault="003C3EA6">
            <w:pPr>
              <w:rPr>
                <w:sz w:val="18"/>
                <w:szCs w:val="18"/>
                <w:lang w:eastAsia="lt-LT"/>
              </w:rPr>
            </w:pPr>
            <w:r>
              <w:rPr>
                <w:sz w:val="18"/>
                <w:szCs w:val="18"/>
                <w:lang w:eastAsia="lt-LT"/>
              </w:rPr>
              <w:t>mažinimas,</w:t>
            </w:r>
          </w:p>
          <w:p w:rsidR="000E7C4C" w:rsidRDefault="003C3EA6">
            <w:pPr>
              <w:rPr>
                <w:sz w:val="18"/>
                <w:szCs w:val="18"/>
                <w:lang w:eastAsia="lt-LT"/>
              </w:rPr>
            </w:pPr>
            <w:r>
              <w:rPr>
                <w:sz w:val="18"/>
                <w:szCs w:val="18"/>
                <w:lang w:eastAsia="lt-LT"/>
              </w:rPr>
              <w:t>Perėjimas prie mažiau taršaus kuro</w:t>
            </w:r>
          </w:p>
        </w:tc>
        <w:tc>
          <w:tcPr>
            <w:tcW w:w="106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Energijos vartojimas</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r>
              <w:rPr>
                <w:sz w:val="18"/>
                <w:szCs w:val="18"/>
                <w:lang w:eastAsia="lt-LT"/>
              </w:rPr>
              <w:br/>
            </w:r>
            <w:r>
              <w:rPr>
                <w:sz w:val="18"/>
                <w:szCs w:val="18"/>
                <w:lang w:eastAsia="lt-LT"/>
              </w:rPr>
              <w:br/>
              <w:t>Vietos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Energetikos ministerija,</w:t>
            </w:r>
          </w:p>
          <w:p w:rsidR="000E7C4C" w:rsidRDefault="003C3EA6">
            <w:pPr>
              <w:rPr>
                <w:strike/>
                <w:sz w:val="18"/>
                <w:szCs w:val="18"/>
                <w:lang w:eastAsia="lt-LT"/>
              </w:rPr>
            </w:pPr>
            <w:r>
              <w:rPr>
                <w:sz w:val="18"/>
                <w:szCs w:val="18"/>
                <w:lang w:eastAsia="lt-LT"/>
              </w:rPr>
              <w:t>Aplinkos ministerija</w:t>
            </w:r>
          </w:p>
        </w:tc>
        <w:tc>
          <w:tcPr>
            <w:tcW w:w="70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b/>
                <w:sz w:val="18"/>
                <w:szCs w:val="18"/>
                <w:lang w:eastAsia="lt-LT"/>
              </w:rPr>
            </w:pPr>
            <w:r>
              <w:rPr>
                <w:sz w:val="18"/>
                <w:szCs w:val="18"/>
                <w:lang w:eastAsia="lt-LT"/>
              </w:rPr>
              <w:t>2021</w:t>
            </w:r>
          </w:p>
        </w:tc>
        <w:tc>
          <w:tcPr>
            <w:tcW w:w="698"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b/>
                <w:sz w:val="18"/>
                <w:szCs w:val="18"/>
                <w:lang w:eastAsia="lt-LT"/>
              </w:rPr>
            </w:pPr>
            <w:r>
              <w:rPr>
                <w:sz w:val="18"/>
                <w:szCs w:val="18"/>
                <w:lang w:eastAsia="lt-LT"/>
              </w:rPr>
              <w:t>2029</w:t>
            </w:r>
          </w:p>
        </w:tc>
        <w:tc>
          <w:tcPr>
            <w:tcW w:w="1252"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20.000</w:t>
            </w:r>
          </w:p>
        </w:tc>
      </w:tr>
      <w:tr w:rsidR="000E7C4C">
        <w:trPr>
          <w:trHeight w:val="840"/>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16"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color w:val="000000"/>
                <w:sz w:val="18"/>
                <w:szCs w:val="18"/>
                <w:lang w:eastAsia="lt-LT"/>
              </w:rPr>
              <w:t>P29</w:t>
            </w:r>
          </w:p>
        </w:tc>
        <w:tc>
          <w:tcPr>
            <w:tcW w:w="1248"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Išmetamų į orą smulkiųjų kietųjų dalelių kiekio mažinimas naftos perdirbimo sektoriuje</w:t>
            </w:r>
          </w:p>
        </w:tc>
        <w:tc>
          <w:tcPr>
            <w:tcW w:w="3451"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proofErr w:type="spellStart"/>
            <w:r>
              <w:rPr>
                <w:sz w:val="18"/>
                <w:szCs w:val="18"/>
                <w:lang w:eastAsia="lt-LT"/>
              </w:rPr>
              <w:t>Katalizinio</w:t>
            </w:r>
            <w:proofErr w:type="spellEnd"/>
            <w:r>
              <w:rPr>
                <w:sz w:val="18"/>
                <w:szCs w:val="18"/>
                <w:lang w:eastAsia="lt-LT"/>
              </w:rPr>
              <w:t xml:space="preserve"> </w:t>
            </w:r>
            <w:proofErr w:type="spellStart"/>
            <w:r>
              <w:rPr>
                <w:sz w:val="18"/>
                <w:szCs w:val="18"/>
                <w:lang w:eastAsia="lt-LT"/>
              </w:rPr>
              <w:t>krekingo</w:t>
            </w:r>
            <w:proofErr w:type="spellEnd"/>
            <w:r>
              <w:rPr>
                <w:sz w:val="18"/>
                <w:szCs w:val="18"/>
                <w:lang w:eastAsia="lt-LT"/>
              </w:rPr>
              <w:t xml:space="preserve"> įrenginio </w:t>
            </w:r>
            <w:proofErr w:type="spellStart"/>
            <w:r>
              <w:rPr>
                <w:sz w:val="18"/>
                <w:szCs w:val="18"/>
                <w:lang w:eastAsia="lt-LT"/>
              </w:rPr>
              <w:t>elektrostatinio</w:t>
            </w:r>
            <w:proofErr w:type="spellEnd"/>
            <w:r>
              <w:rPr>
                <w:sz w:val="18"/>
                <w:szCs w:val="18"/>
                <w:lang w:eastAsia="lt-LT"/>
              </w:rPr>
              <w:t xml:space="preserve"> filtro įrengimas naftos perdirbimo pramonėje</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Taršos ir taršos šaltinių mažinimas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Mažinimo technologijų diegimas</w:t>
            </w:r>
          </w:p>
        </w:tc>
        <w:tc>
          <w:tcPr>
            <w:tcW w:w="106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Pramonės procesai</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Ūkio subjekto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Ūkio subjektai</w:t>
            </w:r>
          </w:p>
        </w:tc>
        <w:tc>
          <w:tcPr>
            <w:tcW w:w="70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2019</w:t>
            </w:r>
          </w:p>
        </w:tc>
        <w:tc>
          <w:tcPr>
            <w:tcW w:w="698"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2020</w:t>
            </w:r>
          </w:p>
        </w:tc>
        <w:tc>
          <w:tcPr>
            <w:tcW w:w="1252"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w:t>
            </w:r>
          </w:p>
        </w:tc>
      </w:tr>
      <w:tr w:rsidR="000E7C4C">
        <w:trPr>
          <w:trHeight w:val="2507"/>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16"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P30</w:t>
            </w:r>
          </w:p>
        </w:tc>
        <w:tc>
          <w:tcPr>
            <w:tcW w:w="1248"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Namų ūkių (būstų) šildymo įrenginių </w:t>
            </w:r>
            <w:proofErr w:type="spellStart"/>
            <w:r>
              <w:rPr>
                <w:sz w:val="18"/>
                <w:szCs w:val="18"/>
                <w:lang w:eastAsia="lt-LT"/>
              </w:rPr>
              <w:t>inventoriza-vimas</w:t>
            </w:r>
            <w:proofErr w:type="spellEnd"/>
            <w:r>
              <w:rPr>
                <w:sz w:val="18"/>
                <w:szCs w:val="18"/>
                <w:vertAlign w:val="superscript"/>
                <w:lang w:eastAsia="lt-LT"/>
              </w:rPr>
              <w:t>(1)</w:t>
            </w:r>
          </w:p>
        </w:tc>
        <w:tc>
          <w:tcPr>
            <w:tcW w:w="3451"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 xml:space="preserve">Visuotinai inventorizuoti namų ūkių (būstų) šildymo įrenginius </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Tyrimai</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Įrenginių efektyvumo didinimas</w:t>
            </w:r>
          </w:p>
        </w:tc>
        <w:tc>
          <w:tcPr>
            <w:tcW w:w="106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Energijos vartojimo</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Savivaldybės,</w:t>
            </w:r>
          </w:p>
          <w:p w:rsidR="000E7C4C" w:rsidRDefault="003C3EA6">
            <w:pPr>
              <w:rPr>
                <w:sz w:val="18"/>
                <w:szCs w:val="18"/>
                <w:lang w:eastAsia="lt-LT"/>
              </w:rPr>
            </w:pPr>
            <w:r>
              <w:rPr>
                <w:sz w:val="18"/>
                <w:szCs w:val="18"/>
                <w:lang w:eastAsia="lt-LT"/>
              </w:rPr>
              <w:t>Lietuvos statistikos departamentas,</w:t>
            </w:r>
          </w:p>
          <w:p w:rsidR="000E7C4C" w:rsidRDefault="003C3EA6">
            <w:pPr>
              <w:rPr>
                <w:sz w:val="18"/>
                <w:szCs w:val="18"/>
                <w:lang w:eastAsia="lt-LT"/>
              </w:rPr>
            </w:pPr>
            <w:r>
              <w:rPr>
                <w:sz w:val="18"/>
                <w:szCs w:val="18"/>
                <w:lang w:eastAsia="lt-LT"/>
              </w:rPr>
              <w:t>Energetikos ministerija,</w:t>
            </w:r>
          </w:p>
          <w:p w:rsidR="000E7C4C" w:rsidRDefault="003C3EA6">
            <w:pPr>
              <w:rPr>
                <w:sz w:val="18"/>
                <w:szCs w:val="18"/>
                <w:lang w:eastAsia="lt-LT"/>
              </w:rPr>
            </w:pPr>
            <w:r>
              <w:rPr>
                <w:sz w:val="18"/>
                <w:szCs w:val="18"/>
                <w:lang w:eastAsia="lt-LT"/>
              </w:rPr>
              <w:t>Aplinkos ministerija</w:t>
            </w:r>
          </w:p>
        </w:tc>
        <w:tc>
          <w:tcPr>
            <w:tcW w:w="70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2019</w:t>
            </w:r>
          </w:p>
        </w:tc>
        <w:tc>
          <w:tcPr>
            <w:tcW w:w="698"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2022</w:t>
            </w:r>
          </w:p>
        </w:tc>
        <w:tc>
          <w:tcPr>
            <w:tcW w:w="1252"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w:t>
            </w:r>
          </w:p>
        </w:tc>
      </w:tr>
      <w:tr w:rsidR="000E7C4C">
        <w:trPr>
          <w:trHeight w:val="840"/>
        </w:trPr>
        <w:tc>
          <w:tcPr>
            <w:tcW w:w="1373"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3.1. Padidinti išmetamų į aplinkos orą teršalų apskaitos  ir prognozių kokybę, patikimumą, išsamumą ir apskaitos ataskaitų viešinimą </w:t>
            </w:r>
          </w:p>
        </w:tc>
        <w:tc>
          <w:tcPr>
            <w:tcW w:w="1016"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color w:val="000000"/>
                <w:sz w:val="18"/>
                <w:szCs w:val="18"/>
                <w:lang w:eastAsia="lt-LT"/>
              </w:rPr>
              <w:t>P3</w:t>
            </w:r>
            <w:r>
              <w:rPr>
                <w:color w:val="000000"/>
                <w:sz w:val="18"/>
                <w:szCs w:val="18"/>
                <w:lang w:val="en-US" w:eastAsia="lt-LT"/>
              </w:rPr>
              <w:t>1</w:t>
            </w:r>
          </w:p>
        </w:tc>
        <w:tc>
          <w:tcPr>
            <w:tcW w:w="1248"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Administracinių gebėjimų stiprinimas ir Nacionalinės į aplinkos orą išmetamo teršalų kiekio apskaitos vykdymas, taikant kuo didesnį detalumo lygį </w:t>
            </w:r>
          </w:p>
        </w:tc>
        <w:tc>
          <w:tcPr>
            <w:tcW w:w="3451"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both"/>
              <w:rPr>
                <w:b/>
                <w:sz w:val="18"/>
                <w:szCs w:val="18"/>
                <w:lang w:eastAsia="lt-LT"/>
              </w:rPr>
            </w:pPr>
            <w:r>
              <w:rPr>
                <w:sz w:val="18"/>
                <w:szCs w:val="18"/>
                <w:lang w:eastAsia="lt-LT"/>
              </w:rPr>
              <w:t>Didinti žmogiškuosius išteklius ir jų kompetencijas išmetamų į aplinkos teršalų apskaitos ir prognozių vykdymui taikant kuo didesnį detalumo lygį (TIER 2 metodą ar didesnį), kad būtų užtikrintas tarptautinių ir Europos Sąjungos teisės aktų reikalaujamas apskaitos tikslumas, išsamumas, skaidrumas, nuoseklumas, duomenų atsekamumas, ir sprendimų aplinkos oro taršai mažinti priėmimas apskaitos duomenų pagrindu.</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Tyrimai, planavimas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Aplinkos oro taršos monitoringo gebėjimų stiprinimas</w:t>
            </w:r>
          </w:p>
        </w:tc>
        <w:tc>
          <w:tcPr>
            <w:tcW w:w="106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Visi sektoriai</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trike/>
                <w:sz w:val="18"/>
                <w:szCs w:val="18"/>
                <w:lang w:eastAsia="lt-LT"/>
              </w:rPr>
            </w:pPr>
            <w:r>
              <w:rPr>
                <w:sz w:val="18"/>
                <w:szCs w:val="18"/>
                <w:lang w:eastAsia="lt-LT"/>
              </w:rPr>
              <w:t>Aplinkos apsaugos agentūra,</w:t>
            </w:r>
            <w:r>
              <w:rPr>
                <w:sz w:val="18"/>
                <w:szCs w:val="18"/>
                <w:lang w:eastAsia="lt-LT"/>
              </w:rPr>
              <w:br/>
              <w:t>Aplinkos ministerija</w:t>
            </w:r>
          </w:p>
        </w:tc>
        <w:tc>
          <w:tcPr>
            <w:tcW w:w="70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2020</w:t>
            </w:r>
          </w:p>
        </w:tc>
        <w:tc>
          <w:tcPr>
            <w:tcW w:w="698"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2030</w:t>
            </w:r>
          </w:p>
        </w:tc>
        <w:tc>
          <w:tcPr>
            <w:tcW w:w="1252"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1.400</w:t>
            </w:r>
          </w:p>
        </w:tc>
      </w:tr>
      <w:tr w:rsidR="000E7C4C">
        <w:trPr>
          <w:trHeight w:val="1200"/>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16"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color w:val="000000"/>
                <w:sz w:val="18"/>
                <w:szCs w:val="18"/>
                <w:lang w:eastAsia="lt-LT"/>
              </w:rPr>
              <w:t>P32</w:t>
            </w:r>
          </w:p>
        </w:tc>
        <w:tc>
          <w:tcPr>
            <w:tcW w:w="1248"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Lietuvos oro taršos ataskaitų ir prognozių apžvalgų rengimas ir viešinimas</w:t>
            </w:r>
          </w:p>
        </w:tc>
        <w:tc>
          <w:tcPr>
            <w:tcW w:w="3451"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Kasmet parengti ir viešai paskelbti visuomenei ir suinteresuotoms institucijoms Lietuvos oro taršos apskaitos apžvalgas; kas dvejus metus parengti ir viešai paskelbti visuomenei ir suinteresuotoms institucijoms Lietuvos oro taršos prognozes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Tyrimai, </w:t>
            </w:r>
            <w:proofErr w:type="spellStart"/>
            <w:r>
              <w:rPr>
                <w:sz w:val="18"/>
                <w:szCs w:val="18"/>
                <w:lang w:eastAsia="lt-LT"/>
              </w:rPr>
              <w:t>informavi-mas</w:t>
            </w:r>
            <w:proofErr w:type="spellEnd"/>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Aplinkos oro taršos monitoringo rezultatų viešinimo tobulinimas</w:t>
            </w:r>
          </w:p>
        </w:tc>
        <w:tc>
          <w:tcPr>
            <w:tcW w:w="106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Visi sektoriai</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Aplinkos apsaugos agentūra</w:t>
            </w:r>
          </w:p>
        </w:tc>
        <w:tc>
          <w:tcPr>
            <w:tcW w:w="70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2019</w:t>
            </w:r>
          </w:p>
        </w:tc>
        <w:tc>
          <w:tcPr>
            <w:tcW w:w="698"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2030</w:t>
            </w:r>
          </w:p>
        </w:tc>
        <w:tc>
          <w:tcPr>
            <w:tcW w:w="1252"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w:t>
            </w:r>
          </w:p>
        </w:tc>
      </w:tr>
      <w:tr w:rsidR="000E7C4C">
        <w:trPr>
          <w:trHeight w:val="711"/>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16"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color w:val="000000"/>
                <w:sz w:val="18"/>
                <w:szCs w:val="18"/>
                <w:lang w:eastAsia="lt-LT"/>
              </w:rPr>
              <w:t>P33</w:t>
            </w:r>
          </w:p>
        </w:tc>
        <w:tc>
          <w:tcPr>
            <w:tcW w:w="1248"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Mokslinių taikomųjų tyrimų, skirtų oro taršos apskaitai, mažinimui (valdymui), oro kokybės vertinimui, </w:t>
            </w:r>
            <w:proofErr w:type="spellStart"/>
            <w:r>
              <w:rPr>
                <w:sz w:val="18"/>
                <w:szCs w:val="18"/>
                <w:lang w:eastAsia="lt-LT"/>
              </w:rPr>
              <w:t>prognozavi-mui</w:t>
            </w:r>
            <w:proofErr w:type="spellEnd"/>
            <w:r>
              <w:rPr>
                <w:sz w:val="18"/>
                <w:szCs w:val="18"/>
                <w:lang w:eastAsia="lt-LT"/>
              </w:rPr>
              <w:t xml:space="preserve"> ir gerinimui, plėtojimas</w:t>
            </w:r>
          </w:p>
        </w:tc>
        <w:tc>
          <w:tcPr>
            <w:tcW w:w="3451"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Vykdyti mokslinius taikomuosius tyrimus, skirtus oro taršos apskaitai, mažinimui (valdymui), oro kokybės vertinimui, prognozavimui ir gerinimui</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Tyrimai</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proofErr w:type="spellStart"/>
            <w:r>
              <w:rPr>
                <w:sz w:val="18"/>
                <w:szCs w:val="18"/>
                <w:lang w:eastAsia="lt-LT"/>
              </w:rPr>
              <w:t>Tarpsektoriniai</w:t>
            </w:r>
            <w:proofErr w:type="spellEnd"/>
            <w:r>
              <w:rPr>
                <w:sz w:val="18"/>
                <w:szCs w:val="18"/>
                <w:lang w:eastAsia="lt-LT"/>
              </w:rPr>
              <w:t xml:space="preserve"> tyrimai</w:t>
            </w:r>
          </w:p>
        </w:tc>
        <w:tc>
          <w:tcPr>
            <w:tcW w:w="106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Visi sektoriai</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Mokslo ir studijų institucijos, </w:t>
            </w:r>
          </w:p>
          <w:p w:rsidR="000E7C4C" w:rsidRDefault="003C3EA6">
            <w:pPr>
              <w:rPr>
                <w:sz w:val="18"/>
                <w:szCs w:val="18"/>
                <w:lang w:eastAsia="lt-LT"/>
              </w:rPr>
            </w:pPr>
            <w:r>
              <w:rPr>
                <w:sz w:val="18"/>
                <w:szCs w:val="18"/>
                <w:lang w:eastAsia="lt-LT"/>
              </w:rPr>
              <w:t>Lietuvos mokslo taryba</w:t>
            </w:r>
            <w:r>
              <w:rPr>
                <w:sz w:val="18"/>
                <w:szCs w:val="18"/>
                <w:lang w:eastAsia="lt-LT"/>
              </w:rPr>
              <w:br/>
              <w:t>Lietuvos Respublikos švietimo, mokslo ir sporto ministerija</w:t>
            </w:r>
          </w:p>
        </w:tc>
        <w:tc>
          <w:tcPr>
            <w:tcW w:w="70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2020</w:t>
            </w:r>
          </w:p>
        </w:tc>
        <w:tc>
          <w:tcPr>
            <w:tcW w:w="698"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2030</w:t>
            </w:r>
          </w:p>
        </w:tc>
        <w:tc>
          <w:tcPr>
            <w:tcW w:w="1252"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300</w:t>
            </w:r>
          </w:p>
        </w:tc>
      </w:tr>
      <w:tr w:rsidR="000E7C4C">
        <w:trPr>
          <w:trHeight w:val="672"/>
        </w:trPr>
        <w:tc>
          <w:tcPr>
            <w:tcW w:w="1373"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3.2. Stiprinti aplinkos oro taršos poveikio sveikatai ir ekosistemoms stebėsenos vykdymą ir jos vertinimo rezultatų viešinimą</w:t>
            </w:r>
          </w:p>
        </w:tc>
        <w:tc>
          <w:tcPr>
            <w:tcW w:w="1016" w:type="dxa"/>
            <w:tcBorders>
              <w:top w:val="single" w:sz="4" w:space="0" w:color="auto"/>
              <w:left w:val="single" w:sz="4" w:space="0" w:color="auto"/>
              <w:bottom w:val="single" w:sz="4" w:space="0" w:color="auto"/>
              <w:right w:val="single" w:sz="4" w:space="0" w:color="auto"/>
            </w:tcBorders>
          </w:tcPr>
          <w:p w:rsidR="000E7C4C" w:rsidRDefault="003C3EA6">
            <w:pPr>
              <w:jc w:val="center"/>
              <w:rPr>
                <w:color w:val="000000"/>
                <w:sz w:val="18"/>
                <w:szCs w:val="18"/>
                <w:lang w:eastAsia="lt-LT"/>
              </w:rPr>
            </w:pPr>
            <w:r>
              <w:rPr>
                <w:color w:val="000000"/>
                <w:sz w:val="18"/>
                <w:szCs w:val="18"/>
                <w:lang w:eastAsia="lt-LT"/>
              </w:rPr>
              <w:t>P34</w:t>
            </w:r>
          </w:p>
          <w:p w:rsidR="000E7C4C" w:rsidRDefault="000E7C4C">
            <w:pPr>
              <w:jc w:val="center"/>
              <w:rPr>
                <w:sz w:val="18"/>
                <w:szCs w:val="18"/>
                <w:lang w:eastAsia="lt-LT"/>
              </w:rPr>
            </w:pPr>
          </w:p>
        </w:tc>
        <w:tc>
          <w:tcPr>
            <w:tcW w:w="1248"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Aplinkos oro taršos poveikio ekosistemoms monitoringo stiprinimas</w:t>
            </w:r>
          </w:p>
        </w:tc>
        <w:tc>
          <w:tcPr>
            <w:tcW w:w="3451"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Plėtoti aplinkos oro taršos poveikio ekosistemoms stebėseną pagal 1979 m. Tolimųjų tarpvalstybinių oro teršalų pernašų konvencijos Tarptautinių bendradarbiavimo programas (ICP), ją vykdyti, vertinti stebėsenos rezultatus ir juos viešai skelbti, didinti visuomenės informuotumą</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Tyrimai, planavimas</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Aplinkos oro taršos monitoringo gebėjimų stiprinimas</w:t>
            </w:r>
          </w:p>
        </w:tc>
        <w:tc>
          <w:tcPr>
            <w:tcW w:w="106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Visi sektoriai</w:t>
            </w:r>
          </w:p>
        </w:tc>
        <w:tc>
          <w:tcPr>
            <w:tcW w:w="97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Valstybės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Aplinkos apsaugos agentūra,</w:t>
            </w:r>
            <w:r>
              <w:rPr>
                <w:sz w:val="18"/>
                <w:szCs w:val="18"/>
                <w:lang w:eastAsia="lt-LT"/>
              </w:rPr>
              <w:br/>
              <w:t>Aplinkos ministerija,</w:t>
            </w:r>
            <w:r>
              <w:rPr>
                <w:sz w:val="18"/>
                <w:szCs w:val="18"/>
                <w:lang w:eastAsia="lt-LT"/>
              </w:rPr>
              <w:br/>
              <w:t>Mokslo ir studijų institucijos,</w:t>
            </w:r>
          </w:p>
          <w:p w:rsidR="000E7C4C" w:rsidRDefault="003C3EA6">
            <w:pPr>
              <w:rPr>
                <w:sz w:val="18"/>
                <w:szCs w:val="18"/>
                <w:lang w:eastAsia="lt-LT"/>
              </w:rPr>
            </w:pPr>
            <w:r>
              <w:rPr>
                <w:sz w:val="18"/>
                <w:szCs w:val="18"/>
                <w:lang w:eastAsia="lt-LT"/>
              </w:rPr>
              <w:t>Valstybinė miškų tarnyba,</w:t>
            </w:r>
          </w:p>
          <w:p w:rsidR="000E7C4C" w:rsidRDefault="003C3EA6">
            <w:pPr>
              <w:rPr>
                <w:sz w:val="18"/>
                <w:szCs w:val="18"/>
                <w:lang w:eastAsia="lt-LT"/>
              </w:rPr>
            </w:pPr>
            <w:r>
              <w:rPr>
                <w:sz w:val="18"/>
                <w:szCs w:val="18"/>
                <w:lang w:eastAsia="lt-LT"/>
              </w:rPr>
              <w:t>Lietuvos geologijos tarnyba prie Aplinkos ministerijos,</w:t>
            </w:r>
          </w:p>
          <w:p w:rsidR="000E7C4C" w:rsidRDefault="003C3EA6">
            <w:pPr>
              <w:rPr>
                <w:sz w:val="18"/>
                <w:szCs w:val="18"/>
                <w:lang w:eastAsia="lt-LT"/>
              </w:rPr>
            </w:pPr>
            <w:r>
              <w:rPr>
                <w:sz w:val="18"/>
                <w:szCs w:val="18"/>
                <w:lang w:eastAsia="lt-LT"/>
              </w:rPr>
              <w:t>Valstybinė saugomų teritorijų tarnyba prie Aplinkos ministerijos</w:t>
            </w:r>
          </w:p>
        </w:tc>
        <w:tc>
          <w:tcPr>
            <w:tcW w:w="70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2020</w:t>
            </w:r>
          </w:p>
        </w:tc>
        <w:tc>
          <w:tcPr>
            <w:tcW w:w="698"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2030</w:t>
            </w:r>
          </w:p>
        </w:tc>
        <w:tc>
          <w:tcPr>
            <w:tcW w:w="1252"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1.500</w:t>
            </w:r>
          </w:p>
        </w:tc>
      </w:tr>
      <w:tr w:rsidR="000E7C4C">
        <w:trPr>
          <w:trHeight w:val="273"/>
        </w:trPr>
        <w:tc>
          <w:tcPr>
            <w:tcW w:w="1373"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18"/>
                <w:szCs w:val="18"/>
                <w:lang w:eastAsia="lt-LT"/>
              </w:rPr>
            </w:pPr>
          </w:p>
        </w:tc>
        <w:tc>
          <w:tcPr>
            <w:tcW w:w="1016"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color w:val="000000"/>
                <w:sz w:val="18"/>
                <w:szCs w:val="18"/>
                <w:lang w:eastAsia="lt-LT"/>
              </w:rPr>
              <w:t>P35</w:t>
            </w:r>
          </w:p>
        </w:tc>
        <w:tc>
          <w:tcPr>
            <w:tcW w:w="1248"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Aplinkos oro taršos poveikio sveikatai vertinimo stiprinimas</w:t>
            </w:r>
          </w:p>
        </w:tc>
        <w:tc>
          <w:tcPr>
            <w:tcW w:w="3451"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both"/>
              <w:rPr>
                <w:sz w:val="18"/>
                <w:szCs w:val="18"/>
                <w:lang w:eastAsia="lt-LT"/>
              </w:rPr>
            </w:pPr>
            <w:r>
              <w:rPr>
                <w:sz w:val="18"/>
                <w:szCs w:val="18"/>
                <w:lang w:eastAsia="lt-LT"/>
              </w:rPr>
              <w:t>Įsisavinti aplinkos oro taršos poveikio sveikatai vertinimo metodą,  parengti ir suinteresuotoms institucijoms pateikti aplinkos oro taršos poveikio sveikatai preliminarius vertinimo rezultatus, parengti ir paviešinti aplinkos oro taršos poveikio sveikatai vertinimo rezultatus, didinti visuomenės informuotumą apie jų sveikatai daromą oro taršos poveikį</w:t>
            </w:r>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 xml:space="preserve">Tyrimai, planavimas, </w:t>
            </w:r>
            <w:proofErr w:type="spellStart"/>
            <w:r>
              <w:rPr>
                <w:sz w:val="18"/>
                <w:szCs w:val="18"/>
                <w:lang w:eastAsia="lt-LT"/>
              </w:rPr>
              <w:t>informavi-mas</w:t>
            </w:r>
            <w:proofErr w:type="spellEnd"/>
          </w:p>
        </w:tc>
        <w:tc>
          <w:tcPr>
            <w:tcW w:w="1134"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Aplinkos oro taršos poveikio vertinimo tobulinimas</w:t>
            </w:r>
          </w:p>
        </w:tc>
        <w:tc>
          <w:tcPr>
            <w:tcW w:w="1069"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Visi sektoriai</w:t>
            </w:r>
          </w:p>
        </w:tc>
        <w:tc>
          <w:tcPr>
            <w:tcW w:w="979" w:type="dxa"/>
            <w:tcBorders>
              <w:top w:val="single" w:sz="4" w:space="0" w:color="auto"/>
              <w:left w:val="single" w:sz="4" w:space="0" w:color="auto"/>
              <w:bottom w:val="single" w:sz="4" w:space="0" w:color="auto"/>
              <w:right w:val="single" w:sz="4" w:space="0" w:color="auto"/>
            </w:tcBorders>
          </w:tcPr>
          <w:p w:rsidR="000E7C4C" w:rsidRDefault="003C3EA6">
            <w:pPr>
              <w:rPr>
                <w:sz w:val="18"/>
                <w:szCs w:val="18"/>
                <w:lang w:eastAsia="lt-LT"/>
              </w:rPr>
            </w:pPr>
            <w:r>
              <w:rPr>
                <w:sz w:val="18"/>
                <w:szCs w:val="18"/>
                <w:lang w:eastAsia="lt-LT"/>
              </w:rPr>
              <w:t>Valstybės lygiu</w:t>
            </w:r>
          </w:p>
          <w:p w:rsidR="000E7C4C" w:rsidRDefault="000E7C4C">
            <w:pPr>
              <w:rPr>
                <w:sz w:val="18"/>
                <w:szCs w:val="18"/>
                <w:lang w:eastAsia="lt-LT"/>
              </w:rPr>
            </w:pPr>
          </w:p>
          <w:p w:rsidR="000E7C4C" w:rsidRDefault="003C3EA6">
            <w:pPr>
              <w:rPr>
                <w:sz w:val="18"/>
                <w:szCs w:val="18"/>
                <w:lang w:eastAsia="lt-LT"/>
              </w:rPr>
            </w:pPr>
            <w:r>
              <w:rPr>
                <w:sz w:val="18"/>
                <w:szCs w:val="18"/>
                <w:lang w:eastAsia="lt-LT"/>
              </w:rPr>
              <w:t>Vietos lygiu</w:t>
            </w:r>
          </w:p>
        </w:tc>
        <w:tc>
          <w:tcPr>
            <w:tcW w:w="1394" w:type="dxa"/>
            <w:tcBorders>
              <w:top w:val="single" w:sz="4" w:space="0" w:color="auto"/>
              <w:left w:val="single" w:sz="4" w:space="0" w:color="auto"/>
              <w:bottom w:val="single" w:sz="4" w:space="0" w:color="auto"/>
              <w:right w:val="single" w:sz="4" w:space="0" w:color="auto"/>
            </w:tcBorders>
            <w:hideMark/>
          </w:tcPr>
          <w:p w:rsidR="000E7C4C" w:rsidRDefault="003C3EA6">
            <w:pPr>
              <w:rPr>
                <w:sz w:val="18"/>
                <w:szCs w:val="18"/>
                <w:lang w:eastAsia="lt-LT"/>
              </w:rPr>
            </w:pPr>
            <w:r>
              <w:rPr>
                <w:sz w:val="18"/>
                <w:szCs w:val="18"/>
                <w:lang w:eastAsia="lt-LT"/>
              </w:rPr>
              <w:t>NVSC,</w:t>
            </w:r>
          </w:p>
          <w:p w:rsidR="000E7C4C" w:rsidRDefault="003C3EA6">
            <w:pPr>
              <w:rPr>
                <w:sz w:val="18"/>
                <w:szCs w:val="18"/>
                <w:lang w:eastAsia="lt-LT"/>
              </w:rPr>
            </w:pPr>
            <w:r>
              <w:rPr>
                <w:sz w:val="18"/>
                <w:szCs w:val="18"/>
                <w:lang w:eastAsia="lt-LT"/>
              </w:rPr>
              <w:t>Sveikatos apsaugos ministerija,</w:t>
            </w:r>
          </w:p>
          <w:p w:rsidR="000E7C4C" w:rsidRDefault="003C3EA6">
            <w:pPr>
              <w:rPr>
                <w:sz w:val="18"/>
                <w:szCs w:val="18"/>
                <w:lang w:eastAsia="lt-LT"/>
              </w:rPr>
            </w:pPr>
            <w:r>
              <w:rPr>
                <w:sz w:val="18"/>
                <w:szCs w:val="18"/>
                <w:lang w:eastAsia="lt-LT"/>
              </w:rPr>
              <w:t>Aplinkos apsaugos agentūra,</w:t>
            </w:r>
          </w:p>
          <w:p w:rsidR="000E7C4C" w:rsidRDefault="003C3EA6">
            <w:pPr>
              <w:rPr>
                <w:sz w:val="18"/>
                <w:szCs w:val="18"/>
                <w:lang w:eastAsia="lt-LT"/>
              </w:rPr>
            </w:pPr>
            <w:r>
              <w:rPr>
                <w:sz w:val="18"/>
                <w:szCs w:val="18"/>
                <w:lang w:eastAsia="lt-LT"/>
              </w:rPr>
              <w:t>Savivaldybės</w:t>
            </w:r>
          </w:p>
        </w:tc>
        <w:tc>
          <w:tcPr>
            <w:tcW w:w="70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2019</w:t>
            </w:r>
          </w:p>
        </w:tc>
        <w:tc>
          <w:tcPr>
            <w:tcW w:w="698" w:type="dxa"/>
            <w:gridSpan w:val="2"/>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2030</w:t>
            </w:r>
          </w:p>
        </w:tc>
        <w:tc>
          <w:tcPr>
            <w:tcW w:w="1252"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8"/>
                <w:szCs w:val="18"/>
                <w:lang w:eastAsia="lt-LT"/>
              </w:rPr>
            </w:pPr>
            <w:r>
              <w:rPr>
                <w:sz w:val="18"/>
                <w:szCs w:val="18"/>
                <w:lang w:eastAsia="lt-LT"/>
              </w:rPr>
              <w:t>445</w:t>
            </w:r>
          </w:p>
        </w:tc>
      </w:tr>
    </w:tbl>
    <w:p w:rsidR="000E7C4C" w:rsidRDefault="000E7C4C"/>
    <w:p w:rsidR="000E7C4C" w:rsidRDefault="003C3EA6">
      <w:pPr>
        <w:ind w:left="-284" w:right="-313" w:hanging="283"/>
        <w:jc w:val="both"/>
        <w:rPr>
          <w:color w:val="000000"/>
          <w:sz w:val="20"/>
          <w:szCs w:val="21"/>
        </w:rPr>
      </w:pPr>
      <w:r>
        <w:rPr>
          <w:color w:val="000000"/>
          <w:sz w:val="20"/>
          <w:szCs w:val="21"/>
          <w:vertAlign w:val="superscript"/>
        </w:rPr>
        <w:t>(1)</w:t>
      </w:r>
      <w:r>
        <w:rPr>
          <w:color w:val="000000"/>
          <w:sz w:val="20"/>
          <w:szCs w:val="21"/>
        </w:rPr>
        <w:t xml:space="preserve"> Priemonė numatyta Nacionalinės energetinės nepriklausomybės strategijos įgyvendinimo priemonių plane, patvirtintame LR Vyriausybės 2018 m. gruodžio 5 d. nutarimu Nr. 1210 „Dėl Nacionalinės energetinės nepriklausomybės strategijos įgyvendinimo priemonių plano patvirtinimo“; įtraukta į Nacionalinio oro taršos mažinimo plano 2 priedą siekiant įvertinti jos poveikį oro taršos sumažėjimui. </w:t>
      </w:r>
    </w:p>
    <w:p w:rsidR="000E7C4C" w:rsidRDefault="003C3EA6">
      <w:pPr>
        <w:ind w:left="-284" w:right="-313" w:hanging="283"/>
        <w:jc w:val="both"/>
        <w:rPr>
          <w:color w:val="000000"/>
          <w:sz w:val="20"/>
          <w:szCs w:val="21"/>
        </w:rPr>
      </w:pPr>
      <w:r>
        <w:rPr>
          <w:color w:val="000000"/>
          <w:sz w:val="20"/>
          <w:szCs w:val="21"/>
          <w:vertAlign w:val="superscript"/>
        </w:rPr>
        <w:t>(2)</w:t>
      </w:r>
      <w:r>
        <w:rPr>
          <w:color w:val="000000"/>
          <w:sz w:val="20"/>
          <w:szCs w:val="21"/>
        </w:rPr>
        <w:t xml:space="preserve"> Priemonė numatyta Nacionalinės susisiekimo plėtros 2014–2022 metų programoje, patvirtintoje LR Vyriausybės 2013 m. gruodžio 18 d. nutarimu Nr. 1253 „Dėl Nacionalinės susisiekimo plėtros 2014–2022 metų programos patvirtinimo“; įtraukta į Nacionalinio oro taršos mažinimo plano 2 priedą siekiant vertinti jos poveikį oro taršos sumažėjimui.</w:t>
      </w:r>
    </w:p>
    <w:p w:rsidR="000E7C4C" w:rsidRDefault="003C3EA6">
      <w:pPr>
        <w:ind w:left="-284" w:right="-313" w:hanging="283"/>
        <w:jc w:val="both"/>
        <w:rPr>
          <w:color w:val="000000"/>
          <w:sz w:val="20"/>
          <w:szCs w:val="21"/>
        </w:rPr>
      </w:pPr>
      <w:r>
        <w:rPr>
          <w:color w:val="000000"/>
          <w:sz w:val="20"/>
          <w:szCs w:val="21"/>
          <w:vertAlign w:val="superscript"/>
        </w:rPr>
        <w:t>(3)</w:t>
      </w:r>
      <w:r>
        <w:rPr>
          <w:color w:val="000000"/>
          <w:sz w:val="20"/>
          <w:szCs w:val="21"/>
        </w:rPr>
        <w:t xml:space="preserve"> Lietuvos Respublikos tręšiamųjų produktų įstatymas (2019 m. sausio 11 d. įstatymo Nr. XIII-1927 redakcija). Priemonė įtraukta į Nacionalinio oro taršos mažinimo plano 2 priedą siekiant vertinti jos poveikį oro taršos sumažėjimui.</w:t>
      </w:r>
    </w:p>
    <w:p w:rsidR="000E7C4C" w:rsidRDefault="003C3EA6">
      <w:pPr>
        <w:ind w:left="-284" w:right="-313" w:hanging="283"/>
        <w:jc w:val="both"/>
        <w:rPr>
          <w:color w:val="000000"/>
          <w:sz w:val="20"/>
          <w:szCs w:val="21"/>
        </w:rPr>
      </w:pPr>
      <w:r>
        <w:rPr>
          <w:color w:val="000000"/>
          <w:sz w:val="20"/>
          <w:szCs w:val="21"/>
        </w:rPr>
        <w:t>* Galimi finansavimo šaltiniai: Klimato kaitos programa, Europos Sąjungos struktūriniai ir investiciniai fondai, valstybės biudžeto ir kitos teisėtai gautos lėšos.</w:t>
      </w:r>
    </w:p>
    <w:p w:rsidR="000E7C4C" w:rsidRDefault="003C3EA6">
      <w:pPr>
        <w:jc w:val="center"/>
        <w:rPr>
          <w:color w:val="000000"/>
          <w:sz w:val="20"/>
          <w:szCs w:val="21"/>
        </w:rPr>
      </w:pPr>
      <w:r>
        <w:rPr>
          <w:color w:val="000000"/>
          <w:sz w:val="20"/>
          <w:szCs w:val="21"/>
        </w:rPr>
        <w:t>____________________________________</w:t>
      </w:r>
    </w:p>
    <w:p w:rsidR="000E7C4C" w:rsidRDefault="003C3EA6">
      <w:pPr>
        <w:tabs>
          <w:tab w:val="center" w:pos="4819"/>
          <w:tab w:val="right" w:pos="9638"/>
        </w:tabs>
        <w:ind w:left="720" w:firstLine="720"/>
        <w:jc w:val="both"/>
        <w:rPr>
          <w:color w:val="000000"/>
          <w:szCs w:val="21"/>
          <w:lang w:val="en-US"/>
        </w:rPr>
      </w:pPr>
    </w:p>
    <w:p w:rsidR="003C3EA6" w:rsidRDefault="003C3EA6">
      <w:pPr>
        <w:ind w:left="7088"/>
        <w:sectPr w:rsidR="003C3EA6" w:rsidSect="003C3EA6">
          <w:pgSz w:w="16838" w:h="11906" w:orient="landscape"/>
          <w:pgMar w:top="567" w:right="1134" w:bottom="1701" w:left="1134" w:header="567" w:footer="567" w:gutter="0"/>
          <w:pgNumType w:start="1"/>
          <w:cols w:space="1296"/>
          <w:titlePg/>
          <w:docGrid w:linePitch="326"/>
        </w:sectPr>
      </w:pPr>
    </w:p>
    <w:p w:rsidR="000E7C4C" w:rsidRDefault="003C3EA6">
      <w:pPr>
        <w:ind w:left="7088"/>
        <w:rPr>
          <w:color w:val="000000"/>
          <w:szCs w:val="24"/>
        </w:rPr>
      </w:pPr>
      <w:r>
        <w:rPr>
          <w:color w:val="000000"/>
          <w:szCs w:val="24"/>
        </w:rPr>
        <w:t>Nacionalinio oro taršos mažinimo plano</w:t>
      </w:r>
    </w:p>
    <w:p w:rsidR="000E7C4C" w:rsidRDefault="003C3EA6">
      <w:pPr>
        <w:ind w:left="7088"/>
        <w:rPr>
          <w:color w:val="000000"/>
          <w:szCs w:val="24"/>
        </w:rPr>
      </w:pPr>
      <w:r>
        <w:rPr>
          <w:color w:val="000000"/>
          <w:szCs w:val="24"/>
        </w:rPr>
        <w:t>3</w:t>
      </w:r>
      <w:r>
        <w:rPr>
          <w:color w:val="000000"/>
          <w:szCs w:val="24"/>
        </w:rPr>
        <w:t xml:space="preserve"> priedas</w:t>
      </w:r>
    </w:p>
    <w:p w:rsidR="000E7C4C" w:rsidRDefault="000E7C4C">
      <w:pPr>
        <w:keepNext/>
        <w:keepLines/>
        <w:ind w:firstLine="720"/>
        <w:jc w:val="center"/>
        <w:outlineLvl w:val="2"/>
        <w:rPr>
          <w:b/>
          <w:bCs/>
          <w:caps/>
          <w:color w:val="000000"/>
          <w:szCs w:val="28"/>
          <w:lang w:val="en-US"/>
        </w:rPr>
      </w:pPr>
    </w:p>
    <w:p w:rsidR="000E7C4C" w:rsidRDefault="003C3EA6">
      <w:pPr>
        <w:keepNext/>
        <w:keepLines/>
        <w:ind w:firstLine="720"/>
        <w:jc w:val="center"/>
        <w:outlineLvl w:val="3"/>
        <w:rPr>
          <w:b/>
          <w:bCs/>
          <w:iCs/>
          <w:color w:val="000000"/>
          <w:szCs w:val="24"/>
        </w:rPr>
      </w:pPr>
      <w:r>
        <w:rPr>
          <w:b/>
          <w:bCs/>
          <w:iCs/>
          <w:color w:val="000000"/>
          <w:szCs w:val="24"/>
        </w:rPr>
        <w:t>ORO TARŠOS MAŽINIMO PRIORITETAI IR TIKSLAI</w:t>
      </w:r>
    </w:p>
    <w:p w:rsidR="000E7C4C" w:rsidRDefault="000E7C4C">
      <w:pPr>
        <w:ind w:firstLine="567"/>
        <w:jc w:val="both"/>
        <w:rPr>
          <w:color w:val="000000"/>
          <w:szCs w:val="21"/>
        </w:rPr>
      </w:pPr>
    </w:p>
    <w:p w:rsidR="000E7C4C" w:rsidRDefault="003C3EA6">
      <w:pPr>
        <w:tabs>
          <w:tab w:val="left" w:pos="851"/>
        </w:tabs>
        <w:ind w:firstLine="567"/>
        <w:jc w:val="both"/>
        <w:rPr>
          <w:color w:val="000000"/>
          <w:szCs w:val="21"/>
        </w:rPr>
      </w:pPr>
      <w:r>
        <w:rPr>
          <w:color w:val="000000"/>
          <w:szCs w:val="21"/>
        </w:rPr>
        <w:t>1</w:t>
      </w:r>
      <w:r>
        <w:rPr>
          <w:color w:val="000000"/>
          <w:szCs w:val="21"/>
        </w:rPr>
        <w:t>.</w:t>
      </w:r>
      <w:r>
        <w:rPr>
          <w:color w:val="000000"/>
          <w:szCs w:val="21"/>
        </w:rPr>
        <w:tab/>
        <w:t>Jungtinių Tautų Generalinės Asamblėjos 2015 m. rugsėjo 25 d. priimtoje rezoliucijoje „Keiskime mūsų pasaulį. Darnaus vystymosi darbotvarkė iki 2030 metų“, (toliau – Darnaus vystymosi darbotvarkė) numatyti tam tikri tikslai, kurie apima oro taršos mažinimo aspektus. Darnaus vystymosi darbotvarkės trečias tikslas yra užtikrinti sveiką gyvenseną ir skatinti visų amžiaus grupių gerovę, vienas iš jo įgyvendinimo uždavinių numato „iki 2030 metų reikšmingai sumažinti mirčių ir ligų, kurias sukėlė pavojingi chemikalai, oro, vandens ir dirvožemio tarša ir užterštumas, skaičių“. Vienuoliktas tikslas numato, jog turi būti pasiekta, kad miestai ir gyvenvietės taptų saugūs, atsparūs ir darnūs. Oro kokybės aspektas šio tikslo atveju išreikštas siekiu „iki 2030 metų sumažinti vienam gyventojui tenkantį neigiamą miestų poveikį aplinkai, ypatingą dėmesį skiriant oro kokybei bei komunalinių ir kitų atliekų tvarkymui“. Dvyliktas tikslas numato poreikį užtikrinti darnius vartojimo ir gamybos modelius, iki 2020 metų užtikrinant aplinkai nekenksmingą chemikalų ir visų atliekų tvarkymą per jų gyvavimo ciklą, laikantis suderintų tarptautinių programų, ir labai sumažinti jų išmetimą į orą, vandenį ir dirvožemį, kad kuo labiau sumažėtų neigiamas jų poveikis žmogaus sveikatai ir aplinkai.</w:t>
      </w:r>
    </w:p>
    <w:p w:rsidR="000E7C4C" w:rsidRDefault="003C3EA6">
      <w:pPr>
        <w:tabs>
          <w:tab w:val="left" w:pos="851"/>
        </w:tabs>
        <w:ind w:firstLine="567"/>
        <w:jc w:val="both"/>
        <w:rPr>
          <w:color w:val="000000"/>
          <w:szCs w:val="21"/>
        </w:rPr>
      </w:pPr>
      <w:r>
        <w:rPr>
          <w:color w:val="000000"/>
          <w:szCs w:val="21"/>
        </w:rPr>
        <w:t>2</w:t>
      </w:r>
      <w:r>
        <w:rPr>
          <w:color w:val="000000"/>
          <w:szCs w:val="21"/>
        </w:rPr>
        <w:t>.</w:t>
      </w:r>
      <w:r>
        <w:rPr>
          <w:color w:val="000000"/>
          <w:szCs w:val="21"/>
        </w:rPr>
        <w:tab/>
        <w:t xml:space="preserve">Aplinkos oro apsauga ir oro kokybės valdymas Lietuvoje yra reglamentuojamas keliais pagrindiniais teisės aktais, kuriuose numatyti esminiai politikos prioritetai ir aspektai. </w:t>
      </w:r>
      <w:r>
        <w:rPr>
          <w:b/>
          <w:color w:val="000000"/>
          <w:szCs w:val="21"/>
        </w:rPr>
        <w:t xml:space="preserve">Lietuvos Respublikos aplinkos oro apsaugos įstatymas </w:t>
      </w:r>
      <w:r>
        <w:rPr>
          <w:color w:val="000000"/>
          <w:szCs w:val="21"/>
        </w:rPr>
        <w:t>nustato asmenų teises į švarų orą, pareigas saugoti aplinkos orą nuo taršos ir mažinti oro taršos žalą aplinkai ir žmonių sveikatai. Pabrėžtina, kad Aplinkos oro apsaugos įstatymas reglamentuoja oro taršos, susijusios su žmonių veikla, politikos aspektus, t. y. oro taršą iš antropogeninių taršos šaltinių ir nereglamentuoja radioaktyvios taršos ar taršos, galinčios atsirasti dėl gamtos procesų, ar taršos iš kitų valstybių. Aplinkos oro apsaugos įstatymo 3 straipsnyje nustatyti prioritetai, kuriais vadovaujantis turi būti formuojama aplinkos oro apsaugos sistema (žr. 1 pav.). Nacionaliniame oro taršos mažinimo plane (toliau – Planas) oro taršos mažinimo (valdymo) priemonės numatytos atsižvelgiant į aplinkos oro apsaugos prioritetus.</w:t>
      </w:r>
    </w:p>
    <w:p w:rsidR="000E7C4C" w:rsidRDefault="003C3EA6">
      <w:pPr>
        <w:tabs>
          <w:tab w:val="left" w:pos="851"/>
          <w:tab w:val="left" w:pos="993"/>
        </w:tabs>
        <w:ind w:firstLine="720"/>
        <w:rPr>
          <w:color w:val="1F497D"/>
          <w:sz w:val="20"/>
        </w:rPr>
      </w:pPr>
      <w:r>
        <w:rPr>
          <w:noProof/>
          <w:lang w:eastAsia="lt-LT"/>
        </w:rPr>
        <mc:AlternateContent>
          <mc:Choice Requires="wpg">
            <w:drawing>
              <wp:anchor distT="0" distB="0" distL="114300" distR="114300" simplePos="0" relativeHeight="251659264" behindDoc="0" locked="0" layoutInCell="1" allowOverlap="1" wp14:anchorId="6168EB2F" wp14:editId="1DC542EA">
                <wp:simplePos x="0" y="0"/>
                <wp:positionH relativeFrom="column">
                  <wp:posOffset>-32385</wp:posOffset>
                </wp:positionH>
                <wp:positionV relativeFrom="paragraph">
                  <wp:posOffset>99695</wp:posOffset>
                </wp:positionV>
                <wp:extent cx="6169660" cy="3092450"/>
                <wp:effectExtent l="0" t="0" r="21590" b="12700"/>
                <wp:wrapNone/>
                <wp:docPr id="2" name="Grupė 2"/>
                <wp:cNvGraphicFramePr/>
                <a:graphic xmlns:a="http://schemas.openxmlformats.org/drawingml/2006/main">
                  <a:graphicData uri="http://schemas.microsoft.com/office/word/2010/wordprocessingGroup">
                    <wpg:wgp>
                      <wpg:cNvGrpSpPr/>
                      <wpg:grpSpPr>
                        <a:xfrm>
                          <a:off x="0" y="0"/>
                          <a:ext cx="6169660" cy="3092450"/>
                          <a:chOff x="0" y="0"/>
                          <a:chExt cx="5992070" cy="3092588"/>
                        </a:xfrm>
                      </wpg:grpSpPr>
                      <wpg:grpSp>
                        <wpg:cNvPr id="22" name="Group 15"/>
                        <wpg:cNvGrpSpPr/>
                        <wpg:grpSpPr>
                          <a:xfrm>
                            <a:off x="0" y="0"/>
                            <a:ext cx="5992070" cy="3092588"/>
                            <a:chOff x="0" y="0"/>
                            <a:chExt cx="5992070" cy="3092588"/>
                          </a:xfrm>
                        </wpg:grpSpPr>
                        <wps:wsp>
                          <wps:cNvPr id="26" name="Rectangle 2"/>
                          <wps:cNvSpPr/>
                          <wps:spPr>
                            <a:xfrm>
                              <a:off x="0" y="371502"/>
                              <a:ext cx="2146836" cy="1228653"/>
                            </a:xfrm>
                            <a:prstGeom prst="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txbx>
                            <w:txbxContent>
                              <w:p w:rsidR="003C3EA6" w:rsidRDefault="003C3EA6">
                                <w:pPr>
                                  <w:ind w:firstLine="720"/>
                                  <w:rPr>
                                    <w:color w:val="000000"/>
                                    <w:sz w:val="20"/>
                                  </w:rPr>
                                </w:pPr>
                                <w:r>
                                  <w:rPr>
                                    <w:color w:val="000000"/>
                                    <w:sz w:val="20"/>
                                  </w:rPr>
                                  <w:t>Energijos naudojimo veiksmingumo didinimas ir šilumos energijos gamybai naudojamų kuro deginimo įrenginių sukeliamos taršos mažinimas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4"/>
                          <wps:cNvSpPr/>
                          <wps:spPr>
                            <a:xfrm>
                              <a:off x="0" y="1662778"/>
                              <a:ext cx="2146836" cy="695325"/>
                            </a:xfrm>
                            <a:prstGeom prst="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txbx>
                            <w:txbxContent>
                              <w:p w:rsidR="003C3EA6" w:rsidRDefault="003C3EA6">
                                <w:pPr>
                                  <w:ind w:firstLine="720"/>
                                  <w:rPr>
                                    <w:color w:val="000000"/>
                                    <w:sz w:val="20"/>
                                    <w:lang w:val="en-US"/>
                                  </w:rPr>
                                </w:pPr>
                                <w:r>
                                  <w:rPr>
                                    <w:color w:val="000000"/>
                                    <w:sz w:val="20"/>
                                  </w:rPr>
                                  <w:t>Transporto</w:t>
                                </w:r>
                                <w:r>
                                  <w:rPr>
                                    <w:color w:val="000000"/>
                                    <w:sz w:val="20"/>
                                    <w:lang w:val="en-US"/>
                                  </w:rPr>
                                  <w:t xml:space="preserve"> </w:t>
                                </w:r>
                                <w:r>
                                  <w:rPr>
                                    <w:color w:val="000000"/>
                                    <w:sz w:val="20"/>
                                  </w:rPr>
                                  <w:t>priemonių sukeliamos taršos mažinimas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6"/>
                          <wps:cNvSpPr/>
                          <wps:spPr>
                            <a:xfrm>
                              <a:off x="0" y="2390674"/>
                              <a:ext cx="2146836" cy="701775"/>
                            </a:xfrm>
                            <a:prstGeom prst="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txbx>
                            <w:txbxContent>
                              <w:p w:rsidR="003C3EA6" w:rsidRDefault="003C3EA6">
                                <w:pPr>
                                  <w:ind w:firstLine="720"/>
                                  <w:rPr>
                                    <w:color w:val="000000"/>
                                    <w:sz w:val="20"/>
                                  </w:rPr>
                                </w:pPr>
                                <w:r>
                                  <w:rPr>
                                    <w:color w:val="000000"/>
                                    <w:sz w:val="20"/>
                                  </w:rPr>
                                  <w:t>Geriausių prieinamų gamybos, darnaus susisiekimo paslaugų organizavimo būdų ir technologijų diegimas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7"/>
                          <wps:cNvSpPr/>
                          <wps:spPr>
                            <a:xfrm>
                              <a:off x="0" y="27"/>
                              <a:ext cx="2146836" cy="314238"/>
                            </a:xfrm>
                            <a:prstGeom prst="rect">
                              <a:avLst/>
                            </a:prstGeom>
                            <a:solidFill>
                              <a:schemeClr val="tx2">
                                <a:lumMod val="50000"/>
                              </a:schemeClr>
                            </a:solidFill>
                            <a:ln w="12700">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ind w:firstLine="720"/>
                                  <w:rPr>
                                    <w:color w:val="FFFFFF"/>
                                    <w:sz w:val="20"/>
                                  </w:rPr>
                                </w:pPr>
                                <w:r>
                                  <w:rPr>
                                    <w:color w:val="FFFFFF"/>
                                    <w:sz w:val="20"/>
                                  </w:rPr>
                                  <w:t>PRIORITETAI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8"/>
                          <wps:cNvSpPr/>
                          <wps:spPr>
                            <a:xfrm>
                              <a:off x="2509790" y="0"/>
                              <a:ext cx="3482280" cy="314265"/>
                            </a:xfrm>
                            <a:prstGeom prst="rect">
                              <a:avLst/>
                            </a:prstGeom>
                            <a:solidFill>
                              <a:schemeClr val="tx2">
                                <a:lumMod val="50000"/>
                              </a:schemeClr>
                            </a:solidFill>
                            <a:ln w="12700">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ind w:firstLine="720"/>
                                  <w:rPr>
                                    <w:color w:val="FFFFFF"/>
                                    <w:sz w:val="20"/>
                                  </w:rPr>
                                </w:pPr>
                                <w:r>
                                  <w:rPr>
                                    <w:color w:val="FFFFFF"/>
                                    <w:sz w:val="20"/>
                                  </w:rPr>
                                  <w:t>PRIORITETŲ ĮGYVENDINIMO PRIEMONĖS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9"/>
                          <wps:cNvSpPr/>
                          <wps:spPr>
                            <a:xfrm>
                              <a:off x="2509790" y="371502"/>
                              <a:ext cx="3481214" cy="1228653"/>
                            </a:xfrm>
                            <a:prstGeom prst="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txbx>
                            <w:txbxContent>
                              <w:p w:rsidR="003C3EA6" w:rsidRDefault="003C3EA6">
                                <w:pPr>
                                  <w:ind w:left="142" w:hanging="142"/>
                                  <w:rPr>
                                    <w:color w:val="000000"/>
                                    <w:sz w:val="20"/>
                                  </w:rPr>
                                </w:pPr>
                                <w:r>
                                  <w:rPr>
                                    <w:rFonts w:ascii="Symbol" w:hAnsi="Symbol"/>
                                    <w:color w:val="000000"/>
                                    <w:sz w:val="20"/>
                                  </w:rPr>
                                  <w:t></w:t>
                                </w:r>
                                <w:r>
                                  <w:rPr>
                                    <w:rFonts w:ascii="Symbol" w:hAnsi="Symbol"/>
                                    <w:color w:val="000000"/>
                                    <w:sz w:val="20"/>
                                  </w:rPr>
                                  <w:t></w:t>
                                </w:r>
                                <w:r>
                                  <w:rPr>
                                    <w:color w:val="000000"/>
                                    <w:sz w:val="20"/>
                                  </w:rPr>
                                  <w:t>Kietojo kuro vartojimo, kurą deginančių įrenginių eksploatavimo reikalavimų griežtinimas</w:t>
                                </w:r>
                              </w:p>
                              <w:p w:rsidR="003C3EA6" w:rsidRDefault="003C3EA6">
                                <w:pPr>
                                  <w:ind w:left="142" w:hanging="142"/>
                                  <w:rPr>
                                    <w:color w:val="000000"/>
                                    <w:sz w:val="20"/>
                                  </w:rPr>
                                </w:pPr>
                                <w:r>
                                  <w:rPr>
                                    <w:rFonts w:ascii="Symbol" w:hAnsi="Symbol"/>
                                    <w:color w:val="000000"/>
                                    <w:sz w:val="20"/>
                                  </w:rPr>
                                  <w:t></w:t>
                                </w:r>
                                <w:r>
                                  <w:rPr>
                                    <w:rFonts w:ascii="Symbol" w:hAnsi="Symbol"/>
                                    <w:color w:val="000000"/>
                                    <w:sz w:val="20"/>
                                  </w:rPr>
                                  <w:t></w:t>
                                </w:r>
                                <w:r>
                                  <w:rPr>
                                    <w:color w:val="000000"/>
                                    <w:sz w:val="20"/>
                                  </w:rPr>
                                  <w:t>Centralizuoto šilumos tiekimo sistemų plėtojimas</w:t>
                                </w:r>
                              </w:p>
                              <w:p w:rsidR="003C3EA6" w:rsidRDefault="003C3EA6">
                                <w:pPr>
                                  <w:ind w:left="142" w:hanging="142"/>
                                  <w:rPr>
                                    <w:color w:val="000000"/>
                                    <w:sz w:val="20"/>
                                  </w:rPr>
                                </w:pPr>
                                <w:r>
                                  <w:rPr>
                                    <w:rFonts w:ascii="Symbol" w:hAnsi="Symbol"/>
                                    <w:color w:val="000000"/>
                                    <w:sz w:val="20"/>
                                  </w:rPr>
                                  <w:t></w:t>
                                </w:r>
                                <w:r>
                                  <w:rPr>
                                    <w:rFonts w:ascii="Symbol" w:hAnsi="Symbol"/>
                                    <w:color w:val="000000"/>
                                    <w:sz w:val="20"/>
                                  </w:rPr>
                                  <w:t></w:t>
                                </w:r>
                                <w:r>
                                  <w:rPr>
                                    <w:color w:val="000000"/>
                                    <w:sz w:val="20"/>
                                  </w:rPr>
                                  <w:t>Teisinių ir finansinių priemonių panaudojimas užtikrinant naujų šilumos vartotojų aprūpinimą šilumos energija centralizuotai arba šilumos gamybai panaudojant netaršias gamybos technologijas (elektros, saulės ar geoterminę energiją)</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Rectangle 10"/>
                          <wps:cNvSpPr/>
                          <wps:spPr>
                            <a:xfrm>
                              <a:off x="2509790" y="1646589"/>
                              <a:ext cx="3482280" cy="695325"/>
                            </a:xfrm>
                            <a:prstGeom prst="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txbx>
                            <w:txbxContent>
                              <w:p w:rsidR="003C3EA6" w:rsidRDefault="003C3EA6">
                                <w:pPr>
                                  <w:ind w:left="142" w:hanging="153"/>
                                  <w:rPr>
                                    <w:color w:val="000000"/>
                                    <w:sz w:val="20"/>
                                  </w:rPr>
                                </w:pPr>
                                <w:r>
                                  <w:rPr>
                                    <w:rFonts w:ascii="Symbol" w:hAnsi="Symbol"/>
                                    <w:color w:val="000000"/>
                                    <w:sz w:val="20"/>
                                  </w:rPr>
                                  <w:t></w:t>
                                </w:r>
                                <w:r>
                                  <w:rPr>
                                    <w:rFonts w:ascii="Symbol" w:hAnsi="Symbol"/>
                                    <w:color w:val="000000"/>
                                    <w:sz w:val="20"/>
                                  </w:rPr>
                                  <w:t></w:t>
                                </w:r>
                                <w:r>
                                  <w:rPr>
                                    <w:color w:val="000000"/>
                                    <w:sz w:val="20"/>
                                  </w:rPr>
                                  <w:t>Vidaus degimo varikliais varomų transporto priemonių naudojimo mažinimas</w:t>
                                </w:r>
                              </w:p>
                              <w:p w:rsidR="003C3EA6" w:rsidRDefault="003C3EA6">
                                <w:pPr>
                                  <w:ind w:left="142" w:hanging="153"/>
                                  <w:rPr>
                                    <w:color w:val="000000"/>
                                    <w:sz w:val="20"/>
                                  </w:rPr>
                                </w:pPr>
                                <w:r>
                                  <w:rPr>
                                    <w:rFonts w:ascii="Symbol" w:hAnsi="Symbol"/>
                                    <w:color w:val="000000"/>
                                    <w:sz w:val="20"/>
                                  </w:rPr>
                                  <w:t></w:t>
                                </w:r>
                                <w:r>
                                  <w:rPr>
                                    <w:rFonts w:ascii="Symbol" w:hAnsi="Symbol"/>
                                    <w:color w:val="000000"/>
                                    <w:sz w:val="20"/>
                                  </w:rPr>
                                  <w:t></w:t>
                                </w:r>
                                <w:r>
                                  <w:rPr>
                                    <w:color w:val="000000"/>
                                    <w:sz w:val="20"/>
                                  </w:rPr>
                                  <w:t>Elektrinių transporto priemonių naudojimo didinimas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12"/>
                          <wps:cNvSpPr/>
                          <wps:spPr>
                            <a:xfrm>
                              <a:off x="2509790" y="2389458"/>
                              <a:ext cx="3481742" cy="703130"/>
                            </a:xfrm>
                            <a:prstGeom prst="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txbx>
                            <w:txbxContent>
                              <w:p w:rsidR="003C3EA6" w:rsidRDefault="003C3EA6">
                                <w:pPr>
                                  <w:ind w:left="142" w:hanging="153"/>
                                  <w:rPr>
                                    <w:color w:val="000000"/>
                                    <w:sz w:val="20"/>
                                    <w:lang w:val="en-GB"/>
                                  </w:rPr>
                                </w:pPr>
                                <w:r>
                                  <w:rPr>
                                    <w:rFonts w:ascii="Symbol" w:hAnsi="Symbol"/>
                                    <w:color w:val="000000"/>
                                    <w:sz w:val="20"/>
                                    <w:lang w:val="en-GB"/>
                                  </w:rPr>
                                  <w:t></w:t>
                                </w:r>
                                <w:r>
                                  <w:rPr>
                                    <w:rFonts w:ascii="Symbol" w:hAnsi="Symbol"/>
                                    <w:color w:val="000000"/>
                                    <w:sz w:val="20"/>
                                    <w:lang w:val="en-GB"/>
                                  </w:rPr>
                                  <w:t></w:t>
                                </w:r>
                                <w:r>
                                  <w:rPr>
                                    <w:color w:val="000000"/>
                                    <w:sz w:val="20"/>
                                  </w:rPr>
                                  <w:t>Geriausių prieinamų gamybos būdų ir technologijų diegimo didinimas</w:t>
                                </w:r>
                              </w:p>
                              <w:p w:rsidR="003C3EA6" w:rsidRDefault="003C3EA6">
                                <w:pPr>
                                  <w:ind w:left="142" w:hanging="153"/>
                                  <w:rPr>
                                    <w:color w:val="000000"/>
                                    <w:sz w:val="20"/>
                                    <w:lang w:val="en-GB"/>
                                  </w:rPr>
                                </w:pPr>
                                <w:r>
                                  <w:rPr>
                                    <w:rFonts w:ascii="Symbol" w:hAnsi="Symbol"/>
                                    <w:color w:val="000000"/>
                                    <w:sz w:val="20"/>
                                    <w:lang w:val="en-GB"/>
                                  </w:rPr>
                                  <w:t></w:t>
                                </w:r>
                                <w:r>
                                  <w:rPr>
                                    <w:rFonts w:ascii="Symbol" w:hAnsi="Symbol"/>
                                    <w:color w:val="000000"/>
                                    <w:sz w:val="20"/>
                                    <w:lang w:val="en-GB"/>
                                  </w:rPr>
                                  <w:t></w:t>
                                </w:r>
                                <w:r>
                                  <w:rPr>
                                    <w:color w:val="000000"/>
                                    <w:sz w:val="20"/>
                                  </w:rPr>
                                  <w:t xml:space="preserve">Geriausių darnaus susisiekimo paslaugų organizavimo būdų ir technologijų diegimo didinimas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3" name="Isosceles Triangle 16"/>
                        <wps:cNvSpPr/>
                        <wps:spPr>
                          <a:xfrm rot="5400000">
                            <a:off x="1989475" y="828703"/>
                            <a:ext cx="647700" cy="114300"/>
                          </a:xfrm>
                          <a:prstGeom prst="triangle">
                            <a:avLst/>
                          </a:prstGeom>
                          <a:solidFill>
                            <a:schemeClr val="bg1"/>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Isosceles Triangle 17"/>
                        <wps:cNvSpPr/>
                        <wps:spPr>
                          <a:xfrm rot="5400000">
                            <a:off x="1952006" y="1913290"/>
                            <a:ext cx="647700" cy="114300"/>
                          </a:xfrm>
                          <a:prstGeom prst="triangle">
                            <a:avLst/>
                          </a:prstGeom>
                          <a:solidFill>
                            <a:schemeClr val="bg1"/>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Isosceles Triangle 19"/>
                        <wps:cNvSpPr/>
                        <wps:spPr>
                          <a:xfrm rot="5400000">
                            <a:off x="2009168" y="2655979"/>
                            <a:ext cx="533373" cy="114300"/>
                          </a:xfrm>
                          <a:prstGeom prst="triangle">
                            <a:avLst/>
                          </a:prstGeom>
                          <a:solidFill>
                            <a:schemeClr val="bg1"/>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68EB2F" id="Grupė 2" o:spid="_x0000_s1026" style="position:absolute;left:0;text-align:left;margin-left:-2.55pt;margin-top:7.85pt;width:485.8pt;height:243.5pt;z-index:251659264;mso-width-relative:margin;mso-height-relative:margin" coordsize="59920,309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2QZtwUAACgvAAAOAAAAZHJzL2Uyb0RvYy54bWzsWttu4zYQfS/QfxD03ljU1TLiLIJsEyyQ boNNin1mZMoWKokqScfO/kh/qB/W4UiiZSdObW+wdRDlwdGFd82cOXPI0w/LIrcemJAZL8c2OXFs i5UJn2TldGz/cXf5y9C2pKLlhOa8ZGP7kUn7w9nPP50uqhFz+YznEyYsaKSUo0U1tmdKVaPBQCYz VlB5witWwsuUi4IquBXTwUTQBbRe5APXccLBgotJJXjCpISnH+uX9hm2n6YsUb+nqWTKysc2jE3h r8Dfe/07ODulo6mg1SxLmmHQA0ZR0KyETk1TH6mi1lxkT5oqskRwyVN1kvBiwNM0SxjOAWZDnI3Z XAk+r3Au09FiWpllgqXdWKeDm00+P9wIK5uMbde2SlrAJ7oS8+qfvy1Xr82imo6gyJWobqsb0TyY 1nd6ustUFPo/TMRa4qo+mlVlS2Ul8DAkYRyGsPgJvPOc2PWDZt2TGXycJ/WS2a9NzSCOXSfq1AyG Qz2qQdvxQI/PDMfcmHG3U+vMDVbUIsFrzW3bCOno1ecG/iFXJiC/zwRuZ7RiaFlSf992ncLWBr6A 49BymrPWDLCYsQE5kmAOWw3Ai0jgoP3QUWsFLvHDoQcdaCsgrjsMA2/tW9JRJaS6Yryw9MXYFjAG 9Cn6cC1V/dnbIrrrvLQWuqnIcbCY5Hk2uczyXL9EAGEXubAeKLi+WuJwwHA6peAuL8GaFlU7H7xS jzmr2//CUnANMGG37kCD0qpNmiSsVGEzibyE0rpaCiMwFclzFXNFmkpNWV2NIViZis2UXurR1MBe ealM5SIruXiu58mfpue6fDv7es56+mp5v0Q/l6N7PnkEyxC8Rk1ZJZcZfJlrKtUNFQCT4JkA/fB2 xsU321oAjI5t+decCmZb+acSjDQmvq9xF2/8IHLhRnTf3HfflPPigsPnIhA0qgQvdXmVt5ep4MVX QPxz3Su8omUCfY/tRIn25kLV8A4xI2Hn51gMsLai6rq8rRLduF4wbUl3y69UVI25KbDUz7x1DDra sLq6rK5Z8vO54mmGJqmXrF6nZinBSTX8/AhvjZ56q18D217eSsLQjSIE1i3uGsaB5yJmGuTtvRXQ yTjc/+qtGL3Rr1fG2Dttx8GPymmBD9c0axViMYTobweReNcQ63qxE0bo7lucNnJIFPVOe6QhtqHc faSFgHr8kTZ+6rTRAZHWxUpb/NUjvuutpzd7B9kOuX2WAmskzOfFb3xS0+LAgb+GixrGjPnVWkv7 MO2aFXvIsbpd+W1XOAKd9yExD9vHmpq3bHdzBK9C1BsqPqMT9l+T34PL19M1rLrm/nqZDTuvM4gX GEJb2dTQ1dOd+Hwnk3iJzyPYYLbVM4SjBxsP0ppNhoCwsDNDcAMnjmJo5qkW4/lDSL3hFWoxgDjh dzKENZwwDrxKunvEke8WcUwy2gsJHfnq+IQED+SWTcSJ96I3XcR5TvwD2CEgAPbi39juhOxDyEIr Nx5AFnYU/5AsNAJ5q229CTlBvTsF0DP7GisxgSCfP4grkNAPgyF6/ipHWWMMvRCIqckxawpGTOqD 7nEHXe9p0CXNnuuOSmA36oJ0EPvBhoivw27kA0hoth85HoHcort9ure+sI8Q0G+5ocCxT9Q1mtIb 8t2jirqr8wA/ag/OePEnyWXCciatO5HVW+fEYPF2Yb9mVgGqY7VG1BylIDE4NOj3OokfukPwXu26 q7gc+pHe+K6304nvGR2vPZLRbpW325vNqFCY2xBB9Ka7bvulZP5+2upUa6WOAxHeqbb3hmDiXW7Q Q8Jb59XPgYMB+4PAIdCH3xAcSEw8F9S+Hh00grVbCLUC2arzCG7vTYfr0eGoEwA4UPMCOuygv22l DgANMQnhoAFQBxD4A9gMWEeHwPO8CJgLHsXruUOPDnjcrj/cBwFkh8N9mGTAcWyUgpqj4/q8d/ce rrsH3M/+BQAA//8DAFBLAwQUAAYACAAAACEA2EzaqOAAAAAJAQAADwAAAGRycy9kb3ducmV2Lnht bEyPQUvDQBCF74L/YRnBW7tJZVON2ZRS1FMRbIXS2zSZJqHZ2ZDdJum/dz3p8c17vPdNtppMKwbq XWNZQzyPQBAXtmy40vC9f589g3AeucTWMmm4kYNVfn+XYVrakb9o2PlKhBJ2KWqove9SKV1Rk0E3 tx1x8M62N+iD7CtZ9jiGctPKRRQl0mDDYaHGjjY1FZfd1Wj4GHFcP8Vvw/Zy3tyOe/V52Mak9ePD tH4F4Wnyf2H4xQ/okAemk71y6USrYabikAx3tQQR/JckUSBOGlS0WILMM/n/g/wHAAD//wMAUEsB Ai0AFAAGAAgAAAAhALaDOJL+AAAA4QEAABMAAAAAAAAAAAAAAAAAAAAAAFtDb250ZW50X1R5cGVz XS54bWxQSwECLQAUAAYACAAAACEAOP0h/9YAAACUAQAACwAAAAAAAAAAAAAAAAAvAQAAX3JlbHMv LnJlbHNQSwECLQAUAAYACAAAACEAc/tkGbcFAAAoLwAADgAAAAAAAAAAAAAAAAAuAgAAZHJzL2Uy b0RvYy54bWxQSwECLQAUAAYACAAAACEA2EzaqOAAAAAJAQAADwAAAAAAAAAAAAAAAAARCAAAZHJz L2Rvd25yZXYueG1sUEsFBgAAAAAEAAQA8wAAAB4JAAAAAA== ">
                <v:group id="Group 15" o:spid="_x0000_s1027" style="position:absolute;width:59920;height:30925" coordsize="59920,30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zzNLwwAAANsAAAAPAAAAZHJzL2Rvd25yZXYueG1sRI9Bi8Iw FITvC/6H8ARva9qKy1KNIuKKBxFWF8Tbo3m2xealNNm2/nsjCB6HmfmGmS97U4mWGldaVhCPIxDE mdUl5wr+Tj+f3yCcR9ZYWSYFd3KwXAw+5phq2/EvtUefiwBhl6KCwvs6ldJlBRl0Y1sTB+9qG4M+ yCaXusEuwE0lkyj6kgZLDgsF1rQuKLsd/42CbYfdahJv2v3tur5fTtPDeR+TUqNhv5qB8NT7d/jV 3mkFSQLPL+EHyMUDAAD//wMAUEsBAi0AFAAGAAgAAAAhANvh9svuAAAAhQEAABMAAAAAAAAAAAAA AAAAAAAAAFtDb250ZW50X1R5cGVzXS54bWxQSwECLQAUAAYACAAAACEAWvQsW78AAAAVAQAACwAA AAAAAAAAAAAAAAAfAQAAX3JlbHMvLnJlbHNQSwECLQAUAAYACAAAACEAvM8zS8MAAADbAAAADwAA AAAAAAAAAAAAAAAHAgAAZHJzL2Rvd25yZXYueG1sUEsFBgAAAAADAAMAtwAAAPcCAAAAAA== ">
                  <v:rect id="Rectangle 2" o:spid="_x0000_s1028" style="position:absolute;top:3715;width:21468;height:1228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6noTwgAAANsAAAAPAAAAZHJzL2Rvd25yZXYueG1sRI9Bi8Iw FITvgv8hPMGbpirIUo2yKMKip3YVPD6aZxO2eSlN1nb//UZY2OMwM98w2/3gGvGkLljPChbzDARx 5bXlWsH18zR7AxEissbGMyn4oQD73Xi0xVz7ngt6lrEWCcIhRwUmxjaXMlSGHIa5b4mT9/Cdw5hk V0vdYZ/grpHLLFtLh5bTgsGWDoaqr/LbKZDcrmy5sr0vjnezuBWny/lxU2o6Gd43ICIN8T/81/7Q CpZreH1JP0DufgEAAP//AwBQSwECLQAUAAYACAAAACEA2+H2y+4AAACFAQAAEwAAAAAAAAAAAAAA AAAAAAAAW0NvbnRlbnRfVHlwZXNdLnhtbFBLAQItABQABgAIAAAAIQBa9CxbvwAAABUBAAALAAAA AAAAAAAAAAAAAB8BAABfcmVscy8ucmVsc1BLAQItABQABgAIAAAAIQAl6noTwgAAANsAAAAPAAAA AAAAAAAAAAAAAAcCAABkcnMvZG93bnJldi54bWxQSwUGAAAAAAMAAwC3AAAA9gIAAAAA " fillcolor="white [3201]" strokecolor="#1f497d [3215]" strokeweight="1pt">
                    <v:textbox>
                      <w:txbxContent>
                        <w:p w:rsidR="003C3EA6" w:rsidRDefault="003C3EA6">
                          <w:pPr>
                            <w:ind w:firstLine="720"/>
                            <w:rPr>
                              <w:color w:val="000000"/>
                              <w:sz w:val="20"/>
                            </w:rPr>
                          </w:pPr>
                          <w:r>
                            <w:rPr>
                              <w:color w:val="000000"/>
                              <w:sz w:val="20"/>
                            </w:rPr>
                            <w:t>Energijos naudojimo veiksmingumo didinimas ir šilumos energijos gamybai naudojamų kuro deginimo įrenginių sukeliamos taršos mažinimas</w:t>
                          </w:r>
                        </w:p>
                      </w:txbxContent>
                    </v:textbox>
                  </v:rect>
                  <v:rect id="Rectangle 4" o:spid="_x0000_s1029" style="position:absolute;top:16627;width:21468;height:695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pt+IwwAAANsAAAAPAAAAZHJzL2Rvd25yZXYueG1sRI9BawIx FITvBf9DeIK3mlWhytYoRRFKe9pVocfH5rkJ3bwsm9Rd/30jCB6HmfmGWW8H14grdcF6VjCbZiCI K68t1wpOx8PrCkSIyBobz6TgRgG2m9HLGnPtey7oWsZaJAiHHBWYGNtcylAZchimviVO3sV3DmOS XS11h32Cu0bOs+xNOrScFgy2tDNU/ZZ/ToHkdmHLhe19sf8xs3Nx+P66nJWajIePdxCRhvgMP9qf WsF8Cfcv6QfIzT8AAAD//wMAUEsBAi0AFAAGAAgAAAAhANvh9svuAAAAhQEAABMAAAAAAAAAAAAA AAAAAAAAAFtDb250ZW50X1R5cGVzXS54bWxQSwECLQAUAAYACAAAACEAWvQsW78AAAAVAQAACwAA AAAAAAAAAAAAAAAfAQAAX3JlbHMvLnJlbHNQSwECLQAUAAYACAAAACEASqbfiMMAAADbAAAADwAA AAAAAAAAAAAAAAAHAgAAZHJzL2Rvd25yZXYueG1sUEsFBgAAAAADAAMAtwAAAPcCAAAAAA== " fillcolor="white [3201]" strokecolor="#1f497d [3215]" strokeweight="1pt">
                    <v:textbox>
                      <w:txbxContent>
                        <w:p w:rsidR="003C3EA6" w:rsidRDefault="003C3EA6">
                          <w:pPr>
                            <w:ind w:firstLine="720"/>
                            <w:rPr>
                              <w:color w:val="000000"/>
                              <w:sz w:val="20"/>
                              <w:lang w:val="en-US"/>
                            </w:rPr>
                          </w:pPr>
                          <w:r>
                            <w:rPr>
                              <w:color w:val="000000"/>
                              <w:sz w:val="20"/>
                            </w:rPr>
                            <w:t>Transporto</w:t>
                          </w:r>
                          <w:r>
                            <w:rPr>
                              <w:color w:val="000000"/>
                              <w:sz w:val="20"/>
                              <w:lang w:val="en-US"/>
                            </w:rPr>
                            <w:t xml:space="preserve"> </w:t>
                          </w:r>
                          <w:r>
                            <w:rPr>
                              <w:color w:val="000000"/>
                              <w:sz w:val="20"/>
                            </w:rPr>
                            <w:t>priemonių sukeliamos taršos mažinimas</w:t>
                          </w:r>
                        </w:p>
                      </w:txbxContent>
                    </v:textbox>
                  </v:rect>
                  <v:rect id="Rectangle 6" o:spid="_x0000_s1030" style="position:absolute;top:23906;width:21468;height:701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OUv6vwAAANsAAAAPAAAAZHJzL2Rvd25yZXYueG1sRE9Ni8Iw EL0v+B/CCN7WVAWRahRRhMU9tSp4HJqxCTaT0mRt999vDgseH+97sxtcI17UBetZwWyagSCuvLZc K7heTp8rECEia2w8k4JfCrDbjj42mGvfc0GvMtYihXDIUYGJsc2lDJUhh2HqW+LEPXznMCbY1VJ3 2Kdw18h5li2lQ8upwWBLB0PVs/xxCiS3C1subO+L493MbsXp+/y4KTUZD/s1iEhDfIv/3V9awTyN TV/SD5DbPwAAAP//AwBQSwECLQAUAAYACAAAACEA2+H2y+4AAACFAQAAEwAAAAAAAAAAAAAAAAAA AAAAW0NvbnRlbnRfVHlwZXNdLnhtbFBLAQItABQABgAIAAAAIQBa9CxbvwAAABUBAAALAAAAAAAA AAAAAAAAAB8BAABfcmVscy8ucmVsc1BLAQItABQABgAIAAAAIQA7OUv6vwAAANsAAAAPAAAAAAAA AAAAAAAAAAcCAABkcnMvZG93bnJldi54bWxQSwUGAAAAAAMAAwC3AAAA8wIAAAAA " fillcolor="white [3201]" strokecolor="#1f497d [3215]" strokeweight="1pt">
                    <v:textbox>
                      <w:txbxContent>
                        <w:p w:rsidR="003C3EA6" w:rsidRDefault="003C3EA6">
                          <w:pPr>
                            <w:ind w:firstLine="720"/>
                            <w:rPr>
                              <w:color w:val="000000"/>
                              <w:sz w:val="20"/>
                            </w:rPr>
                          </w:pPr>
                          <w:r>
                            <w:rPr>
                              <w:color w:val="000000"/>
                              <w:sz w:val="20"/>
                            </w:rPr>
                            <w:t>Geriausių prieinamų gamybos, darnaus susisiekimo paslaugų organizavimo būdų ir technologijų diegimas</w:t>
                          </w:r>
                        </w:p>
                      </w:txbxContent>
                    </v:textbox>
                  </v:rect>
                  <v:rect id="Rectangle 7" o:spid="_x0000_s1031" style="position:absolute;width:21468;height:314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Lc3wwwAAANsAAAAPAAAAZHJzL2Rvd25yZXYueG1sRI9Ba8JA FITvhf6H5RW81Y2CrYnZiAiCV20RvL1mX7PB7Nuwu8bor+8WCj0OM/MNU65H24mBfGgdK5hNMxDE tdMtNwo+P3avSxAhImvsHJOCOwVYV89PJRba3fhAwzE2IkE4FKjAxNgXUobakMUwdT1x8r6dtxiT 9I3UHm8Jbjs5z7I3abHltGCwp62h+nK8WgUHfTJf4cw7vx1mdZ4vHkP7/lBq8jJuViAijfE//Nfe awXzHH6/pB8gqx8AAAD//wMAUEsBAi0AFAAGAAgAAAAhANvh9svuAAAAhQEAABMAAAAAAAAAAAAA AAAAAAAAAFtDb250ZW50X1R5cGVzXS54bWxQSwECLQAUAAYACAAAACEAWvQsW78AAAAVAQAACwAA AAAAAAAAAAAAAAAfAQAAX3JlbHMvLnJlbHNQSwECLQAUAAYACAAAACEABC3N8MMAAADbAAAADwAA AAAAAAAAAAAAAAAHAgAAZHJzL2Rvd25yZXYueG1sUEsFBgAAAAADAAMAtwAAAPcCAAAAAA== " fillcolor="#0f243e [1615]" strokecolor="#d6e3bc [1302]" strokeweight="1pt">
                    <v:textbox>
                      <w:txbxContent>
                        <w:p w:rsidR="003C3EA6" w:rsidRDefault="003C3EA6">
                          <w:pPr>
                            <w:ind w:firstLine="720"/>
                            <w:rPr>
                              <w:color w:val="FFFFFF"/>
                              <w:sz w:val="20"/>
                            </w:rPr>
                          </w:pPr>
                          <w:r>
                            <w:rPr>
                              <w:color w:val="FFFFFF"/>
                              <w:sz w:val="20"/>
                            </w:rPr>
                            <w:t>PRIORITETAI</w:t>
                          </w:r>
                        </w:p>
                      </w:txbxContent>
                    </v:textbox>
                  </v:rect>
                  <v:rect id="Rectangle 8" o:spid="_x0000_s1032" style="position:absolute;left:25097;width:34823;height:314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zvKwwAAAANsAAAAPAAAAZHJzL2Rvd25yZXYueG1sRE/Pa8Iw FL4P/B/CE7zN1MnmrEYRobBruzHw9tY8m2LzUpKsdv3rl8Ngx4/v9/442k4M5EPrWMFqmYEgrp1u uVHw8V48voIIEVlj55gU/FCA42H2sMdcuzuXNFSxESmEQ44KTIx9LmWoDVkMS9cTJ+7qvMWYoG+k 9nhP4baTT1n2Ii22nBoM9nQ2VN+qb6ug1J/mK1y48OdhVW+3z9PQbialFvPxtAMRaYz/4j/3m1aw TuvTl/QD5OEXAAD//wMAUEsBAi0AFAAGAAgAAAAhANvh9svuAAAAhQEAABMAAAAAAAAAAAAAAAAA AAAAAFtDb250ZW50X1R5cGVzXS54bWxQSwECLQAUAAYACAAAACEAWvQsW78AAAAVAQAACwAAAAAA AAAAAAAAAAAfAQAAX3JlbHMvLnJlbHNQSwECLQAUAAYACAAAACEAEM7ysMAAAADbAAAADwAAAAAA AAAAAAAAAAAHAgAAZHJzL2Rvd25yZXYueG1sUEsFBgAAAAADAAMAtwAAAPQCAAAAAA== " fillcolor="#0f243e [1615]" strokecolor="#d6e3bc [1302]" strokeweight="1pt">
                    <v:textbox>
                      <w:txbxContent>
                        <w:p w:rsidR="003C3EA6" w:rsidRDefault="003C3EA6">
                          <w:pPr>
                            <w:ind w:firstLine="720"/>
                            <w:rPr>
                              <w:color w:val="FFFFFF"/>
                              <w:sz w:val="20"/>
                            </w:rPr>
                          </w:pPr>
                          <w:r>
                            <w:rPr>
                              <w:color w:val="FFFFFF"/>
                              <w:sz w:val="20"/>
                            </w:rPr>
                            <w:t>PRIORITETŲ ĮGYVENDINIMO PRIEMONĖS</w:t>
                          </w:r>
                        </w:p>
                      </w:txbxContent>
                    </v:textbox>
                  </v:rect>
                  <v:rect id="Rectangle 9" o:spid="_x0000_s1033" style="position:absolute;left:25097;top:3715;width:34813;height:122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3gQ7xQAAANsAAAAPAAAAZHJzL2Rvd25yZXYueG1sRI9Ba8JA FITvBf/D8oTe6sYUiqSuIoJYIhaaFurxmX0mIdm3IbtNYn99tyB4HGbmG2a5Hk0jeupcZVnBfBaB IM6trrhQ8PW5e1qAcB5ZY2OZFFzJwXo1eVhiou3AH9RnvhABwi5BBaX3bSKly0sy6Ga2JQ7exXYG fZBdIXWHQ4CbRsZR9CINVhwWSmxpW1JeZz9GAe7HOrse6vRMx/Q9Pn2fit/GKvU4HTevIDyN/h6+ td+0guc5/H8JP0Cu/gAAAP//AwBQSwECLQAUAAYACAAAACEA2+H2y+4AAACFAQAAEwAAAAAAAAAA AAAAAAAAAAAAW0NvbnRlbnRfVHlwZXNdLnhtbFBLAQItABQABgAIAAAAIQBa9CxbvwAAABUBAAAL AAAAAAAAAAAAAAAAAB8BAABfcmVscy8ucmVsc1BLAQItABQABgAIAAAAIQDd3gQ7xQAAANsAAAAP AAAAAAAAAAAAAAAAAAcCAABkcnMvZG93bnJldi54bWxQSwUGAAAAAAMAAwC3AAAA+QIAAAAA " fillcolor="white [3201]" strokecolor="#1f497d [3215]" strokeweight="1pt">
                    <v:textbox>
                      <w:txbxContent>
                        <w:p w:rsidR="003C3EA6" w:rsidRDefault="003C3EA6">
                          <w:pPr>
                            <w:ind w:left="142" w:hanging="142"/>
                            <w:rPr>
                              <w:color w:val="000000"/>
                              <w:sz w:val="20"/>
                            </w:rPr>
                          </w:pPr>
                          <w:r>
                            <w:rPr>
                              <w:rFonts w:ascii="Symbol" w:hAnsi="Symbol"/>
                              <w:color w:val="000000"/>
                              <w:sz w:val="20"/>
                            </w:rPr>
                            <w:t></w:t>
                          </w:r>
                          <w:r>
                            <w:rPr>
                              <w:rFonts w:ascii="Symbol" w:hAnsi="Symbol"/>
                              <w:color w:val="000000"/>
                              <w:sz w:val="20"/>
                            </w:rPr>
                            <w:t></w:t>
                          </w:r>
                          <w:r>
                            <w:rPr>
                              <w:color w:val="000000"/>
                              <w:sz w:val="20"/>
                            </w:rPr>
                            <w:t>Kietojo kuro vartojimo, kurą deginančių įrenginių eksploatavimo reikalavimų griežtinimas</w:t>
                          </w:r>
                        </w:p>
                        <w:p w:rsidR="003C3EA6" w:rsidRDefault="003C3EA6">
                          <w:pPr>
                            <w:ind w:left="142" w:hanging="142"/>
                            <w:rPr>
                              <w:color w:val="000000"/>
                              <w:sz w:val="20"/>
                            </w:rPr>
                          </w:pPr>
                          <w:r>
                            <w:rPr>
                              <w:rFonts w:ascii="Symbol" w:hAnsi="Symbol"/>
                              <w:color w:val="000000"/>
                              <w:sz w:val="20"/>
                            </w:rPr>
                            <w:t></w:t>
                          </w:r>
                          <w:r>
                            <w:rPr>
                              <w:rFonts w:ascii="Symbol" w:hAnsi="Symbol"/>
                              <w:color w:val="000000"/>
                              <w:sz w:val="20"/>
                            </w:rPr>
                            <w:t></w:t>
                          </w:r>
                          <w:r>
                            <w:rPr>
                              <w:color w:val="000000"/>
                              <w:sz w:val="20"/>
                            </w:rPr>
                            <w:t>Centralizuoto šilumos tiekimo sistemų plėtojimas</w:t>
                          </w:r>
                        </w:p>
                        <w:p w:rsidR="003C3EA6" w:rsidRDefault="003C3EA6">
                          <w:pPr>
                            <w:ind w:left="142" w:hanging="142"/>
                            <w:rPr>
                              <w:color w:val="000000"/>
                              <w:sz w:val="20"/>
                            </w:rPr>
                          </w:pPr>
                          <w:r>
                            <w:rPr>
                              <w:rFonts w:ascii="Symbol" w:hAnsi="Symbol"/>
                              <w:color w:val="000000"/>
                              <w:sz w:val="20"/>
                            </w:rPr>
                            <w:t></w:t>
                          </w:r>
                          <w:r>
                            <w:rPr>
                              <w:rFonts w:ascii="Symbol" w:hAnsi="Symbol"/>
                              <w:color w:val="000000"/>
                              <w:sz w:val="20"/>
                            </w:rPr>
                            <w:t></w:t>
                          </w:r>
                          <w:r>
                            <w:rPr>
                              <w:color w:val="000000"/>
                              <w:sz w:val="20"/>
                            </w:rPr>
                            <w:t>Teisinių ir finansinių priemonių panaudojimas užtikrinant naujų šilumos vartotojų aprūpinimą šilumos energija centralizuotai arba šilumos gamybai panaudojant netaršias gamybos technologijas (elektros, saulės ar geoterminę energiją)</w:t>
                          </w:r>
                        </w:p>
                      </w:txbxContent>
                    </v:textbox>
                  </v:rect>
                  <v:rect id="Rectangle 10" o:spid="_x0000_s1034" style="position:absolute;left:25097;top:16465;width:34823;height:695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COrNwgAAANsAAAAPAAAAZHJzL2Rvd25yZXYueG1sRI9Ba8JA FITvBf/D8oTe6kYDRVJXKRWh1FOigsdH9pldmn0bsqtJ/71bEDwOM/MNs9qMrhU36oP1rGA+y0AQ 115bbhQcD7u3JYgQkTW2nknBHwXYrCcvKyy0H7ikWxUbkSAcClRgYuwKKUNtyGGY+Y44eRffO4xJ 9o3UPQ4J7lq5yLJ36dByWjDY0Zeh+re6OgWSu9xWuR18uT2b+anc7X8uJ6Vep+PnB4hIY3yGH+1v rSBfwP+X9APk+g4AAP//AwBQSwECLQAUAAYACAAAACEA2+H2y+4AAACFAQAAEwAAAAAAAAAAAAAA AAAAAAAAW0NvbnRlbnRfVHlwZXNdLnhtbFBLAQItABQABgAIAAAAIQBa9CxbvwAAABUBAAALAAAA AAAAAAAAAAAAAB8BAABfcmVscy8ucmVsc1BLAQItABQABgAIAAAAIQDfCOrNwgAAANsAAAAPAAAA AAAAAAAAAAAAAAcCAABkcnMvZG93bnJldi54bWxQSwUGAAAAAAMAAwC3AAAA9gIAAAAA " fillcolor="white [3201]" strokecolor="#1f497d [3215]" strokeweight="1pt">
                    <v:textbox>
                      <w:txbxContent>
                        <w:p w:rsidR="003C3EA6" w:rsidRDefault="003C3EA6">
                          <w:pPr>
                            <w:ind w:left="142" w:hanging="153"/>
                            <w:rPr>
                              <w:color w:val="000000"/>
                              <w:sz w:val="20"/>
                            </w:rPr>
                          </w:pPr>
                          <w:r>
                            <w:rPr>
                              <w:rFonts w:ascii="Symbol" w:hAnsi="Symbol"/>
                              <w:color w:val="000000"/>
                              <w:sz w:val="20"/>
                            </w:rPr>
                            <w:t></w:t>
                          </w:r>
                          <w:r>
                            <w:rPr>
                              <w:rFonts w:ascii="Symbol" w:hAnsi="Symbol"/>
                              <w:color w:val="000000"/>
                              <w:sz w:val="20"/>
                            </w:rPr>
                            <w:t></w:t>
                          </w:r>
                          <w:r>
                            <w:rPr>
                              <w:color w:val="000000"/>
                              <w:sz w:val="20"/>
                            </w:rPr>
                            <w:t>Vidaus degimo varikliais varomų transporto priemonių naudojimo mažinimas</w:t>
                          </w:r>
                        </w:p>
                        <w:p w:rsidR="003C3EA6" w:rsidRDefault="003C3EA6">
                          <w:pPr>
                            <w:ind w:left="142" w:hanging="153"/>
                            <w:rPr>
                              <w:color w:val="000000"/>
                              <w:sz w:val="20"/>
                            </w:rPr>
                          </w:pPr>
                          <w:r>
                            <w:rPr>
                              <w:rFonts w:ascii="Symbol" w:hAnsi="Symbol"/>
                              <w:color w:val="000000"/>
                              <w:sz w:val="20"/>
                            </w:rPr>
                            <w:t></w:t>
                          </w:r>
                          <w:r>
                            <w:rPr>
                              <w:rFonts w:ascii="Symbol" w:hAnsi="Symbol"/>
                              <w:color w:val="000000"/>
                              <w:sz w:val="20"/>
                            </w:rPr>
                            <w:t></w:t>
                          </w:r>
                          <w:r>
                            <w:rPr>
                              <w:color w:val="000000"/>
                              <w:sz w:val="20"/>
                            </w:rPr>
                            <w:t>Elektrinių transporto priemonių naudojimo didinimas</w:t>
                          </w:r>
                        </w:p>
                      </w:txbxContent>
                    </v:textbox>
                  </v:rect>
                  <v:rect id="Rectangle 12" o:spid="_x0000_s1035" style="position:absolute;left:25097;top:23894;width:34818;height:703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QD/XxQAAANsAAAAPAAAAZHJzL2Rvd25yZXYueG1sRI9Ba8JA FITvgv9heYXedNMIpaTZBBGkxdKCUajHZ/aZhGTfhuxWY399Vyh4HGbmGybNR9OJMw2usazgaR6B IC6tbrhSsN+tZy8gnEfW2FkmBVdykGfTSYqJthfe0rnwlQgQdgkqqL3vEyldWZNBN7c9cfBOdjDo gxwqqQe8BLjpZBxFz9Jgw2Ghxp5WNZVt8WMU4NvYFtePdnOkz81XfPg+VL+dVerxYVy+gvA0+nv4 v/2uFSwWcPsSfoDM/gAAAP//AwBQSwECLQAUAAYACAAAACEA2+H2y+4AAACFAQAAEwAAAAAAAAAA AAAAAAAAAAAAW0NvbnRlbnRfVHlwZXNdLnhtbFBLAQItABQABgAIAAAAIQBa9CxbvwAAABUBAAAL AAAAAAAAAAAAAAAAAB8BAABfcmVscy8ucmVsc1BLAQItABQABgAIAAAAIQBCQD/XxQAAANsAAAAP AAAAAAAAAAAAAAAAAAcCAABkcnMvZG93bnJldi54bWxQSwUGAAAAAAMAAwC3AAAA+QIAAAAA " fillcolor="white [3201]" strokecolor="#1f497d [3215]" strokeweight="1pt">
                    <v:textbox>
                      <w:txbxContent>
                        <w:p w:rsidR="003C3EA6" w:rsidRDefault="003C3EA6">
                          <w:pPr>
                            <w:ind w:left="142" w:hanging="153"/>
                            <w:rPr>
                              <w:color w:val="000000"/>
                              <w:sz w:val="20"/>
                              <w:lang w:val="en-GB"/>
                            </w:rPr>
                          </w:pPr>
                          <w:r>
                            <w:rPr>
                              <w:rFonts w:ascii="Symbol" w:hAnsi="Symbol"/>
                              <w:color w:val="000000"/>
                              <w:sz w:val="20"/>
                              <w:lang w:val="en-GB"/>
                            </w:rPr>
                            <w:t></w:t>
                          </w:r>
                          <w:r>
                            <w:rPr>
                              <w:rFonts w:ascii="Symbol" w:hAnsi="Symbol"/>
                              <w:color w:val="000000"/>
                              <w:sz w:val="20"/>
                              <w:lang w:val="en-GB"/>
                            </w:rPr>
                            <w:t></w:t>
                          </w:r>
                          <w:r>
                            <w:rPr>
                              <w:color w:val="000000"/>
                              <w:sz w:val="20"/>
                            </w:rPr>
                            <w:t>Geriausių prieinamų gamybos būdų ir technologijų diegimo didinimas</w:t>
                          </w:r>
                        </w:p>
                        <w:p w:rsidR="003C3EA6" w:rsidRDefault="003C3EA6">
                          <w:pPr>
                            <w:ind w:left="142" w:hanging="153"/>
                            <w:rPr>
                              <w:color w:val="000000"/>
                              <w:sz w:val="20"/>
                              <w:lang w:val="en-GB"/>
                            </w:rPr>
                          </w:pPr>
                          <w:r>
                            <w:rPr>
                              <w:rFonts w:ascii="Symbol" w:hAnsi="Symbol"/>
                              <w:color w:val="000000"/>
                              <w:sz w:val="20"/>
                              <w:lang w:val="en-GB"/>
                            </w:rPr>
                            <w:t></w:t>
                          </w:r>
                          <w:r>
                            <w:rPr>
                              <w:rFonts w:ascii="Symbol" w:hAnsi="Symbol"/>
                              <w:color w:val="000000"/>
                              <w:sz w:val="20"/>
                              <w:lang w:val="en-GB"/>
                            </w:rPr>
                            <w:t></w:t>
                          </w:r>
                          <w:r>
                            <w:rPr>
                              <w:color w:val="000000"/>
                              <w:sz w:val="20"/>
                            </w:rPr>
                            <w:t xml:space="preserve">Geriausių darnaus susisiekimo paslaugų organizavimo būdų ir technologijų diegimo didinimas </w:t>
                          </w:r>
                        </w:p>
                      </w:txbxContent>
                    </v:textbox>
                  </v:rec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36" type="#_x0000_t5" style="position:absolute;left:19894;top:8287;width:6477;height:1143;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h0omxQAAANsAAAAPAAAAZHJzL2Rvd25yZXYueG1sRI/RasJA FETfBf9huULfdBNDa5O6itoGCj5INR9wm70mwezdkN1q+vfdguDjMDNnmOV6MK24Uu8aywriWQSC uLS64UpBccqnryCcR9bYWiYFv+RgvRqPlphpe+Mvuh59JQKEXYYKau+7TEpX1mTQzWxHHLyz7Q36 IPtK6h5vAW5aOY+iF2mw4bBQY0e7msrL8cco2B9y+ZFWebE9PW/e0+47ieNFotTTZNi8gfA0+Ef4 3v7UCuYJ/H8JP0Cu/gAAAP//AwBQSwECLQAUAAYACAAAACEA2+H2y+4AAACFAQAAEwAAAAAAAAAA AAAAAAAAAAAAW0NvbnRlbnRfVHlwZXNdLnhtbFBLAQItABQABgAIAAAAIQBa9CxbvwAAABUBAAAL AAAAAAAAAAAAAAAAAB8BAABfcmVscy8ucmVsc1BLAQItABQABgAIAAAAIQBWh0omxQAAANsAAAAP AAAAAAAAAAAAAAAAAAcCAABkcnMvZG93bnJldi54bWxQSwUGAAAAAAMAAwC3AAAA+QIAAAAA " fillcolor="white [3212]" strokecolor="#1f497d [3215]" strokeweight="1pt"/>
                <v:shape id="Isosceles Triangle 17" o:spid="_x0000_s1037" type="#_x0000_t5" style="position:absolute;left:19520;top:19132;width:6477;height:1143;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btJSxQAAANsAAAAPAAAAZHJzL2Rvd25yZXYueG1sRI/dasJA FITvC77DcgTv6ibaWpO6in+BQi+kmgc4Zk+TYPZsyK6avr1bKPRymJlvmMWqN424UedqywricQSC uLC65lJBfsqe5yCcR9bYWCYFP+RgtRw8LTDV9s5fdDv6UgQIuxQVVN63qZSuqMigG9uWOHjftjPo g+xKqTu8B7hp5CSKZtJgzWGhwpa2FRWX49Uo+Dxkcp+UWb45va53SXuexvHbVKnRsF+/g/DU+//w X/tDK5i8wO+X8APk8gEAAP//AwBQSwECLQAUAAYACAAAACEA2+H2y+4AAACFAQAAEwAAAAAAAAAA AAAAAAAAAAAAW0NvbnRlbnRfVHlwZXNdLnhtbFBLAQItABQABgAIAAAAIQBa9CxbvwAAABUBAAAL AAAAAAAAAAAAAAAAAB8BAABfcmVscy8ucmVsc1BLAQItABQABgAIAAAAIQDZbtJSxQAAANsAAAAP AAAAAAAAAAAAAAAAAAcCAABkcnMvZG93bnJldi54bWxQSwUGAAAAAAMAAwC3AAAA+QIAAAAA " fillcolor="white [3212]" strokecolor="#1f497d [3215]" strokeweight="1pt"/>
                <v:shape id="Isosceles Triangle 19" o:spid="_x0000_s1038" type="#_x0000_t5" style="position:absolute;left:20092;top:26559;width:5334;height:1143;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InfJxAAAANsAAAAPAAAAZHJzL2Rvd25yZXYueG1sRI/RisIw FETfhf2HcAXfNK2iu1ajuGpB8EFW/YC7zbUtNjeliVr/frMg+DjMzBlmvmxNJe7UuNKygngQgSDO rC45V3A+pf0vEM4ja6wsk4InOVguPjpzTLR98A/djz4XAcIuQQWF93UipcsKMugGtiYO3sU2Bn2Q TS51g48AN5UcRtFEGiw5LBRY07qg7Hq8GQX7Qyq30zw9f5/Gq820/h3F8edIqV63Xc1AeGr9O/xq 77SC4Rj+v4QfIBd/AAAA//8DAFBLAQItABQABgAIAAAAIQDb4fbL7gAAAIUBAAATAAAAAAAAAAAA AAAAAAAAAABbQ29udGVudF9UeXBlc10ueG1sUEsBAi0AFAAGAAgAAAAhAFr0LFu/AAAAFQEAAAsA AAAAAAAAAAAAAAAAHwEAAF9yZWxzLy5yZWxzUEsBAi0AFAAGAAgAAAAhALYid8nEAAAA2wAAAA8A AAAAAAAAAAAAAAAABwIAAGRycy9kb3ducmV2LnhtbFBLBQYAAAAAAwADALcAAAD4AgAAAAA= " fillcolor="white [3212]" strokecolor="#1f497d [3215]" strokeweight="1pt"/>
              </v:group>
            </w:pict>
          </mc:Fallback>
        </mc:AlternateContent>
      </w:r>
    </w:p>
    <w:p w:rsidR="000E7C4C" w:rsidRDefault="000E7C4C">
      <w:pPr>
        <w:tabs>
          <w:tab w:val="left" w:pos="851"/>
          <w:tab w:val="left" w:pos="993"/>
        </w:tabs>
        <w:ind w:firstLine="720"/>
        <w:rPr>
          <w:color w:val="1F497D"/>
          <w:sz w:val="20"/>
        </w:rPr>
      </w:pPr>
    </w:p>
    <w:p w:rsidR="000E7C4C" w:rsidRDefault="000E7C4C">
      <w:pPr>
        <w:tabs>
          <w:tab w:val="left" w:pos="851"/>
          <w:tab w:val="left" w:pos="993"/>
        </w:tabs>
        <w:ind w:firstLine="720"/>
        <w:rPr>
          <w:color w:val="1F497D"/>
          <w:sz w:val="20"/>
        </w:rPr>
      </w:pPr>
    </w:p>
    <w:p w:rsidR="000E7C4C" w:rsidRDefault="000E7C4C">
      <w:pPr>
        <w:tabs>
          <w:tab w:val="left" w:pos="851"/>
          <w:tab w:val="left" w:pos="993"/>
        </w:tabs>
        <w:ind w:firstLine="720"/>
        <w:rPr>
          <w:color w:val="1F497D"/>
          <w:sz w:val="20"/>
        </w:rPr>
      </w:pPr>
    </w:p>
    <w:p w:rsidR="000E7C4C" w:rsidRDefault="000E7C4C">
      <w:pPr>
        <w:tabs>
          <w:tab w:val="left" w:pos="851"/>
          <w:tab w:val="left" w:pos="993"/>
        </w:tabs>
        <w:ind w:firstLine="720"/>
        <w:rPr>
          <w:color w:val="1F497D"/>
          <w:sz w:val="20"/>
        </w:rPr>
      </w:pPr>
    </w:p>
    <w:p w:rsidR="000E7C4C" w:rsidRDefault="000E7C4C">
      <w:pPr>
        <w:tabs>
          <w:tab w:val="left" w:pos="851"/>
          <w:tab w:val="left" w:pos="993"/>
        </w:tabs>
        <w:ind w:firstLine="720"/>
        <w:rPr>
          <w:color w:val="1F497D"/>
          <w:sz w:val="20"/>
        </w:rPr>
      </w:pPr>
    </w:p>
    <w:p w:rsidR="000E7C4C" w:rsidRDefault="000E7C4C">
      <w:pPr>
        <w:tabs>
          <w:tab w:val="left" w:pos="851"/>
          <w:tab w:val="left" w:pos="993"/>
        </w:tabs>
        <w:ind w:firstLine="720"/>
        <w:rPr>
          <w:color w:val="1F497D"/>
          <w:sz w:val="20"/>
        </w:rPr>
      </w:pPr>
    </w:p>
    <w:p w:rsidR="000E7C4C" w:rsidRDefault="000E7C4C">
      <w:pPr>
        <w:tabs>
          <w:tab w:val="left" w:pos="851"/>
          <w:tab w:val="left" w:pos="993"/>
        </w:tabs>
        <w:ind w:firstLine="720"/>
        <w:rPr>
          <w:color w:val="1F497D"/>
          <w:sz w:val="20"/>
        </w:rPr>
      </w:pPr>
    </w:p>
    <w:p w:rsidR="000E7C4C" w:rsidRDefault="000E7C4C">
      <w:pPr>
        <w:tabs>
          <w:tab w:val="left" w:pos="851"/>
          <w:tab w:val="left" w:pos="993"/>
        </w:tabs>
        <w:ind w:firstLine="720"/>
        <w:rPr>
          <w:color w:val="1F497D"/>
          <w:sz w:val="20"/>
        </w:rPr>
      </w:pPr>
    </w:p>
    <w:p w:rsidR="000E7C4C" w:rsidRDefault="000E7C4C">
      <w:pPr>
        <w:tabs>
          <w:tab w:val="left" w:pos="851"/>
          <w:tab w:val="left" w:pos="993"/>
        </w:tabs>
        <w:ind w:firstLine="720"/>
        <w:rPr>
          <w:color w:val="1F497D"/>
          <w:sz w:val="20"/>
        </w:rPr>
      </w:pPr>
    </w:p>
    <w:p w:rsidR="000E7C4C" w:rsidRDefault="000E7C4C">
      <w:pPr>
        <w:tabs>
          <w:tab w:val="left" w:pos="851"/>
          <w:tab w:val="left" w:pos="993"/>
        </w:tabs>
        <w:ind w:firstLine="720"/>
        <w:rPr>
          <w:color w:val="1F497D"/>
          <w:sz w:val="20"/>
        </w:rPr>
      </w:pPr>
    </w:p>
    <w:p w:rsidR="000E7C4C" w:rsidRDefault="000E7C4C">
      <w:pPr>
        <w:tabs>
          <w:tab w:val="left" w:pos="851"/>
          <w:tab w:val="left" w:pos="993"/>
        </w:tabs>
        <w:ind w:firstLine="720"/>
        <w:rPr>
          <w:color w:val="1F497D"/>
          <w:sz w:val="20"/>
        </w:rPr>
      </w:pPr>
    </w:p>
    <w:p w:rsidR="000E7C4C" w:rsidRDefault="000E7C4C">
      <w:pPr>
        <w:tabs>
          <w:tab w:val="left" w:pos="851"/>
          <w:tab w:val="left" w:pos="993"/>
        </w:tabs>
        <w:ind w:firstLine="720"/>
        <w:rPr>
          <w:color w:val="1F497D"/>
          <w:sz w:val="20"/>
        </w:rPr>
      </w:pPr>
    </w:p>
    <w:p w:rsidR="000E7C4C" w:rsidRDefault="000E7C4C">
      <w:pPr>
        <w:tabs>
          <w:tab w:val="left" w:pos="851"/>
          <w:tab w:val="left" w:pos="993"/>
        </w:tabs>
        <w:ind w:firstLine="720"/>
        <w:rPr>
          <w:color w:val="1F497D"/>
          <w:sz w:val="20"/>
        </w:rPr>
      </w:pPr>
    </w:p>
    <w:p w:rsidR="000E7C4C" w:rsidRDefault="000E7C4C">
      <w:pPr>
        <w:tabs>
          <w:tab w:val="left" w:pos="851"/>
          <w:tab w:val="left" w:pos="993"/>
        </w:tabs>
        <w:ind w:firstLine="720"/>
        <w:rPr>
          <w:color w:val="1F497D"/>
          <w:sz w:val="20"/>
        </w:rPr>
      </w:pPr>
    </w:p>
    <w:p w:rsidR="000E7C4C" w:rsidRDefault="000E7C4C">
      <w:pPr>
        <w:tabs>
          <w:tab w:val="left" w:pos="851"/>
          <w:tab w:val="left" w:pos="993"/>
        </w:tabs>
        <w:ind w:firstLine="720"/>
        <w:rPr>
          <w:color w:val="1F497D"/>
          <w:sz w:val="20"/>
        </w:rPr>
      </w:pPr>
    </w:p>
    <w:p w:rsidR="000E7C4C" w:rsidRDefault="000E7C4C">
      <w:pPr>
        <w:tabs>
          <w:tab w:val="left" w:pos="851"/>
          <w:tab w:val="left" w:pos="993"/>
        </w:tabs>
        <w:ind w:firstLine="720"/>
        <w:rPr>
          <w:color w:val="1F497D"/>
          <w:sz w:val="20"/>
        </w:rPr>
      </w:pPr>
    </w:p>
    <w:p w:rsidR="000E7C4C" w:rsidRDefault="000E7C4C">
      <w:pPr>
        <w:tabs>
          <w:tab w:val="left" w:pos="851"/>
          <w:tab w:val="left" w:pos="993"/>
        </w:tabs>
        <w:ind w:firstLine="720"/>
        <w:rPr>
          <w:color w:val="1F497D"/>
          <w:sz w:val="20"/>
        </w:rPr>
      </w:pPr>
    </w:p>
    <w:p w:rsidR="000E7C4C" w:rsidRDefault="000E7C4C">
      <w:pPr>
        <w:tabs>
          <w:tab w:val="left" w:pos="851"/>
          <w:tab w:val="left" w:pos="993"/>
        </w:tabs>
        <w:ind w:firstLine="720"/>
        <w:rPr>
          <w:color w:val="1F497D"/>
          <w:sz w:val="20"/>
        </w:rPr>
      </w:pPr>
    </w:p>
    <w:p w:rsidR="000E7C4C" w:rsidRDefault="000E7C4C">
      <w:pPr>
        <w:tabs>
          <w:tab w:val="left" w:pos="851"/>
          <w:tab w:val="left" w:pos="993"/>
        </w:tabs>
        <w:ind w:firstLine="720"/>
        <w:rPr>
          <w:color w:val="1F497D"/>
          <w:sz w:val="20"/>
        </w:rPr>
      </w:pPr>
    </w:p>
    <w:p w:rsidR="000E7C4C" w:rsidRDefault="000E7C4C">
      <w:pPr>
        <w:ind w:firstLine="567"/>
        <w:jc w:val="center"/>
        <w:rPr>
          <w:color w:val="000000"/>
          <w:sz w:val="20"/>
          <w:szCs w:val="21"/>
        </w:rPr>
      </w:pPr>
    </w:p>
    <w:p w:rsidR="000E7C4C" w:rsidRDefault="000E7C4C">
      <w:pPr>
        <w:ind w:firstLine="567"/>
        <w:jc w:val="center"/>
        <w:rPr>
          <w:color w:val="000000"/>
          <w:sz w:val="20"/>
          <w:szCs w:val="21"/>
        </w:rPr>
      </w:pPr>
    </w:p>
    <w:p w:rsidR="000E7C4C" w:rsidRDefault="003C3EA6">
      <w:pPr>
        <w:ind w:firstLine="567"/>
        <w:jc w:val="center"/>
        <w:rPr>
          <w:color w:val="000000"/>
          <w:szCs w:val="24"/>
        </w:rPr>
      </w:pPr>
      <w:r>
        <w:rPr>
          <w:color w:val="000000"/>
          <w:szCs w:val="24"/>
        </w:rPr>
        <w:t>1</w:t>
      </w:r>
      <w:r>
        <w:rPr>
          <w:color w:val="000000"/>
          <w:sz w:val="20"/>
          <w:szCs w:val="21"/>
        </w:rPr>
        <w:t xml:space="preserve"> </w:t>
      </w:r>
      <w:r>
        <w:rPr>
          <w:color w:val="000000"/>
          <w:szCs w:val="24"/>
        </w:rPr>
        <w:t>paveikslas. Aplinkos oro apsaugos prioritetai ir jų įgyvendinimo priemonės</w:t>
      </w:r>
    </w:p>
    <w:p w:rsidR="000E7C4C" w:rsidRDefault="003C3EA6">
      <w:pPr>
        <w:ind w:firstLine="567"/>
        <w:jc w:val="center"/>
        <w:rPr>
          <w:color w:val="000000"/>
          <w:szCs w:val="24"/>
        </w:rPr>
      </w:pPr>
      <w:r>
        <w:rPr>
          <w:color w:val="000000"/>
          <w:szCs w:val="24"/>
        </w:rPr>
        <w:t>(duomenų šaltinis: Aplinkos oro apsaugos</w:t>
      </w:r>
      <w:r>
        <w:rPr>
          <w:color w:val="1F497D"/>
          <w:szCs w:val="24"/>
        </w:rPr>
        <w:t xml:space="preserve"> </w:t>
      </w:r>
      <w:r>
        <w:rPr>
          <w:color w:val="000000"/>
          <w:szCs w:val="24"/>
        </w:rPr>
        <w:t>įstatymo 3 str.)</w:t>
      </w:r>
    </w:p>
    <w:p w:rsidR="000E7C4C" w:rsidRDefault="003C3EA6">
      <w:pPr>
        <w:ind w:firstLine="567"/>
        <w:jc w:val="center"/>
        <w:rPr>
          <w:color w:val="000000"/>
          <w:szCs w:val="24"/>
        </w:rPr>
      </w:pPr>
    </w:p>
    <w:p w:rsidR="000E7C4C" w:rsidRDefault="003C3EA6">
      <w:pPr>
        <w:tabs>
          <w:tab w:val="left" w:pos="851"/>
        </w:tabs>
        <w:ind w:firstLine="567"/>
        <w:jc w:val="both"/>
        <w:rPr>
          <w:szCs w:val="24"/>
        </w:rPr>
      </w:pPr>
      <w:r>
        <w:rPr>
          <w:szCs w:val="24"/>
        </w:rPr>
        <w:t>3</w:t>
      </w:r>
      <w:r>
        <w:rPr>
          <w:szCs w:val="24"/>
        </w:rPr>
        <w:t>.</w:t>
      </w:r>
      <w:r>
        <w:rPr>
          <w:szCs w:val="24"/>
        </w:rPr>
        <w:tab/>
        <w:t>Aplinkos oro apsaugos įstatyme nustatyti prioritetai apima kelias esmines sritis: šilumos ūkį, transporto priemonių ir susisiekimo paslaugų sektorių, gamybos sektorių. Pirmosios srities pagrindinėms priemonėms priskirtini veiksmai, kuriais siekiama griežtinti kietojo kuro vartojimo sąlygas ir plėtoti centralizuotą šilumos tiekimą. Antrosios srities priemonėmis siekiama mažinti naftos produktais varomų transporto priemonių naudojimą, tuo pat metu didinant elektra varomų transporto priemonių naudojimą. Trečioji sritis numato geriausių (aplinkos oro apsaugos požiūriu) prieinamų gamybos ir susisiekimo paslaugų organizavimo būdų ir technologijų diegimo didinimą.</w:t>
      </w:r>
    </w:p>
    <w:p w:rsidR="000E7C4C" w:rsidRDefault="003C3EA6">
      <w:pPr>
        <w:tabs>
          <w:tab w:val="left" w:pos="851"/>
        </w:tabs>
        <w:ind w:firstLine="567"/>
        <w:jc w:val="both"/>
        <w:rPr>
          <w:szCs w:val="24"/>
        </w:rPr>
      </w:pPr>
      <w:r>
        <w:rPr>
          <w:szCs w:val="24"/>
        </w:rPr>
        <w:t>4</w:t>
      </w:r>
      <w:r>
        <w:rPr>
          <w:szCs w:val="24"/>
        </w:rPr>
        <w:t>.</w:t>
      </w:r>
      <w:r>
        <w:rPr>
          <w:szCs w:val="24"/>
        </w:rPr>
        <w:tab/>
      </w:r>
      <w:r>
        <w:rPr>
          <w:b/>
          <w:color w:val="000000"/>
          <w:szCs w:val="24"/>
        </w:rPr>
        <w:t>Nacionalinės aplinkos apsaugos strategijos</w:t>
      </w:r>
      <w:r>
        <w:rPr>
          <w:color w:val="000000"/>
          <w:szCs w:val="24"/>
        </w:rPr>
        <w:t>, patvirtintos Lietuvos Respublikos Seimo 2015 m. balandžio 16 d. nutarimu Nr. XII-1626 „Dėl Nacionalinės aplinkos apsaugos strategijos patvirtinimo“ (toliau – NAAS), III skyriuje aplinkos orui priskirta viena iš keturių prioritetinių aplinkos apsaugos sričių – aplinkos kokybės gerinimo. NAAS IV skyriaus 9.2 papunktyje numatytas ilgalaikis tikslas – 2050 m. Lietuvos tarša neturi viršyti limitų, oro kokybė privalo atitikti nustatytus oro kokybės reikalavimus, t. y. neviršyti nustatytų ribinių verčių, ir nekelti rizikos žmonių sveikatai ir aplinkai.</w:t>
      </w:r>
    </w:p>
    <w:p w:rsidR="000E7C4C" w:rsidRDefault="003C3EA6">
      <w:pPr>
        <w:tabs>
          <w:tab w:val="left" w:pos="851"/>
        </w:tabs>
        <w:ind w:firstLine="567"/>
        <w:jc w:val="both"/>
        <w:rPr>
          <w:color w:val="000000"/>
          <w:szCs w:val="24"/>
          <w:lang w:eastAsia="lt-LT"/>
        </w:rPr>
      </w:pPr>
      <w:r>
        <w:rPr>
          <w:color w:val="000000"/>
          <w:szCs w:val="24"/>
          <w:lang w:eastAsia="lt-LT"/>
        </w:rPr>
        <w:t>5</w:t>
      </w:r>
      <w:r>
        <w:rPr>
          <w:color w:val="000000"/>
          <w:szCs w:val="24"/>
          <w:lang w:eastAsia="lt-LT"/>
        </w:rPr>
        <w:t>.</w:t>
      </w:r>
      <w:r>
        <w:rPr>
          <w:color w:val="000000"/>
          <w:szCs w:val="24"/>
          <w:lang w:eastAsia="lt-LT"/>
        </w:rPr>
        <w:tab/>
      </w:r>
      <w:r>
        <w:rPr>
          <w:color w:val="000000"/>
          <w:szCs w:val="24"/>
        </w:rPr>
        <w:t>NAAS 49 punkte iškeltas tikslas</w:t>
      </w:r>
      <w:r>
        <w:rPr>
          <w:b/>
          <w:color w:val="000000"/>
          <w:szCs w:val="24"/>
        </w:rPr>
        <w:t xml:space="preserve"> </w:t>
      </w:r>
      <w:r>
        <w:rPr>
          <w:color w:val="000000"/>
          <w:szCs w:val="24"/>
        </w:rPr>
        <w:t>oro kokybės apsaugos srityje – „</w:t>
      </w:r>
      <w:r>
        <w:rPr>
          <w:bCs/>
          <w:color w:val="000000"/>
          <w:szCs w:val="24"/>
          <w:lang w:eastAsia="lt-LT"/>
        </w:rPr>
        <w:t>užtikrinti, kad Lietuvoje į aplinkos orą išmetamų teršalų kiekis neviršytų tarptautiniuose ir Europos Sąjungos (toliau – ES) teisės aktuose nustatyto kiekio, oro teršalų koncentracija aplinkos ore neviršytų žmogaus sveikatai ir aplinkai nepavojingų aplinkos oro užterštumo lygių“</w:t>
      </w:r>
      <w:r>
        <w:rPr>
          <w:color w:val="000000"/>
          <w:szCs w:val="24"/>
          <w:lang w:eastAsia="lt-LT"/>
        </w:rPr>
        <w:t xml:space="preserve">. Siekiant šio tikslo ir vadovaujantis </w:t>
      </w:r>
      <w:r>
        <w:rPr>
          <w:color w:val="000000"/>
          <w:szCs w:val="24"/>
        </w:rPr>
        <w:t xml:space="preserve">1979 m. Tolimųjų tarpvalstybinių oro teršalų pernašų konvencijos 2012 metais atnaujintame 1999 m. Protokole dėl rūgštėjimo, eutrofikacijos ir pažemio ozono mažinimo (toliau – </w:t>
      </w:r>
      <w:r>
        <w:rPr>
          <w:color w:val="000000"/>
          <w:szCs w:val="24"/>
          <w:lang w:eastAsia="lt-LT"/>
        </w:rPr>
        <w:t xml:space="preserve">Geteborgo protokolas) Lietuvai nustatytais oro taršos mažinimo tikslais 2020 metams ir </w:t>
      </w:r>
      <w:r>
        <w:rPr>
          <w:color w:val="000000"/>
          <w:szCs w:val="24"/>
        </w:rPr>
        <w:t>2016 m. gruodžio 14 d. Europos Parlamento ir Tarybos direktyvoje (ES) 2016/2284 dėl tam tikrų valstybėse narėse į atmosferą išmetamų teršalų kiekio mažinimo, kuria iš dalies keičiama Direktyva 2003/35/EB ir panaikinama Direktyva 2001/81/EB (OL 2016 L 344, p. 1) (toliau – Direktyva (ES) 2016/2284), Lietuvai nurodytais taršos sumažinimo tikslais 2030 metams</w:t>
      </w:r>
      <w:r>
        <w:rPr>
          <w:color w:val="000000"/>
          <w:szCs w:val="24"/>
          <w:lang w:eastAsia="lt-LT"/>
        </w:rPr>
        <w:t>, NAAS nustatytose esminėse politikos įgyvendinimo kryptyse nustatyti tam tikrų išmetamų į aplinkos orą teršalų kiekio mažinimo tikslai 2020 m. ir 2030 m. (žr. 1 lent.) ir nurodytos pagrindinės sritys, kuriose turi būti imamasi veiksmų nurodytiems tikslams pasiekti.</w:t>
      </w:r>
    </w:p>
    <w:p w:rsidR="000E7C4C" w:rsidRDefault="003C3EA6">
      <w:pPr>
        <w:tabs>
          <w:tab w:val="left" w:pos="851"/>
        </w:tabs>
        <w:ind w:firstLine="567"/>
        <w:jc w:val="both"/>
        <w:rPr>
          <w:color w:val="000000"/>
          <w:szCs w:val="24"/>
        </w:rPr>
      </w:pPr>
      <w:r>
        <w:rPr>
          <w:color w:val="000000"/>
          <w:szCs w:val="24"/>
        </w:rPr>
        <w:t>6</w:t>
      </w:r>
      <w:r>
        <w:rPr>
          <w:color w:val="000000"/>
          <w:szCs w:val="24"/>
        </w:rPr>
        <w:t>.</w:t>
      </w:r>
      <w:r>
        <w:rPr>
          <w:color w:val="000000"/>
          <w:szCs w:val="24"/>
        </w:rPr>
        <w:tab/>
        <w:t>Pažymėtina, kad Direktyvoje (ES) 2016/2284 2020 m. tikslai atitinka Geteborgo protokole nustatytus oro taršos mažinimo tikslus.</w:t>
      </w:r>
    </w:p>
    <w:p w:rsidR="000E7C4C" w:rsidRDefault="000E7C4C">
      <w:pPr>
        <w:ind w:firstLine="567"/>
        <w:jc w:val="both"/>
        <w:rPr>
          <w:color w:val="000000"/>
          <w:szCs w:val="21"/>
        </w:rPr>
      </w:pPr>
    </w:p>
    <w:p w:rsidR="000E7C4C" w:rsidRDefault="003C3EA6">
      <w:pPr>
        <w:ind w:firstLine="720"/>
        <w:jc w:val="both"/>
        <w:rPr>
          <w:color w:val="000000"/>
          <w:szCs w:val="24"/>
        </w:rPr>
      </w:pPr>
      <w:r>
        <w:rPr>
          <w:color w:val="000000"/>
          <w:szCs w:val="24"/>
        </w:rPr>
        <w:t>1 lentelė. Lietuvai nustatyti išmetamų į aplinkos orą teršalų kiekio sumažinimo, palyginus su 2005 m., tikslai (proc.), juos atitinkančios didžiausio leistino išmetamo kiekio vertės 2020–2029 metais ir nuo 2030 m., faktiškai 2005 ir 2015 m. išmestas teršalų kiekis</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630"/>
        <w:gridCol w:w="1450"/>
        <w:gridCol w:w="1158"/>
        <w:gridCol w:w="1148"/>
        <w:gridCol w:w="1680"/>
        <w:gridCol w:w="1529"/>
        <w:gridCol w:w="1600"/>
      </w:tblGrid>
      <w:tr w:rsidR="000E7C4C">
        <w:trPr>
          <w:tblHeader/>
        </w:trPr>
        <w:tc>
          <w:tcPr>
            <w:tcW w:w="2977"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ind w:firstLine="720"/>
              <w:jc w:val="both"/>
              <w:rPr>
                <w:color w:val="FFFFFF"/>
                <w:sz w:val="20"/>
              </w:rPr>
            </w:pPr>
            <w:r>
              <w:rPr>
                <w:color w:val="FFFFFF"/>
                <w:sz w:val="20"/>
              </w:rPr>
              <w:t>Pavadinimas</w:t>
            </w:r>
          </w:p>
        </w:tc>
        <w:tc>
          <w:tcPr>
            <w:tcW w:w="1454"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ind w:firstLine="720"/>
              <w:jc w:val="center"/>
              <w:rPr>
                <w:bCs/>
                <w:color w:val="FFFFFF"/>
                <w:sz w:val="20"/>
                <w:lang w:eastAsia="en-GB"/>
              </w:rPr>
            </w:pPr>
            <w:r>
              <w:rPr>
                <w:bCs/>
                <w:color w:val="FFFFFF"/>
                <w:sz w:val="20"/>
                <w:lang w:eastAsia="en-GB"/>
              </w:rPr>
              <w:t>Matavimo vienetai</w:t>
            </w:r>
          </w:p>
        </w:tc>
        <w:tc>
          <w:tcPr>
            <w:tcW w:w="927"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ind w:firstLine="720"/>
              <w:jc w:val="center"/>
              <w:rPr>
                <w:bCs/>
                <w:color w:val="FFFFFF"/>
                <w:sz w:val="20"/>
                <w:lang w:eastAsia="en-GB"/>
              </w:rPr>
            </w:pPr>
            <w:r>
              <w:rPr>
                <w:bCs/>
                <w:color w:val="FFFFFF"/>
                <w:sz w:val="20"/>
                <w:lang w:eastAsia="en-GB"/>
              </w:rPr>
              <w:t>Sieros dioksidas (toliau – SO</w:t>
            </w:r>
            <w:r>
              <w:rPr>
                <w:bCs/>
                <w:color w:val="FFFFFF"/>
                <w:sz w:val="20"/>
                <w:vertAlign w:val="subscript"/>
                <w:lang w:eastAsia="en-GB"/>
              </w:rPr>
              <w:t>2</w:t>
            </w:r>
            <w:r>
              <w:rPr>
                <w:bCs/>
                <w:color w:val="FFFFFF"/>
                <w:sz w:val="20"/>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ind w:firstLine="720"/>
              <w:jc w:val="center"/>
              <w:rPr>
                <w:bCs/>
                <w:color w:val="FFFFFF"/>
                <w:sz w:val="20"/>
                <w:lang w:eastAsia="en-GB"/>
              </w:rPr>
            </w:pPr>
            <w:r>
              <w:rPr>
                <w:bCs/>
                <w:color w:val="FFFFFF"/>
                <w:sz w:val="20"/>
                <w:lang w:eastAsia="en-GB"/>
              </w:rPr>
              <w:t xml:space="preserve">Azoto oksidai (toliau – </w:t>
            </w:r>
            <w:proofErr w:type="spellStart"/>
            <w:r>
              <w:rPr>
                <w:bCs/>
                <w:color w:val="FFFFFF"/>
                <w:sz w:val="20"/>
                <w:lang w:eastAsia="en-GB"/>
              </w:rPr>
              <w:t>NO</w:t>
            </w:r>
            <w:r>
              <w:rPr>
                <w:bCs/>
                <w:color w:val="FFFFFF"/>
                <w:sz w:val="20"/>
                <w:vertAlign w:val="subscript"/>
                <w:lang w:eastAsia="en-GB"/>
              </w:rPr>
              <w:t>x</w:t>
            </w:r>
            <w:proofErr w:type="spellEnd"/>
            <w:r>
              <w:rPr>
                <w:bCs/>
                <w:color w:val="FFFFFF"/>
                <w:sz w:val="20"/>
                <w:lang w:eastAsia="en-GB"/>
              </w:rPr>
              <w:t>)</w:t>
            </w:r>
          </w:p>
        </w:tc>
        <w:tc>
          <w:tcPr>
            <w:tcW w:w="850"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ind w:firstLine="720"/>
              <w:jc w:val="center"/>
              <w:rPr>
                <w:bCs/>
                <w:color w:val="FFFFFF"/>
                <w:sz w:val="20"/>
                <w:lang w:eastAsia="en-GB"/>
              </w:rPr>
            </w:pPr>
            <w:r>
              <w:rPr>
                <w:bCs/>
                <w:color w:val="FFFFFF"/>
                <w:sz w:val="20"/>
                <w:lang w:eastAsia="en-GB"/>
              </w:rPr>
              <w:t>Nemetaniniai lakieji organiniai junginiai (toliau – NMLOJ)</w:t>
            </w:r>
          </w:p>
        </w:tc>
        <w:tc>
          <w:tcPr>
            <w:tcW w:w="85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ind w:firstLine="720"/>
              <w:jc w:val="center"/>
              <w:rPr>
                <w:bCs/>
                <w:color w:val="FFFFFF"/>
                <w:sz w:val="20"/>
                <w:lang w:eastAsia="en-GB"/>
              </w:rPr>
            </w:pPr>
            <w:r>
              <w:rPr>
                <w:bCs/>
                <w:color w:val="FFFFFF"/>
                <w:sz w:val="20"/>
                <w:lang w:eastAsia="en-GB"/>
              </w:rPr>
              <w:t>Amoniakas (toliau – NH</w:t>
            </w:r>
            <w:r>
              <w:rPr>
                <w:bCs/>
                <w:color w:val="FFFFFF"/>
                <w:sz w:val="20"/>
                <w:vertAlign w:val="subscript"/>
                <w:lang w:eastAsia="en-GB"/>
              </w:rPr>
              <w:t>3</w:t>
            </w:r>
            <w:r>
              <w:rPr>
                <w:bCs/>
                <w:color w:val="FFFFFF"/>
                <w:sz w:val="20"/>
                <w:lang w:eastAsia="en-GB"/>
              </w:rPr>
              <w:t>)</w:t>
            </w:r>
          </w:p>
        </w:tc>
        <w:tc>
          <w:tcPr>
            <w:tcW w:w="1757"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ind w:firstLine="720"/>
              <w:jc w:val="center"/>
              <w:rPr>
                <w:bCs/>
                <w:color w:val="FFFFFF"/>
                <w:sz w:val="20"/>
                <w:lang w:eastAsia="en-GB"/>
              </w:rPr>
            </w:pPr>
            <w:r>
              <w:rPr>
                <w:bCs/>
                <w:color w:val="FFFFFF"/>
                <w:sz w:val="20"/>
                <w:lang w:eastAsia="en-GB"/>
              </w:rPr>
              <w:t>Smulkiosios kietosios dalelės (toliau – KD</w:t>
            </w:r>
            <w:r>
              <w:rPr>
                <w:bCs/>
                <w:color w:val="FFFFFF"/>
                <w:sz w:val="20"/>
                <w:vertAlign w:val="subscript"/>
                <w:lang w:eastAsia="en-GB"/>
              </w:rPr>
              <w:t>2.5</w:t>
            </w:r>
            <w:r>
              <w:rPr>
                <w:bCs/>
                <w:color w:val="FFFFFF"/>
                <w:sz w:val="20"/>
                <w:lang w:eastAsia="en-GB"/>
              </w:rPr>
              <w:t>)</w:t>
            </w:r>
          </w:p>
        </w:tc>
      </w:tr>
      <w:tr w:rsidR="000E7C4C">
        <w:trPr>
          <w:tblHeader/>
        </w:trPr>
        <w:tc>
          <w:tcPr>
            <w:tcW w:w="297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rPr>
                <w:bCs/>
                <w:color w:val="000000"/>
                <w:sz w:val="20"/>
                <w:lang w:eastAsia="en-GB"/>
              </w:rPr>
            </w:pPr>
            <w:r>
              <w:rPr>
                <w:bCs/>
                <w:color w:val="000000"/>
                <w:sz w:val="20"/>
                <w:lang w:eastAsia="en-GB"/>
              </w:rPr>
              <w:t xml:space="preserve">Išmestas kiekis 2005 m. </w:t>
            </w:r>
          </w:p>
        </w:tc>
        <w:tc>
          <w:tcPr>
            <w:tcW w:w="1454"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iCs/>
                <w:color w:val="000000"/>
                <w:sz w:val="20"/>
                <w:lang w:eastAsia="en-GB"/>
              </w:rPr>
            </w:pPr>
            <w:r>
              <w:rPr>
                <w:iCs/>
                <w:color w:val="000000"/>
                <w:sz w:val="20"/>
                <w:lang w:eastAsia="en-GB"/>
              </w:rPr>
              <w:t>Tūkst. t</w:t>
            </w:r>
          </w:p>
        </w:tc>
        <w:tc>
          <w:tcPr>
            <w:tcW w:w="92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30,9</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60,3</w:t>
            </w:r>
          </w:p>
        </w:tc>
        <w:tc>
          <w:tcPr>
            <w:tcW w:w="850"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75</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32,4</w:t>
            </w:r>
          </w:p>
        </w:tc>
        <w:tc>
          <w:tcPr>
            <w:tcW w:w="175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20,2</w:t>
            </w:r>
          </w:p>
        </w:tc>
      </w:tr>
      <w:tr w:rsidR="000E7C4C">
        <w:trPr>
          <w:tblHeader/>
        </w:trPr>
        <w:tc>
          <w:tcPr>
            <w:tcW w:w="297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rPr>
                <w:bCs/>
                <w:color w:val="000000"/>
                <w:sz w:val="20"/>
                <w:lang w:eastAsia="en-GB"/>
              </w:rPr>
            </w:pPr>
            <w:r>
              <w:rPr>
                <w:bCs/>
                <w:color w:val="000000"/>
                <w:sz w:val="20"/>
                <w:lang w:eastAsia="en-GB"/>
              </w:rPr>
              <w:t>Išmestas kiekis 2015 m.</w:t>
            </w:r>
          </w:p>
        </w:tc>
        <w:tc>
          <w:tcPr>
            <w:tcW w:w="1454"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iCs/>
                <w:color w:val="000000"/>
                <w:sz w:val="20"/>
                <w:lang w:eastAsia="en-GB"/>
              </w:rPr>
            </w:pPr>
            <w:r>
              <w:rPr>
                <w:iCs/>
                <w:color w:val="000000"/>
                <w:sz w:val="20"/>
                <w:lang w:eastAsia="en-GB"/>
              </w:rPr>
              <w:t>Tūkst. t</w:t>
            </w:r>
          </w:p>
        </w:tc>
        <w:tc>
          <w:tcPr>
            <w:tcW w:w="92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18,2</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55</w:t>
            </w:r>
          </w:p>
        </w:tc>
        <w:tc>
          <w:tcPr>
            <w:tcW w:w="850"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59,4</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28,9</w:t>
            </w:r>
          </w:p>
        </w:tc>
        <w:tc>
          <w:tcPr>
            <w:tcW w:w="175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17,9</w:t>
            </w:r>
          </w:p>
        </w:tc>
      </w:tr>
      <w:tr w:rsidR="000E7C4C">
        <w:trPr>
          <w:tblHeader/>
        </w:trPr>
        <w:tc>
          <w:tcPr>
            <w:tcW w:w="2977" w:type="dxa"/>
            <w:vMerge w:val="restart"/>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rPr>
                <w:bCs/>
                <w:color w:val="000000"/>
                <w:sz w:val="20"/>
                <w:highlight w:val="green"/>
                <w:lang w:eastAsia="en-GB"/>
              </w:rPr>
            </w:pPr>
            <w:r>
              <w:rPr>
                <w:b/>
                <w:bCs/>
                <w:color w:val="000000"/>
                <w:sz w:val="20"/>
                <w:lang w:eastAsia="en-GB"/>
              </w:rPr>
              <w:t>Iki 2020 m.</w:t>
            </w:r>
            <w:r>
              <w:rPr>
                <w:bCs/>
                <w:color w:val="000000"/>
                <w:sz w:val="20"/>
                <w:lang w:eastAsia="en-GB"/>
              </w:rPr>
              <w:t xml:space="preserve"> sumažintinas išmetamo teršalo kiekis, palyginti su 2005 m</w:t>
            </w:r>
            <w:r>
              <w:rPr>
                <w:bCs/>
                <w:color w:val="000000"/>
                <w:sz w:val="20"/>
                <w:highlight w:val="green"/>
                <w:lang w:eastAsia="en-GB"/>
              </w:rPr>
              <w:t xml:space="preserve"> </w:t>
            </w:r>
          </w:p>
        </w:tc>
        <w:tc>
          <w:tcPr>
            <w:tcW w:w="1454"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b/>
                <w:iCs/>
                <w:color w:val="000000"/>
                <w:sz w:val="20"/>
                <w:lang w:eastAsia="en-GB"/>
              </w:rPr>
            </w:pPr>
            <w:r>
              <w:rPr>
                <w:b/>
                <w:iCs/>
                <w:color w:val="000000"/>
                <w:sz w:val="20"/>
                <w:lang w:eastAsia="en-GB"/>
              </w:rPr>
              <w:t>Proc.</w:t>
            </w:r>
          </w:p>
        </w:tc>
        <w:tc>
          <w:tcPr>
            <w:tcW w:w="92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b/>
                <w:iCs/>
                <w:color w:val="000000"/>
                <w:sz w:val="20"/>
                <w:lang w:eastAsia="en-GB"/>
              </w:rPr>
            </w:pPr>
            <w:r>
              <w:rPr>
                <w:b/>
                <w:iCs/>
                <w:color w:val="000000"/>
                <w:sz w:val="20"/>
                <w:lang w:eastAsia="en-GB"/>
              </w:rPr>
              <w:t>55</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b/>
                <w:iCs/>
                <w:color w:val="000000"/>
                <w:sz w:val="20"/>
                <w:lang w:eastAsia="en-GB"/>
              </w:rPr>
            </w:pPr>
            <w:r>
              <w:rPr>
                <w:b/>
                <w:iCs/>
                <w:color w:val="000000"/>
                <w:sz w:val="20"/>
                <w:lang w:eastAsia="en-GB"/>
              </w:rPr>
              <w:t>48</w:t>
            </w:r>
          </w:p>
        </w:tc>
        <w:tc>
          <w:tcPr>
            <w:tcW w:w="850"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b/>
                <w:iCs/>
                <w:color w:val="000000"/>
                <w:sz w:val="20"/>
                <w:lang w:eastAsia="en-GB"/>
              </w:rPr>
            </w:pPr>
            <w:r>
              <w:rPr>
                <w:b/>
                <w:iCs/>
                <w:color w:val="000000"/>
                <w:sz w:val="20"/>
                <w:lang w:eastAsia="en-GB"/>
              </w:rPr>
              <w:t>32</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b/>
                <w:iCs/>
                <w:color w:val="000000"/>
                <w:sz w:val="20"/>
                <w:lang w:eastAsia="en-GB"/>
              </w:rPr>
            </w:pPr>
            <w:r>
              <w:rPr>
                <w:b/>
                <w:iCs/>
                <w:color w:val="000000"/>
                <w:sz w:val="20"/>
                <w:lang w:eastAsia="en-GB"/>
              </w:rPr>
              <w:t>10</w:t>
            </w:r>
          </w:p>
        </w:tc>
        <w:tc>
          <w:tcPr>
            <w:tcW w:w="175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b/>
                <w:iCs/>
                <w:color w:val="000000"/>
                <w:sz w:val="20"/>
                <w:lang w:eastAsia="en-GB"/>
              </w:rPr>
            </w:pPr>
            <w:r>
              <w:rPr>
                <w:b/>
                <w:iCs/>
                <w:color w:val="000000"/>
                <w:sz w:val="20"/>
                <w:lang w:eastAsia="en-GB"/>
              </w:rPr>
              <w:t>20</w:t>
            </w:r>
          </w:p>
        </w:tc>
      </w:tr>
      <w:tr w:rsidR="000E7C4C">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bCs/>
                <w:color w:val="000000"/>
                <w:sz w:val="20"/>
                <w:highlight w:val="green"/>
                <w:lang w:eastAsia="en-GB"/>
              </w:rPr>
            </w:pPr>
          </w:p>
        </w:tc>
        <w:tc>
          <w:tcPr>
            <w:tcW w:w="1454"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iCs/>
                <w:color w:val="000000"/>
                <w:sz w:val="20"/>
                <w:lang w:eastAsia="en-GB"/>
              </w:rPr>
            </w:pPr>
            <w:r>
              <w:rPr>
                <w:iCs/>
                <w:color w:val="000000"/>
                <w:sz w:val="20"/>
                <w:lang w:eastAsia="en-GB"/>
              </w:rPr>
              <w:t>Tūkst. t</w:t>
            </w:r>
          </w:p>
        </w:tc>
        <w:tc>
          <w:tcPr>
            <w:tcW w:w="92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17</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28,9</w:t>
            </w:r>
          </w:p>
        </w:tc>
        <w:tc>
          <w:tcPr>
            <w:tcW w:w="850"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24</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3,2</w:t>
            </w:r>
          </w:p>
        </w:tc>
        <w:tc>
          <w:tcPr>
            <w:tcW w:w="175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4</w:t>
            </w:r>
          </w:p>
        </w:tc>
      </w:tr>
      <w:tr w:rsidR="000E7C4C">
        <w:trPr>
          <w:tblHeader/>
        </w:trPr>
        <w:tc>
          <w:tcPr>
            <w:tcW w:w="2977" w:type="dxa"/>
            <w:vMerge w:val="restart"/>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rPr>
                <w:bCs/>
                <w:color w:val="000000"/>
                <w:sz w:val="20"/>
                <w:highlight w:val="green"/>
                <w:lang w:eastAsia="en-GB"/>
              </w:rPr>
            </w:pPr>
            <w:r>
              <w:rPr>
                <w:b/>
                <w:bCs/>
                <w:color w:val="000000"/>
                <w:sz w:val="20"/>
                <w:lang w:eastAsia="en-GB"/>
              </w:rPr>
              <w:t>Iki 2030 m.</w:t>
            </w:r>
            <w:r>
              <w:rPr>
                <w:bCs/>
                <w:color w:val="000000"/>
                <w:sz w:val="20"/>
                <w:lang w:eastAsia="en-GB"/>
              </w:rPr>
              <w:t xml:space="preserve"> sumažintinas teršalo kiekis, palyginti su 2005 m</w:t>
            </w:r>
          </w:p>
        </w:tc>
        <w:tc>
          <w:tcPr>
            <w:tcW w:w="1454"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b/>
                <w:iCs/>
                <w:color w:val="000000"/>
                <w:sz w:val="20"/>
                <w:lang w:eastAsia="en-GB"/>
              </w:rPr>
            </w:pPr>
            <w:r>
              <w:rPr>
                <w:b/>
                <w:iCs/>
                <w:color w:val="000000"/>
                <w:sz w:val="20"/>
                <w:lang w:eastAsia="en-GB"/>
              </w:rPr>
              <w:t>Proc.</w:t>
            </w:r>
          </w:p>
        </w:tc>
        <w:tc>
          <w:tcPr>
            <w:tcW w:w="92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b/>
                <w:iCs/>
                <w:color w:val="000000"/>
                <w:sz w:val="20"/>
                <w:lang w:eastAsia="en-GB"/>
              </w:rPr>
            </w:pPr>
            <w:r>
              <w:rPr>
                <w:b/>
                <w:iCs/>
                <w:color w:val="000000"/>
                <w:sz w:val="20"/>
                <w:lang w:eastAsia="en-GB"/>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b/>
                <w:iCs/>
                <w:color w:val="000000"/>
                <w:sz w:val="20"/>
                <w:lang w:eastAsia="en-GB"/>
              </w:rPr>
            </w:pPr>
            <w:r>
              <w:rPr>
                <w:b/>
                <w:iCs/>
                <w:color w:val="000000"/>
                <w:sz w:val="20"/>
                <w:lang w:eastAsia="en-GB"/>
              </w:rPr>
              <w:t>51</w:t>
            </w:r>
          </w:p>
        </w:tc>
        <w:tc>
          <w:tcPr>
            <w:tcW w:w="850"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b/>
                <w:iCs/>
                <w:color w:val="000000"/>
                <w:sz w:val="20"/>
                <w:lang w:eastAsia="en-GB"/>
              </w:rPr>
            </w:pPr>
            <w:r>
              <w:rPr>
                <w:b/>
                <w:iCs/>
                <w:color w:val="000000"/>
                <w:sz w:val="20"/>
                <w:lang w:eastAsia="en-GB"/>
              </w:rPr>
              <w:t>47</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b/>
                <w:iCs/>
                <w:color w:val="000000"/>
                <w:sz w:val="20"/>
                <w:lang w:eastAsia="en-GB"/>
              </w:rPr>
            </w:pPr>
            <w:r>
              <w:rPr>
                <w:b/>
                <w:iCs/>
                <w:color w:val="000000"/>
                <w:sz w:val="20"/>
                <w:lang w:eastAsia="en-GB"/>
              </w:rPr>
              <w:t>10</w:t>
            </w:r>
          </w:p>
        </w:tc>
        <w:tc>
          <w:tcPr>
            <w:tcW w:w="175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b/>
                <w:iCs/>
                <w:color w:val="000000"/>
                <w:sz w:val="20"/>
                <w:lang w:eastAsia="en-GB"/>
              </w:rPr>
            </w:pPr>
            <w:r>
              <w:rPr>
                <w:b/>
                <w:iCs/>
                <w:color w:val="000000"/>
                <w:sz w:val="20"/>
                <w:lang w:eastAsia="en-GB"/>
              </w:rPr>
              <w:t>36</w:t>
            </w:r>
          </w:p>
        </w:tc>
      </w:tr>
      <w:tr w:rsidR="000E7C4C">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bCs/>
                <w:color w:val="000000"/>
                <w:sz w:val="20"/>
                <w:highlight w:val="green"/>
                <w:lang w:eastAsia="en-GB"/>
              </w:rPr>
            </w:pPr>
          </w:p>
        </w:tc>
        <w:tc>
          <w:tcPr>
            <w:tcW w:w="1454"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iCs/>
                <w:color w:val="000000"/>
                <w:sz w:val="20"/>
                <w:lang w:eastAsia="en-GB"/>
              </w:rPr>
            </w:pPr>
            <w:r>
              <w:rPr>
                <w:iCs/>
                <w:color w:val="000000"/>
                <w:sz w:val="20"/>
                <w:lang w:eastAsia="en-GB"/>
              </w:rPr>
              <w:t>Tūkst. t</w:t>
            </w:r>
          </w:p>
        </w:tc>
        <w:tc>
          <w:tcPr>
            <w:tcW w:w="92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18,5</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30,8</w:t>
            </w:r>
          </w:p>
        </w:tc>
        <w:tc>
          <w:tcPr>
            <w:tcW w:w="850"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35,3</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3,2</w:t>
            </w:r>
          </w:p>
        </w:tc>
        <w:tc>
          <w:tcPr>
            <w:tcW w:w="175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7,3</w:t>
            </w:r>
          </w:p>
        </w:tc>
      </w:tr>
      <w:tr w:rsidR="000E7C4C">
        <w:trPr>
          <w:tblHeader/>
        </w:trPr>
        <w:tc>
          <w:tcPr>
            <w:tcW w:w="297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rPr>
                <w:bCs/>
                <w:color w:val="000000"/>
                <w:sz w:val="20"/>
                <w:lang w:eastAsia="en-GB"/>
              </w:rPr>
            </w:pPr>
            <w:r>
              <w:rPr>
                <w:bCs/>
                <w:color w:val="000000"/>
                <w:sz w:val="20"/>
                <w:lang w:eastAsia="en-GB"/>
              </w:rPr>
              <w:t>Didžiausias leistinas išmetamo teršalo kiekis bet kuriais metais nuo 2020 m. iki 2029 m.</w:t>
            </w:r>
          </w:p>
        </w:tc>
        <w:tc>
          <w:tcPr>
            <w:tcW w:w="1454" w:type="dxa"/>
            <w:tcBorders>
              <w:top w:val="single" w:sz="4" w:space="0" w:color="auto"/>
              <w:left w:val="single" w:sz="4" w:space="0" w:color="auto"/>
              <w:bottom w:val="single" w:sz="4" w:space="0" w:color="auto"/>
              <w:right w:val="single" w:sz="4" w:space="0" w:color="auto"/>
            </w:tcBorders>
          </w:tcPr>
          <w:p w:rsidR="000E7C4C" w:rsidRDefault="000E7C4C">
            <w:pPr>
              <w:ind w:firstLine="720"/>
              <w:jc w:val="center"/>
              <w:rPr>
                <w:iCs/>
                <w:color w:val="000000"/>
                <w:sz w:val="20"/>
                <w:lang w:eastAsia="en-GB"/>
              </w:rPr>
            </w:pPr>
          </w:p>
          <w:p w:rsidR="000E7C4C" w:rsidRDefault="003C3EA6">
            <w:pPr>
              <w:ind w:firstLine="720"/>
              <w:jc w:val="center"/>
              <w:rPr>
                <w:iCs/>
                <w:color w:val="000000"/>
                <w:sz w:val="20"/>
                <w:lang w:eastAsia="en-GB"/>
              </w:rPr>
            </w:pPr>
            <w:r>
              <w:rPr>
                <w:iCs/>
                <w:color w:val="000000"/>
                <w:sz w:val="20"/>
                <w:lang w:eastAsia="en-GB"/>
              </w:rPr>
              <w:t>Tūkst. t</w:t>
            </w:r>
          </w:p>
        </w:tc>
        <w:tc>
          <w:tcPr>
            <w:tcW w:w="92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13,9</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31,4</w:t>
            </w:r>
          </w:p>
        </w:tc>
        <w:tc>
          <w:tcPr>
            <w:tcW w:w="850"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51</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29,2</w:t>
            </w:r>
          </w:p>
        </w:tc>
        <w:tc>
          <w:tcPr>
            <w:tcW w:w="175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16,2</w:t>
            </w:r>
          </w:p>
        </w:tc>
      </w:tr>
      <w:tr w:rsidR="000E7C4C">
        <w:trPr>
          <w:tblHeader/>
        </w:trPr>
        <w:tc>
          <w:tcPr>
            <w:tcW w:w="297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rPr>
                <w:bCs/>
                <w:color w:val="000000"/>
                <w:sz w:val="20"/>
                <w:lang w:eastAsia="en-GB"/>
              </w:rPr>
            </w:pPr>
            <w:r>
              <w:rPr>
                <w:bCs/>
                <w:color w:val="000000"/>
                <w:sz w:val="20"/>
                <w:lang w:eastAsia="en-GB"/>
              </w:rPr>
              <w:t>Didžiausias leistinas išmetamo teršalo kiekis nuo 2030 m.</w:t>
            </w:r>
          </w:p>
        </w:tc>
        <w:tc>
          <w:tcPr>
            <w:tcW w:w="1454"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iCs/>
                <w:color w:val="000000"/>
                <w:sz w:val="20"/>
                <w:lang w:eastAsia="en-GB"/>
              </w:rPr>
            </w:pPr>
            <w:r>
              <w:rPr>
                <w:iCs/>
                <w:color w:val="000000"/>
                <w:sz w:val="20"/>
                <w:lang w:eastAsia="en-GB"/>
              </w:rPr>
              <w:t>Tūkst. t</w:t>
            </w:r>
          </w:p>
        </w:tc>
        <w:tc>
          <w:tcPr>
            <w:tcW w:w="92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12,4</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29,5</w:t>
            </w:r>
          </w:p>
        </w:tc>
        <w:tc>
          <w:tcPr>
            <w:tcW w:w="850"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39,7</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29,2</w:t>
            </w:r>
          </w:p>
        </w:tc>
        <w:tc>
          <w:tcPr>
            <w:tcW w:w="175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12,9</w:t>
            </w:r>
          </w:p>
        </w:tc>
      </w:tr>
    </w:tbl>
    <w:p w:rsidR="000E7C4C" w:rsidRDefault="003C3EA6">
      <w:pPr>
        <w:ind w:firstLine="720"/>
        <w:jc w:val="center"/>
        <w:rPr>
          <w:sz w:val="20"/>
        </w:rPr>
      </w:pPr>
      <w:r>
        <w:rPr>
          <w:sz w:val="20"/>
        </w:rPr>
        <w:t>(Šaltinis: Šaltinis: NAAS 50–54 punktai ir Aplinkos apsaugos agentūros duomenys)</w:t>
      </w:r>
    </w:p>
    <w:p w:rsidR="000E7C4C" w:rsidRDefault="003C3EA6">
      <w:pPr>
        <w:ind w:firstLine="567"/>
        <w:jc w:val="both"/>
        <w:rPr>
          <w:color w:val="000000"/>
          <w:szCs w:val="24"/>
        </w:rPr>
      </w:pPr>
    </w:p>
    <w:p w:rsidR="000E7C4C" w:rsidRDefault="003C3EA6">
      <w:pPr>
        <w:tabs>
          <w:tab w:val="left" w:pos="851"/>
        </w:tabs>
        <w:ind w:firstLine="567"/>
        <w:jc w:val="both"/>
        <w:rPr>
          <w:color w:val="000000"/>
          <w:szCs w:val="24"/>
        </w:rPr>
      </w:pPr>
      <w:r>
        <w:rPr>
          <w:color w:val="000000"/>
          <w:szCs w:val="24"/>
        </w:rPr>
        <w:t>7</w:t>
      </w:r>
      <w:r>
        <w:rPr>
          <w:color w:val="000000"/>
          <w:szCs w:val="24"/>
        </w:rPr>
        <w:t>.</w:t>
      </w:r>
      <w:r>
        <w:rPr>
          <w:color w:val="000000"/>
          <w:szCs w:val="24"/>
        </w:rPr>
        <w:tab/>
        <w:t>Lietuvai nustatyti oro taršos mažinimo tikslai beveik visų teršalų (išskyrus NH</w:t>
      </w:r>
      <w:r>
        <w:rPr>
          <w:color w:val="000000"/>
          <w:szCs w:val="24"/>
          <w:vertAlign w:val="subscript"/>
        </w:rPr>
        <w:t>3</w:t>
      </w:r>
      <w:r>
        <w:rPr>
          <w:color w:val="000000"/>
          <w:szCs w:val="24"/>
        </w:rPr>
        <w:t xml:space="preserve">) atveju yra labai ambicingi – siekiama sumažinti išmetamų į aplinkos orą teršalų kiekį daugiau nei per pusę. Nuo 2005 iki 2015 m. išmetamų į aplinkos orą teršalų kiekis Lietuvoje reikšmingai sumažėjo, tačiau vertės, iki kurių turi būti iki 2020 m. ir iki 2030 m. sumažintas išmetamas kiekvieno teršalo kiekis, yra daug mažesnės, todėl yra poreikis nustatyti ir taikyti papildomas aplinkos oro taršos mažinimo priemones. </w:t>
      </w:r>
    </w:p>
    <w:p w:rsidR="000E7C4C" w:rsidRDefault="003C3EA6">
      <w:pPr>
        <w:tabs>
          <w:tab w:val="left" w:pos="851"/>
        </w:tabs>
        <w:ind w:firstLine="567"/>
        <w:jc w:val="both"/>
        <w:rPr>
          <w:color w:val="000000"/>
          <w:szCs w:val="21"/>
        </w:rPr>
      </w:pPr>
      <w:r>
        <w:rPr>
          <w:color w:val="000000"/>
          <w:szCs w:val="21"/>
        </w:rPr>
        <w:t>8</w:t>
      </w:r>
      <w:r>
        <w:rPr>
          <w:color w:val="000000"/>
          <w:szCs w:val="21"/>
        </w:rPr>
        <w:t>.</w:t>
      </w:r>
      <w:r>
        <w:rPr>
          <w:color w:val="000000"/>
          <w:szCs w:val="21"/>
        </w:rPr>
        <w:tab/>
        <w:t>Įgyvendinant 2008 m. gegužės 21 d. Europos Parlamento ir Tarybos direktyvos 2008/50/EB dėl aplinkos oro kokybės ir švaresnio oro Europoje</w:t>
      </w:r>
      <w:r>
        <w:rPr>
          <w:szCs w:val="24"/>
          <w:lang w:eastAsia="lt-LT"/>
        </w:rPr>
        <w:t xml:space="preserve"> (OL 2008 L 152, p. 1) (toliau –Direktyva (ES) 2008/50/EB)</w:t>
      </w:r>
      <w:r>
        <w:rPr>
          <w:color w:val="000000"/>
          <w:szCs w:val="21"/>
        </w:rPr>
        <w:t xml:space="preserve"> 4 straipsnį, vadovaujantis Aplinkos oro apsaugos įstatymo 5, 7 ir 8 straipsniais ir siekiant taikyti oro kokybei vertinti ir valdyti ES nustatytus kriterijus ir metodus, remiantis pagal Lietuvos Respublikos aplinkos monitoringo įstatymo 7 straipsnį vykdomo valstybinio aplinkos monitoringo duomenimis, Lietuvos teritorija suskirstyta į aglomeracijas ir zoną (žr. 2 lent.), kuriose vertinamas oro užterštumo lygis. Kiekvienoje aglomeracijoje ir zonoje įrengtos oro kokybės tyrimų stotys, kurių iš viso Lietuvoje yra 18.</w:t>
      </w:r>
    </w:p>
    <w:p w:rsidR="000E7C4C" w:rsidRDefault="000E7C4C">
      <w:pPr>
        <w:ind w:firstLine="567"/>
        <w:jc w:val="both"/>
        <w:rPr>
          <w:color w:val="000000"/>
          <w:szCs w:val="24"/>
          <w:lang w:eastAsia="lt-LT"/>
        </w:rPr>
      </w:pPr>
    </w:p>
    <w:p w:rsidR="000E7C4C" w:rsidRDefault="003C3EA6">
      <w:pPr>
        <w:ind w:firstLine="720"/>
        <w:jc w:val="both"/>
        <w:rPr>
          <w:color w:val="000000"/>
          <w:szCs w:val="24"/>
        </w:rPr>
      </w:pPr>
      <w:r>
        <w:rPr>
          <w:color w:val="000000"/>
          <w:szCs w:val="24"/>
        </w:rPr>
        <w:t>2 lentelė. Lietuvos zonų ir aglomeracijų sąrašas</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865"/>
        <w:gridCol w:w="1621"/>
        <w:gridCol w:w="1791"/>
        <w:gridCol w:w="2594"/>
        <w:gridCol w:w="1796"/>
      </w:tblGrid>
      <w:tr w:rsidR="000E7C4C">
        <w:tc>
          <w:tcPr>
            <w:tcW w:w="1871"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ind w:firstLine="720"/>
              <w:jc w:val="center"/>
              <w:rPr>
                <w:color w:val="FFFFFF"/>
                <w:sz w:val="20"/>
              </w:rPr>
            </w:pPr>
            <w:r>
              <w:rPr>
                <w:color w:val="FFFFFF"/>
                <w:sz w:val="20"/>
              </w:rPr>
              <w:t>Pavadinimas</w:t>
            </w:r>
          </w:p>
        </w:tc>
        <w:tc>
          <w:tcPr>
            <w:tcW w:w="1454"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ind w:firstLine="720"/>
              <w:jc w:val="center"/>
              <w:rPr>
                <w:bCs/>
                <w:color w:val="FFFFFF"/>
                <w:sz w:val="20"/>
                <w:lang w:eastAsia="en-GB"/>
              </w:rPr>
            </w:pPr>
            <w:r>
              <w:rPr>
                <w:bCs/>
                <w:color w:val="FFFFFF"/>
                <w:sz w:val="20"/>
                <w:lang w:eastAsia="en-GB"/>
              </w:rPr>
              <w:t>Gyventojų skaičius</w:t>
            </w:r>
          </w:p>
        </w:tc>
        <w:tc>
          <w:tcPr>
            <w:tcW w:w="1806"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ind w:firstLine="720"/>
              <w:jc w:val="center"/>
              <w:rPr>
                <w:bCs/>
                <w:color w:val="FFFFFF"/>
                <w:sz w:val="20"/>
                <w:lang w:eastAsia="en-GB"/>
              </w:rPr>
            </w:pPr>
            <w:r>
              <w:rPr>
                <w:bCs/>
                <w:color w:val="FFFFFF"/>
                <w:sz w:val="20"/>
                <w:lang w:eastAsia="en-GB"/>
              </w:rPr>
              <w:t>Gyventojų skaičius 1 km</w:t>
            </w:r>
            <w:r>
              <w:rPr>
                <w:bCs/>
                <w:color w:val="FFFFFF"/>
                <w:sz w:val="20"/>
                <w:vertAlign w:val="superscript"/>
                <w:lang w:eastAsia="en-GB"/>
              </w:rPr>
              <w:t>2</w:t>
            </w:r>
          </w:p>
        </w:tc>
        <w:tc>
          <w:tcPr>
            <w:tcW w:w="2694"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ind w:firstLine="720"/>
              <w:jc w:val="center"/>
              <w:rPr>
                <w:bCs/>
                <w:color w:val="FFFFFF"/>
                <w:sz w:val="20"/>
                <w:lang w:eastAsia="en-GB"/>
              </w:rPr>
            </w:pPr>
            <w:r>
              <w:rPr>
                <w:bCs/>
                <w:color w:val="FFFFFF"/>
                <w:sz w:val="20"/>
                <w:lang w:eastAsia="en-GB"/>
              </w:rPr>
              <w:t>Ribos</w:t>
            </w:r>
          </w:p>
        </w:tc>
        <w:tc>
          <w:tcPr>
            <w:tcW w:w="1842"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ind w:firstLine="720"/>
              <w:jc w:val="center"/>
              <w:rPr>
                <w:bCs/>
                <w:color w:val="FFFFFF"/>
                <w:sz w:val="20"/>
                <w:lang w:eastAsia="en-GB"/>
              </w:rPr>
            </w:pPr>
            <w:r>
              <w:rPr>
                <w:bCs/>
                <w:color w:val="FFFFFF"/>
                <w:sz w:val="20"/>
                <w:lang w:eastAsia="en-GB"/>
              </w:rPr>
              <w:t>Stočių skaičius</w:t>
            </w:r>
          </w:p>
        </w:tc>
      </w:tr>
      <w:tr w:rsidR="000E7C4C">
        <w:tc>
          <w:tcPr>
            <w:tcW w:w="1871" w:type="dxa"/>
            <w:tcBorders>
              <w:top w:val="single" w:sz="4" w:space="0" w:color="auto"/>
              <w:left w:val="single" w:sz="4" w:space="0" w:color="auto"/>
              <w:bottom w:val="single" w:sz="4" w:space="0" w:color="auto"/>
              <w:right w:val="single" w:sz="4" w:space="0" w:color="auto"/>
            </w:tcBorders>
            <w:hideMark/>
          </w:tcPr>
          <w:p w:rsidR="000E7C4C" w:rsidRDefault="003C3EA6">
            <w:pPr>
              <w:ind w:firstLine="720"/>
              <w:rPr>
                <w:sz w:val="20"/>
                <w:lang w:eastAsia="lt-LT"/>
              </w:rPr>
            </w:pPr>
            <w:r>
              <w:rPr>
                <w:sz w:val="20"/>
                <w:lang w:eastAsia="lt-LT"/>
              </w:rPr>
              <w:t>Vilniaus miesto aglomeracija</w:t>
            </w:r>
          </w:p>
        </w:tc>
        <w:tc>
          <w:tcPr>
            <w:tcW w:w="1454"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sz w:val="20"/>
                <w:lang w:eastAsia="lt-LT"/>
              </w:rPr>
            </w:pPr>
            <w:r>
              <w:rPr>
                <w:sz w:val="20"/>
                <w:lang w:eastAsia="lt-LT"/>
              </w:rPr>
              <w:t>554 409</w:t>
            </w:r>
          </w:p>
        </w:tc>
        <w:tc>
          <w:tcPr>
            <w:tcW w:w="1806"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sz w:val="20"/>
                <w:lang w:eastAsia="lt-LT"/>
              </w:rPr>
            </w:pPr>
            <w:r>
              <w:rPr>
                <w:sz w:val="20"/>
                <w:lang w:eastAsia="lt-LT"/>
              </w:rPr>
              <w:t>1 382,6</w:t>
            </w:r>
          </w:p>
        </w:tc>
        <w:tc>
          <w:tcPr>
            <w:tcW w:w="2694" w:type="dxa"/>
            <w:tcBorders>
              <w:top w:val="single" w:sz="4" w:space="0" w:color="auto"/>
              <w:left w:val="single" w:sz="4" w:space="0" w:color="auto"/>
              <w:bottom w:val="single" w:sz="4" w:space="0" w:color="auto"/>
              <w:right w:val="single" w:sz="4" w:space="0" w:color="auto"/>
            </w:tcBorders>
            <w:hideMark/>
          </w:tcPr>
          <w:p w:rsidR="000E7C4C" w:rsidRDefault="003C3EA6">
            <w:pPr>
              <w:ind w:firstLine="720"/>
              <w:rPr>
                <w:sz w:val="20"/>
                <w:lang w:eastAsia="lt-LT"/>
              </w:rPr>
            </w:pPr>
            <w:r>
              <w:rPr>
                <w:sz w:val="20"/>
                <w:lang w:eastAsia="lt-LT"/>
              </w:rPr>
              <w:t>Sutampa su Vilniaus miesto ribomis</w:t>
            </w:r>
          </w:p>
        </w:tc>
        <w:tc>
          <w:tcPr>
            <w:tcW w:w="1842"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sz w:val="20"/>
                <w:lang w:eastAsia="lt-LT"/>
              </w:rPr>
            </w:pPr>
            <w:r>
              <w:rPr>
                <w:sz w:val="20"/>
                <w:lang w:eastAsia="lt-LT"/>
              </w:rPr>
              <w:t>4</w:t>
            </w:r>
          </w:p>
        </w:tc>
      </w:tr>
      <w:tr w:rsidR="000E7C4C">
        <w:tc>
          <w:tcPr>
            <w:tcW w:w="1871" w:type="dxa"/>
            <w:tcBorders>
              <w:top w:val="single" w:sz="4" w:space="0" w:color="auto"/>
              <w:left w:val="single" w:sz="4" w:space="0" w:color="auto"/>
              <w:bottom w:val="single" w:sz="4" w:space="0" w:color="auto"/>
              <w:right w:val="single" w:sz="4" w:space="0" w:color="auto"/>
            </w:tcBorders>
            <w:hideMark/>
          </w:tcPr>
          <w:p w:rsidR="000E7C4C" w:rsidRDefault="003C3EA6">
            <w:pPr>
              <w:ind w:firstLine="720"/>
              <w:rPr>
                <w:sz w:val="20"/>
                <w:lang w:eastAsia="lt-LT"/>
              </w:rPr>
            </w:pPr>
            <w:r>
              <w:rPr>
                <w:sz w:val="20"/>
                <w:lang w:eastAsia="lt-LT"/>
              </w:rPr>
              <w:t>Kauno miesto aglomeracija</w:t>
            </w:r>
          </w:p>
        </w:tc>
        <w:tc>
          <w:tcPr>
            <w:tcW w:w="1454"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sz w:val="20"/>
                <w:lang w:eastAsia="lt-LT"/>
              </w:rPr>
            </w:pPr>
            <w:r>
              <w:rPr>
                <w:sz w:val="20"/>
                <w:lang w:eastAsia="lt-LT"/>
              </w:rPr>
              <w:t>358 111</w:t>
            </w:r>
          </w:p>
        </w:tc>
        <w:tc>
          <w:tcPr>
            <w:tcW w:w="1806"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sz w:val="20"/>
                <w:lang w:eastAsia="lt-LT"/>
              </w:rPr>
            </w:pPr>
            <w:r>
              <w:rPr>
                <w:sz w:val="20"/>
                <w:lang w:eastAsia="lt-LT"/>
              </w:rPr>
              <w:t>2 281,0</w:t>
            </w:r>
          </w:p>
        </w:tc>
        <w:tc>
          <w:tcPr>
            <w:tcW w:w="2694" w:type="dxa"/>
            <w:tcBorders>
              <w:top w:val="single" w:sz="4" w:space="0" w:color="auto"/>
              <w:left w:val="single" w:sz="4" w:space="0" w:color="auto"/>
              <w:bottom w:val="single" w:sz="4" w:space="0" w:color="auto"/>
              <w:right w:val="single" w:sz="4" w:space="0" w:color="auto"/>
            </w:tcBorders>
            <w:hideMark/>
          </w:tcPr>
          <w:p w:rsidR="000E7C4C" w:rsidRDefault="003C3EA6">
            <w:pPr>
              <w:ind w:firstLine="720"/>
              <w:rPr>
                <w:sz w:val="20"/>
                <w:lang w:eastAsia="lt-LT"/>
              </w:rPr>
            </w:pPr>
            <w:r>
              <w:rPr>
                <w:sz w:val="20"/>
                <w:lang w:eastAsia="lt-LT"/>
              </w:rPr>
              <w:t>Sutampa su Kauno miesto ribomis</w:t>
            </w:r>
          </w:p>
        </w:tc>
        <w:tc>
          <w:tcPr>
            <w:tcW w:w="1842"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sz w:val="20"/>
                <w:lang w:eastAsia="lt-LT"/>
              </w:rPr>
            </w:pPr>
            <w:r>
              <w:rPr>
                <w:sz w:val="20"/>
                <w:lang w:eastAsia="lt-LT"/>
              </w:rPr>
              <w:t>3</w:t>
            </w:r>
          </w:p>
        </w:tc>
      </w:tr>
      <w:tr w:rsidR="000E7C4C">
        <w:tc>
          <w:tcPr>
            <w:tcW w:w="1871" w:type="dxa"/>
            <w:tcBorders>
              <w:top w:val="single" w:sz="4" w:space="0" w:color="auto"/>
              <w:left w:val="single" w:sz="4" w:space="0" w:color="auto"/>
              <w:bottom w:val="single" w:sz="4" w:space="0" w:color="auto"/>
              <w:right w:val="single" w:sz="4" w:space="0" w:color="auto"/>
            </w:tcBorders>
            <w:hideMark/>
          </w:tcPr>
          <w:p w:rsidR="000E7C4C" w:rsidRDefault="003C3EA6">
            <w:pPr>
              <w:ind w:firstLine="720"/>
              <w:rPr>
                <w:sz w:val="20"/>
                <w:lang w:eastAsia="lt-LT"/>
              </w:rPr>
            </w:pPr>
            <w:r>
              <w:rPr>
                <w:sz w:val="20"/>
                <w:lang w:eastAsia="lt-LT"/>
              </w:rPr>
              <w:t>Zona</w:t>
            </w:r>
          </w:p>
        </w:tc>
        <w:tc>
          <w:tcPr>
            <w:tcW w:w="1454"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sz w:val="20"/>
                <w:lang w:eastAsia="lt-LT"/>
              </w:rPr>
            </w:pPr>
            <w:r>
              <w:rPr>
                <w:sz w:val="20"/>
                <w:lang w:eastAsia="lt-LT"/>
              </w:rPr>
              <w:t>2 472 359</w:t>
            </w:r>
          </w:p>
        </w:tc>
        <w:tc>
          <w:tcPr>
            <w:tcW w:w="1806"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sz w:val="20"/>
                <w:lang w:eastAsia="lt-LT"/>
              </w:rPr>
            </w:pPr>
            <w:r>
              <w:rPr>
                <w:sz w:val="20"/>
                <w:lang w:eastAsia="lt-LT"/>
              </w:rPr>
              <w:t>38,2</w:t>
            </w:r>
          </w:p>
        </w:tc>
        <w:tc>
          <w:tcPr>
            <w:tcW w:w="2694" w:type="dxa"/>
            <w:tcBorders>
              <w:top w:val="single" w:sz="4" w:space="0" w:color="auto"/>
              <w:left w:val="single" w:sz="4" w:space="0" w:color="auto"/>
              <w:bottom w:val="single" w:sz="4" w:space="0" w:color="auto"/>
              <w:right w:val="single" w:sz="4" w:space="0" w:color="auto"/>
            </w:tcBorders>
            <w:hideMark/>
          </w:tcPr>
          <w:p w:rsidR="000E7C4C" w:rsidRDefault="003C3EA6">
            <w:pPr>
              <w:ind w:firstLine="720"/>
              <w:rPr>
                <w:sz w:val="20"/>
                <w:lang w:eastAsia="lt-LT"/>
              </w:rPr>
            </w:pPr>
            <w:r>
              <w:rPr>
                <w:sz w:val="20"/>
                <w:lang w:eastAsia="lt-LT"/>
              </w:rPr>
              <w:t>Lietuvos Respublikos teritorija be Vilniaus ir Kauno miestų</w:t>
            </w:r>
          </w:p>
        </w:tc>
        <w:tc>
          <w:tcPr>
            <w:tcW w:w="1842"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sz w:val="20"/>
                <w:lang w:eastAsia="lt-LT"/>
              </w:rPr>
            </w:pPr>
            <w:r>
              <w:rPr>
                <w:sz w:val="20"/>
                <w:lang w:eastAsia="lt-LT"/>
              </w:rPr>
              <w:t>11</w:t>
            </w:r>
          </w:p>
        </w:tc>
      </w:tr>
    </w:tbl>
    <w:p w:rsidR="000E7C4C" w:rsidRDefault="003C3EA6">
      <w:pPr>
        <w:ind w:firstLine="720"/>
        <w:jc w:val="both"/>
        <w:rPr>
          <w:sz w:val="20"/>
        </w:rPr>
      </w:pPr>
      <w:r>
        <w:rPr>
          <w:sz w:val="20"/>
        </w:rPr>
        <w:t>(Šaltinis: Lietuvos Respublikos aplinkos ministro ir Lietuvos Respublikos sveikatos apsaugos ministro 2000 m. spalio 20 d. įsakymas Nr. 470/581 „Dėl zonų ir aglomeracijų sąrašų patvirtinimo“)</w:t>
      </w:r>
    </w:p>
    <w:p w:rsidR="000E7C4C" w:rsidRDefault="003C3EA6">
      <w:pPr>
        <w:ind w:firstLine="567"/>
        <w:jc w:val="center"/>
        <w:rPr>
          <w:sz w:val="20"/>
        </w:rPr>
      </w:pPr>
    </w:p>
    <w:p w:rsidR="000E7C4C" w:rsidRDefault="003C3EA6">
      <w:pPr>
        <w:tabs>
          <w:tab w:val="left" w:pos="851"/>
        </w:tabs>
        <w:ind w:firstLine="567"/>
        <w:jc w:val="both"/>
        <w:rPr>
          <w:color w:val="000000"/>
          <w:szCs w:val="21"/>
        </w:rPr>
      </w:pPr>
      <w:r>
        <w:rPr>
          <w:color w:val="000000"/>
          <w:szCs w:val="21"/>
        </w:rPr>
        <w:t>9</w:t>
      </w:r>
      <w:r>
        <w:rPr>
          <w:color w:val="000000"/>
          <w:szCs w:val="21"/>
        </w:rPr>
        <w:t>.</w:t>
      </w:r>
      <w:r>
        <w:rPr>
          <w:color w:val="000000"/>
          <w:szCs w:val="21"/>
        </w:rPr>
        <w:tab/>
        <w:t>Siekiant saugoti visuomenės sveikatą, Direktyvoje (ES) 2008/50/EB nustatytos aplinkos oro užterštumo normos, nustatytos žmonių sveikatos, ekosistemų ir augmenijos apsaugai. 3 lentelėje pateiktos ES taikomos aplinkos oro užterštumo normos (ribinės vertės) ir Pasaulio Sveikatos Organizacijos (toliau – PSO) rekomenduojamos ribinės vertės.</w:t>
      </w:r>
    </w:p>
    <w:p w:rsidR="000E7C4C" w:rsidRDefault="000E7C4C">
      <w:pPr>
        <w:ind w:left="720" w:firstLine="720"/>
        <w:jc w:val="both"/>
        <w:rPr>
          <w:color w:val="000000"/>
          <w:szCs w:val="21"/>
        </w:rPr>
      </w:pPr>
    </w:p>
    <w:p w:rsidR="000E7C4C" w:rsidRDefault="003C3EA6">
      <w:pPr>
        <w:ind w:firstLine="720"/>
        <w:jc w:val="both"/>
        <w:rPr>
          <w:color w:val="000000"/>
          <w:szCs w:val="24"/>
        </w:rPr>
      </w:pPr>
      <w:r>
        <w:rPr>
          <w:color w:val="000000"/>
          <w:szCs w:val="24"/>
        </w:rPr>
        <w:t xml:space="preserve">3 lentelė. ES nustatytos aplinkos oro užterštumo normos ir PSO rekomenduojami dydžiai </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833"/>
        <w:gridCol w:w="2306"/>
        <w:gridCol w:w="3827"/>
        <w:gridCol w:w="1701"/>
      </w:tblGrid>
      <w:tr w:rsidR="000E7C4C">
        <w:tc>
          <w:tcPr>
            <w:tcW w:w="1833" w:type="dxa"/>
            <w:vMerge w:val="restart"/>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ind w:firstLine="720"/>
              <w:jc w:val="both"/>
              <w:rPr>
                <w:color w:val="FFFFFF"/>
                <w:sz w:val="20"/>
              </w:rPr>
            </w:pPr>
            <w:r>
              <w:rPr>
                <w:color w:val="FFFFFF"/>
                <w:sz w:val="20"/>
              </w:rPr>
              <w:t>Teršalo pavadinimas</w:t>
            </w:r>
          </w:p>
        </w:tc>
        <w:tc>
          <w:tcPr>
            <w:tcW w:w="2306" w:type="dxa"/>
            <w:vMerge w:val="restart"/>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ind w:firstLine="720"/>
              <w:jc w:val="center"/>
              <w:rPr>
                <w:bCs/>
                <w:color w:val="FFFFFF"/>
                <w:sz w:val="20"/>
                <w:lang w:eastAsia="en-GB"/>
              </w:rPr>
            </w:pPr>
            <w:r>
              <w:rPr>
                <w:bCs/>
                <w:color w:val="FFFFFF"/>
                <w:sz w:val="20"/>
                <w:lang w:eastAsia="en-GB"/>
              </w:rPr>
              <w:t>Vertinimo laikotarpis</w:t>
            </w:r>
          </w:p>
        </w:tc>
        <w:tc>
          <w:tcPr>
            <w:tcW w:w="5528"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ind w:firstLine="720"/>
              <w:jc w:val="center"/>
              <w:rPr>
                <w:bCs/>
                <w:color w:val="FFFFFF"/>
                <w:sz w:val="20"/>
                <w:lang w:eastAsia="en-GB"/>
              </w:rPr>
            </w:pPr>
            <w:r>
              <w:rPr>
                <w:bCs/>
                <w:color w:val="FFFFFF"/>
                <w:sz w:val="20"/>
                <w:lang w:eastAsia="en-GB"/>
              </w:rPr>
              <w:t>Ribinė aplinkos oro užterštumo vertė, µg/m</w:t>
            </w:r>
            <w:r>
              <w:rPr>
                <w:bCs/>
                <w:color w:val="FFFFFF"/>
                <w:sz w:val="20"/>
                <w:vertAlign w:val="superscript"/>
                <w:lang w:eastAsia="en-GB"/>
              </w:rPr>
              <w:t>3</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FFFFFF"/>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bCs/>
                <w:color w:val="FFFFFF"/>
                <w:sz w:val="20"/>
                <w:lang w:eastAsia="en-GB"/>
              </w:rPr>
            </w:pPr>
          </w:p>
        </w:tc>
        <w:tc>
          <w:tcPr>
            <w:tcW w:w="3827"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ind w:firstLine="720"/>
              <w:jc w:val="center"/>
              <w:rPr>
                <w:bCs/>
                <w:color w:val="FFFFFF"/>
                <w:sz w:val="20"/>
                <w:lang w:eastAsia="en-GB"/>
              </w:rPr>
            </w:pPr>
            <w:r>
              <w:rPr>
                <w:bCs/>
                <w:color w:val="FFFFFF"/>
                <w:sz w:val="20"/>
                <w:lang w:eastAsia="en-GB"/>
              </w:rPr>
              <w:t>ES kriterijai</w:t>
            </w:r>
          </w:p>
        </w:tc>
        <w:tc>
          <w:tcPr>
            <w:tcW w:w="170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ind w:firstLine="720"/>
              <w:jc w:val="center"/>
              <w:rPr>
                <w:bCs/>
                <w:color w:val="FFFFFF"/>
                <w:sz w:val="20"/>
                <w:lang w:eastAsia="en-GB"/>
              </w:rPr>
            </w:pPr>
            <w:r>
              <w:rPr>
                <w:bCs/>
                <w:color w:val="FFFFFF"/>
                <w:sz w:val="20"/>
                <w:lang w:eastAsia="en-GB"/>
              </w:rPr>
              <w:t>PSO gairės</w:t>
            </w:r>
          </w:p>
        </w:tc>
      </w:tr>
      <w:tr w:rsidR="000E7C4C">
        <w:tc>
          <w:tcPr>
            <w:tcW w:w="1833" w:type="dxa"/>
            <w:vMerge w:val="restart"/>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73"/>
              <w:rPr>
                <w:bCs/>
                <w:color w:val="000000"/>
                <w:sz w:val="20"/>
                <w:lang w:eastAsia="en-GB"/>
              </w:rPr>
            </w:pPr>
            <w:r>
              <w:rPr>
                <w:bCs/>
                <w:color w:val="000000"/>
                <w:sz w:val="20"/>
                <w:lang w:eastAsia="en-GB"/>
              </w:rPr>
              <w:t>SO</w:t>
            </w:r>
            <w:r>
              <w:rPr>
                <w:bCs/>
                <w:color w:val="000000"/>
                <w:sz w:val="20"/>
                <w:vertAlign w:val="subscript"/>
                <w:lang w:eastAsia="en-GB"/>
              </w:rPr>
              <w:t>2</w:t>
            </w:r>
          </w:p>
        </w:tc>
        <w:tc>
          <w:tcPr>
            <w:tcW w:w="2306"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iCs/>
                <w:color w:val="000000"/>
                <w:sz w:val="20"/>
                <w:lang w:eastAsia="en-GB"/>
              </w:rPr>
            </w:pPr>
            <w:r>
              <w:rPr>
                <w:iCs/>
                <w:color w:val="000000"/>
                <w:sz w:val="20"/>
                <w:lang w:eastAsia="en-GB"/>
              </w:rPr>
              <w:t>10 minučių vidurkis</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500</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bCs/>
                <w:color w:val="000000"/>
                <w:sz w:val="20"/>
                <w:lang w:eastAsia="en-GB"/>
              </w:rPr>
            </w:pPr>
          </w:p>
        </w:tc>
        <w:tc>
          <w:tcPr>
            <w:tcW w:w="2306"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iCs/>
                <w:color w:val="000000"/>
                <w:sz w:val="20"/>
                <w:lang w:eastAsia="en-GB"/>
              </w:rPr>
            </w:pPr>
            <w:r>
              <w:rPr>
                <w:iCs/>
                <w:color w:val="000000"/>
                <w:sz w:val="20"/>
                <w:lang w:eastAsia="en-GB"/>
              </w:rPr>
              <w:t>1 val. vidurkis</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350 (negali būti viršyta daugiau kaip 24 kartus per kalendorinius metus)</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bCs/>
                <w:color w:val="000000"/>
                <w:sz w:val="20"/>
                <w:lang w:eastAsia="en-GB"/>
              </w:rPr>
            </w:pPr>
          </w:p>
        </w:tc>
        <w:tc>
          <w:tcPr>
            <w:tcW w:w="2306"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iCs/>
                <w:color w:val="000000"/>
                <w:sz w:val="20"/>
                <w:lang w:eastAsia="en-GB"/>
              </w:rPr>
            </w:pPr>
            <w:r>
              <w:rPr>
                <w:iCs/>
                <w:color w:val="000000"/>
                <w:sz w:val="20"/>
                <w:lang w:eastAsia="en-GB"/>
              </w:rPr>
              <w:t>24 val. vidurkis</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125 (negali būti viršyta daugiau kaip 3 kartus per kalendorinius metus)</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20</w:t>
            </w:r>
          </w:p>
        </w:tc>
      </w:tr>
      <w:tr w:rsidR="000E7C4C">
        <w:tc>
          <w:tcPr>
            <w:tcW w:w="1833" w:type="dxa"/>
            <w:vMerge w:val="restart"/>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rPr>
                <w:bCs/>
                <w:color w:val="000000"/>
                <w:sz w:val="20"/>
                <w:lang w:eastAsia="en-GB"/>
              </w:rPr>
            </w:pPr>
            <w:proofErr w:type="spellStart"/>
            <w:r>
              <w:rPr>
                <w:bCs/>
                <w:color w:val="000000"/>
                <w:sz w:val="20"/>
                <w:lang w:eastAsia="en-GB"/>
              </w:rPr>
              <w:t>NO</w:t>
            </w:r>
            <w:r>
              <w:rPr>
                <w:bCs/>
                <w:color w:val="000000"/>
                <w:sz w:val="20"/>
                <w:vertAlign w:val="subscript"/>
                <w:lang w:eastAsia="en-GB"/>
              </w:rPr>
              <w:t>x</w:t>
            </w:r>
            <w:proofErr w:type="spellEnd"/>
          </w:p>
        </w:tc>
        <w:tc>
          <w:tcPr>
            <w:tcW w:w="2306"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iCs/>
                <w:color w:val="000000"/>
                <w:sz w:val="20"/>
                <w:lang w:eastAsia="en-GB"/>
              </w:rPr>
            </w:pPr>
            <w:r>
              <w:rPr>
                <w:iCs/>
                <w:color w:val="000000"/>
                <w:sz w:val="20"/>
                <w:lang w:eastAsia="en-GB"/>
              </w:rPr>
              <w:t>1 val. vidurkis</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200 (negali būti viršyta daugiau kaip 18 kartų per kalendorinius metus)</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200</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bCs/>
                <w:color w:val="000000"/>
                <w:sz w:val="20"/>
                <w:lang w:eastAsia="en-GB"/>
              </w:rPr>
            </w:pPr>
          </w:p>
        </w:tc>
        <w:tc>
          <w:tcPr>
            <w:tcW w:w="2306"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iCs/>
                <w:color w:val="000000"/>
                <w:sz w:val="20"/>
                <w:lang w:eastAsia="en-GB"/>
              </w:rPr>
            </w:pPr>
            <w:r>
              <w:rPr>
                <w:iCs/>
                <w:color w:val="000000"/>
                <w:sz w:val="20"/>
                <w:lang w:eastAsia="en-GB"/>
              </w:rPr>
              <w:t>1 metų vidurkis</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40</w:t>
            </w:r>
          </w:p>
        </w:tc>
      </w:tr>
      <w:tr w:rsidR="000E7C4C">
        <w:tc>
          <w:tcPr>
            <w:tcW w:w="1833" w:type="dxa"/>
            <w:vMerge w:val="restart"/>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rPr>
                <w:bCs/>
                <w:color w:val="000000"/>
                <w:sz w:val="20"/>
                <w:lang w:eastAsia="en-GB"/>
              </w:rPr>
            </w:pPr>
            <w:r>
              <w:rPr>
                <w:bCs/>
                <w:color w:val="000000"/>
                <w:sz w:val="20"/>
                <w:lang w:eastAsia="en-GB"/>
              </w:rPr>
              <w:t>KD</w:t>
            </w:r>
            <w:r>
              <w:rPr>
                <w:bCs/>
                <w:color w:val="000000"/>
                <w:sz w:val="20"/>
                <w:vertAlign w:val="subscript"/>
                <w:lang w:eastAsia="en-GB"/>
              </w:rPr>
              <w:t>2,5</w:t>
            </w:r>
          </w:p>
        </w:tc>
        <w:tc>
          <w:tcPr>
            <w:tcW w:w="2306"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iCs/>
                <w:color w:val="000000"/>
                <w:sz w:val="20"/>
                <w:lang w:eastAsia="en-GB"/>
              </w:rPr>
            </w:pPr>
            <w:r>
              <w:rPr>
                <w:iCs/>
                <w:color w:val="000000"/>
                <w:sz w:val="20"/>
                <w:lang w:eastAsia="en-GB"/>
              </w:rPr>
              <w:t>24 val. vidurkis</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25</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bCs/>
                <w:color w:val="000000"/>
                <w:sz w:val="20"/>
                <w:lang w:eastAsia="en-GB"/>
              </w:rPr>
            </w:pPr>
          </w:p>
        </w:tc>
        <w:tc>
          <w:tcPr>
            <w:tcW w:w="2306"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iCs/>
                <w:color w:val="000000"/>
                <w:sz w:val="20"/>
                <w:lang w:eastAsia="en-GB"/>
              </w:rPr>
            </w:pPr>
            <w:r>
              <w:rPr>
                <w:iCs/>
                <w:color w:val="000000"/>
                <w:sz w:val="20"/>
                <w:lang w:eastAsia="en-GB"/>
              </w:rPr>
              <w:t>1 metų vidurkis</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10</w:t>
            </w:r>
          </w:p>
        </w:tc>
      </w:tr>
      <w:tr w:rsidR="000E7C4C">
        <w:tc>
          <w:tcPr>
            <w:tcW w:w="1833" w:type="dxa"/>
            <w:vMerge w:val="restart"/>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rPr>
                <w:bCs/>
                <w:color w:val="000000"/>
                <w:sz w:val="20"/>
                <w:lang w:eastAsia="en-GB"/>
              </w:rPr>
            </w:pPr>
            <w:r>
              <w:rPr>
                <w:bCs/>
                <w:color w:val="000000"/>
                <w:sz w:val="20"/>
                <w:lang w:eastAsia="en-GB"/>
              </w:rPr>
              <w:t>Kietosios dalelės (KD</w:t>
            </w:r>
            <w:r>
              <w:rPr>
                <w:bCs/>
                <w:color w:val="000000"/>
                <w:sz w:val="20"/>
                <w:vertAlign w:val="subscript"/>
                <w:lang w:eastAsia="en-GB"/>
              </w:rPr>
              <w:t>10</w:t>
            </w:r>
            <w:r>
              <w:rPr>
                <w:bCs/>
                <w:color w:val="000000"/>
                <w:sz w:val="20"/>
                <w:lang w:eastAsia="en-GB"/>
              </w:rPr>
              <w:t>)</w:t>
            </w:r>
          </w:p>
        </w:tc>
        <w:tc>
          <w:tcPr>
            <w:tcW w:w="2306"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iCs/>
                <w:color w:val="000000"/>
                <w:sz w:val="20"/>
                <w:lang w:eastAsia="en-GB"/>
              </w:rPr>
            </w:pPr>
            <w:r>
              <w:rPr>
                <w:iCs/>
                <w:color w:val="000000"/>
                <w:sz w:val="20"/>
                <w:lang w:eastAsia="en-GB"/>
              </w:rPr>
              <w:t>24 val. vidurkis</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50 (negali būti viršyta daugiau kaip 35 kartus per kalendorinius metus)</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50</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bCs/>
                <w:color w:val="000000"/>
                <w:sz w:val="20"/>
                <w:lang w:eastAsia="en-GB"/>
              </w:rPr>
            </w:pPr>
          </w:p>
        </w:tc>
        <w:tc>
          <w:tcPr>
            <w:tcW w:w="2306"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iCs/>
                <w:color w:val="000000"/>
                <w:sz w:val="20"/>
                <w:lang w:eastAsia="en-GB"/>
              </w:rPr>
            </w:pPr>
            <w:r>
              <w:rPr>
                <w:iCs/>
                <w:color w:val="000000"/>
                <w:sz w:val="20"/>
                <w:lang w:eastAsia="en-GB"/>
              </w:rPr>
              <w:t>1 metų vidurkis</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20</w:t>
            </w:r>
          </w:p>
        </w:tc>
      </w:tr>
      <w:tr w:rsidR="000E7C4C">
        <w:tc>
          <w:tcPr>
            <w:tcW w:w="1833"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rPr>
                <w:bCs/>
                <w:color w:val="000000"/>
                <w:sz w:val="20"/>
                <w:lang w:eastAsia="en-GB"/>
              </w:rPr>
            </w:pPr>
            <w:r>
              <w:rPr>
                <w:bCs/>
                <w:color w:val="000000"/>
                <w:sz w:val="20"/>
                <w:lang w:eastAsia="en-GB"/>
              </w:rPr>
              <w:t>Ozonas (O</w:t>
            </w:r>
            <w:r>
              <w:rPr>
                <w:bCs/>
                <w:color w:val="000000"/>
                <w:sz w:val="20"/>
                <w:vertAlign w:val="subscript"/>
                <w:lang w:eastAsia="en-GB"/>
              </w:rPr>
              <w:t>3</w:t>
            </w:r>
            <w:r>
              <w:rPr>
                <w:bCs/>
                <w:color w:val="000000"/>
                <w:sz w:val="20"/>
                <w:lang w:eastAsia="en-GB"/>
              </w:rPr>
              <w:t>)</w:t>
            </w:r>
          </w:p>
        </w:tc>
        <w:tc>
          <w:tcPr>
            <w:tcW w:w="2306"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iCs/>
                <w:color w:val="000000"/>
                <w:sz w:val="20"/>
                <w:lang w:eastAsia="en-GB"/>
              </w:rPr>
            </w:pPr>
            <w:r>
              <w:rPr>
                <w:iCs/>
                <w:color w:val="000000"/>
                <w:sz w:val="20"/>
                <w:lang w:eastAsia="en-GB"/>
              </w:rPr>
              <w:t>8 val. vidurkis</w:t>
            </w:r>
          </w:p>
        </w:tc>
        <w:tc>
          <w:tcPr>
            <w:tcW w:w="3827"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120 (neturi būti viršijama daugiau nei 25 kartus per kalendorinius metus, imant trejų metų vidurkį)</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ind w:firstLine="720"/>
              <w:jc w:val="center"/>
              <w:rPr>
                <w:iCs/>
                <w:color w:val="000000"/>
                <w:sz w:val="20"/>
                <w:lang w:eastAsia="en-GB"/>
              </w:rPr>
            </w:pPr>
            <w:r>
              <w:rPr>
                <w:iCs/>
                <w:color w:val="000000"/>
                <w:sz w:val="20"/>
                <w:lang w:eastAsia="en-GB"/>
              </w:rPr>
              <w:t>100</w:t>
            </w:r>
          </w:p>
        </w:tc>
      </w:tr>
    </w:tbl>
    <w:p w:rsidR="000E7C4C" w:rsidRDefault="003C3EA6">
      <w:pPr>
        <w:ind w:firstLine="720"/>
        <w:jc w:val="both"/>
        <w:rPr>
          <w:sz w:val="20"/>
        </w:rPr>
      </w:pPr>
      <w:r>
        <w:rPr>
          <w:sz w:val="20"/>
        </w:rPr>
        <w:t xml:space="preserve">(Šaltinis: Lietuvos Respublikos aplinkos ministro ir Lietuvos Respublikos sveikatos apsaugos ministro 2001 m. gruodžio 11 d. įsakymas Nr. 591/640 „Dėl Aplinkos oro užterštumo sieros dioksidu, azoto dioksidu, azoto oksidais, </w:t>
      </w:r>
      <w:proofErr w:type="spellStart"/>
      <w:r>
        <w:rPr>
          <w:sz w:val="20"/>
        </w:rPr>
        <w:t>benzenu</w:t>
      </w:r>
      <w:proofErr w:type="spellEnd"/>
      <w:r>
        <w:rPr>
          <w:sz w:val="20"/>
        </w:rPr>
        <w:t xml:space="preserve">, anglies </w:t>
      </w:r>
      <w:proofErr w:type="spellStart"/>
      <w:r>
        <w:rPr>
          <w:sz w:val="20"/>
        </w:rPr>
        <w:t>monoksidu</w:t>
      </w:r>
      <w:proofErr w:type="spellEnd"/>
      <w:r>
        <w:rPr>
          <w:sz w:val="20"/>
        </w:rPr>
        <w:t>, švinu, kietosiomis dalelėmis ir ozonu normų patvirtinimo“ ir PSO Oro kokybės gairės dėl kietųjų dalelių, ozono, azoto dioksido ir sieros dioksido)</w:t>
      </w:r>
    </w:p>
    <w:p w:rsidR="000E7C4C" w:rsidRDefault="003C3EA6">
      <w:pPr>
        <w:ind w:firstLine="720"/>
        <w:jc w:val="both"/>
        <w:rPr>
          <w:color w:val="000000"/>
          <w:sz w:val="20"/>
        </w:rPr>
      </w:pPr>
    </w:p>
    <w:p w:rsidR="000E7C4C" w:rsidRDefault="003C3EA6">
      <w:pPr>
        <w:tabs>
          <w:tab w:val="left" w:pos="851"/>
        </w:tabs>
        <w:ind w:firstLine="567"/>
        <w:jc w:val="both"/>
        <w:rPr>
          <w:color w:val="000000"/>
          <w:szCs w:val="21"/>
        </w:rPr>
      </w:pPr>
      <w:r>
        <w:rPr>
          <w:color w:val="000000"/>
          <w:szCs w:val="21"/>
        </w:rPr>
        <w:t>10</w:t>
      </w:r>
      <w:r>
        <w:rPr>
          <w:color w:val="000000"/>
          <w:szCs w:val="21"/>
        </w:rPr>
        <w:t>.</w:t>
      </w:r>
      <w:r>
        <w:rPr>
          <w:color w:val="000000"/>
          <w:szCs w:val="21"/>
        </w:rPr>
        <w:tab/>
        <w:t>Lietuvos oro kokybės vertinimo reikalavimai, atitinkantys nustatytus Direktyvoje (ES) 2008/50/EB, nustatyti Aplinkos oro kokybės vertinimo tvarkos apraše, patvirtintame Lietuvos Respublikos aplinkos ministro 2001 m. gruodžio 12 d. įsakymu Nr. 596 „Dėl Aplinkos oro kokybės vertinimo tvarkos aprašo patvirtinimo“.</w:t>
      </w:r>
    </w:p>
    <w:p w:rsidR="000E7C4C" w:rsidRDefault="003C3EA6">
      <w:pPr>
        <w:tabs>
          <w:tab w:val="left" w:pos="851"/>
        </w:tabs>
        <w:ind w:firstLine="567"/>
        <w:jc w:val="both"/>
        <w:rPr>
          <w:color w:val="000000"/>
          <w:szCs w:val="21"/>
        </w:rPr>
      </w:pPr>
      <w:r>
        <w:rPr>
          <w:color w:val="000000"/>
          <w:szCs w:val="21"/>
        </w:rPr>
        <w:t>11</w:t>
      </w:r>
      <w:r>
        <w:rPr>
          <w:color w:val="000000"/>
          <w:szCs w:val="21"/>
        </w:rPr>
        <w:t>.</w:t>
      </w:r>
      <w:r>
        <w:rPr>
          <w:color w:val="000000"/>
          <w:szCs w:val="21"/>
        </w:rPr>
        <w:tab/>
        <w:t>Aplinkos oro teršalų mažinimo galimybės daugiausia priklauso nuo tam tikrų ūkio sektorių veiklos, todėl tų sektorių veiklos reguliavimas, ribojimas, skatinimas ar kitoks valdymas gali turėti reikšmingos įtakos nustatytiems tikslams pasiekti (žr. 2 pav.).</w:t>
      </w:r>
    </w:p>
    <w:p w:rsidR="000E7C4C" w:rsidRDefault="003C3EA6">
      <w:pPr>
        <w:ind w:firstLine="567"/>
        <w:jc w:val="both"/>
        <w:rPr>
          <w:color w:val="000000"/>
          <w:szCs w:val="21"/>
        </w:rPr>
      </w:pPr>
      <w:r>
        <w:rPr>
          <w:noProof/>
          <w:lang w:eastAsia="lt-LT"/>
        </w:rPr>
        <mc:AlternateContent>
          <mc:Choice Requires="wpg">
            <w:drawing>
              <wp:anchor distT="0" distB="0" distL="114300" distR="114300" simplePos="0" relativeHeight="251660288" behindDoc="0" locked="0" layoutInCell="1" allowOverlap="1" wp14:anchorId="11135E24" wp14:editId="65806F14">
                <wp:simplePos x="0" y="0"/>
                <wp:positionH relativeFrom="column">
                  <wp:posOffset>31750</wp:posOffset>
                </wp:positionH>
                <wp:positionV relativeFrom="paragraph">
                  <wp:posOffset>42545</wp:posOffset>
                </wp:positionV>
                <wp:extent cx="6010910" cy="2531110"/>
                <wp:effectExtent l="0" t="0" r="27940" b="21590"/>
                <wp:wrapNone/>
                <wp:docPr id="39" name="Grupė 39"/>
                <wp:cNvGraphicFramePr/>
                <a:graphic xmlns:a="http://schemas.openxmlformats.org/drawingml/2006/main">
                  <a:graphicData uri="http://schemas.microsoft.com/office/word/2010/wordprocessingGroup">
                    <wpg:wgp>
                      <wpg:cNvGrpSpPr/>
                      <wpg:grpSpPr>
                        <a:xfrm>
                          <a:off x="0" y="0"/>
                          <a:ext cx="6010910" cy="2530475"/>
                          <a:chOff x="0" y="0"/>
                          <a:chExt cx="5648325" cy="3548491"/>
                        </a:xfrm>
                      </wpg:grpSpPr>
                      <wps:wsp>
                        <wps:cNvPr id="3" name="Rectangle 21"/>
                        <wps:cNvSpPr/>
                        <wps:spPr>
                          <a:xfrm>
                            <a:off x="0" y="0"/>
                            <a:ext cx="1390650" cy="522458"/>
                          </a:xfrm>
                          <a:prstGeom prst="rect">
                            <a:avLst/>
                          </a:prstGeom>
                          <a:solidFill>
                            <a:schemeClr val="tx2">
                              <a:lumMod val="50000"/>
                            </a:schemeClr>
                          </a:solidFill>
                          <a:ln w="1270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ind w:firstLine="720"/>
                                <w:jc w:val="center"/>
                                <w:rPr>
                                  <w:color w:val="FFFFFF"/>
                                  <w:sz w:val="20"/>
                                </w:rPr>
                              </w:pPr>
                              <w:r>
                                <w:rPr>
                                  <w:color w:val="FFFFFF"/>
                                  <w:sz w:val="20"/>
                                </w:rPr>
                                <w:t>TERŠALAI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Rectangle 22"/>
                        <wps:cNvSpPr/>
                        <wps:spPr>
                          <a:xfrm>
                            <a:off x="1771650" y="12709"/>
                            <a:ext cx="3876675" cy="522552"/>
                          </a:xfrm>
                          <a:prstGeom prst="rect">
                            <a:avLst/>
                          </a:prstGeom>
                          <a:solidFill>
                            <a:schemeClr val="tx2">
                              <a:lumMod val="50000"/>
                            </a:schemeClr>
                          </a:solidFill>
                          <a:ln w="1270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ind w:firstLine="720"/>
                                <w:jc w:val="center"/>
                                <w:rPr>
                                  <w:color w:val="FFFFFF"/>
                                  <w:sz w:val="20"/>
                                </w:rPr>
                              </w:pPr>
                              <w:r>
                                <w:rPr>
                                  <w:color w:val="FFFFFF"/>
                                  <w:sz w:val="20"/>
                                </w:rPr>
                                <w:t>DIDŽIAUSIĄ TERŠALŲ IŠMETIMO Į ORĄ MAŽINIMO POTENCIALĄ TURINTYS SEKTORIAI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23"/>
                        <wps:cNvSpPr/>
                        <wps:spPr>
                          <a:xfrm>
                            <a:off x="0" y="622765"/>
                            <a:ext cx="1390650" cy="582577"/>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spacing w:line="240" w:lineRule="atLeast"/>
                                <w:ind w:firstLine="720"/>
                                <w:jc w:val="both"/>
                                <w:rPr>
                                  <w:color w:val="000000"/>
                                  <w:sz w:val="20"/>
                                </w:rPr>
                              </w:pPr>
                              <w:r>
                                <w:rPr>
                                  <w:color w:val="000000"/>
                                  <w:sz w:val="20"/>
                                </w:rPr>
                                <w:t>SO</w:t>
                              </w:r>
                              <w:r>
                                <w:rPr>
                                  <w:color w:val="000000"/>
                                  <w:sz w:val="20"/>
                                  <w:vertAlign w:val="subscript"/>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24"/>
                        <wps:cNvSpPr/>
                        <wps:spPr>
                          <a:xfrm>
                            <a:off x="0" y="1310116"/>
                            <a:ext cx="1390650" cy="457200"/>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spacing w:line="360" w:lineRule="atLeast"/>
                                <w:ind w:firstLine="720"/>
                                <w:jc w:val="both"/>
                                <w:rPr>
                                  <w:color w:val="000000"/>
                                  <w:sz w:val="20"/>
                                </w:rPr>
                              </w:pPr>
                              <w:r>
                                <w:rPr>
                                  <w:color w:val="000000"/>
                                  <w:sz w:val="20"/>
                                </w:rPr>
                                <w:t>NO</w:t>
                              </w:r>
                              <w:r>
                                <w:rPr>
                                  <w:color w:val="000000"/>
                                  <w:sz w:val="20"/>
                                  <w:vertAlign w:val="subscript"/>
                                </w:rPr>
                                <w:t>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25"/>
                        <wps:cNvSpPr/>
                        <wps:spPr>
                          <a:xfrm>
                            <a:off x="0" y="1891141"/>
                            <a:ext cx="1390650" cy="457200"/>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spacing w:line="360" w:lineRule="atLeast"/>
                                <w:ind w:firstLine="720"/>
                                <w:jc w:val="both"/>
                                <w:rPr>
                                  <w:color w:val="000000"/>
                                  <w:sz w:val="20"/>
                                </w:rPr>
                              </w:pPr>
                              <w:r>
                                <w:rPr>
                                  <w:color w:val="000000"/>
                                  <w:sz w:val="20"/>
                                </w:rPr>
                                <w:t>NMLOJ</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26"/>
                        <wps:cNvSpPr/>
                        <wps:spPr>
                          <a:xfrm>
                            <a:off x="0" y="2481691"/>
                            <a:ext cx="1390650" cy="457200"/>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spacing w:line="360" w:lineRule="atLeast"/>
                                <w:ind w:firstLine="720"/>
                                <w:jc w:val="both"/>
                                <w:rPr>
                                  <w:color w:val="000000"/>
                                  <w:sz w:val="20"/>
                                </w:rPr>
                              </w:pPr>
                              <w:r>
                                <w:rPr>
                                  <w:color w:val="000000"/>
                                  <w:sz w:val="20"/>
                                </w:rPr>
                                <w:t>NH</w:t>
                              </w:r>
                              <w:r>
                                <w:rPr>
                                  <w:color w:val="000000"/>
                                  <w:sz w:val="20"/>
                                  <w:vertAlign w:val="subscript"/>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27"/>
                        <wps:cNvSpPr/>
                        <wps:spPr>
                          <a:xfrm>
                            <a:off x="0" y="3091291"/>
                            <a:ext cx="1390650" cy="457200"/>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spacing w:line="360" w:lineRule="atLeast"/>
                                <w:ind w:firstLine="720"/>
                                <w:jc w:val="both"/>
                                <w:rPr>
                                  <w:color w:val="000000"/>
                                  <w:sz w:val="20"/>
                                  <w:vertAlign w:val="subscript"/>
                                </w:rPr>
                              </w:pPr>
                              <w:r>
                                <w:rPr>
                                  <w:color w:val="000000"/>
                                  <w:sz w:val="20"/>
                                </w:rPr>
                                <w:t>KD</w:t>
                              </w:r>
                              <w:r>
                                <w:rPr>
                                  <w:color w:val="000000"/>
                                  <w:sz w:val="20"/>
                                  <w:vertAlign w:val="subscript"/>
                                </w:rPr>
                                <w:t>2.5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28"/>
                        <wps:cNvSpPr/>
                        <wps:spPr>
                          <a:xfrm>
                            <a:off x="1771650" y="622765"/>
                            <a:ext cx="3876675" cy="582577"/>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ind w:firstLine="720"/>
                                <w:jc w:val="both"/>
                                <w:rPr>
                                  <w:color w:val="000000"/>
                                  <w:sz w:val="20"/>
                                </w:rPr>
                              </w:pPr>
                              <w:r>
                                <w:rPr>
                                  <w:color w:val="000000"/>
                                  <w:sz w:val="20"/>
                                </w:rPr>
                                <w:t>Energetikos sektorius (ypač šilumos sektorius, įskaitant namų ūkius), naftos perdirbimo pramonė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29"/>
                        <wps:cNvSpPr/>
                        <wps:spPr>
                          <a:xfrm>
                            <a:off x="1771650" y="1310116"/>
                            <a:ext cx="3876675" cy="457200"/>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ind w:firstLine="720"/>
                                <w:jc w:val="both"/>
                                <w:rPr>
                                  <w:color w:val="000000"/>
                                  <w:sz w:val="20"/>
                                </w:rPr>
                              </w:pPr>
                              <w:r>
                                <w:rPr>
                                  <w:color w:val="000000"/>
                                  <w:sz w:val="20"/>
                                </w:rPr>
                                <w:t>Transporto ir energetikos sektoriai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30"/>
                        <wps:cNvSpPr/>
                        <wps:spPr>
                          <a:xfrm>
                            <a:off x="1771650" y="1891141"/>
                            <a:ext cx="3876675" cy="457200"/>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ind w:firstLine="720"/>
                                <w:jc w:val="both"/>
                                <w:rPr>
                                  <w:color w:val="000000"/>
                                  <w:sz w:val="20"/>
                                </w:rPr>
                              </w:pPr>
                              <w:r>
                                <w:rPr>
                                  <w:color w:val="000000"/>
                                  <w:sz w:val="20"/>
                                </w:rPr>
                                <w:t>Pramonė (ypač šakos, naudojančios tirpiklių turinčias medžiagas)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31"/>
                        <wps:cNvSpPr/>
                        <wps:spPr>
                          <a:xfrm>
                            <a:off x="1771650" y="2481691"/>
                            <a:ext cx="3876675" cy="457200"/>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ind w:firstLine="720"/>
                                <w:jc w:val="both"/>
                                <w:rPr>
                                  <w:color w:val="000000"/>
                                  <w:sz w:val="20"/>
                                </w:rPr>
                              </w:pPr>
                              <w:r>
                                <w:rPr>
                                  <w:color w:val="000000"/>
                                  <w:sz w:val="20"/>
                                </w:rPr>
                                <w:t>Žemės ūkis (ypač gyvulininkystė)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32"/>
                        <wps:cNvSpPr/>
                        <wps:spPr>
                          <a:xfrm>
                            <a:off x="1771650" y="3072241"/>
                            <a:ext cx="3876675" cy="457200"/>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ind w:firstLine="720"/>
                                <w:jc w:val="both"/>
                                <w:rPr>
                                  <w:color w:val="000000"/>
                                  <w:sz w:val="20"/>
                                </w:rPr>
                              </w:pPr>
                              <w:r>
                                <w:rPr>
                                  <w:color w:val="000000"/>
                                  <w:sz w:val="20"/>
                                </w:rPr>
                                <w:t>Energetikos sektorius (ypač šilumos sektorius, įskaitant namų ūkius)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 name="Group 38"/>
                        <wpg:cNvGrpSpPr/>
                        <wpg:grpSpPr>
                          <a:xfrm flipH="1">
                            <a:off x="1457325" y="738616"/>
                            <a:ext cx="257175" cy="2781300"/>
                            <a:chOff x="1457325" y="738616"/>
                            <a:chExt cx="247650" cy="2781300"/>
                          </a:xfrm>
                        </wpg:grpSpPr>
                        <wps:wsp>
                          <wps:cNvPr id="16" name="Isosceles Triangle 33"/>
                          <wps:cNvSpPr/>
                          <wps:spPr>
                            <a:xfrm rot="5400000">
                              <a:off x="1366838" y="838628"/>
                              <a:ext cx="438150" cy="238125"/>
                            </a:xfrm>
                            <a:prstGeom prst="triangl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Isosceles Triangle 34"/>
                          <wps:cNvSpPr/>
                          <wps:spPr>
                            <a:xfrm rot="5400000">
                              <a:off x="1357313" y="1400603"/>
                              <a:ext cx="438150" cy="238125"/>
                            </a:xfrm>
                            <a:prstGeom prst="triangl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Isosceles Triangle 35"/>
                          <wps:cNvSpPr/>
                          <wps:spPr>
                            <a:xfrm rot="5400000">
                              <a:off x="1357313" y="1981628"/>
                              <a:ext cx="438150" cy="238125"/>
                            </a:xfrm>
                            <a:prstGeom prst="triangl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Isosceles Triangle 36"/>
                          <wps:cNvSpPr/>
                          <wps:spPr>
                            <a:xfrm rot="5400000">
                              <a:off x="1357313" y="2581703"/>
                              <a:ext cx="438150" cy="238125"/>
                            </a:xfrm>
                            <a:prstGeom prst="triangl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Isosceles Triangle 37"/>
                          <wps:cNvSpPr/>
                          <wps:spPr>
                            <a:xfrm rot="5400000">
                              <a:off x="1357313" y="3181778"/>
                              <a:ext cx="438150" cy="238125"/>
                            </a:xfrm>
                            <a:prstGeom prst="triangl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1135E24" id="Grupė 39" o:spid="_x0000_s1039" style="position:absolute;left:0;text-align:left;margin-left:2.5pt;margin-top:3.35pt;width:473.3pt;height:199.3pt;z-index:251660288;mso-width-relative:margin;mso-height-relative:margin" coordsize="56483,354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i0F5FQYAAHNHAAAOAAAAZHJzL2Uyb0RvYy54bWzsXNty2zYQfe9M/4HD90YC79JEzniS2s2M m3pid/IMU6DEGZJgAciS8yP9oX5YFxdCkk03lt00rAI/yLzgQixxDnaxu3z9ZlNX3i1hvKTNzEev xr5HmpzOy2Yx83+/Pvsp8z0ucDPHFW3IzL8j3H9z8uMPr9ftlAR0Sas5YR400vDpup35SyHa6WjE 8yWpMX9FW9LAzYKyGgs4ZYvRnOE1tF5Xo2A8TkZryuYtoznhHK6+0zf9E9V+UZBc/FYUnAivmvnw bEL9MvV7I39HJ6/xdMFwuyxz8xj4GU9R47KBTm1T77DA3oqVD5qqy5xRTgvxKqf1iBZFmRM1BhgN Gt8bzTmjq1aNZTFdL1orJhDtPTk9u9n8w+0l88r5zA8nvtfgGt7ROVu1f/3pwQWQzrpdTKHQOWuv 2ktmLiz0mRzwpmC1/A9D8TZKrndWrmQjvBwuJjC0CQLx53AviMNxlMZa8vkSXs+DevnyZ1MzTqIs DGJdM4yjLJogWXPUdTySz2cfZ93CLOJbQfGXCepqiVui5M+lDDpBdXL6CLMLN4uKeIF6KNk7FLNy 4lMOInuqkFA4GSexEVIcBFGc7Y0UT1vGxTmhtScPZj6D7tWcw7cXXGihdEVkp5xW5fysrCp1IgFF 3lbMu8UABbEJVNVqVf9K5/paPIY/06XCnyyuRL3XUtV4a0B6kELhr9YNvN+qgb6lSLUQ1ZG4q4js s2o+kgJmLcwtPQ77vHooOM9JI5B+viWeky+NUDUoWy5AXrZt08C+6Lq2tcBNeVmVKLqxlY10/qmy raF6po2wleuyoUw//n4DFYzK9KzLd0LSopFSEpubjUK0mj/yyg2d38HkZVTTH2/zsxKm0AXm4hIz 4DuYdcDhcHdJ2WffWwMfznz+xwoz4nvV+wZwNEFRJAlUnURxGsAJ271zs3unWdVvKcwzBOzf5upQ lhdVd1gwWn8C6j6VvcIt3OTQ98zPBetO3grN00D+OTk9VcWANFssLpqrNpeNS7nJKX+9+YRZa3Ah gHY+0A67eHoPHrqsrNnQ05WgRamws5WTkSjwiGS//4BQoh5CCeRblr0/iVBQmiLFHcCvEpmKuWFG GhYNszRJgHIV/wK1xLFq3pKoo5Ypd9RyCLUY1cBRy97KOzxqAcxrnW5HVwkPohbgZiCVJAjSxOhs HavsKyxZEKepWZo6nbDTRp6osDRUaivAe3KBP0zJ0Evijp7iFIh/QYEAld2sQk6D2FGwhwfzpAfm UffunqRBaJijEI0RSmTNrfawh3Ol+XVWgsO5MUL+54YCsuarw/mgcZ724Fytyk+2FAzOswlCkXrr DudGabFbCGrL4yg3BJC1Kh3OB41z2DR/oLarVflAnAdRhhK9Y+pw/h3h3Jp4DueDxrl1ueyY58qI PhDnIbhXAodz/3EXxnGu59bGczgfNM6l7/PBgm7dM08y0He3+Pt24/b3+N1uHCnkHsYxufOQtfQc 2oeNdvB6PkC79ZgcjPbeTbk9uLtNOXCcHx3crcHn4D5suAcP4R5az8nhcO/bm3Nw19FLR7w3Z+0+ B/dhwz3sgbt1oBwM994tOgf3o4e7tf4c3IcN957ovND6UQ6GezhOIbT3nufNwf3o4W7NPwf358Pd RPrbpAQTkA8bI8beVgkTXmi49cuJC15Rle0vXSSxSWFAYE6rnAOIe0vDLLkfDwOBbqgLpg3SDIU6 ah5PbTLDYy1s8xqCCMLpYFNQJURs27ARud8grQGGaaT4nlOek4pw75qVOsEhtB6lxxlPx5fHkUwj 0MHvnUDDJMngpchAQvifBOr9bB2SUZghKww4hnwPHc/3SHyRME+lwr/vRXfL/Ai5E+BiCWXuk80n +GbJCI7unk93/OvnMiEbUdQHeuteehbogUUR2EoyJQE4IRkrCnGofyzJ6pg8lA71w0a9jS/qQ711 M70U9RMIPnJrvUy3/D7iEhzqh416G23Uh3rrbXoh6oM4Q6lb6x3qXXLxIJKLZZ62DkboQ711Or0Q 9SEC1KfOrndrvfukwBc+KbDd2lMfGlBfdlFubfMVGvnpmN1zVWr7rZyTvwEAAP//AwBQSwMEFAAG AAgAAAAhAFHoKJ7fAAAABwEAAA8AAABkcnMvZG93bnJldi54bWxMj0FLw0AUhO+C/2F5gje7iTWx xmxKKeqpFGyF4u01+5qEZt+G7DZJ/73rSY/DDDPf5MvJtGKg3jWWFcSzCARxaXXDlYKv/fvDAoTz yBpby6TgSg6Wxe1Njpm2I3/SsPOVCCXsMlRQe99lUrqyJoNuZjvi4J1sb9AH2VdS9ziGctPKxyhK pcGGw0KNHa1rKs+7i1HwMeK4msdvw+Z8Wl+/98n2sIlJqfu7afUKwtPk/8Lwix/QoQhMR3th7USr IAlPvIL0GURwX5I4BXFU8BQlc5BFLv/zFz8AAAD//wMAUEsBAi0AFAAGAAgAAAAhALaDOJL+AAAA 4QEAABMAAAAAAAAAAAAAAAAAAAAAAFtDb250ZW50X1R5cGVzXS54bWxQSwECLQAUAAYACAAAACEA OP0h/9YAAACUAQAACwAAAAAAAAAAAAAAAAAvAQAAX3JlbHMvLnJlbHNQSwECLQAUAAYACAAAACEA kItBeRUGAABzRwAADgAAAAAAAAAAAAAAAAAuAgAAZHJzL2Uyb0RvYy54bWxQSwECLQAUAAYACAAA ACEAUegont8AAAAHAQAADwAAAAAAAAAAAAAAAABvCAAAZHJzL2Rvd25yZXYueG1sUEsFBgAAAAAE AAQA8wAAAHsJAAAAAA== ">
                <v:rect id="Rectangle 21" o:spid="_x0000_s1040" style="position:absolute;width:13906;height:522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SM3UxAAAANoAAAAPAAAAZHJzL2Rvd25yZXYueG1sRI9BawIx FITvQv9DeAVvmrVKKatRRKiKUqSrYo+Pzevu4uZlSaKu/74pCB6HmfmGmcxaU4srOV9ZVjDoJyCI c6srLhQc9p+9DxA+IGusLZOCO3mYTV86E0y1vfE3XbNQiAhhn6KCMoQmldLnJRn0fdsQR+/XOoMh SldI7fAW4aaWb0nyLg1WHBdKbGhRUn7OLkbB6LhaDneb9XJ0zE9m9RO2Tn9tleq+tvMxiEBteIYf 7bVWMIT/K/EGyOkfAAAA//8DAFBLAQItABQABgAIAAAAIQDb4fbL7gAAAIUBAAATAAAAAAAAAAAA AAAAAAAAAABbQ29udGVudF9UeXBlc10ueG1sUEsBAi0AFAAGAAgAAAAhAFr0LFu/AAAAFQEAAAsA AAAAAAAAAAAAAAAAHwEAAF9yZWxzLy5yZWxzUEsBAi0AFAAGAAgAAAAhACZIzdTEAAAA2gAAAA8A AAAAAAAAAAAAAAAABwIAAGRycy9kb3ducmV2LnhtbFBLBQYAAAAAAwADALcAAAD4AgAAAAA= " fillcolor="#0f243e [1615]" strokecolor="#0f243e [1615]" strokeweight="1pt">
                  <v:textbox>
                    <w:txbxContent>
                      <w:p w:rsidR="003C3EA6" w:rsidRDefault="003C3EA6">
                        <w:pPr>
                          <w:ind w:firstLine="720"/>
                          <w:jc w:val="center"/>
                          <w:rPr>
                            <w:color w:val="FFFFFF"/>
                            <w:sz w:val="20"/>
                          </w:rPr>
                        </w:pPr>
                        <w:r>
                          <w:rPr>
                            <w:color w:val="FFFFFF"/>
                            <w:sz w:val="20"/>
                          </w:rPr>
                          <w:t>TERŠALAI</w:t>
                        </w:r>
                      </w:p>
                    </w:txbxContent>
                  </v:textbox>
                </v:rect>
                <v:rect id="Rectangle 22" o:spid="_x0000_s1041" style="position:absolute;left:17716;top:127;width:38767;height:52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oVWgxAAAANoAAAAPAAAAZHJzL2Rvd25yZXYueG1sRI/dasJA FITvBd9hOYJ3dWMrRdJsRAR/qJTSWGkvD9ljEsyeDburpm/fLRS8HGa+GSZb9KYVV3K+saxgOklA EJdWN1wp+DysH+YgfEDW2FomBT/kYZEPBxmm2t74g65FqEQsYZ+igjqELpXSlzUZ9BPbEUfvZJ3B EKWrpHZ4i+WmlY9J8iwNNhwXauxoVVN5Li5Gwey43Ty9v+42s2P5ZbbfYe/0216p8ahfvoAI1Id7 +J/e6cjB35V4A2T+CwAA//8DAFBLAQItABQABgAIAAAAIQDb4fbL7gAAAIUBAAATAAAAAAAAAAAA AAAAAAAAAABbQ29udGVudF9UeXBlc10ueG1sUEsBAi0AFAAGAAgAAAAhAFr0LFu/AAAAFQEAAAsA AAAAAAAAAAAAAAAAHwEAAF9yZWxzLy5yZWxzUEsBAi0AFAAGAAgAAAAhAKmhVaDEAAAA2gAAAA8A AAAAAAAAAAAAAAAABwIAAGRycy9kb3ducmV2LnhtbFBLBQYAAAAAAwADALcAAAD4AgAAAAA= " fillcolor="#0f243e [1615]" strokecolor="#0f243e [1615]" strokeweight="1pt">
                  <v:textbox>
                    <w:txbxContent>
                      <w:p w:rsidR="003C3EA6" w:rsidRDefault="003C3EA6">
                        <w:pPr>
                          <w:ind w:firstLine="720"/>
                          <w:jc w:val="center"/>
                          <w:rPr>
                            <w:color w:val="FFFFFF"/>
                            <w:sz w:val="20"/>
                          </w:rPr>
                        </w:pPr>
                        <w:r>
                          <w:rPr>
                            <w:color w:val="FFFFFF"/>
                            <w:sz w:val="20"/>
                          </w:rPr>
                          <w:t>DIDŽIAUSIĄ TERŠALŲ IŠMETIMO Į ORĄ MAŽINIMO POTENCIALĄ TURINTYS SEKTORIAI</w:t>
                        </w:r>
                      </w:p>
                    </w:txbxContent>
                  </v:textbox>
                </v:rect>
                <v:rect id="Rectangle 23" o:spid="_x0000_s1042" style="position:absolute;top:6227;width:13906;height:58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yfVVwwAAANoAAAAPAAAAZHJzL2Rvd25yZXYueG1sRI9Pa8JA FMTvBb/D8gRvdaOSItE1aKFQSi/+AfH2yD6TmOzbJbvV5Nt3C0KPw8z8hlnnvWnFnTpfW1YwmyYg iAuray4VnI4fr0sQPiBrbC2TgoE85JvRyxozbR+8p/shlCJC2GeooArBZVL6oiKDfmodcfSutjMY ouxKqTt8RLhp5TxJ3qTBmuNChY7eKyqaw49RcPNuN8z87Us35297ulycXsxTpSbjfrsCEagP/+Fn +1MrSOHvSrwBcvMLAAD//wMAUEsBAi0AFAAGAAgAAAAhANvh9svuAAAAhQEAABMAAAAAAAAAAAAA AAAAAAAAAFtDb250ZW50X1R5cGVzXS54bWxQSwECLQAUAAYACAAAACEAWvQsW78AAAAVAQAACwAA AAAAAAAAAAAAAAAfAQAAX3JlbHMvLnJlbHNQSwECLQAUAAYACAAAACEA48n1VcMAAADaAAAADwAA AAAAAAAAAAAAAAAHAgAAZHJzL2Rvd25yZXYueG1sUEsFBgAAAAADAAMAtwAAAPcCAAAAAA== " filled="f" strokecolor="#1f497d [3215]" strokeweight="1pt">
                  <v:textbox>
                    <w:txbxContent>
                      <w:p w:rsidR="003C3EA6" w:rsidRDefault="003C3EA6">
                        <w:pPr>
                          <w:spacing w:line="240" w:lineRule="atLeast"/>
                          <w:ind w:firstLine="720"/>
                          <w:jc w:val="both"/>
                          <w:rPr>
                            <w:color w:val="000000"/>
                            <w:sz w:val="20"/>
                          </w:rPr>
                        </w:pPr>
                        <w:r>
                          <w:rPr>
                            <w:color w:val="000000"/>
                            <w:sz w:val="20"/>
                          </w:rPr>
                          <w:t>SO</w:t>
                        </w:r>
                        <w:r>
                          <w:rPr>
                            <w:color w:val="000000"/>
                            <w:sz w:val="20"/>
                            <w:vertAlign w:val="subscript"/>
                          </w:rPr>
                          <w:t>2</w:t>
                        </w:r>
                      </w:p>
                    </w:txbxContent>
                  </v:textbox>
                </v:rect>
                <v:rect id="Rectangle 24" o:spid="_x0000_s1043" style="position:absolute;top:13101;width:13906;height:457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G2siwwAAANoAAAAPAAAAZHJzL2Rvd25yZXYueG1sRI/NasMw EITvhbyD2EJvjZyUhOBGNk0gUEoudQIht8Xa+lcrYamJ/fZVodDjMDPfMNt8NL240eAbywoW8wQE cWl1w5WC8+nwvAHhA7LG3jIpmMhDns0etphqe+dPuhWhEhHCPkUFdQguldKXNRn0c+uIo/dlB4Mh yqGSesB7hJteLpNkLQ02HBdqdLSvqeyKb6Og9W43LXz7obvL0Z6vV6dfliulnh7Ht1cQgcbwH/5r v2sFa/i9Em+AzH4AAAD//wMAUEsBAi0AFAAGAAgAAAAhANvh9svuAAAAhQEAABMAAAAAAAAAAAAA AAAAAAAAAFtDb250ZW50X1R5cGVzXS54bWxQSwECLQAUAAYACAAAACEAWvQsW78AAAAVAQAACwAA AAAAAAAAAAAAAAAfAQAAX3JlbHMvLnJlbHNQSwECLQAUAAYACAAAACEAExtrIsMAAADaAAAADwAA AAAAAAAAAAAAAAAHAgAAZHJzL2Rvd25yZXYueG1sUEsFBgAAAAADAAMAtwAAAPcCAAAAAA== " filled="f" strokecolor="#1f497d [3215]" strokeweight="1pt">
                  <v:textbox>
                    <w:txbxContent>
                      <w:p w:rsidR="003C3EA6" w:rsidRDefault="003C3EA6">
                        <w:pPr>
                          <w:spacing w:line="360" w:lineRule="atLeast"/>
                          <w:ind w:firstLine="720"/>
                          <w:jc w:val="both"/>
                          <w:rPr>
                            <w:color w:val="000000"/>
                            <w:sz w:val="20"/>
                          </w:rPr>
                        </w:pPr>
                        <w:r>
                          <w:rPr>
                            <w:color w:val="000000"/>
                            <w:sz w:val="20"/>
                          </w:rPr>
                          <w:t>NO</w:t>
                        </w:r>
                        <w:r>
                          <w:rPr>
                            <w:color w:val="000000"/>
                            <w:sz w:val="20"/>
                            <w:vertAlign w:val="subscript"/>
                          </w:rPr>
                          <w:t>X</w:t>
                        </w:r>
                      </w:p>
                    </w:txbxContent>
                  </v:textbox>
                </v:rect>
                <v:rect id="Rectangle 25" o:spid="_x0000_s1044" style="position:absolute;top:18911;width:13906;height:457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V865wgAAANoAAAAPAAAAZHJzL2Rvd25yZXYueG1sRI9LiwIx EITvC/6H0MLe1oyKD0aj6IKwiBcfIN6aSTszOumESVbHf28EwWNRVV9R03ljKnGj2peWFXQ7CQji zOqScwWH/epnDMIHZI2VZVLwIA/zWetriqm2d97SbRdyESHsU1RQhOBSKX1WkEHfsY44emdbGwxR 1rnUNd4j3FSylyRDabDkuFCgo9+Csuvu3yi4eLd8dP1lra/HjT2cTk73ewOlvtvNYgIiUBM+4Xf7 TysYwetKvAFy9gQAAP//AwBQSwECLQAUAAYACAAAACEA2+H2y+4AAACFAQAAEwAAAAAAAAAAAAAA AAAAAAAAW0NvbnRlbnRfVHlwZXNdLnhtbFBLAQItABQABgAIAAAAIQBa9CxbvwAAABUBAAALAAAA AAAAAAAAAAAAAB8BAABfcmVscy8ucmVsc1BLAQItABQABgAIAAAAIQB8V865wgAAANoAAAAPAAAA AAAAAAAAAAAAAAcCAABkcnMvZG93bnJldi54bWxQSwUGAAAAAAMAAwC3AAAA9gIAAAAA " filled="f" strokecolor="#1f497d [3215]" strokeweight="1pt">
                  <v:textbox>
                    <w:txbxContent>
                      <w:p w:rsidR="003C3EA6" w:rsidRDefault="003C3EA6">
                        <w:pPr>
                          <w:spacing w:line="360" w:lineRule="atLeast"/>
                          <w:ind w:firstLine="720"/>
                          <w:jc w:val="both"/>
                          <w:rPr>
                            <w:color w:val="000000"/>
                            <w:sz w:val="20"/>
                          </w:rPr>
                        </w:pPr>
                        <w:r>
                          <w:rPr>
                            <w:color w:val="000000"/>
                            <w:sz w:val="20"/>
                          </w:rPr>
                          <w:t>NMLOJ</w:t>
                        </w:r>
                      </w:p>
                    </w:txbxContent>
                  </v:textbox>
                </v:rect>
                <v:rect id="Rectangle 26" o:spid="_x0000_s1045" style="position:absolute;top:24816;width:13906;height:457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yFrLvwAAANoAAAAPAAAAZHJzL2Rvd25yZXYueG1sRE9Ni8Iw EL0v+B/CCHtbU11cpDYVFYRFvKgF8TY0Y1ttJqHJav335iDs8fG+s0VvWnGnzjeWFYxHCQji0uqG KwXFcfM1A+EDssbWMil4kodFPvjIMNX2wXu6H0IlYgj7FBXUIbhUSl/WZNCPrCOO3MV2BkOEXSV1 h48Yblo5SZIfabDh2FCjo3VN5e3wZxRcvVs9x/661bfTzhbns9Pfk6lSn8N+OQcRqA//4rf7VyuI W+OVeANk/gIAAP//AwBQSwECLQAUAAYACAAAACEA2+H2y+4AAACFAQAAEwAAAAAAAAAAAAAAAAAA AAAAW0NvbnRlbnRfVHlwZXNdLnhtbFBLAQItABQABgAIAAAAIQBa9CxbvwAAABUBAAALAAAAAAAA AAAAAAAAAB8BAABfcmVscy8ucmVsc1BLAQItABQABgAIAAAAIQANyFrLvwAAANoAAAAPAAAAAAAA AAAAAAAAAAcCAABkcnMvZG93bnJldi54bWxQSwUGAAAAAAMAAwC3AAAA8wIAAAAA " filled="f" strokecolor="#1f497d [3215]" strokeweight="1pt">
                  <v:textbox>
                    <w:txbxContent>
                      <w:p w:rsidR="003C3EA6" w:rsidRDefault="003C3EA6">
                        <w:pPr>
                          <w:spacing w:line="360" w:lineRule="atLeast"/>
                          <w:ind w:firstLine="720"/>
                          <w:jc w:val="both"/>
                          <w:rPr>
                            <w:color w:val="000000"/>
                            <w:sz w:val="20"/>
                          </w:rPr>
                        </w:pPr>
                        <w:r>
                          <w:rPr>
                            <w:color w:val="000000"/>
                            <w:sz w:val="20"/>
                          </w:rPr>
                          <w:t>NH</w:t>
                        </w:r>
                        <w:r>
                          <w:rPr>
                            <w:color w:val="000000"/>
                            <w:sz w:val="20"/>
                            <w:vertAlign w:val="subscript"/>
                          </w:rPr>
                          <w:t>3</w:t>
                        </w:r>
                      </w:p>
                    </w:txbxContent>
                  </v:textbox>
                </v:rect>
                <v:rect id="Rectangle 27" o:spid="_x0000_s1046" style="position:absolute;top:30912;width:13906;height:457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hP9QwgAAANoAAAAPAAAAZHJzL2Rvd25yZXYueG1sRI9Pi8Iw FMTvC36H8IS9ramKotUouiAs4sU/IN4ezbOtNi+hyWr99kYQPA4z8xtmOm9MJW5U+9Kygm4nAUGc WV1yruCwX/2MQPiArLGyTAoe5GE+a31NMdX2zlu67UIuIoR9igqKEFwqpc8KMug71hFH72xrgyHK Ope6xnuEm0r2kmQoDZYcFwp09FtQdt39GwUX75aPrr+s9fW4sYfTyel+b6DUd7tZTEAEasIn/G7/ aQVjeF2JN0DOngAAAP//AwBQSwECLQAUAAYACAAAACEA2+H2y+4AAACFAQAAEwAAAAAAAAAAAAAA AAAAAAAAW0NvbnRlbnRfVHlwZXNdLnhtbFBLAQItABQABgAIAAAAIQBa9CxbvwAAABUBAAALAAAA AAAAAAAAAAAAAB8BAABfcmVscy8ucmVsc1BLAQItABQABgAIAAAAIQBihP9QwgAAANoAAAAPAAAA AAAAAAAAAAAAAAcCAABkcnMvZG93bnJldi54bWxQSwUGAAAAAAMAAwC3AAAA9gIAAAAA " filled="f" strokecolor="#1f497d [3215]" strokeweight="1pt">
                  <v:textbox>
                    <w:txbxContent>
                      <w:p w:rsidR="003C3EA6" w:rsidRDefault="003C3EA6">
                        <w:pPr>
                          <w:spacing w:line="360" w:lineRule="atLeast"/>
                          <w:ind w:firstLine="720"/>
                          <w:jc w:val="both"/>
                          <w:rPr>
                            <w:color w:val="000000"/>
                            <w:sz w:val="20"/>
                            <w:vertAlign w:val="subscript"/>
                          </w:rPr>
                        </w:pPr>
                        <w:r>
                          <w:rPr>
                            <w:color w:val="000000"/>
                            <w:sz w:val="20"/>
                          </w:rPr>
                          <w:t>KD</w:t>
                        </w:r>
                        <w:r>
                          <w:rPr>
                            <w:color w:val="000000"/>
                            <w:sz w:val="20"/>
                            <w:vertAlign w:val="subscript"/>
                          </w:rPr>
                          <w:t>2.5</w:t>
                        </w:r>
                      </w:p>
                    </w:txbxContent>
                  </v:textbox>
                </v:rect>
                <v:rect id="Rectangle 28" o:spid="_x0000_s1047" style="position:absolute;left:17716;top:6227;width:38767;height:58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tNR7xAAAANsAAAAPAAAAZHJzL2Rvd25yZXYueG1sRI9PawJB DMXvBb/DEKG3OqulRVZHUUEo0ot/QLyFnbi7upMZdqa6fntzEHpLeC/v/TKdd65RN2pj7dnAcJCB Ii68rbk0cNivP8agYkK22HgmAw+KMJ/13qaYW3/nLd12qVQSwjFHA1VKIdc6FhU5jAMfiEU7+9Zh krUttW3xLuGu0aMs+9YOa5aGCgOtKiquuz9n4BLD8jGMl429Hn/94XQK9nP0Zcx7v1tMQCXq0r/5 df1jBV/o5RcZQM+eAAAA//8DAFBLAQItABQABgAIAAAAIQDb4fbL7gAAAIUBAAATAAAAAAAAAAAA AAAAAAAAAABbQ29udGVudF9UeXBlc10ueG1sUEsBAi0AFAAGAAgAAAAhAFr0LFu/AAAAFQEAAAsA AAAAAAAAAAAAAAAAHwEAAF9yZWxzLy5yZWxzUEsBAi0AFAAGAAgAAAAhAC601HvEAAAA2wAAAA8A AAAAAAAAAAAAAAAABwIAAGRycy9kb3ducmV2LnhtbFBLBQYAAAAAAwADALcAAAD4AgAAAAA= " filled="f" strokecolor="#1f497d [3215]" strokeweight="1pt">
                  <v:textbox>
                    <w:txbxContent>
                      <w:p w:rsidR="003C3EA6" w:rsidRDefault="003C3EA6">
                        <w:pPr>
                          <w:ind w:firstLine="720"/>
                          <w:jc w:val="both"/>
                          <w:rPr>
                            <w:color w:val="000000"/>
                            <w:sz w:val="20"/>
                          </w:rPr>
                        </w:pPr>
                        <w:r>
                          <w:rPr>
                            <w:color w:val="000000"/>
                            <w:sz w:val="20"/>
                          </w:rPr>
                          <w:t>Energetikos sektorius (ypač šilumos sektorius, įskaitant namų ūkius), naftos perdirbimo pramonė</w:t>
                        </w:r>
                      </w:p>
                    </w:txbxContent>
                  </v:textbox>
                </v:rect>
                <v:rect id="Rectangle 29" o:spid="_x0000_s1048" style="position:absolute;left:17716;top:13101;width:38767;height:457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HHgwgAAANsAAAAPAAAAZHJzL2Rvd25yZXYueG1sRE9Na8JA EL0L/odlhN7MJpYWia5iC4VSvDQKktuQHZNodnbJbjX5926h0Ns83uest4PpxI1631pWkCUpCOLK 6pZrBcfDx3wJwgdkjZ1lUjCSh+1mOlljru2dv+lWhFrEEPY5KmhCcLmUvmrIoE+sI47c2fYGQ4R9 LXWP9xhuOrlI01dpsOXY0KCj94aqa/FjFFy8exszf/nS19PeHsvS6efFi1JPs2G3AhFoCP/iP/en jvMz+P0lHiA3DwAAAP//AwBQSwECLQAUAAYACAAAACEA2+H2y+4AAACFAQAAEwAAAAAAAAAAAAAA AAAAAAAAW0NvbnRlbnRfVHlwZXNdLnhtbFBLAQItABQABgAIAAAAIQBa9CxbvwAAABUBAAALAAAA AAAAAAAAAAAAAB8BAABfcmVscy8ucmVsc1BLAQItABQABgAIAAAAIQBB+HHgwgAAANsAAAAPAAAA AAAAAAAAAAAAAAcCAABkcnMvZG93bnJldi54bWxQSwUGAAAAAAMAAwC3AAAA9gIAAAAA " filled="f" strokecolor="#1f497d [3215]" strokeweight="1pt">
                  <v:textbox>
                    <w:txbxContent>
                      <w:p w:rsidR="003C3EA6" w:rsidRDefault="003C3EA6">
                        <w:pPr>
                          <w:ind w:firstLine="720"/>
                          <w:jc w:val="both"/>
                          <w:rPr>
                            <w:color w:val="000000"/>
                            <w:sz w:val="20"/>
                          </w:rPr>
                        </w:pPr>
                        <w:r>
                          <w:rPr>
                            <w:color w:val="000000"/>
                            <w:sz w:val="20"/>
                          </w:rPr>
                          <w:t>Transporto ir energetikos sektoriai</w:t>
                        </w:r>
                      </w:p>
                    </w:txbxContent>
                  </v:textbox>
                </v:rect>
                <v:rect id="Rectangle 30" o:spid="_x0000_s1049" style="position:absolute;left:17716;top:18911;width:38767;height:457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Ku+XwAAAANsAAAAPAAAAZHJzL2Rvd25yZXYueG1sRE9Ni8Iw EL0v+B/CCN7W1IqydI2yCoKIF93C4m1oZttqMwlN1PrvjSB4m8f7nNmiM424UutrywpGwwQEcWF1 zaWC/Hf9+QXCB2SNjWVScCcPi3nvY4aZtjfe0/UQShFD2GeooArBZVL6oiKDfmgdceT+bWswRNiW Urd4i+GmkWmSTKXBmmNDhY5WFRXnw8UoOHm3vI/8aavPfzubH49Oj9OJUoN+9/MNIlAX3uKXe6Pj /BSev8QD5PwBAAD//wMAUEsBAi0AFAAGAAgAAAAhANvh9svuAAAAhQEAABMAAAAAAAAAAAAAAAAA AAAAAFtDb250ZW50X1R5cGVzXS54bWxQSwECLQAUAAYACAAAACEAWvQsW78AAAAVAQAACwAAAAAA AAAAAAAAAAAfAQAAX3JlbHMvLnJlbHNQSwECLQAUAAYACAAAACEAsSrvl8AAAADbAAAADwAAAAAA AAAAAAAAAAAHAgAAZHJzL2Rvd25yZXYueG1sUEsFBgAAAAADAAMAtwAAAPQCAAAAAA== " filled="f" strokecolor="#1f497d [3215]" strokeweight="1pt">
                  <v:textbox>
                    <w:txbxContent>
                      <w:p w:rsidR="003C3EA6" w:rsidRDefault="003C3EA6">
                        <w:pPr>
                          <w:ind w:firstLine="720"/>
                          <w:jc w:val="both"/>
                          <w:rPr>
                            <w:color w:val="000000"/>
                            <w:sz w:val="20"/>
                          </w:rPr>
                        </w:pPr>
                        <w:r>
                          <w:rPr>
                            <w:color w:val="000000"/>
                            <w:sz w:val="20"/>
                          </w:rPr>
                          <w:t>Pramonė (ypač šakos, naudojančios tirpiklių turinčias medžiagas)</w:t>
                        </w:r>
                      </w:p>
                    </w:txbxContent>
                  </v:textbox>
                </v:rect>
                <v:rect id="Rectangle 31" o:spid="_x0000_s1050" style="position:absolute;left:17716;top:24816;width:38767;height:457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ZkoMwAAAANsAAAAPAAAAZHJzL2Rvd25yZXYueG1sRE9Li8Iw EL4L/ocwC940VVGkayqrIIjsZVUQb0Mz24fNJDRR67/fCAve5uN7znLVmUbcqfWVZQXjUQKCOLe6 4kLB6bgdLkD4gKyxsUwKnuRhlfV7S0y1ffAP3Q+hEDGEfYoKyhBcKqXPSzLoR9YRR+7XtgZDhG0h dYuPGG4aOUmSuTRYcWwo0dGmpPx6uBkFtXfr59jXe309f9vT5eL0dDJTavDRfX2CCNSFt/jfvdNx /hRev8QDZPYHAAD//wMAUEsBAi0AFAAGAAgAAAAhANvh9svuAAAAhQEAABMAAAAAAAAAAAAAAAAA AAAAAFtDb250ZW50X1R5cGVzXS54bWxQSwECLQAUAAYACAAAACEAWvQsW78AAAAVAQAACwAAAAAA AAAAAAAAAAAfAQAAX3JlbHMvLnJlbHNQSwECLQAUAAYACAAAACEA3mZKDMAAAADbAAAADwAAAAAA AAAAAAAAAAAHAgAAZHJzL2Rvd25yZXYueG1sUEsFBgAAAAADAAMAtwAAAPQCAAAAAA== " filled="f" strokecolor="#1f497d [3215]" strokeweight="1pt">
                  <v:textbox>
                    <w:txbxContent>
                      <w:p w:rsidR="003C3EA6" w:rsidRDefault="003C3EA6">
                        <w:pPr>
                          <w:ind w:firstLine="720"/>
                          <w:jc w:val="both"/>
                          <w:rPr>
                            <w:color w:val="000000"/>
                            <w:sz w:val="20"/>
                          </w:rPr>
                        </w:pPr>
                        <w:r>
                          <w:rPr>
                            <w:color w:val="000000"/>
                            <w:sz w:val="20"/>
                          </w:rPr>
                          <w:t>Žemės ūkis (ypač gyvulininkystė)</w:t>
                        </w:r>
                      </w:p>
                    </w:txbxContent>
                  </v:textbox>
                </v:rect>
                <v:rect id="Rectangle 32" o:spid="_x0000_s1051" style="position:absolute;left:17716;top:30722;width:38767;height:457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j9J4wAAAANsAAAAPAAAAZHJzL2Rvd25yZXYueG1sRE9Li8Iw EL4v+B/CCHtbU59INYouCIt48QHibWjGttpMQpPV+u+NIHibj+8503ljKnGj2peWFXQ7CQjizOqS cwWH/epnDMIHZI2VZVLwIA/zWetriqm2d97SbRdyEUPYp6igCMGlUvqsIIO+Yx1x5M62NhgirHOp a7zHcFPJXpKMpMGSY0OBjn4Lyq67f6Pg4t3y0fWXtb4eN/ZwOjnd7w2V+m43iwmIQE34iN/uPx3n D+D1SzxAzp4AAAD//wMAUEsBAi0AFAAGAAgAAAAhANvh9svuAAAAhQEAABMAAAAAAAAAAAAAAAAA AAAAAFtDb250ZW50X1R5cGVzXS54bWxQSwECLQAUAAYACAAAACEAWvQsW78AAAAVAQAACwAAAAAA AAAAAAAAAAAfAQAAX3JlbHMvLnJlbHNQSwECLQAUAAYACAAAACEAUY/SeMAAAADbAAAADwAAAAAA AAAAAAAAAAAHAgAAZHJzL2Rvd25yZXYueG1sUEsFBgAAAAADAAMAtwAAAPQCAAAAAA== " filled="f" strokecolor="#1f497d [3215]" strokeweight="1pt">
                  <v:textbox>
                    <w:txbxContent>
                      <w:p w:rsidR="003C3EA6" w:rsidRDefault="003C3EA6">
                        <w:pPr>
                          <w:ind w:firstLine="720"/>
                          <w:jc w:val="both"/>
                          <w:rPr>
                            <w:color w:val="000000"/>
                            <w:sz w:val="20"/>
                          </w:rPr>
                        </w:pPr>
                        <w:r>
                          <w:rPr>
                            <w:color w:val="000000"/>
                            <w:sz w:val="20"/>
                          </w:rPr>
                          <w:t>Energetikos sektorius (ypač šilumos sektorius, įskaitant namų ūkius)</w:t>
                        </w:r>
                      </w:p>
                    </w:txbxContent>
                  </v:textbox>
                </v:rect>
                <v:group id="Group 38" o:spid="_x0000_s1052" style="position:absolute;left:14573;top:7386;width:2572;height:27813;flip:x" coordorigin="14573,7386" coordsize="2476,278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nQWowAAAANsAAAAPAAAAZHJzL2Rvd25yZXYueG1sRE9Li8Iw EL4L/ocwgjdNd+mKdI0igouIF+sDj0Mz24ZtJqWJWv+9WRC8zcf3nNmis7W4UeuNYwUf4wQEceG0 4VLB8bAeTUH4gKyxdkwKHuRhMe/3Zphpd+c93fJQihjCPkMFVQhNJqUvKrLox64hjtyvay2GCNtS 6hbvMdzW8jNJJtKi4dhQYUOrioq//GoVnJYmpfR82e6Sgmij5eUnN6lSw0G3/AYRqAtv8cu90XH+ F/z/Eg+Q8ycAAAD//wMAUEsBAi0AFAAGAAgAAAAhANvh9svuAAAAhQEAABMAAAAAAAAAAAAAAAAA AAAAAFtDb250ZW50X1R5cGVzXS54bWxQSwECLQAUAAYACAAAACEAWvQsW78AAAAVAQAACwAAAAAA AAAAAAAAAAAfAQAAX3JlbHMvLnJlbHNQSwECLQAUAAYACAAAACEAX50FqMAAAADbAAAADwAAAAAA AAAAAAAAAAAHAgAAZHJzL2Rvd25yZXYueG1sUEsFBgAAAAADAAMAtwAAAPQCAAAAAA== ">
                  <v:shape id="Isosceles Triangle 33" o:spid="_x0000_s1053" type="#_x0000_t5" style="position:absolute;left:13668;top:8386;width:4381;height:2381;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kd7qwgAAANsAAAAPAAAAZHJzL2Rvd25yZXYueG1sRE9NawIx EL0X/A9hhN40aymiq1FqwVZFD9qC12EzbpZuJksS1+2/bwSht3m8z5kvO1uLlnyoHCsYDTMQxIXT FZcKvr/WgwmIEJE11o5JwS8FWC56T3PMtbvxkdpTLEUK4ZCjAhNjk0sZCkMWw9A1xIm7OG8xJuhL qT3eUrit5UuWjaXFilODwYbeDRU/p6tVcHg9t4R+81ntt6vpevuxu1zNTqnnfvc2AxGpi//ih3uj 0/wx3H9JB8jFHwAAAP//AwBQSwECLQAUAAYACAAAACEA2+H2y+4AAACFAQAAEwAAAAAAAAAAAAAA AAAAAAAAW0NvbnRlbnRfVHlwZXNdLnhtbFBLAQItABQABgAIAAAAIQBa9CxbvwAAABUBAAALAAAA AAAAAAAAAAAAAB8BAABfcmVscy8ucmVsc1BLAQItABQABgAIAAAAIQAxkd7qwgAAANsAAAAPAAAA AAAAAAAAAAAAAAcCAABkcnMvZG93bnJldi54bWxQSwUGAAAAAAMAAwC3AAAA9gIAAAAA " filled="f" strokecolor="#1f497d [3215]" strokeweight="1pt"/>
                  <v:shape id="Isosceles Triangle 34" o:spid="_x0000_s1054" type="#_x0000_t5" style="position:absolute;left:13573;top:14005;width:4382;height:2381;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3XtxwgAAANsAAAAPAAAAZHJzL2Rvd25yZXYueG1sRE9LawIx EL4X/A9hCr3VbKVYuzVKK/hED1Wh12EzbhY3kyWJ6/rvm4LQ23x8zxlPO1uLlnyoHCt46WcgiAun Ky4VHA/z5xGIEJE11o5JwY0CTCe9hzHm2l35m9p9LEUK4ZCjAhNjk0sZCkMWQ981xIk7OW8xJuhL qT1eU7it5SDLhtJixanBYEMzQ8V5f7EKdq8/LaFfLavt+ut9vl5sThezUerpsfv8ABGpi//iu3ul 0/w3+PslHSAnvwAAAP//AwBQSwECLQAUAAYACAAAACEA2+H2y+4AAACFAQAAEwAAAAAAAAAAAAAA AAAAAAAAW0NvbnRlbnRfVHlwZXNdLnhtbFBLAQItABQABgAIAAAAIQBa9CxbvwAAABUBAAALAAAA AAAAAAAAAAAAAB8BAABfcmVscy8ucmVsc1BLAQItABQABgAIAAAAIQBe3XtxwgAAANsAAAAPAAAA AAAAAAAAAAAAAAcCAABkcnMvZG93bnJldi54bWxQSwUGAAAAAAMAAwC3AAAA9gIAAAAA " filled="f" strokecolor="#1f497d [3215]" strokeweight="1pt"/>
                  <v:shape id="Isosceles Triangle 35" o:spid="_x0000_s1055" type="#_x0000_t5" style="position:absolute;left:13573;top:19816;width:4381;height:2381;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Qu8DxQAAANsAAAAPAAAAZHJzL2Rvd25yZXYueG1sRI9BTwIx EIXvJP6HZky8SVdjjC4UoiYoEDgIJFwn22G7cTvdtGVZ/71zMOE2k/fmvW+m88G3qqeYmsAGHsYF KOIq2IZrA4f94v4FVMrIFtvAZOCXEsxnN6MpljZc+Jv6Xa6VhHAq0YDLuSu1TpUjj2kcOmLRTiF6 zLLGWtuIFwn3rX4simftsWFpcNjRh6PqZ3f2BrZPx54wLr+azer9dbH6XJ/Obm3M3e3wNgGVachX 8//10gq+wMovMoCe/QEAAP//AwBQSwECLQAUAAYACAAAACEA2+H2y+4AAACFAQAAEwAAAAAAAAAA AAAAAAAAAAAAW0NvbnRlbnRfVHlwZXNdLnhtbFBLAQItABQABgAIAAAAIQBa9CxbvwAAABUBAAAL AAAAAAAAAAAAAAAAAB8BAABfcmVscy8ucmVsc1BLAQItABQABgAIAAAAIQAvQu8DxQAAANsAAAAP AAAAAAAAAAAAAAAAAAcCAABkcnMvZG93bnJldi54bWxQSwUGAAAAAAMAAwC3AAAA+QIAAAAA " filled="f" strokecolor="#1f497d [3215]" strokeweight="1pt"/>
                  <v:shape id="Isosceles Triangle 36" o:spid="_x0000_s1056" type="#_x0000_t5" style="position:absolute;left:13573;top:25816;width:4382;height:2381;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DkqYwgAAANsAAAAPAAAAZHJzL2Rvd25yZXYueG1sRE9LawIx EL4X/A9hhN5qVimlrkaxBa2KHnyA12EzbhY3kyWJ6/bfN4VCb/PxPWc672wtWvKhcqxgOMhAEBdO V1wqOJ+WL+8gQkTWWDsmBd8UYD7rPU0x1+7BB2qPsRQphEOOCkyMTS5lKAxZDAPXECfu6rzFmKAv pfb4SOG2lqMse5MWK04NBhv6NFTcjnerYP96aQn9+qvabT7Gy81qe72brVLP/W4xARGpi//iP/da p/lj+P0lHSBnPwAAAP//AwBQSwECLQAUAAYACAAAACEA2+H2y+4AAACFAQAAEwAAAAAAAAAAAAAA AAAAAAAAW0NvbnRlbnRfVHlwZXNdLnhtbFBLAQItABQABgAIAAAAIQBa9CxbvwAAABUBAAALAAAA AAAAAAAAAAAAAB8BAABfcmVscy8ucmVsc1BLAQItABQABgAIAAAAIQBADkqYwgAAANsAAAAPAAAA AAAAAAAAAAAAAAcCAABkcnMvZG93bnJldi54bWxQSwUGAAAAAAMAAwC3AAAA9gIAAAAA " filled="f" strokecolor="#1f497d [3215]" strokeweight="1pt"/>
                  <v:shape id="Isosceles Triangle 37" o:spid="_x0000_s1057" type="#_x0000_t5" style="position:absolute;left:13573;top:31817;width:4382;height:2381;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WCm4wQAAANsAAAAPAAAAZHJzL2Rvd25yZXYueG1sRE/LagIx FN0X+g/hFrrTjFKKjkaxBVsVXfgAt5fJdTI4uRmSOE7/3iyELg/nPZ13thYt+VA5VjDoZyCIC6cr LhWcjsveCESIyBprx6TgjwLMZ68vU8y1u/Oe2kMsRQrhkKMCE2OTSxkKQxZD3zXEibs4bzEm6Eup Pd5TuK3lMMs+pcWKU4PBhr4NFdfDzSrYfZxbQr/6rbbrr/Fy/bO53MxGqfe3bjEBEamL/+Kne6UV DNP69CX9ADl7AAAA//8DAFBLAQItABQABgAIAAAAIQDb4fbL7gAAAIUBAAATAAAAAAAAAAAAAAAA AAAAAABbQ29udGVudF9UeXBlc10ueG1sUEsBAi0AFAAGAAgAAAAhAFr0LFu/AAAAFQEAAAsAAAAA AAAAAAAAAAAAHwEAAF9yZWxzLy5yZWxzUEsBAi0AFAAGAAgAAAAhAB9YKbjBAAAA2wAAAA8AAAAA AAAAAAAAAAAABwIAAGRycy9kb3ducmV2LnhtbFBLBQYAAAAAAwADALcAAAD1AgAAAAA= " filled="f" strokecolor="#1f497d [3215]" strokeweight="1pt"/>
                </v:group>
              </v:group>
            </w:pict>
          </mc:Fallback>
        </mc:AlternateContent>
      </w:r>
    </w:p>
    <w:p w:rsidR="000E7C4C" w:rsidRDefault="000E7C4C">
      <w:pPr>
        <w:ind w:firstLine="567"/>
        <w:jc w:val="both"/>
        <w:rPr>
          <w:color w:val="000000"/>
          <w:szCs w:val="21"/>
        </w:rPr>
      </w:pPr>
    </w:p>
    <w:p w:rsidR="000E7C4C" w:rsidRDefault="000E7C4C">
      <w:pPr>
        <w:ind w:firstLine="567"/>
        <w:jc w:val="both"/>
        <w:rPr>
          <w:color w:val="000000"/>
          <w:szCs w:val="21"/>
        </w:rPr>
      </w:pPr>
    </w:p>
    <w:p w:rsidR="000E7C4C" w:rsidRDefault="000E7C4C">
      <w:pPr>
        <w:ind w:firstLine="567"/>
        <w:jc w:val="both"/>
        <w:rPr>
          <w:color w:val="000000"/>
          <w:szCs w:val="21"/>
        </w:rPr>
      </w:pPr>
    </w:p>
    <w:p w:rsidR="000E7C4C" w:rsidRDefault="000E7C4C">
      <w:pPr>
        <w:ind w:firstLine="567"/>
        <w:jc w:val="both"/>
        <w:rPr>
          <w:color w:val="000000"/>
          <w:szCs w:val="21"/>
        </w:rPr>
      </w:pPr>
    </w:p>
    <w:p w:rsidR="000E7C4C" w:rsidRDefault="000E7C4C">
      <w:pPr>
        <w:ind w:firstLine="720"/>
        <w:jc w:val="both"/>
        <w:rPr>
          <w:color w:val="000000"/>
          <w:szCs w:val="21"/>
        </w:rPr>
      </w:pPr>
    </w:p>
    <w:p w:rsidR="000E7C4C" w:rsidRDefault="000E7C4C">
      <w:pPr>
        <w:ind w:firstLine="720"/>
        <w:jc w:val="both"/>
        <w:rPr>
          <w:color w:val="000000"/>
          <w:sz w:val="20"/>
        </w:rPr>
      </w:pPr>
    </w:p>
    <w:p w:rsidR="000E7C4C" w:rsidRDefault="000E7C4C">
      <w:pPr>
        <w:ind w:firstLine="720"/>
        <w:jc w:val="both"/>
        <w:rPr>
          <w:color w:val="000000"/>
          <w:sz w:val="20"/>
        </w:rPr>
      </w:pPr>
    </w:p>
    <w:p w:rsidR="000E7C4C" w:rsidRDefault="000E7C4C">
      <w:pPr>
        <w:ind w:firstLine="720"/>
        <w:jc w:val="both"/>
        <w:rPr>
          <w:color w:val="000000"/>
          <w:sz w:val="20"/>
        </w:rPr>
      </w:pPr>
    </w:p>
    <w:p w:rsidR="000E7C4C" w:rsidRDefault="000E7C4C">
      <w:pPr>
        <w:ind w:firstLine="720"/>
        <w:jc w:val="both"/>
        <w:rPr>
          <w:color w:val="000000"/>
          <w:sz w:val="20"/>
        </w:rPr>
      </w:pPr>
    </w:p>
    <w:p w:rsidR="000E7C4C" w:rsidRDefault="000E7C4C">
      <w:pPr>
        <w:ind w:firstLine="720"/>
        <w:jc w:val="both"/>
        <w:rPr>
          <w:color w:val="000000"/>
          <w:sz w:val="20"/>
        </w:rPr>
      </w:pPr>
    </w:p>
    <w:p w:rsidR="000E7C4C" w:rsidRDefault="000E7C4C">
      <w:pPr>
        <w:ind w:firstLine="720"/>
        <w:jc w:val="both"/>
        <w:rPr>
          <w:color w:val="000000"/>
          <w:sz w:val="20"/>
        </w:rPr>
      </w:pPr>
    </w:p>
    <w:p w:rsidR="000E7C4C" w:rsidRDefault="000E7C4C">
      <w:pPr>
        <w:ind w:firstLine="720"/>
        <w:jc w:val="both"/>
        <w:rPr>
          <w:color w:val="000000"/>
          <w:sz w:val="20"/>
        </w:rPr>
      </w:pPr>
    </w:p>
    <w:p w:rsidR="000E7C4C" w:rsidRDefault="000E7C4C">
      <w:pPr>
        <w:ind w:firstLine="720"/>
        <w:jc w:val="both"/>
        <w:rPr>
          <w:color w:val="000000"/>
          <w:sz w:val="20"/>
        </w:rPr>
      </w:pPr>
    </w:p>
    <w:p w:rsidR="000E7C4C" w:rsidRDefault="000E7C4C">
      <w:pPr>
        <w:ind w:firstLine="720"/>
        <w:jc w:val="both"/>
        <w:rPr>
          <w:color w:val="000000"/>
          <w:szCs w:val="21"/>
        </w:rPr>
      </w:pPr>
    </w:p>
    <w:p w:rsidR="000E7C4C" w:rsidRDefault="000E7C4C">
      <w:pPr>
        <w:ind w:firstLine="720"/>
        <w:jc w:val="both"/>
        <w:rPr>
          <w:color w:val="000000"/>
          <w:szCs w:val="21"/>
        </w:rPr>
      </w:pPr>
    </w:p>
    <w:p w:rsidR="000E7C4C" w:rsidRDefault="003C3EA6">
      <w:pPr>
        <w:tabs>
          <w:tab w:val="left" w:pos="993"/>
        </w:tabs>
        <w:ind w:firstLine="720"/>
        <w:jc w:val="center"/>
        <w:rPr>
          <w:color w:val="000000"/>
          <w:szCs w:val="24"/>
        </w:rPr>
      </w:pPr>
      <w:r>
        <w:rPr>
          <w:color w:val="000000"/>
          <w:szCs w:val="24"/>
        </w:rPr>
        <w:t>2 paveikslas. Didžiausią teršalų išmetimo į aplinkos orą mažinimo potencialą turintys sektoriai</w:t>
      </w:r>
    </w:p>
    <w:p w:rsidR="000E7C4C" w:rsidRDefault="003C3EA6">
      <w:pPr>
        <w:ind w:firstLine="720"/>
        <w:jc w:val="center"/>
        <w:rPr>
          <w:szCs w:val="24"/>
        </w:rPr>
      </w:pPr>
      <w:r>
        <w:rPr>
          <w:szCs w:val="24"/>
        </w:rPr>
        <w:t>(Šaltinis: NAAS 50–54 punktai)</w:t>
      </w:r>
    </w:p>
    <w:p w:rsidR="000E7C4C" w:rsidRDefault="003C3EA6">
      <w:pPr>
        <w:ind w:firstLine="720"/>
        <w:jc w:val="center"/>
        <w:rPr>
          <w:color w:val="1F497D"/>
          <w:szCs w:val="24"/>
        </w:rPr>
      </w:pPr>
      <w:r>
        <w:rPr>
          <w:color w:val="1F497D"/>
          <w:szCs w:val="24"/>
          <w:lang w:val="en-US"/>
        </w:rPr>
        <w:t>______________________________</w:t>
      </w:r>
    </w:p>
    <w:p w:rsidR="000E7C4C" w:rsidRDefault="003C3EA6">
      <w:pPr>
        <w:tabs>
          <w:tab w:val="center" w:pos="4819"/>
          <w:tab w:val="right" w:pos="9638"/>
        </w:tabs>
        <w:jc w:val="both"/>
        <w:rPr>
          <w:color w:val="000000"/>
          <w:szCs w:val="21"/>
          <w:lang w:val="en-US"/>
        </w:rPr>
      </w:pPr>
    </w:p>
    <w:p w:rsidR="003C3EA6" w:rsidRDefault="003C3EA6">
      <w:pPr>
        <w:ind w:left="7088"/>
        <w:sectPr w:rsidR="003C3EA6" w:rsidSect="003C3EA6">
          <w:pgSz w:w="11906" w:h="16838"/>
          <w:pgMar w:top="1134" w:right="567" w:bottom="1134" w:left="1134" w:header="567" w:footer="567" w:gutter="0"/>
          <w:pgNumType w:start="1"/>
          <w:cols w:space="1296"/>
          <w:titlePg/>
          <w:docGrid w:linePitch="326"/>
        </w:sectPr>
      </w:pPr>
    </w:p>
    <w:p w:rsidR="000E7C4C" w:rsidRDefault="003C3EA6">
      <w:pPr>
        <w:ind w:left="7088"/>
        <w:rPr>
          <w:color w:val="000000"/>
          <w:szCs w:val="24"/>
        </w:rPr>
      </w:pPr>
      <w:r>
        <w:rPr>
          <w:color w:val="000000"/>
          <w:szCs w:val="24"/>
        </w:rPr>
        <w:t>Nacionalinio oro taršos mažinimo plano</w:t>
      </w:r>
    </w:p>
    <w:p w:rsidR="000E7C4C" w:rsidRDefault="003C3EA6">
      <w:pPr>
        <w:keepNext/>
        <w:keepLines/>
        <w:ind w:left="7088"/>
        <w:outlineLvl w:val="3"/>
        <w:rPr>
          <w:bCs/>
          <w:iCs/>
          <w:color w:val="000000"/>
          <w:szCs w:val="24"/>
          <w:lang w:eastAsia="lt-LT"/>
        </w:rPr>
      </w:pPr>
      <w:r>
        <w:rPr>
          <w:bCs/>
          <w:iCs/>
          <w:color w:val="000000"/>
          <w:szCs w:val="24"/>
        </w:rPr>
        <w:t>4</w:t>
      </w:r>
      <w:r>
        <w:rPr>
          <w:bCs/>
          <w:iCs/>
          <w:color w:val="000000"/>
          <w:szCs w:val="24"/>
        </w:rPr>
        <w:t xml:space="preserve"> priedas</w:t>
      </w:r>
    </w:p>
    <w:p w:rsidR="000E7C4C" w:rsidRDefault="000E7C4C">
      <w:pPr>
        <w:keepNext/>
        <w:keepLines/>
        <w:jc w:val="center"/>
        <w:outlineLvl w:val="3"/>
        <w:rPr>
          <w:b/>
          <w:bCs/>
          <w:iCs/>
          <w:color w:val="000000"/>
          <w:szCs w:val="24"/>
          <w:lang w:eastAsia="lt-LT"/>
        </w:rPr>
      </w:pPr>
    </w:p>
    <w:p w:rsidR="000E7C4C" w:rsidRDefault="003C3EA6">
      <w:pPr>
        <w:keepNext/>
        <w:keepLines/>
        <w:ind w:firstLine="567"/>
        <w:jc w:val="center"/>
        <w:outlineLvl w:val="3"/>
        <w:rPr>
          <w:b/>
          <w:bCs/>
          <w:iCs/>
          <w:color w:val="000000"/>
          <w:szCs w:val="24"/>
          <w:lang w:eastAsia="lt-LT"/>
        </w:rPr>
      </w:pPr>
      <w:r>
        <w:rPr>
          <w:b/>
          <w:bCs/>
          <w:iCs/>
          <w:color w:val="000000"/>
          <w:szCs w:val="24"/>
          <w:lang w:eastAsia="lt-LT"/>
        </w:rPr>
        <w:t>NACIONALINIO ORO TARŠOS MAŽINIMO PLANO TIKSLŲ IR UŽDAVINIŲ RYŠYS SU KITOMIS SUSIJUSIOMIS POLITIKOS SRITIMIS</w:t>
      </w:r>
    </w:p>
    <w:p w:rsidR="000E7C4C" w:rsidRDefault="000E7C4C">
      <w:pPr>
        <w:keepNext/>
        <w:keepLines/>
        <w:jc w:val="center"/>
        <w:outlineLvl w:val="3"/>
        <w:rPr>
          <w:b/>
          <w:bCs/>
          <w:iCs/>
          <w:color w:val="000000"/>
          <w:szCs w:val="24"/>
          <w:lang w:eastAsia="lt-LT"/>
        </w:rPr>
      </w:pPr>
    </w:p>
    <w:p w:rsidR="000E7C4C" w:rsidRDefault="003C3EA6">
      <w:pPr>
        <w:tabs>
          <w:tab w:val="left" w:pos="851"/>
        </w:tabs>
        <w:ind w:firstLine="567"/>
        <w:jc w:val="both"/>
        <w:rPr>
          <w:color w:val="000000"/>
          <w:szCs w:val="24"/>
          <w:lang w:eastAsia="lt-LT"/>
        </w:rPr>
      </w:pPr>
      <w:r>
        <w:rPr>
          <w:color w:val="000000"/>
          <w:szCs w:val="24"/>
          <w:lang w:eastAsia="lt-LT"/>
        </w:rPr>
        <w:t>1</w:t>
      </w:r>
      <w:r>
        <w:rPr>
          <w:color w:val="000000"/>
          <w:szCs w:val="24"/>
          <w:lang w:eastAsia="lt-LT"/>
        </w:rPr>
        <w:t>.</w:t>
      </w:r>
      <w:r>
        <w:rPr>
          <w:color w:val="000000"/>
          <w:szCs w:val="24"/>
          <w:lang w:eastAsia="lt-LT"/>
        </w:rPr>
        <w:tab/>
      </w:r>
      <w:r>
        <w:rPr>
          <w:color w:val="000000"/>
          <w:szCs w:val="24"/>
        </w:rPr>
        <w:t>Aplinkos oro užterštumo mažinimo ir oro kokybės gerinimo aspektai yra įvardinti įvairių sektorių strategijose: energetikos, susisiekimo, žemės ūkio, taip pat sveikatos apsaugos. Aplinkos oro taršos mažinimas yra glaudžiai susijęs su klimato kaitos neigiamo poveikio mažinimu – įgyvendinant klimato kaitos poveikio mažinimo tikslus ir priemones prisidedama prie oro taršos mažinimo ir oro kokybės gerėjimo.</w:t>
      </w:r>
    </w:p>
    <w:p w:rsidR="000E7C4C" w:rsidRDefault="003C3EA6">
      <w:pPr>
        <w:tabs>
          <w:tab w:val="left" w:pos="851"/>
        </w:tabs>
        <w:ind w:firstLine="567"/>
        <w:jc w:val="both"/>
        <w:rPr>
          <w:color w:val="000000"/>
          <w:szCs w:val="24"/>
          <w:lang w:eastAsia="lt-LT"/>
        </w:rPr>
      </w:pPr>
      <w:r>
        <w:rPr>
          <w:color w:val="000000"/>
          <w:szCs w:val="24"/>
          <w:lang w:eastAsia="lt-LT"/>
        </w:rPr>
        <w:t>2</w:t>
      </w:r>
      <w:r>
        <w:rPr>
          <w:color w:val="000000"/>
          <w:szCs w:val="24"/>
          <w:lang w:eastAsia="lt-LT"/>
        </w:rPr>
        <w:t xml:space="preserve">. Siekiant įgyvendinti </w:t>
      </w:r>
      <w:r>
        <w:rPr>
          <w:b/>
          <w:color w:val="000000"/>
          <w:szCs w:val="24"/>
          <w:lang w:eastAsia="lt-LT"/>
        </w:rPr>
        <w:t>Lietuvos Respublikos aplinkos oro apsaugos įstatyme</w:t>
      </w:r>
      <w:r>
        <w:rPr>
          <w:color w:val="000000"/>
          <w:szCs w:val="24"/>
          <w:lang w:eastAsia="lt-LT"/>
        </w:rPr>
        <w:t xml:space="preserve"> numatytus aplinkos oro apsaugos prioritetus ir pasiekti </w:t>
      </w:r>
      <w:r>
        <w:rPr>
          <w:b/>
          <w:color w:val="000000"/>
          <w:szCs w:val="24"/>
        </w:rPr>
        <w:t xml:space="preserve">Nacionalinėje aplinkos apsaugos </w:t>
      </w:r>
      <w:proofErr w:type="spellStart"/>
      <w:r>
        <w:rPr>
          <w:b/>
          <w:color w:val="000000"/>
          <w:szCs w:val="24"/>
        </w:rPr>
        <w:t>srategijoje</w:t>
      </w:r>
      <w:proofErr w:type="spellEnd"/>
      <w:r>
        <w:rPr>
          <w:color w:val="000000"/>
          <w:szCs w:val="24"/>
        </w:rPr>
        <w:t xml:space="preserve">, patvirtintoje Lietuvos Respublikos Seimo 2015 m. balandžio 16 d. nutarimu Nr. XII-1626 „Dėl Nacionalinės aplinkos apsaugos strategijos patvirtinimo“ (toliau – </w:t>
      </w:r>
      <w:r>
        <w:rPr>
          <w:b/>
          <w:color w:val="000000"/>
          <w:szCs w:val="24"/>
          <w:lang w:eastAsia="lt-LT"/>
        </w:rPr>
        <w:t>NAAS</w:t>
      </w:r>
      <w:r>
        <w:rPr>
          <w:color w:val="000000"/>
          <w:szCs w:val="24"/>
          <w:lang w:eastAsia="lt-LT"/>
        </w:rPr>
        <w:t xml:space="preserve">) nustatytus tikslus, </w:t>
      </w:r>
      <w:r>
        <w:rPr>
          <w:rFonts w:eastAsia="Calibri"/>
          <w:color w:val="000000"/>
          <w:szCs w:val="21"/>
        </w:rPr>
        <w:t xml:space="preserve">Septynioliktosios Lietuvos Respublikos Vyriausybės programos, patvirtintos Seimo 2016 m. gruodžio 13 d. nutarimu Nr. XIII-82 „Dėl Lietuvos Respublikos Vyriausybės programos“ (toliau – </w:t>
      </w:r>
      <w:r>
        <w:rPr>
          <w:rFonts w:eastAsia="Calibri"/>
          <w:b/>
          <w:color w:val="000000"/>
          <w:szCs w:val="21"/>
        </w:rPr>
        <w:t>Vyriausybės programa</w:t>
      </w:r>
      <w:r>
        <w:rPr>
          <w:rFonts w:eastAsia="Calibri"/>
          <w:color w:val="000000"/>
          <w:szCs w:val="21"/>
        </w:rPr>
        <w:t xml:space="preserve">), </w:t>
      </w:r>
      <w:r>
        <w:rPr>
          <w:color w:val="000000"/>
          <w:szCs w:val="24"/>
          <w:lang w:eastAsia="lt-LT"/>
        </w:rPr>
        <w:t>83 punkte yra numatyta žmogaus ir gamtos darna, kuria siekiama darniu žmogaus ir gamtos sambūviu formuojant aplinkos oro kokybės politiką, numatančią kelis esminius siekius. Visų pirma, Vyriausybė sieks horizontalaus tikslo, t. y. kad oro kokybė Lietuvoje būtų palanki visoms gyvybės formoms. Šiam tikslui pasiekti būtinas transporto, pramonės, žemės ūkio, miestų planavimo politikos, nuolatinės oro kokybės stebėsenos, visuomenės įsitraukimo, visų susijusių viešojo, privataus ir nevyriausybinio sektorių partnerių bendradarbiavimo, kurio bus siekiama tokiomis priemonėmis:</w:t>
      </w:r>
    </w:p>
    <w:p w:rsidR="000E7C4C" w:rsidRDefault="003C3EA6">
      <w:pPr>
        <w:tabs>
          <w:tab w:val="left" w:pos="851"/>
        </w:tabs>
        <w:ind w:firstLine="567"/>
        <w:jc w:val="both"/>
        <w:rPr>
          <w:color w:val="000000"/>
          <w:szCs w:val="24"/>
          <w:lang w:eastAsia="lt-LT"/>
        </w:rPr>
      </w:pPr>
      <w:r>
        <w:rPr>
          <w:color w:val="000000"/>
          <w:szCs w:val="24"/>
          <w:lang w:eastAsia="lt-LT"/>
        </w:rPr>
        <w:t>2.1</w:t>
      </w:r>
      <w:r>
        <w:rPr>
          <w:color w:val="000000"/>
          <w:szCs w:val="24"/>
          <w:lang w:eastAsia="lt-LT"/>
        </w:rPr>
        <w:t>. plėtojant darnaus transporto politiką, t. y. siekiant didinti krovinių pervežimą geležinkeliais, o keleivių – viešuoju transportu;</w:t>
      </w:r>
    </w:p>
    <w:p w:rsidR="000E7C4C" w:rsidRDefault="003C3EA6">
      <w:pPr>
        <w:tabs>
          <w:tab w:val="left" w:pos="851"/>
        </w:tabs>
        <w:ind w:firstLine="567"/>
        <w:jc w:val="both"/>
        <w:rPr>
          <w:color w:val="000000"/>
          <w:szCs w:val="24"/>
          <w:lang w:eastAsia="lt-LT"/>
        </w:rPr>
      </w:pPr>
      <w:r>
        <w:rPr>
          <w:color w:val="000000"/>
          <w:szCs w:val="24"/>
          <w:lang w:eastAsia="lt-LT"/>
        </w:rPr>
        <w:t>2.2</w:t>
      </w:r>
      <w:r>
        <w:rPr>
          <w:color w:val="000000"/>
          <w:szCs w:val="24"/>
          <w:lang w:eastAsia="lt-LT"/>
        </w:rPr>
        <w:t>. diegiant skatinamąsias priemones, skirtas užtikrinti, kad žmogaus sveikatai pavojingos kietųjų dalelių ribinės vertės nebūtų viršijamos.</w:t>
      </w:r>
    </w:p>
    <w:p w:rsidR="000E7C4C" w:rsidRDefault="003C3EA6">
      <w:pPr>
        <w:tabs>
          <w:tab w:val="left" w:pos="851"/>
        </w:tabs>
        <w:ind w:firstLine="567"/>
        <w:jc w:val="both"/>
        <w:rPr>
          <w:color w:val="000000"/>
          <w:szCs w:val="24"/>
          <w:lang w:eastAsia="lt-LT"/>
        </w:rPr>
      </w:pPr>
      <w:r>
        <w:rPr>
          <w:color w:val="000000"/>
          <w:szCs w:val="24"/>
          <w:lang w:eastAsia="lt-LT"/>
        </w:rPr>
        <w:t>3</w:t>
      </w:r>
      <w:r>
        <w:rPr>
          <w:color w:val="000000"/>
          <w:szCs w:val="24"/>
          <w:lang w:eastAsia="lt-LT"/>
        </w:rPr>
        <w:t>. Įgyvendinant Vyriausybės programos 83.2 papunktyje nurodytą priemonę, pirmiausia dėmesys skiriamas taršos, kylančios iš mažųjų deginimo įrenginių ir individualių gyvenamųjų namų, ypač urbanizuotose teritorijose, mažinimui, kietojo, iškastinio kuro deginimo mažinimui privačiuose būstuose, kontrolės griežtinimui, kad nebūtų deginamos atliekos namų ūkiuose.</w:t>
      </w:r>
    </w:p>
    <w:p w:rsidR="000E7C4C" w:rsidRDefault="003C3EA6">
      <w:pPr>
        <w:ind w:firstLine="567"/>
        <w:jc w:val="both"/>
        <w:rPr>
          <w:color w:val="000000"/>
          <w:szCs w:val="24"/>
          <w:lang w:eastAsia="lt-LT"/>
        </w:rPr>
      </w:pPr>
      <w:r>
        <w:rPr>
          <w:color w:val="000000"/>
          <w:szCs w:val="24"/>
          <w:lang w:eastAsia="lt-LT"/>
        </w:rPr>
        <w:t>4</w:t>
      </w:r>
      <w:r>
        <w:rPr>
          <w:color w:val="000000"/>
          <w:szCs w:val="24"/>
          <w:lang w:eastAsia="lt-LT"/>
        </w:rPr>
        <w:t>. Taigi, Vyriausybės programoje yra numatytas vienas horizontalus aplinkos oro kokybės politikos tikslas, kuris yra sudėtinis jo įgyvendinimo ypatumų požiūriu, kadangi reikalauja įvairių sektorių indėlio. Tarp pagrindinių sektorių ir sričių išvardinami transporto, šilumos ūkio, atliekų tvarkymo, pramonės, žemės ūkio, miestų planavimo politikos, nuolatinės oro kokybės stebėsenos. Pabrėžtina, kad didelis dėmesys skiriamas namų ūkiams šilumos ūkio ir atliekų kontekste. Taip pat pabrėžiamas bendradarbiavimo tarp įvairių sektorių poreikis.</w:t>
      </w:r>
    </w:p>
    <w:p w:rsidR="000E7C4C" w:rsidRDefault="003C3EA6">
      <w:pPr>
        <w:ind w:firstLine="567"/>
        <w:jc w:val="both"/>
        <w:rPr>
          <w:color w:val="000000"/>
          <w:szCs w:val="24"/>
          <w:lang w:eastAsia="lt-LT"/>
        </w:rPr>
      </w:pPr>
      <w:r>
        <w:rPr>
          <w:color w:val="000000"/>
          <w:szCs w:val="24"/>
          <w:lang w:eastAsia="lt-LT"/>
        </w:rPr>
        <w:t>5</w:t>
      </w:r>
      <w:r>
        <w:rPr>
          <w:color w:val="000000"/>
          <w:szCs w:val="24"/>
          <w:lang w:eastAsia="lt-LT"/>
        </w:rPr>
        <w:t xml:space="preserve">. </w:t>
      </w:r>
      <w:r>
        <w:rPr>
          <w:b/>
          <w:color w:val="000000"/>
          <w:szCs w:val="24"/>
          <w:lang w:eastAsia="lt-LT"/>
        </w:rPr>
        <w:t>Vyriausybės programos įgyvendinimo plane</w:t>
      </w:r>
      <w:r>
        <w:rPr>
          <w:color w:val="000000"/>
          <w:szCs w:val="24"/>
          <w:lang w:eastAsia="lt-LT"/>
        </w:rPr>
        <w:t xml:space="preserve">, patvirtintame Vyriausybės 2017 m. kovo 13 d. nutarimu Nr. 167 „Dėl Lietuvos Respublikos Vyriausybės programos įgyvendinimo plano patvirtinimo“ (toliau – Vyriausybės programos įgyvendinimo planas), numatytos su oro taršos mažinimu susijusios priemonės, kuriomis siekiama užtikrinti aplinką, tinkamą darniai gyventi visoms gyvybės formoms (žr. 1 lent.). Vyriausybės programoje numatytos teisinės ir ekonominės priemonės, skirtos sumažinti oro taršą, skirstytinos į kelias esmines grupes pagal taikymo sritį: aplinkos oro apskaitos valdymo, šilumos ūkio, žemės ūkio, transporto. Aplinkos oro apskaitos valdymo priemonė numato į aplinkos orą išmetamo teršalų kiekio apskaitos tobulinimą. Tuo metu kita šiai grupei priskiriama priemonė numato </w:t>
      </w:r>
      <w:proofErr w:type="spellStart"/>
      <w:r>
        <w:rPr>
          <w:color w:val="000000"/>
          <w:szCs w:val="24"/>
          <w:lang w:eastAsia="lt-LT"/>
        </w:rPr>
        <w:t>nacionalino</w:t>
      </w:r>
      <w:proofErr w:type="spellEnd"/>
      <w:r>
        <w:rPr>
          <w:color w:val="000000"/>
          <w:szCs w:val="24"/>
          <w:lang w:eastAsia="lt-LT"/>
        </w:rPr>
        <w:t xml:space="preserve"> oro taršos mažinimo plano (toliau – Planas) parengimą. Šilumos ūkiui nustatytos priemonės apima kuro kokybės reikalavimų nustatymą, reikalavimų kurą deginantiems įrenginiams nustatymą, centralizuoto šilumos tiekimo plėtojimą. Oro taršos mažinimo žemės ūkyje siekiama atnaujinant ir taikant gerosios žemės ūkio praktikos kodeksą ir naudojant finansines priemones oro taršai amoniaku mažinti. Transporto sektorių apimančios priemonės skirtos vidaus degimo varikliais varomų transporto priemonių naudojimui mažinti, transporto priemonių poveikiui aplinkai įvertinti ir pasiūlymams, kaip jį mažinti, pateikti. Pabrėžtina, kad tarp šių priemonių nėra tokių, kurios būtų skirtos oro taršai iš pramonės, tarp jos naftos perdirbimo ar chemijos pramonės, mažinti.</w:t>
      </w:r>
    </w:p>
    <w:p w:rsidR="000E7C4C" w:rsidRDefault="000E7C4C">
      <w:pPr>
        <w:ind w:left="720" w:firstLine="567"/>
        <w:jc w:val="both"/>
        <w:rPr>
          <w:color w:val="000000"/>
          <w:szCs w:val="24"/>
          <w:lang w:eastAsia="lt-LT"/>
        </w:rPr>
      </w:pPr>
    </w:p>
    <w:p w:rsidR="000E7C4C" w:rsidRDefault="003C3EA6">
      <w:pPr>
        <w:jc w:val="both"/>
        <w:rPr>
          <w:color w:val="000000"/>
          <w:szCs w:val="24"/>
        </w:rPr>
      </w:pPr>
      <w:r>
        <w:rPr>
          <w:color w:val="000000"/>
          <w:szCs w:val="24"/>
        </w:rPr>
        <w:t xml:space="preserve">1 lentelė. </w:t>
      </w:r>
      <w:r>
        <w:rPr>
          <w:color w:val="000000"/>
          <w:szCs w:val="24"/>
          <w:lang w:eastAsia="lt-LT"/>
        </w:rPr>
        <w:t>Vyriausybės programos įgyvendinimo plane numatytos teisinės ir ekonominės priemonės, skirtos sumažinti oro taršą</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6974"/>
        <w:gridCol w:w="2693"/>
      </w:tblGrid>
      <w:tr w:rsidR="000E7C4C">
        <w:trPr>
          <w:tblHeader/>
        </w:trPr>
        <w:tc>
          <w:tcPr>
            <w:tcW w:w="6974"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color w:val="FFFFFF"/>
                <w:sz w:val="20"/>
              </w:rPr>
              <w:t>Numatytos priemonės</w:t>
            </w:r>
          </w:p>
        </w:tc>
        <w:tc>
          <w:tcPr>
            <w:tcW w:w="2693"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bCs/>
                <w:color w:val="FFFFFF"/>
                <w:sz w:val="20"/>
                <w:lang w:eastAsia="en-GB"/>
              </w:rPr>
              <w:t>Susijusi sritis ar sektorius</w:t>
            </w:r>
          </w:p>
        </w:tc>
      </w:tr>
      <w:tr w:rsidR="000E7C4C">
        <w:trPr>
          <w:tblHeader/>
        </w:trPr>
        <w:tc>
          <w:tcPr>
            <w:tcW w:w="6974" w:type="dxa"/>
            <w:tcBorders>
              <w:top w:val="single" w:sz="4" w:space="0" w:color="auto"/>
              <w:left w:val="single" w:sz="4" w:space="0" w:color="auto"/>
              <w:bottom w:val="single" w:sz="4" w:space="0" w:color="auto"/>
              <w:right w:val="single" w:sz="4" w:space="0" w:color="auto"/>
            </w:tcBorders>
            <w:hideMark/>
          </w:tcPr>
          <w:p w:rsidR="000E7C4C" w:rsidRDefault="003C3EA6">
            <w:pPr>
              <w:ind w:left="720" w:hanging="360"/>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Administracinių gebėjimų sustiprinimas ir nacionalinės į aplinkos orą išmetamo teršalų kiekio apskaitos vykdymas, taikant kuo didesnį detalumo lygį (TIER 2 ar didesnį), kad būtų užtikrintas tarptautinių ir Europos Sąjungos (toliau – ES) teisės aktų reikalaujamas apskaitos tikslumas, išsamumas, skaidrumas, nuoseklumas, duomenų atsekamumas, ir sprendimų aplinkos oro taršai mažinti priėmimas apskaitos duomenų pagrindu</w:t>
            </w:r>
          </w:p>
          <w:p w:rsidR="000E7C4C" w:rsidRDefault="003C3EA6">
            <w:pPr>
              <w:ind w:left="720" w:hanging="360"/>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Plano parengimas, siekiant veiksmingai įgyvendinti oro taršos mažinimo 2020 ir 2030 m. tikslus</w:t>
            </w:r>
          </w:p>
        </w:tc>
        <w:tc>
          <w:tcPr>
            <w:tcW w:w="269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20"/>
                <w:lang w:eastAsia="lt-LT"/>
              </w:rPr>
            </w:pPr>
            <w:r>
              <w:rPr>
                <w:sz w:val="20"/>
                <w:lang w:eastAsia="lt-LT"/>
              </w:rPr>
              <w:t>Aplinkos oro apskaitos valdymas</w:t>
            </w:r>
          </w:p>
        </w:tc>
      </w:tr>
      <w:tr w:rsidR="000E7C4C">
        <w:trPr>
          <w:tblHeader/>
        </w:trPr>
        <w:tc>
          <w:tcPr>
            <w:tcW w:w="6974" w:type="dxa"/>
            <w:tcBorders>
              <w:top w:val="single" w:sz="4" w:space="0" w:color="auto"/>
              <w:left w:val="single" w:sz="4" w:space="0" w:color="auto"/>
              <w:bottom w:val="single" w:sz="4" w:space="0" w:color="auto"/>
              <w:right w:val="single" w:sz="4" w:space="0" w:color="auto"/>
            </w:tcBorders>
            <w:hideMark/>
          </w:tcPr>
          <w:p w:rsidR="000E7C4C" w:rsidRDefault="003C3EA6">
            <w:pPr>
              <w:ind w:left="720" w:hanging="360"/>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Mokslinis medienos kompozitų (plokščių) gamybos ir naudojimo atliekų panaudojimo įvairaus pajėgumo kurą deginančiuose įrenginiuose, įskaitant naudojamus namų ūkiuose būstams šildyti, galimybių įvertinimas, siekiant nustatyti kietojo kuro kokybės reikalavimus</w:t>
            </w:r>
          </w:p>
          <w:p w:rsidR="000E7C4C" w:rsidRDefault="003C3EA6">
            <w:pPr>
              <w:ind w:left="720" w:hanging="360"/>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Kietojo biokuro kokybės reikalavimų, taikytinų Lietuvoje naudojamam (ypač mažuose ir vidutinio dydžio kurą deginančiuose įrenginiuose) biokurui ir kitų rūšių kurui, nustatymas ir taikymas ir jų laikymosi kontrolės užtikrinimas</w:t>
            </w:r>
          </w:p>
          <w:p w:rsidR="000E7C4C" w:rsidRDefault="003C3EA6">
            <w:pPr>
              <w:ind w:left="720" w:hanging="360"/>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Griežtesnių vidutinio dydžio (1–50 MW) kurą deginančių įrenginių eksploatavimo reikalavimų, įskaitant išmetamų teršalų ribines vertes ir jų laikymosi kontrolę pagal ES reikalavimus, nustatymas</w:t>
            </w:r>
          </w:p>
          <w:p w:rsidR="000E7C4C" w:rsidRDefault="003C3EA6">
            <w:pPr>
              <w:ind w:left="720" w:hanging="360"/>
              <w:rPr>
                <w:sz w:val="20"/>
                <w:lang w:eastAsia="lt-LT"/>
              </w:rPr>
            </w:pPr>
            <w:r>
              <w:rPr>
                <w:rFonts w:ascii="Courier New" w:hAnsi="Courier New" w:cs="Courier New"/>
                <w:sz w:val="20"/>
                <w:lang w:eastAsia="lt-LT"/>
              </w:rPr>
              <w:t>o</w:t>
            </w:r>
            <w:r>
              <w:rPr>
                <w:rFonts w:ascii="Courier New" w:hAnsi="Courier New" w:cs="Courier New"/>
                <w:sz w:val="20"/>
                <w:lang w:eastAsia="lt-LT"/>
              </w:rPr>
              <w:tab/>
            </w:r>
            <w:r>
              <w:rPr>
                <w:sz w:val="20"/>
                <w:lang w:eastAsia="lt-LT"/>
              </w:rPr>
              <w:t>Teisinių ir finansinių priemonių nustatymas siekiant, kad didinant gyventojų tankį užstatytose teritorijose, kuriose veikia aplinkosaugos požiūriu efektyvi centralizuoto šilumos tiekimo sistema, nauji šilumos vartotojai toje teritorijoje būtų aprūpinami centralizuotai tiekiama šiluma arba šilumos energijos gamybai naudotų elektros, saulės ar geoterminę energiją</w:t>
            </w:r>
          </w:p>
        </w:tc>
        <w:tc>
          <w:tcPr>
            <w:tcW w:w="269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20"/>
                <w:lang w:eastAsia="lt-LT"/>
              </w:rPr>
            </w:pPr>
            <w:r>
              <w:rPr>
                <w:sz w:val="20"/>
                <w:lang w:eastAsia="lt-LT"/>
              </w:rPr>
              <w:t>Šilumos ūkis</w:t>
            </w:r>
          </w:p>
        </w:tc>
      </w:tr>
      <w:tr w:rsidR="000E7C4C">
        <w:trPr>
          <w:tblHeader/>
        </w:trPr>
        <w:tc>
          <w:tcPr>
            <w:tcW w:w="6974" w:type="dxa"/>
            <w:tcBorders>
              <w:top w:val="single" w:sz="4" w:space="0" w:color="auto"/>
              <w:left w:val="single" w:sz="4" w:space="0" w:color="auto"/>
              <w:bottom w:val="single" w:sz="4" w:space="0" w:color="auto"/>
              <w:right w:val="single" w:sz="4" w:space="0" w:color="auto"/>
            </w:tcBorders>
            <w:hideMark/>
          </w:tcPr>
          <w:p w:rsidR="000E7C4C" w:rsidRDefault="003C3EA6">
            <w:pPr>
              <w:ind w:left="720" w:hanging="360"/>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Gerosios žemės ūkio praktikos kodekso atnaujinimas ir taikymas, siekiant mažinti neigiamą žemės ūkio poveikį vandens telkinių būklei, aplinkos orui ir klimatui</w:t>
            </w:r>
          </w:p>
          <w:p w:rsidR="000E7C4C" w:rsidRDefault="003C3EA6">
            <w:pPr>
              <w:ind w:left="720" w:hanging="360"/>
              <w:rPr>
                <w:sz w:val="20"/>
                <w:lang w:eastAsia="lt-LT"/>
              </w:rPr>
            </w:pPr>
            <w:r>
              <w:rPr>
                <w:rFonts w:ascii="Courier New" w:hAnsi="Courier New" w:cs="Courier New"/>
                <w:sz w:val="20"/>
                <w:lang w:eastAsia="lt-LT"/>
              </w:rPr>
              <w:t>o</w:t>
            </w:r>
            <w:r>
              <w:rPr>
                <w:rFonts w:ascii="Courier New" w:hAnsi="Courier New" w:cs="Courier New"/>
                <w:sz w:val="20"/>
                <w:lang w:eastAsia="lt-LT"/>
              </w:rPr>
              <w:tab/>
            </w:r>
            <w:r>
              <w:rPr>
                <w:color w:val="000000"/>
                <w:sz w:val="20"/>
                <w:lang w:eastAsia="lt-LT"/>
              </w:rPr>
              <w:t>Priemonių, mažinančių aplinkos oro taršą amoniaku, skatinimas ir rėmimas, panaudojant Lietuvos kaimo plėtros 2014–2020 metų programos lėšas ir kitus galimus finansavimo šaltinius</w:t>
            </w:r>
          </w:p>
        </w:tc>
        <w:tc>
          <w:tcPr>
            <w:tcW w:w="269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20"/>
                <w:lang w:eastAsia="lt-LT"/>
              </w:rPr>
            </w:pPr>
            <w:r>
              <w:rPr>
                <w:sz w:val="20"/>
                <w:lang w:eastAsia="lt-LT"/>
              </w:rPr>
              <w:t>Žemės ūkis</w:t>
            </w:r>
          </w:p>
        </w:tc>
      </w:tr>
      <w:tr w:rsidR="000E7C4C">
        <w:trPr>
          <w:tblHeader/>
        </w:trPr>
        <w:tc>
          <w:tcPr>
            <w:tcW w:w="6974" w:type="dxa"/>
            <w:tcBorders>
              <w:top w:val="single" w:sz="4" w:space="0" w:color="auto"/>
              <w:left w:val="single" w:sz="4" w:space="0" w:color="auto"/>
              <w:bottom w:val="single" w:sz="4" w:space="0" w:color="auto"/>
              <w:right w:val="single" w:sz="4" w:space="0" w:color="auto"/>
            </w:tcBorders>
            <w:hideMark/>
          </w:tcPr>
          <w:p w:rsidR="000E7C4C" w:rsidRDefault="003C3EA6">
            <w:pPr>
              <w:ind w:left="720" w:hanging="360"/>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proofErr w:type="spellStart"/>
            <w:r>
              <w:rPr>
                <w:color w:val="000000"/>
                <w:sz w:val="20"/>
                <w:lang w:eastAsia="lt-LT"/>
              </w:rPr>
              <w:t>Palaipsnis</w:t>
            </w:r>
            <w:proofErr w:type="spellEnd"/>
            <w:r>
              <w:rPr>
                <w:color w:val="000000"/>
                <w:sz w:val="20"/>
                <w:lang w:eastAsia="lt-LT"/>
              </w:rPr>
              <w:t xml:space="preserve"> vidaus degimo varikliais varomų transporto priemonių naudojimo mažinimas</w:t>
            </w:r>
          </w:p>
          <w:p w:rsidR="000E7C4C" w:rsidRDefault="003C3EA6">
            <w:pPr>
              <w:ind w:left="720" w:hanging="360"/>
              <w:rPr>
                <w:sz w:val="20"/>
                <w:lang w:eastAsia="lt-LT"/>
              </w:rPr>
            </w:pPr>
            <w:r>
              <w:rPr>
                <w:rFonts w:ascii="Courier New" w:hAnsi="Courier New" w:cs="Courier New"/>
                <w:sz w:val="20"/>
                <w:lang w:eastAsia="lt-LT"/>
              </w:rPr>
              <w:t>o</w:t>
            </w:r>
            <w:r>
              <w:rPr>
                <w:rFonts w:ascii="Courier New" w:hAnsi="Courier New" w:cs="Courier New"/>
                <w:sz w:val="20"/>
                <w:lang w:eastAsia="lt-LT"/>
              </w:rPr>
              <w:tab/>
            </w:r>
            <w:r>
              <w:rPr>
                <w:sz w:val="20"/>
                <w:lang w:eastAsia="lt-LT"/>
              </w:rPr>
              <w:t>Transporto priemonių poveikio aplinkai įvertinimas ir pasiūlymų (priemonių), kaip jį mažinti, pateikimas</w:t>
            </w:r>
          </w:p>
        </w:tc>
        <w:tc>
          <w:tcPr>
            <w:tcW w:w="269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20"/>
                <w:lang w:eastAsia="lt-LT"/>
              </w:rPr>
            </w:pPr>
            <w:r>
              <w:rPr>
                <w:sz w:val="20"/>
                <w:lang w:eastAsia="lt-LT"/>
              </w:rPr>
              <w:t>Transportas</w:t>
            </w:r>
          </w:p>
        </w:tc>
      </w:tr>
    </w:tbl>
    <w:p w:rsidR="000E7C4C" w:rsidRDefault="003C3EA6">
      <w:pPr>
        <w:jc w:val="center"/>
        <w:rPr>
          <w:sz w:val="20"/>
        </w:rPr>
      </w:pPr>
      <w:r>
        <w:rPr>
          <w:sz w:val="20"/>
        </w:rPr>
        <w:t xml:space="preserve">(Šaltinis: </w:t>
      </w:r>
      <w:r>
        <w:rPr>
          <w:color w:val="000000"/>
          <w:sz w:val="20"/>
          <w:szCs w:val="24"/>
          <w:lang w:eastAsia="lt-LT"/>
        </w:rPr>
        <w:t xml:space="preserve">Vyriausybės programos įgyvendinimo planas: </w:t>
      </w:r>
      <w:r>
        <w:rPr>
          <w:sz w:val="20"/>
        </w:rPr>
        <w:t>1.5.3 darbo 1–8, 10, 16 punktai)</w:t>
      </w:r>
    </w:p>
    <w:p w:rsidR="000E7C4C" w:rsidRDefault="003C3EA6">
      <w:pPr>
        <w:spacing w:line="360" w:lineRule="atLeast"/>
        <w:ind w:left="720"/>
        <w:jc w:val="both"/>
        <w:rPr>
          <w:color w:val="000000"/>
          <w:szCs w:val="24"/>
          <w:lang w:eastAsia="lt-LT"/>
        </w:rPr>
      </w:pPr>
    </w:p>
    <w:p w:rsidR="000E7C4C" w:rsidRDefault="003C3EA6">
      <w:pPr>
        <w:ind w:firstLine="567"/>
        <w:jc w:val="both"/>
        <w:rPr>
          <w:color w:val="000000"/>
          <w:szCs w:val="24"/>
          <w:lang w:eastAsia="lt-LT"/>
        </w:rPr>
      </w:pPr>
      <w:r>
        <w:rPr>
          <w:color w:val="000000"/>
          <w:szCs w:val="24"/>
          <w:lang w:eastAsia="lt-LT"/>
        </w:rPr>
        <w:t>6</w:t>
      </w:r>
      <w:r>
        <w:rPr>
          <w:color w:val="000000"/>
          <w:szCs w:val="24"/>
          <w:lang w:eastAsia="lt-LT"/>
        </w:rPr>
        <w:t xml:space="preserve">. Be minėtų oro taršai mažinti skirtų priemonių Vyriausybės programoje taip pat numatytos netiesiogiai oro taršai mažinti skirtos, tačiau prie taršos mažinimo prisidėsiančios priemonės (žr. 2 lent.). Kaip matyti 2 lentelėje, numatytos susijusios priemonės suskirstytos į tam tikras grupes pagal jų įgyvendinimo rezultatų pobūdį. Pirmosios grupės priemonės labiau susiję su apskaitos valdymu, ypač stebėsena. Energetikos grupei priskirtos priemonės apima siekį keisti katilus namų ūkiuose, tokiu būdu pakeičiant naudojamą kuro rūšį bei finansinį skatinimą energetiniam efektyvumui didinti energetikos įmonėse. Renovacijos priemonė numato atnaujinti po 500 daugiabučių namų. Pramonei skirta priemonė numato finansinių paskatų naudojimą skatinant efektyvų energijos naudojimą. Transporto priemonės numato geležinkelių elektrifikavimą, elektromobiliams būtinos infrastruktūros kūrimą, kombinuoto </w:t>
      </w:r>
      <w:proofErr w:type="spellStart"/>
      <w:r>
        <w:rPr>
          <w:color w:val="000000"/>
          <w:szCs w:val="24"/>
          <w:lang w:eastAsia="lt-LT"/>
        </w:rPr>
        <w:t>judumo</w:t>
      </w:r>
      <w:proofErr w:type="spellEnd"/>
      <w:r>
        <w:rPr>
          <w:color w:val="000000"/>
          <w:szCs w:val="24"/>
          <w:lang w:eastAsia="lt-LT"/>
        </w:rPr>
        <w:t xml:space="preserve"> mieste sistemų plėtrą, energijos vartojimo efektyvumo didinimą, mokestinius pakeitimus ir pan. Viešajame sektoriuje numatyta ekologinių principų plėtra. Tuo metu viešinimo ir informavimo srityje dėmesys sutelktas į informacijos apie aplinką kokybės gerinimą ir vartotojų švietimą efektyvaus energijos vartojimo srityje. Atsinaujinančių energijos išteklių srityje numatyta vėjo energetikos ir biodujų plėtra, alternatyvių degalų naudojimas transporto sektoriuje, hidroelektrinės projekto vertinimas ir teisinių ir kitų priemonių paskirstytosios generacijos plėtros srityje parengimas ir įgyvendinimas.</w:t>
      </w:r>
    </w:p>
    <w:p w:rsidR="000E7C4C" w:rsidRDefault="000E7C4C">
      <w:pPr>
        <w:spacing w:line="360" w:lineRule="atLeast"/>
        <w:ind w:left="720"/>
        <w:jc w:val="both"/>
        <w:rPr>
          <w:color w:val="000000"/>
          <w:szCs w:val="24"/>
          <w:lang w:eastAsia="lt-LT"/>
        </w:rPr>
      </w:pPr>
    </w:p>
    <w:p w:rsidR="000E7C4C" w:rsidRDefault="003C3EA6">
      <w:pPr>
        <w:jc w:val="both"/>
        <w:rPr>
          <w:color w:val="000000"/>
          <w:szCs w:val="24"/>
        </w:rPr>
      </w:pPr>
      <w:r>
        <w:rPr>
          <w:color w:val="000000"/>
          <w:szCs w:val="24"/>
        </w:rPr>
        <w:t xml:space="preserve">2 lentelė. </w:t>
      </w:r>
      <w:r>
        <w:rPr>
          <w:color w:val="000000"/>
          <w:szCs w:val="24"/>
          <w:lang w:eastAsia="lt-LT"/>
        </w:rPr>
        <w:t>Vyriausybės programos įgyvendinimo plane numatytos netiesiogiai oro taršai mažinti skirtos priemonės</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6974"/>
        <w:gridCol w:w="2693"/>
      </w:tblGrid>
      <w:tr w:rsidR="000E7C4C">
        <w:tc>
          <w:tcPr>
            <w:tcW w:w="6974"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color w:val="FFFFFF"/>
                <w:sz w:val="20"/>
              </w:rPr>
              <w:t>Numatytos priemonės</w:t>
            </w:r>
          </w:p>
        </w:tc>
        <w:tc>
          <w:tcPr>
            <w:tcW w:w="2693"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bCs/>
                <w:color w:val="FFFFFF"/>
                <w:sz w:val="20"/>
                <w:lang w:eastAsia="en-GB"/>
              </w:rPr>
              <w:t>Susijusi sritis ar sektorius</w:t>
            </w:r>
          </w:p>
        </w:tc>
      </w:tr>
      <w:tr w:rsidR="000E7C4C">
        <w:tc>
          <w:tcPr>
            <w:tcW w:w="6974" w:type="dxa"/>
            <w:tcBorders>
              <w:top w:val="single" w:sz="4" w:space="0" w:color="auto"/>
              <w:left w:val="single" w:sz="4" w:space="0" w:color="auto"/>
              <w:bottom w:val="single" w:sz="4" w:space="0" w:color="auto"/>
              <w:right w:val="single" w:sz="4" w:space="0" w:color="auto"/>
            </w:tcBorders>
            <w:hideMark/>
          </w:tcPr>
          <w:p w:rsidR="000E7C4C" w:rsidRDefault="003C3EA6">
            <w:pPr>
              <w:ind w:left="720" w:hanging="360"/>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Aplinkosaugos atžvilgiu funkcionalios tręšimo ir stebėsenos sistemos sukūrimas</w:t>
            </w:r>
          </w:p>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Pavojingų cheminių medžiagų stebėsenos ir kontrolės sistemos veiksmingumo didinimas, prireikus pavojingų medžiagų mažinimo ir prevencijos priemonių nustatymas ir įgyvendinimas</w:t>
            </w:r>
          </w:p>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Aplinkos monitoringo aprašo parengimas ir patvirtinimas, užtikrinant efektyvų duomenų surinkimą, panaudojimą valdymo sprendimams priimti ir tarptautiniams įsipareigojimams įgyvendinti</w:t>
            </w:r>
          </w:p>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Pavojingų cheminių medžiagų žmogaus biologinėse terpėse stebėsenos vykdymo mechanizmo sukūrimas</w:t>
            </w:r>
          </w:p>
        </w:tc>
        <w:tc>
          <w:tcPr>
            <w:tcW w:w="269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20"/>
                <w:lang w:eastAsia="lt-LT"/>
              </w:rPr>
            </w:pPr>
            <w:r>
              <w:rPr>
                <w:sz w:val="20"/>
                <w:lang w:eastAsia="lt-LT"/>
              </w:rPr>
              <w:t>Stebėsena, apskaita, kontrolė</w:t>
            </w:r>
          </w:p>
        </w:tc>
      </w:tr>
      <w:tr w:rsidR="000E7C4C">
        <w:tc>
          <w:tcPr>
            <w:tcW w:w="6974" w:type="dxa"/>
            <w:tcBorders>
              <w:top w:val="single" w:sz="4" w:space="0" w:color="auto"/>
              <w:left w:val="single" w:sz="4" w:space="0" w:color="auto"/>
              <w:bottom w:val="single" w:sz="4" w:space="0" w:color="auto"/>
              <w:right w:val="single" w:sz="4" w:space="0" w:color="auto"/>
            </w:tcBorders>
            <w:hideMark/>
          </w:tcPr>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Neefektyvių namų ūkių katilų pakeitimas į efektyvesnes technologijas, naudojančias atsinaujinančius išteklius šilumos gamybai</w:t>
            </w:r>
          </w:p>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Susitarimų dėl energinio efektyvumo priemonių finansavimo ir įgyvendinimo pasirašymas su energetikos įmonėmis</w:t>
            </w:r>
          </w:p>
        </w:tc>
        <w:tc>
          <w:tcPr>
            <w:tcW w:w="269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20"/>
                <w:lang w:eastAsia="lt-LT"/>
              </w:rPr>
            </w:pPr>
            <w:r>
              <w:rPr>
                <w:sz w:val="20"/>
                <w:lang w:eastAsia="lt-LT"/>
              </w:rPr>
              <w:t>Energetika</w:t>
            </w:r>
          </w:p>
        </w:tc>
      </w:tr>
      <w:tr w:rsidR="000E7C4C">
        <w:tc>
          <w:tcPr>
            <w:tcW w:w="6974" w:type="dxa"/>
            <w:tcBorders>
              <w:top w:val="single" w:sz="4" w:space="0" w:color="auto"/>
              <w:left w:val="single" w:sz="4" w:space="0" w:color="auto"/>
              <w:bottom w:val="single" w:sz="4" w:space="0" w:color="auto"/>
              <w:right w:val="single" w:sz="4" w:space="0" w:color="auto"/>
            </w:tcBorders>
            <w:hideMark/>
          </w:tcPr>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Kasmet ne mažiau kaip po 500 daugiabučių namų atnaujinimo (modernizavimo) projektų įgyvendinimas</w:t>
            </w:r>
          </w:p>
        </w:tc>
        <w:tc>
          <w:tcPr>
            <w:tcW w:w="269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20"/>
                <w:lang w:eastAsia="lt-LT"/>
              </w:rPr>
            </w:pPr>
            <w:r>
              <w:rPr>
                <w:sz w:val="20"/>
                <w:lang w:eastAsia="lt-LT"/>
              </w:rPr>
              <w:t>Renovacija</w:t>
            </w:r>
          </w:p>
        </w:tc>
      </w:tr>
      <w:tr w:rsidR="000E7C4C">
        <w:tc>
          <w:tcPr>
            <w:tcW w:w="6974" w:type="dxa"/>
            <w:tcBorders>
              <w:top w:val="single" w:sz="4" w:space="0" w:color="auto"/>
              <w:left w:val="single" w:sz="4" w:space="0" w:color="auto"/>
              <w:bottom w:val="single" w:sz="4" w:space="0" w:color="auto"/>
              <w:right w:val="single" w:sz="4" w:space="0" w:color="auto"/>
            </w:tcBorders>
            <w:hideMark/>
          </w:tcPr>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Finansinių priemonių, skatinančių efektyviai vartoti energiją pramonėje, optimizavimas</w:t>
            </w:r>
          </w:p>
        </w:tc>
        <w:tc>
          <w:tcPr>
            <w:tcW w:w="269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20"/>
                <w:lang w:eastAsia="lt-LT"/>
              </w:rPr>
            </w:pPr>
            <w:r>
              <w:rPr>
                <w:sz w:val="20"/>
                <w:lang w:eastAsia="lt-LT"/>
              </w:rPr>
              <w:t>Pramonė</w:t>
            </w:r>
          </w:p>
        </w:tc>
      </w:tr>
      <w:tr w:rsidR="000E7C4C">
        <w:tc>
          <w:tcPr>
            <w:tcW w:w="6974" w:type="dxa"/>
            <w:tcBorders>
              <w:top w:val="single" w:sz="4" w:space="0" w:color="auto"/>
              <w:left w:val="single" w:sz="4" w:space="0" w:color="auto"/>
              <w:bottom w:val="single" w:sz="4" w:space="0" w:color="auto"/>
              <w:right w:val="single" w:sz="4" w:space="0" w:color="auto"/>
            </w:tcBorders>
            <w:hideMark/>
          </w:tcPr>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Geležinkelių neigiamo poveikio aplinkai mažinimas, elektrifikuojant geležinkelio linijas</w:t>
            </w:r>
          </w:p>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Elektromobilių įkrovimo prieigų tinklo plėtra magistraliniuose keliuose</w:t>
            </w:r>
          </w:p>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Vietinio (miesto ir priemiestinio) viešojo transporto priemonių parko atnaujinimas ekologiškomis transporto priemonėmis</w:t>
            </w:r>
          </w:p>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 xml:space="preserve">Privataus ir viešojo transporto jungties aikštelių (angl. </w:t>
            </w:r>
            <w:proofErr w:type="spellStart"/>
            <w:r>
              <w:rPr>
                <w:i/>
                <w:color w:val="000000"/>
                <w:sz w:val="20"/>
                <w:lang w:eastAsia="lt-LT"/>
              </w:rPr>
              <w:t>Park</w:t>
            </w:r>
            <w:proofErr w:type="spellEnd"/>
            <w:r>
              <w:rPr>
                <w:i/>
                <w:color w:val="000000"/>
                <w:sz w:val="20"/>
                <w:lang w:eastAsia="lt-LT"/>
              </w:rPr>
              <w:t xml:space="preserve"> </w:t>
            </w:r>
            <w:proofErr w:type="spellStart"/>
            <w:r>
              <w:rPr>
                <w:i/>
                <w:color w:val="000000"/>
                <w:sz w:val="20"/>
                <w:lang w:eastAsia="lt-LT"/>
              </w:rPr>
              <w:t>and</w:t>
            </w:r>
            <w:proofErr w:type="spellEnd"/>
            <w:r>
              <w:rPr>
                <w:i/>
                <w:color w:val="000000"/>
                <w:sz w:val="20"/>
                <w:lang w:eastAsia="lt-LT"/>
              </w:rPr>
              <w:t xml:space="preserve"> </w:t>
            </w:r>
            <w:proofErr w:type="spellStart"/>
            <w:r>
              <w:rPr>
                <w:i/>
                <w:color w:val="000000"/>
                <w:sz w:val="20"/>
                <w:lang w:eastAsia="lt-LT"/>
              </w:rPr>
              <w:t>Ride</w:t>
            </w:r>
            <w:proofErr w:type="spellEnd"/>
            <w:r>
              <w:rPr>
                <w:color w:val="000000"/>
                <w:sz w:val="20"/>
                <w:lang w:eastAsia="lt-LT"/>
              </w:rPr>
              <w:t xml:space="preserve"> ir </w:t>
            </w:r>
            <w:proofErr w:type="spellStart"/>
            <w:r>
              <w:rPr>
                <w:i/>
                <w:color w:val="000000"/>
                <w:sz w:val="20"/>
                <w:lang w:eastAsia="lt-LT"/>
              </w:rPr>
              <w:t>Bike</w:t>
            </w:r>
            <w:proofErr w:type="spellEnd"/>
            <w:r>
              <w:rPr>
                <w:i/>
                <w:color w:val="000000"/>
                <w:sz w:val="20"/>
                <w:lang w:eastAsia="lt-LT"/>
              </w:rPr>
              <w:t xml:space="preserve"> </w:t>
            </w:r>
            <w:proofErr w:type="spellStart"/>
            <w:r>
              <w:rPr>
                <w:i/>
                <w:color w:val="000000"/>
                <w:sz w:val="20"/>
                <w:lang w:eastAsia="lt-LT"/>
              </w:rPr>
              <w:t>and</w:t>
            </w:r>
            <w:proofErr w:type="spellEnd"/>
            <w:r>
              <w:rPr>
                <w:i/>
                <w:color w:val="000000"/>
                <w:sz w:val="20"/>
                <w:lang w:eastAsia="lt-LT"/>
              </w:rPr>
              <w:t xml:space="preserve"> </w:t>
            </w:r>
            <w:proofErr w:type="spellStart"/>
            <w:r>
              <w:rPr>
                <w:i/>
                <w:color w:val="000000"/>
                <w:sz w:val="20"/>
                <w:lang w:eastAsia="lt-LT"/>
              </w:rPr>
              <w:t>Ride</w:t>
            </w:r>
            <w:proofErr w:type="spellEnd"/>
            <w:r>
              <w:rPr>
                <w:color w:val="000000"/>
                <w:sz w:val="20"/>
                <w:lang w:eastAsia="lt-LT"/>
              </w:rPr>
              <w:t xml:space="preserve">) bei dviračių dalijimosi sistemų (angl. </w:t>
            </w:r>
            <w:proofErr w:type="spellStart"/>
            <w:r>
              <w:rPr>
                <w:i/>
                <w:color w:val="000000"/>
                <w:sz w:val="20"/>
                <w:lang w:eastAsia="lt-LT"/>
              </w:rPr>
              <w:t>Bike</w:t>
            </w:r>
            <w:proofErr w:type="spellEnd"/>
            <w:r>
              <w:rPr>
                <w:i/>
                <w:color w:val="000000"/>
                <w:sz w:val="20"/>
                <w:lang w:eastAsia="lt-LT"/>
              </w:rPr>
              <w:t xml:space="preserve"> </w:t>
            </w:r>
            <w:proofErr w:type="spellStart"/>
            <w:r>
              <w:rPr>
                <w:i/>
                <w:color w:val="000000"/>
                <w:sz w:val="20"/>
                <w:lang w:eastAsia="lt-LT"/>
              </w:rPr>
              <w:t>sharing</w:t>
            </w:r>
            <w:proofErr w:type="spellEnd"/>
            <w:r>
              <w:rPr>
                <w:color w:val="000000"/>
                <w:sz w:val="20"/>
                <w:lang w:eastAsia="lt-LT"/>
              </w:rPr>
              <w:t>) įrengimas miestuose</w:t>
            </w:r>
          </w:p>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Energijos vartojimo efektyvumo didinimo transporto sektoriuje skatinimas</w:t>
            </w:r>
          </w:p>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Valstybinės reikšmės žvyrkelių asfaltavimas kelių atkarpoms, jungiančioms asfaltuotus kelių ruožus</w:t>
            </w:r>
          </w:p>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Dviračių takų, dviračių ir pėsčiųjų takų, dviračių juostų plėtra ir rekonstrukcija valstybinės ir vietinės reikšmės keliuose</w:t>
            </w:r>
          </w:p>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Laikinės kelių naudotojo apmokestinimo sistemos (</w:t>
            </w:r>
            <w:proofErr w:type="spellStart"/>
            <w:r>
              <w:rPr>
                <w:color w:val="000000"/>
                <w:sz w:val="20"/>
                <w:lang w:eastAsia="lt-LT"/>
              </w:rPr>
              <w:t>eurovinjetė</w:t>
            </w:r>
            <w:proofErr w:type="spellEnd"/>
            <w:r>
              <w:rPr>
                <w:color w:val="000000"/>
                <w:sz w:val="20"/>
                <w:lang w:eastAsia="lt-LT"/>
              </w:rPr>
              <w:t xml:space="preserve">) transformavimas į </w:t>
            </w:r>
            <w:proofErr w:type="spellStart"/>
            <w:r>
              <w:rPr>
                <w:color w:val="000000"/>
                <w:sz w:val="20"/>
                <w:lang w:eastAsia="lt-LT"/>
              </w:rPr>
              <w:t>atstuminę</w:t>
            </w:r>
            <w:proofErr w:type="spellEnd"/>
            <w:r>
              <w:rPr>
                <w:color w:val="000000"/>
                <w:sz w:val="20"/>
                <w:lang w:eastAsia="lt-LT"/>
              </w:rPr>
              <w:t xml:space="preserve"> elektroninę mokesčio sistemą, atitinkančią principą „teršėjas moka – naudotojas moka“</w:t>
            </w:r>
          </w:p>
        </w:tc>
        <w:tc>
          <w:tcPr>
            <w:tcW w:w="269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20"/>
                <w:lang w:eastAsia="lt-LT"/>
              </w:rPr>
            </w:pPr>
            <w:r>
              <w:rPr>
                <w:sz w:val="20"/>
                <w:lang w:eastAsia="lt-LT"/>
              </w:rPr>
              <w:t>Transportas</w:t>
            </w:r>
          </w:p>
        </w:tc>
      </w:tr>
      <w:tr w:rsidR="000E7C4C">
        <w:tc>
          <w:tcPr>
            <w:tcW w:w="6974" w:type="dxa"/>
            <w:tcBorders>
              <w:top w:val="single" w:sz="4" w:space="0" w:color="auto"/>
              <w:left w:val="single" w:sz="4" w:space="0" w:color="auto"/>
              <w:bottom w:val="single" w:sz="4" w:space="0" w:color="auto"/>
              <w:right w:val="single" w:sz="4" w:space="0" w:color="auto"/>
            </w:tcBorders>
            <w:hideMark/>
          </w:tcPr>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Rekomendacijų viešojo sektoriaus institucijoms, įstaigoms ir valstybės įmonėms dėl ekologinių principų perkėlimo į viešąjį sektorių, tausaus išteklių naudojimo parengimas ir metodinės pagalbos įdiegiant Europos Bendrijos aplinkosaugos vadybos ir audito sistemą (EMAS) arba kitą aplinkosaugos standartą ir jį taikant teikimas</w:t>
            </w:r>
          </w:p>
        </w:tc>
        <w:tc>
          <w:tcPr>
            <w:tcW w:w="269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20"/>
                <w:lang w:eastAsia="lt-LT"/>
              </w:rPr>
            </w:pPr>
            <w:r>
              <w:rPr>
                <w:sz w:val="20"/>
                <w:lang w:eastAsia="lt-LT"/>
              </w:rPr>
              <w:t>Viešasis sektorius</w:t>
            </w:r>
          </w:p>
        </w:tc>
      </w:tr>
      <w:tr w:rsidR="000E7C4C">
        <w:tc>
          <w:tcPr>
            <w:tcW w:w="6974" w:type="dxa"/>
            <w:tcBorders>
              <w:top w:val="single" w:sz="4" w:space="0" w:color="auto"/>
              <w:left w:val="single" w:sz="4" w:space="0" w:color="auto"/>
              <w:bottom w:val="single" w:sz="4" w:space="0" w:color="auto"/>
              <w:right w:val="single" w:sz="4" w:space="0" w:color="auto"/>
            </w:tcBorders>
            <w:hideMark/>
          </w:tcPr>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Informacijos apie aplinką kokybės pagerinimas ir jos prieinamumo padidinimas, įgyvendinant aplinkos monitoringo, kontrolės ir prevencijos stiprinimo (infrastruktūros modernizavimo) projektus</w:t>
            </w:r>
          </w:p>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Vartotojų skatinimo efektyviau vartoti energiją informacinės kampanijos įgyvendinimas</w:t>
            </w:r>
          </w:p>
        </w:tc>
        <w:tc>
          <w:tcPr>
            <w:tcW w:w="269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20"/>
                <w:lang w:eastAsia="lt-LT"/>
              </w:rPr>
            </w:pPr>
            <w:r>
              <w:rPr>
                <w:sz w:val="20"/>
                <w:lang w:eastAsia="lt-LT"/>
              </w:rPr>
              <w:t>Informavimas, viešinimas</w:t>
            </w:r>
          </w:p>
        </w:tc>
      </w:tr>
      <w:tr w:rsidR="000E7C4C">
        <w:tc>
          <w:tcPr>
            <w:tcW w:w="6974" w:type="dxa"/>
            <w:tcBorders>
              <w:top w:val="single" w:sz="4" w:space="0" w:color="auto"/>
              <w:left w:val="single" w:sz="4" w:space="0" w:color="auto"/>
              <w:bottom w:val="single" w:sz="4" w:space="0" w:color="auto"/>
              <w:right w:val="single" w:sz="4" w:space="0" w:color="auto"/>
            </w:tcBorders>
            <w:hideMark/>
          </w:tcPr>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Išsamių vėjo energetikos plėtros Baltijos jūroje galimybių tyrimų atlikimas ir projektų įgyvendinimo sąlygų parengimas</w:t>
            </w:r>
          </w:p>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Vėjo elektrinių sausumoje papildomos galios galimybių, poreikių ir sąnaudų įvertinimas ir šios srities plėtra</w:t>
            </w:r>
          </w:p>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Biodujų energijos galimybių, poreikių įvertinimas ir šios srities plėtra</w:t>
            </w:r>
          </w:p>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Kruonio hidroakumuliacinė elektrinė (HAE) 5 bloko projekto tikslingumo įvertinimas ir, atsižvelgiant į vertinimo rezultatus, projekto įgyvendinimo pradžia</w:t>
            </w:r>
          </w:p>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Alternatyvių degalų transporto sektoriuje naudojimas</w:t>
            </w:r>
          </w:p>
          <w:p w:rsidR="000E7C4C" w:rsidRDefault="003C3EA6">
            <w:pPr>
              <w:ind w:left="720" w:hanging="360"/>
              <w:jc w:val="both"/>
              <w:rPr>
                <w:color w:val="000000"/>
                <w:sz w:val="20"/>
                <w:lang w:eastAsia="lt-LT"/>
              </w:rPr>
            </w:pPr>
            <w:r>
              <w:rPr>
                <w:rFonts w:ascii="Courier New" w:hAnsi="Courier New" w:cs="Courier New"/>
                <w:color w:val="000000"/>
                <w:sz w:val="20"/>
                <w:lang w:eastAsia="lt-LT"/>
              </w:rPr>
              <w:t>o</w:t>
            </w:r>
            <w:r>
              <w:rPr>
                <w:rFonts w:ascii="Courier New" w:hAnsi="Courier New" w:cs="Courier New"/>
                <w:color w:val="000000"/>
                <w:sz w:val="20"/>
                <w:lang w:eastAsia="lt-LT"/>
              </w:rPr>
              <w:tab/>
            </w:r>
            <w:r>
              <w:rPr>
                <w:color w:val="000000"/>
                <w:sz w:val="20"/>
                <w:lang w:eastAsia="lt-LT"/>
              </w:rPr>
              <w:t>Paskirstytosios generacijos plėtrą skatinančių teisinio reglamentavimo, administracinės naštos mažinimo ir vartotojų informavimo priemonių parengimas ir įgyvendinimas</w:t>
            </w:r>
          </w:p>
        </w:tc>
        <w:tc>
          <w:tcPr>
            <w:tcW w:w="269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20"/>
                <w:lang w:eastAsia="lt-LT"/>
              </w:rPr>
            </w:pPr>
            <w:r>
              <w:rPr>
                <w:sz w:val="20"/>
                <w:lang w:eastAsia="lt-LT"/>
              </w:rPr>
              <w:t>Atsinaujinantys energijos ištekliai (toliau – AEI)</w:t>
            </w:r>
          </w:p>
        </w:tc>
      </w:tr>
    </w:tbl>
    <w:p w:rsidR="000E7C4C" w:rsidRDefault="003C3EA6">
      <w:pPr>
        <w:jc w:val="center"/>
        <w:rPr>
          <w:sz w:val="20"/>
        </w:rPr>
      </w:pPr>
      <w:r>
        <w:rPr>
          <w:sz w:val="20"/>
        </w:rPr>
        <w:t>(Šaltinis: Vyriausybės programos įgyvendinimo planas)</w:t>
      </w:r>
    </w:p>
    <w:p w:rsidR="000E7C4C" w:rsidRDefault="003C3EA6">
      <w:pPr>
        <w:spacing w:line="360" w:lineRule="atLeast"/>
        <w:ind w:left="720"/>
        <w:jc w:val="both"/>
        <w:rPr>
          <w:color w:val="000000"/>
          <w:szCs w:val="24"/>
          <w:lang w:eastAsia="lt-LT"/>
        </w:rPr>
      </w:pPr>
    </w:p>
    <w:p w:rsidR="000E7C4C" w:rsidRDefault="003C3EA6">
      <w:pPr>
        <w:ind w:firstLine="567"/>
        <w:jc w:val="both"/>
        <w:rPr>
          <w:color w:val="000000"/>
          <w:szCs w:val="21"/>
          <w:lang w:eastAsia="lt-LT"/>
        </w:rPr>
      </w:pPr>
      <w:r>
        <w:rPr>
          <w:color w:val="000000"/>
          <w:szCs w:val="21"/>
          <w:lang w:eastAsia="lt-LT"/>
        </w:rPr>
        <w:t>7</w:t>
      </w:r>
      <w:r>
        <w:rPr>
          <w:color w:val="000000"/>
          <w:szCs w:val="21"/>
          <w:lang w:eastAsia="lt-LT"/>
        </w:rPr>
        <w:t>.</w:t>
      </w:r>
      <w:r>
        <w:rPr>
          <w:b/>
          <w:color w:val="000000"/>
          <w:szCs w:val="21"/>
          <w:lang w:eastAsia="lt-LT"/>
        </w:rPr>
        <w:t xml:space="preserve"> Lietuvos Respublikos teritorijos bendrojo plano</w:t>
      </w:r>
      <w:r>
        <w:rPr>
          <w:color w:val="000000"/>
          <w:szCs w:val="21"/>
          <w:lang w:eastAsia="lt-LT"/>
        </w:rPr>
        <w:t xml:space="preserve">, patvirtinto Seimo 2002 m. spalio 29 d. nutarimu Nr. IX-1154 „Dėl Lietuvos Respublikos teritorijos bendrojo plano“ (toliau – Bendrasis planas), 45 punkte nustatyti oro taršos mažinimo prioritetai yra </w:t>
      </w:r>
      <w:r>
        <w:rPr>
          <w:color w:val="000000"/>
          <w:szCs w:val="21"/>
        </w:rPr>
        <w:t xml:space="preserve">besąlyginis „teršėjas moka“ principo įgyvendinimas ir oro kokybės gerinimo priemonių įgyvendinimas labiausiai užterštose teritorijose, ypač didžiuosiuose miestuose ir intensyvaus eismo greitkeliuose. Bendrojo plano 30 punkte </w:t>
      </w:r>
      <w:r>
        <w:rPr>
          <w:color w:val="000000"/>
          <w:szCs w:val="21"/>
          <w:lang w:eastAsia="lt-LT"/>
        </w:rPr>
        <w:t xml:space="preserve">įvardinti tikslai ir uždaviniai aplinkos kokybės apsaugos srityje, kurie turėtų prisidėti prie kraštovaizdžio ekologinės pusiausvyros palaikymo. Tarp šių tikslų išskirtini tikslai, prisidėsiantys prie aplinkos oro kokybės gerinimo, pavyzdžiui, energetikos ir žemės ūkio </w:t>
      </w:r>
      <w:proofErr w:type="spellStart"/>
      <w:r>
        <w:rPr>
          <w:color w:val="000000"/>
          <w:szCs w:val="21"/>
          <w:lang w:eastAsia="lt-LT"/>
        </w:rPr>
        <w:t>ekologizavimas</w:t>
      </w:r>
      <w:proofErr w:type="spellEnd"/>
      <w:r>
        <w:rPr>
          <w:color w:val="000000"/>
          <w:szCs w:val="21"/>
          <w:lang w:eastAsia="lt-LT"/>
        </w:rPr>
        <w:t>, transporto priemonių keliamos taršos mažinimas</w:t>
      </w:r>
      <w:r>
        <w:rPr>
          <w:color w:val="000000"/>
          <w:szCs w:val="21"/>
        </w:rPr>
        <w:t xml:space="preserve">. Be to, Bendrojo plano 34 punkte nurodyta, kad šalyje, siekiant mažinti oro taršą iš stacionarių šaltinių, automobilių bei geležinkelių transporto būtina įgyvendinti kompleksinę planavimo, reglamentavimo bei inžinerinių technologinių priemonių sistemą, skirtą oro taršai mažinti. Svarbiausiu transporto infrastruktūros raidos prioritetu yra automobilių transporto plėtra, taip pat numatytas esamų automobilių kelių modernizavimas ir važiavimo sąlygų per miestus gerinimas. Elektros energetikos srityje numatoma naujų energijos rūšių ir gamybos šaltinių paieška ir įdiegimas. Šilumos energetikos sritis yra viena iš reikšmingiausių oro taršos mažinimo kontekste, todėl svarbu išskirti šilumos energetikos prioritetus. Bendrojo plano 38 punkte numatyta parengti detalią šilumos energetikos infrastruktūros plėtros strategiją ir programą įvertinant kiekvienos savivaldybės esamą situaciją bei modernizuoti centrines šilumos tiekimo sistemas, jas plačiau pritaikant elektros energijos gamybai, sudarant galimybę vartotojui tiksliai žinoti tiekiamos šilumos kiekį ir jį reguliuoti. Pramonės srityje Bendrasis planas numato prioritetus, susijusius su oro taršos mažinimu ir oro kokybės gerinimu, t. y. turimų išteklių racionalų naudojimą, </w:t>
      </w:r>
      <w:r>
        <w:rPr>
          <w:color w:val="000000"/>
          <w:szCs w:val="21"/>
          <w:lang w:eastAsia="lt-LT"/>
        </w:rPr>
        <w:t>teritorinį pramonės ir verslo plėtros harmoningą derinimą. Siekiant proporcingiau išdėstyti pramonės objektus šalies teritorijoje tokiu būdu išdėstant stacionarius taršos šaltinius skirtingose vietose, Bendrajame plane rekomenduojama išdėstyti pramonės objektus šiaurės rytų bei pietvakarių zonose. Atsižvelgiant į tai, kad Bendrojo plano galiojimas pasibaigs 2020 m., pradėtas rengti naujas planas, kuriame pasiūlyti sprendimai galios iki 2030 m., o pasiūlyta vizija  – net iki 2050 m. Siekiama, kad naujai rengiamas Bendrasis planas taptų pagrindiniu šalies vystymosi dokumentu.</w:t>
      </w:r>
    </w:p>
    <w:p w:rsidR="000E7C4C" w:rsidRDefault="003C3EA6">
      <w:pPr>
        <w:ind w:firstLine="567"/>
        <w:jc w:val="both"/>
        <w:rPr>
          <w:color w:val="000000"/>
          <w:szCs w:val="21"/>
          <w:lang w:eastAsia="lt-LT"/>
        </w:rPr>
      </w:pPr>
      <w:r>
        <w:rPr>
          <w:color w:val="000000"/>
          <w:szCs w:val="21"/>
          <w:lang w:eastAsia="lt-LT"/>
        </w:rPr>
        <w:t>8</w:t>
      </w:r>
      <w:r>
        <w:rPr>
          <w:color w:val="000000"/>
          <w:szCs w:val="21"/>
          <w:lang w:eastAsia="lt-LT"/>
        </w:rPr>
        <w:t>.</w:t>
      </w:r>
      <w:r>
        <w:rPr>
          <w:b/>
          <w:color w:val="000000"/>
          <w:szCs w:val="21"/>
          <w:lang w:eastAsia="lt-LT"/>
        </w:rPr>
        <w:t xml:space="preserve"> Valstybės pažangos strategijos </w:t>
      </w:r>
      <w:r>
        <w:rPr>
          <w:color w:val="000000"/>
          <w:szCs w:val="21"/>
          <w:lang w:eastAsia="lt-LT"/>
        </w:rPr>
        <w:t>„Lietuvos pažangos strategija „Lietuva 2030“, patvirtintos Seimo 2012 m. gegužės 15 d. nutarimu Nr. XI-2015 „Dėl valstybės pažangos strategijos „Lietuvos pažangos strategija „Lietuva 2030“ patvirtinimo“ (toliau – Valstybės pažangos strategija),</w:t>
      </w:r>
      <w:r>
        <w:rPr>
          <w:b/>
          <w:color w:val="000000"/>
          <w:szCs w:val="21"/>
          <w:lang w:eastAsia="lt-LT"/>
        </w:rPr>
        <w:t xml:space="preserve"> </w:t>
      </w:r>
      <w:r>
        <w:rPr>
          <w:color w:val="000000"/>
          <w:szCs w:val="21"/>
          <w:lang w:eastAsia="lt-LT"/>
        </w:rPr>
        <w:t>6.3 papunktyje aplinkos oro taršos mažinimo aspektai yra išreikšti per sumanios ekonomikos kūrimo prizmę. Pažangos strategijoje nurodoma, kad aplinka yra „pridėtinės vertės, stabilumo ir ilgalaikės pažangos kūrimo visose ūkio šakose pagrindas“. Todėl būtina plėtoti tokias technologijas, kurios kuo mažiau kenktų aplinkai ir užtikrintų darnų ir išteklius tausojantį augimą. Pažangos strategijoje dėmesys atkreipiamas į energetikos sektorių, nurodant, kad būtina yra energetinė nepriklausomybė ir nuoseklus aplinką tausojančių išteklių panaudojimas. Tam, kad būtų saugoma aplinka, šalyje turėtų vyrauti socialiai atsakingas verslas, o ekonomikos plėtra turėtų būti paremta darniu išteklių naudojimu. Esminės pokyčių iniciatyvos šiuo atveju yra:</w:t>
      </w:r>
    </w:p>
    <w:p w:rsidR="000E7C4C" w:rsidRDefault="003C3EA6">
      <w:pPr>
        <w:tabs>
          <w:tab w:val="left" w:pos="851"/>
        </w:tabs>
        <w:ind w:firstLine="567"/>
        <w:jc w:val="both"/>
        <w:rPr>
          <w:color w:val="000000"/>
          <w:szCs w:val="21"/>
          <w:lang w:eastAsia="lt-LT"/>
        </w:rPr>
      </w:pPr>
      <w:r>
        <w:rPr>
          <w:color w:val="000000"/>
          <w:szCs w:val="21"/>
          <w:lang w:eastAsia="lt-LT"/>
        </w:rPr>
        <w:t>8.1</w:t>
      </w:r>
      <w:r>
        <w:rPr>
          <w:color w:val="000000"/>
          <w:szCs w:val="21"/>
          <w:lang w:eastAsia="lt-LT"/>
        </w:rPr>
        <w:t>. ugdyti aplinkai palankią verslo kultūrą ir skatinti „žaliosios“ ekonomikos vystymąsi, atliekant ne tik „žaliuosius“, bet ir darniuosius viešuosius pirkimus;</w:t>
      </w:r>
    </w:p>
    <w:p w:rsidR="000E7C4C" w:rsidRDefault="003C3EA6">
      <w:pPr>
        <w:tabs>
          <w:tab w:val="left" w:pos="851"/>
        </w:tabs>
        <w:ind w:firstLine="567"/>
        <w:jc w:val="both"/>
        <w:rPr>
          <w:color w:val="000000"/>
          <w:szCs w:val="21"/>
          <w:lang w:eastAsia="lt-LT"/>
        </w:rPr>
      </w:pPr>
      <w:r>
        <w:rPr>
          <w:color w:val="000000"/>
          <w:szCs w:val="21"/>
          <w:lang w:eastAsia="lt-LT"/>
        </w:rPr>
        <w:t>8.2</w:t>
      </w:r>
      <w:r>
        <w:rPr>
          <w:color w:val="000000"/>
          <w:szCs w:val="21"/>
          <w:lang w:eastAsia="lt-LT"/>
        </w:rPr>
        <w:t>. didinti paskatas verslui investuoti į „žaliąsias“ technologijas, prekes ir paslaugas;</w:t>
      </w:r>
    </w:p>
    <w:p w:rsidR="000E7C4C" w:rsidRDefault="003C3EA6">
      <w:pPr>
        <w:tabs>
          <w:tab w:val="left" w:pos="851"/>
        </w:tabs>
        <w:ind w:firstLine="567"/>
        <w:jc w:val="both"/>
        <w:rPr>
          <w:color w:val="000000"/>
          <w:szCs w:val="21"/>
          <w:lang w:eastAsia="lt-LT"/>
        </w:rPr>
      </w:pPr>
      <w:r>
        <w:rPr>
          <w:color w:val="000000"/>
          <w:szCs w:val="21"/>
          <w:lang w:eastAsia="lt-LT"/>
        </w:rPr>
        <w:t>8.3</w:t>
      </w:r>
      <w:r>
        <w:rPr>
          <w:color w:val="000000"/>
          <w:szCs w:val="21"/>
          <w:lang w:eastAsia="lt-LT"/>
        </w:rPr>
        <w:t>. diegti pažangias, išteklius tausojančias ir aplinkos taršą bei klimato kaitą mažinančias technologijas ir gaminius pramonės, energetikos ir transporto sektoriuose.</w:t>
      </w:r>
    </w:p>
    <w:p w:rsidR="000E7C4C" w:rsidRDefault="003C3EA6">
      <w:pPr>
        <w:ind w:firstLine="567"/>
        <w:jc w:val="both"/>
        <w:rPr>
          <w:color w:val="000000"/>
          <w:sz w:val="28"/>
          <w:szCs w:val="24"/>
          <w:lang w:eastAsia="lt-LT"/>
        </w:rPr>
      </w:pPr>
      <w:r>
        <w:rPr>
          <w:color w:val="000000"/>
          <w:szCs w:val="21"/>
          <w:lang w:eastAsia="lt-LT"/>
        </w:rPr>
        <w:t>9</w:t>
      </w:r>
      <w:r>
        <w:rPr>
          <w:color w:val="000000"/>
          <w:szCs w:val="21"/>
          <w:lang w:eastAsia="lt-LT"/>
        </w:rPr>
        <w:t xml:space="preserve">. Aplinkos oro taršos mažinimo aspektai, visų pirma, aptariami nacionalinėse vystymosi ar plėtros strategijose, apimančiose įvairių sektorių darnią, tarpusavyje susijusią raidą vidutiniu ar ilguoju laikotarpiu. </w:t>
      </w:r>
      <w:r>
        <w:rPr>
          <w:b/>
          <w:color w:val="000000"/>
          <w:szCs w:val="21"/>
          <w:lang w:eastAsia="lt-LT"/>
        </w:rPr>
        <w:t xml:space="preserve">Nacionalinė darnaus vystymosi strategija, </w:t>
      </w:r>
      <w:r>
        <w:rPr>
          <w:color w:val="000000"/>
          <w:szCs w:val="21"/>
          <w:lang w:eastAsia="lt-LT"/>
        </w:rPr>
        <w:t>patvirtinta Vyriausybės 2003 m. rugsėjo 11 d. nutarimu Nr. 1160 „Dėl Nacionalinės darnaus vystymosi strategijos patvirtinimo ir įgyvendinimo“</w:t>
      </w:r>
      <w:r>
        <w:rPr>
          <w:color w:val="000000"/>
          <w:szCs w:val="24"/>
          <w:lang w:eastAsia="lt-LT"/>
        </w:rPr>
        <w:t xml:space="preserve"> (toliau – Nacionalinė darnaus vystymosi strategija), numato ilgalaikį tikslą „</w:t>
      </w:r>
      <w:r>
        <w:rPr>
          <w:color w:val="000000"/>
          <w:szCs w:val="22"/>
        </w:rPr>
        <w:t>užtikrinti nepavojingą žmonių sveikatai ir atitinkančią reikalavimus oro kokybę visoje šalies teritorijoje, pasiekti, kad į atmosferą išmetamų teršalų ir šiltnamio efektą sukeliančių dujų daugėtų dvigubai lėčiau, negu auga gamyba ir paslaugos, o ozono sluoksnį ardančios medžiagos iš viso nebūtų vartojamos”. Vienas iš šios strategijos ilgalaikių uždavinių yra užtikrinti, kad nebūtų viršijami aplinkos oro taršos normatyvai, o vienas iš trumpalaikių uždavinių – užtikrinti, kad įgyvendinant oro taršos mažinimo priemones, kietųjų dalelių koncentracija neviršytų nustatytų aplinkos oro kokybės normų. Siekiant minėto ilgalaikio tikslo yra numatytos tokios priemonės, įgyvendintinos iki 2020 m.:</w:t>
      </w:r>
    </w:p>
    <w:p w:rsidR="000E7C4C" w:rsidRDefault="003C3EA6">
      <w:pPr>
        <w:tabs>
          <w:tab w:val="left" w:pos="851"/>
        </w:tabs>
        <w:ind w:firstLine="567"/>
        <w:jc w:val="both"/>
        <w:rPr>
          <w:color w:val="000000"/>
          <w:sz w:val="28"/>
          <w:szCs w:val="24"/>
          <w:lang w:eastAsia="lt-LT"/>
        </w:rPr>
      </w:pPr>
      <w:r>
        <w:rPr>
          <w:color w:val="000000"/>
          <w:szCs w:val="21"/>
          <w:lang w:eastAsia="lt-LT"/>
        </w:rPr>
        <w:t>9.1</w:t>
      </w:r>
      <w:r>
        <w:rPr>
          <w:color w:val="000000"/>
          <w:szCs w:val="21"/>
          <w:lang w:eastAsia="lt-LT"/>
        </w:rPr>
        <w:t>. rengti ir tobulinti aplinkos oro taršos ir kokybės vertinimą ir valdymą reglamentuojančius teisės aktus;</w:t>
      </w:r>
    </w:p>
    <w:p w:rsidR="000E7C4C" w:rsidRDefault="003C3EA6">
      <w:pPr>
        <w:tabs>
          <w:tab w:val="left" w:pos="851"/>
        </w:tabs>
        <w:ind w:firstLine="567"/>
        <w:jc w:val="both"/>
        <w:rPr>
          <w:color w:val="000000"/>
          <w:sz w:val="28"/>
          <w:szCs w:val="24"/>
          <w:lang w:eastAsia="lt-LT"/>
        </w:rPr>
      </w:pPr>
      <w:r>
        <w:rPr>
          <w:color w:val="000000"/>
          <w:szCs w:val="21"/>
          <w:lang w:eastAsia="lt-LT"/>
        </w:rPr>
        <w:t>9.2</w:t>
      </w:r>
      <w:r>
        <w:rPr>
          <w:color w:val="000000"/>
          <w:szCs w:val="21"/>
          <w:lang w:eastAsia="lt-LT"/>
        </w:rPr>
        <w:t>. nustatytaisiais terminais atnaujinti Aplinkos oro kokybės vertinimo programą, jos įgyvendinimo priemonių planą ir savivaldybių programas aplinkos oro užterštumo lygiui mažinti ir veiksmingai juos įgyvendinti;</w:t>
      </w:r>
    </w:p>
    <w:p w:rsidR="000E7C4C" w:rsidRDefault="003C3EA6">
      <w:pPr>
        <w:tabs>
          <w:tab w:val="left" w:pos="851"/>
        </w:tabs>
        <w:ind w:firstLine="567"/>
        <w:jc w:val="both"/>
        <w:rPr>
          <w:color w:val="000000"/>
          <w:sz w:val="28"/>
          <w:szCs w:val="24"/>
          <w:lang w:eastAsia="lt-LT"/>
        </w:rPr>
      </w:pPr>
      <w:r>
        <w:rPr>
          <w:color w:val="000000"/>
          <w:szCs w:val="21"/>
          <w:lang w:eastAsia="lt-LT"/>
        </w:rPr>
        <w:t>9.3</w:t>
      </w:r>
      <w:r>
        <w:rPr>
          <w:color w:val="000000"/>
          <w:szCs w:val="21"/>
          <w:lang w:eastAsia="lt-LT"/>
        </w:rPr>
        <w:t xml:space="preserve">. remti </w:t>
      </w:r>
      <w:proofErr w:type="spellStart"/>
      <w:r>
        <w:rPr>
          <w:color w:val="000000"/>
          <w:szCs w:val="21"/>
          <w:lang w:eastAsia="lt-LT"/>
        </w:rPr>
        <w:t>inovatyvių</w:t>
      </w:r>
      <w:proofErr w:type="spellEnd"/>
      <w:r>
        <w:rPr>
          <w:color w:val="000000"/>
          <w:szCs w:val="21"/>
          <w:lang w:eastAsia="lt-LT"/>
        </w:rPr>
        <w:t xml:space="preserve"> ir efektyvių technologijų, darančių mažiausią neigiamą poveikį aplinkai ir žmonių sveikatai, diegimą;</w:t>
      </w:r>
    </w:p>
    <w:p w:rsidR="000E7C4C" w:rsidRDefault="003C3EA6">
      <w:pPr>
        <w:tabs>
          <w:tab w:val="left" w:pos="851"/>
        </w:tabs>
        <w:ind w:firstLine="567"/>
        <w:jc w:val="both"/>
        <w:rPr>
          <w:color w:val="000000"/>
          <w:sz w:val="28"/>
          <w:szCs w:val="24"/>
          <w:lang w:eastAsia="lt-LT"/>
        </w:rPr>
      </w:pPr>
      <w:r>
        <w:rPr>
          <w:color w:val="000000"/>
          <w:szCs w:val="21"/>
          <w:lang w:eastAsia="lt-LT"/>
        </w:rPr>
        <w:t>9.4</w:t>
      </w:r>
      <w:r>
        <w:rPr>
          <w:color w:val="000000"/>
          <w:szCs w:val="21"/>
          <w:lang w:eastAsia="lt-LT"/>
        </w:rPr>
        <w:t>. plėtoti visuomeninį transportą.</w:t>
      </w:r>
    </w:p>
    <w:p w:rsidR="000E7C4C" w:rsidRDefault="003C3EA6">
      <w:pPr>
        <w:ind w:firstLine="567"/>
        <w:jc w:val="both"/>
        <w:rPr>
          <w:color w:val="000000"/>
          <w:szCs w:val="21"/>
        </w:rPr>
      </w:pPr>
      <w:r>
        <w:rPr>
          <w:color w:val="000000"/>
          <w:szCs w:val="21"/>
        </w:rPr>
        <w:t>10</w:t>
      </w:r>
      <w:r>
        <w:rPr>
          <w:color w:val="000000"/>
          <w:szCs w:val="21"/>
        </w:rPr>
        <w:t>. Nacionalinėje darnaus vystymosi strategijoje nustatyti su oro taršos mažinimu susiję tikslai, uždaviniai ir kryptys bei vertinimo kriterijai.</w:t>
      </w:r>
    </w:p>
    <w:p w:rsidR="000E7C4C" w:rsidRDefault="000E7C4C">
      <w:pPr>
        <w:spacing w:line="360" w:lineRule="atLeast"/>
        <w:jc w:val="both"/>
        <w:rPr>
          <w:color w:val="000000"/>
          <w:szCs w:val="21"/>
        </w:rPr>
      </w:pPr>
    </w:p>
    <w:p w:rsidR="000E7C4C" w:rsidRDefault="003C3EA6">
      <w:pPr>
        <w:jc w:val="both"/>
        <w:rPr>
          <w:color w:val="000000"/>
          <w:szCs w:val="24"/>
        </w:rPr>
      </w:pPr>
      <w:r>
        <w:rPr>
          <w:color w:val="000000"/>
          <w:szCs w:val="24"/>
        </w:rPr>
        <w:t xml:space="preserve">3 lentelė. </w:t>
      </w:r>
      <w:r>
        <w:rPr>
          <w:color w:val="000000"/>
          <w:szCs w:val="24"/>
          <w:lang w:eastAsia="lt-LT"/>
        </w:rPr>
        <w:t>Nacionalinėje darnaus vystymosi strategijoje nustatyti su oro taršos mažinimu susiję tikslai, uždaviniai ir kryptys bei vertinimo kriterijai</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372"/>
        <w:gridCol w:w="3305"/>
        <w:gridCol w:w="3990"/>
      </w:tblGrid>
      <w:tr w:rsidR="000E7C4C">
        <w:tc>
          <w:tcPr>
            <w:tcW w:w="2372"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color w:val="FFFFFF"/>
                <w:sz w:val="20"/>
              </w:rPr>
            </w:pPr>
            <w:r>
              <w:rPr>
                <w:color w:val="FFFFFF"/>
                <w:sz w:val="20"/>
              </w:rPr>
              <w:t>Tikslai (ilgalaikiai ir trumpalaikiai)</w:t>
            </w:r>
          </w:p>
        </w:tc>
        <w:tc>
          <w:tcPr>
            <w:tcW w:w="3305"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color w:val="FFFFFF"/>
                <w:sz w:val="20"/>
                <w:lang w:eastAsia="lt-LT"/>
              </w:rPr>
              <w:t>Tikslai, uždaviniai, kryptys</w:t>
            </w:r>
          </w:p>
        </w:tc>
        <w:tc>
          <w:tcPr>
            <w:tcW w:w="3990"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Priemonės</w:t>
            </w:r>
          </w:p>
        </w:tc>
      </w:tr>
      <w:tr w:rsidR="000E7C4C">
        <w:tc>
          <w:tcPr>
            <w:tcW w:w="2372"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Ilgalaikiai tikslai – užtikrinti nepavojingą žmonių sveikatai ir atitinkančią reikalavimus oro kokybę visoje šalies teritorijoje, pasiekti, kad į atmosferą išmetamų teršalų ir šiltnamio efektą sukeliančių dujų daugėtų dvigubai lėčiau, negu auga gamyba ir paslaugos, o ozono sluoksnį ardančios medžiagos iš viso nebūtų vartojamos</w:t>
            </w:r>
          </w:p>
        </w:tc>
        <w:tc>
          <w:tcPr>
            <w:tcW w:w="3305"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Užtikrinti, kad išmetamų į atmosferą teršalų ir šiltnamio efektą sukeliančių dujų sukuriamo bendrojo vidaus produkto (toliau – BVP) vienetui sumažėtų perpus ir neviršytų nustatytųjų nacionalinių limitų</w:t>
            </w:r>
          </w:p>
        </w:tc>
        <w:tc>
          <w:tcPr>
            <w:tcW w:w="399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Užtikrinti, kad šiluminėse elektrinėse iki 2015 metų būtų pasiekti naujiems dideliems kurą deginantiems įrenginiams nustatyti aplinkosaugos reikalavimai</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99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Organizuoti ir koordinuoti Jungtinių Tautų bendrosios klimato kaitos konvencijos įgyvendinimo iki 2012 metų nacionalinės strategijos įgyvendinimą</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99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Ekonominėmis priemonėmis skatinti naudoti biologinį kurą ir gaminti elektrą ir šilumą </w:t>
            </w:r>
            <w:proofErr w:type="spellStart"/>
            <w:r>
              <w:rPr>
                <w:color w:val="000000"/>
                <w:sz w:val="20"/>
                <w:lang w:eastAsia="lt-LT"/>
              </w:rPr>
              <w:t>kogeneracinėse</w:t>
            </w:r>
            <w:proofErr w:type="spellEnd"/>
            <w:r>
              <w:rPr>
                <w:color w:val="000000"/>
                <w:sz w:val="20"/>
                <w:lang w:eastAsia="lt-LT"/>
              </w:rPr>
              <w:t xml:space="preserve"> elektrinėse</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99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Nustatyti ES oro kokybės gerinimo ir klimato kaitos mažinimo tikslų įgyvendinimą užtikrinančius nacionalinius strateginius ūkio sektorių vystymo tikslus, atitinkančius sieros dioksido, azoto oksidų, lakiųjų organinių junginių, amoniako ir smulkiųjų kietųjų dalelių (KD</w:t>
            </w:r>
            <w:r>
              <w:rPr>
                <w:color w:val="000000"/>
                <w:sz w:val="20"/>
                <w:vertAlign w:val="subscript"/>
                <w:lang w:eastAsia="lt-LT"/>
              </w:rPr>
              <w:t>2,5</w:t>
            </w:r>
            <w:r>
              <w:rPr>
                <w:color w:val="000000"/>
                <w:sz w:val="20"/>
                <w:lang w:eastAsia="lt-LT"/>
              </w:rPr>
              <w:t>) 2020 metų nacionalinius emisijos limitus</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99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Parengti Nacionalinę į atmosferą išmetamo teršalų kiekio valdymo (ribojimo) iki 2020 metų programą ir koordinuoti jos įgyvendinimą</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305"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Užtikrinti, kad nebūtų viršijami aplinkos oro taršos normatyvai</w:t>
            </w:r>
          </w:p>
        </w:tc>
        <w:tc>
          <w:tcPr>
            <w:tcW w:w="399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Rengti ir tobulinti aplinkos oro taršos ir kokybės vertinimą ir valdymą reglamentuojančius teisės aktus</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99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Nustatytaisiais terminais atnaujinti Aplinkos oro kokybės vertinimo programą, jos įgyvendinimo priemonių planą ir savivaldybių programas aplinkos oro užterštumo lygiui mažinti ir veiksmingai juos įgyvendinti</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99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Remti </w:t>
            </w:r>
            <w:proofErr w:type="spellStart"/>
            <w:r>
              <w:rPr>
                <w:color w:val="000000"/>
                <w:sz w:val="20"/>
                <w:lang w:eastAsia="lt-LT"/>
              </w:rPr>
              <w:t>inovatyvių</w:t>
            </w:r>
            <w:proofErr w:type="spellEnd"/>
            <w:r>
              <w:rPr>
                <w:color w:val="000000"/>
                <w:sz w:val="20"/>
                <w:lang w:eastAsia="lt-LT"/>
              </w:rPr>
              <w:t xml:space="preserve"> ir efektyvių technologijų, darančių mažiausią neigiamą poveikį aplinkai ir žmonių sveikatai, diegimą</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990"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lang w:eastAsia="lt-LT"/>
              </w:rPr>
            </w:pPr>
            <w:r>
              <w:rPr>
                <w:color w:val="000000"/>
                <w:sz w:val="20"/>
                <w:lang w:eastAsia="lt-LT"/>
              </w:rPr>
              <w:t>Plėtoti visuomeninį transportą</w:t>
            </w:r>
          </w:p>
        </w:tc>
      </w:tr>
      <w:tr w:rsidR="000E7C4C">
        <w:tc>
          <w:tcPr>
            <w:tcW w:w="2372"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Trumpalaikiai tikslai – pasiekti, kad vystantis pramonės, energetikos ir transporto sektoriams iki 2010 metų į atmosferą išmetamų teršalų kiekis nedidėtų, palyginti su 2001–2005 metais, tinkamai naudojant Lietuvos Respublikos valstybės biudžeto, privačias lėšas ir ES paramą</w:t>
            </w:r>
          </w:p>
        </w:tc>
        <w:tc>
          <w:tcPr>
            <w:tcW w:w="3305"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Užtikrinti, kad būtų įgyvendinti taršos mažinimo reikalavimai didelėse deginimo įmonėse</w:t>
            </w:r>
          </w:p>
        </w:tc>
        <w:tc>
          <w:tcPr>
            <w:tcW w:w="399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Užtikrinti, kad bendras sieros dioksido (SO</w:t>
            </w:r>
            <w:r>
              <w:rPr>
                <w:color w:val="000000"/>
                <w:sz w:val="20"/>
                <w:vertAlign w:val="subscript"/>
                <w:lang w:eastAsia="lt-LT"/>
              </w:rPr>
              <w:t>2</w:t>
            </w:r>
            <w:r>
              <w:rPr>
                <w:color w:val="000000"/>
                <w:sz w:val="20"/>
                <w:lang w:eastAsia="lt-LT"/>
              </w:rPr>
              <w:t>) ir azoto oksidų (</w:t>
            </w:r>
            <w:proofErr w:type="spellStart"/>
            <w:r>
              <w:rPr>
                <w:color w:val="000000"/>
                <w:sz w:val="20"/>
                <w:lang w:eastAsia="lt-LT"/>
              </w:rPr>
              <w:t>NO</w:t>
            </w:r>
            <w:r>
              <w:rPr>
                <w:color w:val="000000"/>
                <w:sz w:val="20"/>
                <w:vertAlign w:val="subscript"/>
                <w:lang w:eastAsia="lt-LT"/>
              </w:rPr>
              <w:t>x</w:t>
            </w:r>
            <w:proofErr w:type="spellEnd"/>
            <w:r>
              <w:rPr>
                <w:color w:val="000000"/>
                <w:sz w:val="20"/>
                <w:lang w:eastAsia="lt-LT"/>
              </w:rPr>
              <w:t>) kiekis, išmetamas 2009–2010 metais gaminant elektros energiją, neviršytų Lietuvos stojimo į ES sutartyje nustatytų normatyvų</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305"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Užtikrinti, kad į atmosferą išmetamas sieros dioksido, azoto oksidų, lakiųjų organinių junginių ir amoniako kiekis neviršytų nustatytųjų nacionalinių limitų</w:t>
            </w:r>
          </w:p>
        </w:tc>
        <w:tc>
          <w:tcPr>
            <w:tcW w:w="399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Parengti Lietuvos Respublikos aplinkos oro apsaugos įstatymo pakeitimo įstatymo ir Lietuvos Respublikos administracinių teisės pažeidimų kodekso pakeitimo įstatymo projektus – nustatyti savivaldybių atsakomybę už aplinkos oro kokybės valdymo priemonių nustatymą ir įgyvendinimą</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99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Nustatyti biokurą ir biodegalus naudojančių įrenginių taršos normatyvus</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305"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Užtikrinti, kad įgyvendinant oro taršos mažinimo priemones kietųjų dalelių koncentracija neviršytų nustatytųjų aplinkos oro kokybės normų</w:t>
            </w:r>
          </w:p>
        </w:tc>
        <w:tc>
          <w:tcPr>
            <w:tcW w:w="399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Sukurti transporto priemonių keliamos taršos reguliavimo sistemą, laikantis atsakomybės („teršėjas moka“) principo</w:t>
            </w:r>
          </w:p>
        </w:tc>
      </w:tr>
      <w:tr w:rsidR="000E7C4C">
        <w:tc>
          <w:tcPr>
            <w:tcW w:w="2372"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Ilgalaikiai tikslai – sukurti socialiniu, aplinkos ir ekonominiu požiūriais tinkamiausią komunalinių, gamybos ir kitoje ūkio veikloje susidarančių atliekų tvarkymo sistemą, sumažinti atliekų susidarymą ir jų neigiamą poveikį aplinkai bei žmonių sveikatai, užtikrinti racionalų atliekų energijos išteklių naudojimą, informavimą ir švietimą atliekų tvarkymo klausimais</w:t>
            </w:r>
          </w:p>
        </w:tc>
        <w:tc>
          <w:tcPr>
            <w:tcW w:w="3305"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Veiksmingai naudoti atliekų energetinius išteklius</w:t>
            </w:r>
          </w:p>
        </w:tc>
        <w:tc>
          <w:tcPr>
            <w:tcW w:w="3990" w:type="dxa"/>
            <w:tcBorders>
              <w:top w:val="single" w:sz="4" w:space="0" w:color="auto"/>
              <w:left w:val="single" w:sz="4" w:space="0" w:color="auto"/>
              <w:bottom w:val="single" w:sz="4" w:space="0" w:color="auto"/>
              <w:right w:val="single" w:sz="4" w:space="0" w:color="auto"/>
            </w:tcBorders>
          </w:tcPr>
          <w:p w:rsidR="000E7C4C" w:rsidRDefault="000E7C4C">
            <w:pPr>
              <w:ind w:firstLine="53"/>
              <w:rPr>
                <w:color w:val="000000"/>
                <w:sz w:val="20"/>
                <w:lang w:eastAsia="lt-LT"/>
              </w:rPr>
            </w:pPr>
          </w:p>
        </w:tc>
      </w:tr>
      <w:tr w:rsidR="000E7C4C">
        <w:tc>
          <w:tcPr>
            <w:tcW w:w="2372"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Ilgalaikiai tikslai – sukurti saugią, ekonomiškai efektyvią ir palankią aplinkai transporto sistemą, daugiau naudojančią alternatyvių degalų, sumažinti transporto neigiamą poveikį žmonių sveikatai ir aplinkai, užtikrinti vienodas konkurencijos sąlygas laisvam ir saugiam keleivių vežimui </w:t>
            </w:r>
          </w:p>
        </w:tc>
        <w:tc>
          <w:tcPr>
            <w:tcW w:w="3305"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Padidinti transporto sektoriaus ekonominį ir ekologinį veiksmingumą ir pasiekti, kad degalų sąnaudos ir į orą išmetamų teršalų ir šiltnamio efektą sukeliančių dujų kiekis didėtų dvigubai lėčiau nei krovinių ir keleivių pervežimo apimtis </w:t>
            </w:r>
          </w:p>
        </w:tc>
        <w:tc>
          <w:tcPr>
            <w:tcW w:w="399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Gerinti kelių infrastruktūrą, nutiesti pagrindinius Lietuvos Respublikos teritorijos bendrajame plane, patvirtintame Seimo 2002 m. spalio 29 d. nutarimu Nr. IX-1154 „Dėl Lietuvos Respublikos teritorijos bendrojo plano“,  numatytus miestų aplinkkelius</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99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Teikti prioritetą valstybinės reikšmės rajoninių kelių, kuriais naudojasi viešasis maršrutinis transportas, asfaltavimui</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99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Didžiuosiuose miestuose diegti modernias koordinuoto automatinio eismo valdymo sistemas, reaguojančias į eismo pokyčius</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99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Įgyvendinti švietimo priemones, kurios skatintų transporto priemonių savininkus teikti pirmenybę mažiau degalų naudojančioms ir ne tokioms taršioms, taip pat mažesnį triukšmą keliančioms kelių transporto priemonėms</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305"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Plėtoti aplinką mažiau teršiantį ir mažesnį poveikį žmonių sveikatai turintį transportą, ypač geležinkelių ir jūrų transportą, </w:t>
            </w:r>
            <w:proofErr w:type="spellStart"/>
            <w:r>
              <w:rPr>
                <w:color w:val="000000"/>
                <w:sz w:val="20"/>
                <w:lang w:eastAsia="lt-LT"/>
              </w:rPr>
              <w:t>multimodalines</w:t>
            </w:r>
            <w:proofErr w:type="spellEnd"/>
            <w:r>
              <w:rPr>
                <w:color w:val="000000"/>
                <w:sz w:val="20"/>
                <w:lang w:eastAsia="lt-LT"/>
              </w:rPr>
              <w:t xml:space="preserve"> (daugiarūšes) ir </w:t>
            </w:r>
            <w:proofErr w:type="spellStart"/>
            <w:r>
              <w:rPr>
                <w:color w:val="000000"/>
                <w:sz w:val="20"/>
                <w:lang w:eastAsia="lt-LT"/>
              </w:rPr>
              <w:t>intermodalines</w:t>
            </w:r>
            <w:proofErr w:type="spellEnd"/>
            <w:r>
              <w:rPr>
                <w:color w:val="000000"/>
                <w:sz w:val="20"/>
                <w:lang w:eastAsia="lt-LT"/>
              </w:rPr>
              <w:t xml:space="preserve"> (įvairiarūšes) transporto sistemas</w:t>
            </w: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Ekonominėmis priemonėmis užtikrinti, kad krovinių vežimas geležinkeliu ir jūrų transportu būtų ekonomiškai racionalesnis ir nuolat didėtų, dėl to mažėtų oro tarša, taip pat plėtoti vandens transporto infrastruktūrą ir taip didinti galimybes naudoti ekologiškai švaresnį vandens transportą</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Skatinti logistikos centrų infrastruktūros plėtrą ir siekti, kad būtų vis plačiau naudojamos daugiarūšio transporto sistemos, maksimaliai naudojant visų rūšių transporto potencialą</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Plėsti vandens kelių tinklą ir reikalingą vandens turizmui viešąją infrastruktūrą</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Plėtoti dviračių ir pėsčiųjų takų tinklą miestuose, gyvenvietėse, užmiesčio ir valstybinės reikšmės keliuose</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Mažinti Lietuvos transporto sistemos, ypač geležinkelių, atskirtį – įgyvendinti ir plėtoti projektą „</w:t>
            </w:r>
            <w:proofErr w:type="spellStart"/>
            <w:r>
              <w:rPr>
                <w:color w:val="000000"/>
                <w:sz w:val="20"/>
                <w:lang w:eastAsia="lt-LT"/>
              </w:rPr>
              <w:t>Rail</w:t>
            </w:r>
            <w:proofErr w:type="spellEnd"/>
            <w:r>
              <w:rPr>
                <w:color w:val="000000"/>
                <w:sz w:val="20"/>
                <w:lang w:eastAsia="lt-LT"/>
              </w:rPr>
              <w:t xml:space="preserve"> </w:t>
            </w:r>
            <w:proofErr w:type="spellStart"/>
            <w:r>
              <w:rPr>
                <w:color w:val="000000"/>
                <w:sz w:val="20"/>
                <w:lang w:eastAsia="lt-LT"/>
              </w:rPr>
              <w:t>Baltica</w:t>
            </w:r>
            <w:proofErr w:type="spellEnd"/>
            <w:r>
              <w:rPr>
                <w:color w:val="000000"/>
                <w:sz w:val="20"/>
                <w:lang w:eastAsia="lt-LT"/>
              </w:rPr>
              <w:t>“</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 xml:space="preserve">Atlikus ekonominį vertinimą, apsispręsti dėl giliavandenio jūrų uosto statybos </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305"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Integruoti aplinkos ir visuomenės sveikatos saugos aspektus į nacionalinės transporto politikos sprendimo priėmimo, stebėsenos ir poveikio vertinimo procesus</w:t>
            </w: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Atsižvelgiant į kasmetines galimybes, parengti ir įgyvendinti žvyrkelių asfaltavimo planus, taip gerinti eismo sąlygas ir mažinti neigiamą transporto poveikį aplinkai ir žmonių sveikatai</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305"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Didinti kelių transporto veiklos energinį veiksmingumą</w:t>
            </w: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Siekiant mažinti neigiamą poveikį aplinkai ir užtikrinti eismo saugą kelių transporte, diegti efektyvesnes kontrolės sistemas</w:t>
            </w:r>
          </w:p>
        </w:tc>
      </w:tr>
      <w:tr w:rsidR="000E7C4C">
        <w:tc>
          <w:tcPr>
            <w:tcW w:w="2372"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Trumpalaikiai tikslai – sukurti ekonomines ir teisines sąlygas, skatinančias mažiau aplinką teršiančio ir saugesnio transporto vystymąsi, geriau organizuoti ir reguliuoti kelių transporto eismą, didinti jo saugumą, mažinti oro taršą ir triukšmą, pasiekti, kad oro tarša ir triukšmas miestuose neviršytų leistinų normatyvų</w:t>
            </w:r>
          </w:p>
        </w:tc>
        <w:tc>
          <w:tcPr>
            <w:tcW w:w="330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Sumažinti tranzitinio transporto srautus per miestus ir ypač centrines jų dalis</w:t>
            </w: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Įdiegti miestų transporto reguliavimo sistemas, sureguliuoti transporto srautus miestuose taip, kad jo būtų mažiau miestų centruose, sumažėtų transporto spūstys, oro tarša ir triukšmas</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30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Plėtoti viešąjį transportą, teikti pirmenybę ne tokioms taršioms ir mažesnį triukšmą keliančioms transporto priemonėms</w:t>
            </w: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Plačiau taikyti ekonomines ir administracines priemones, ribojančias kelių transporto priemonių keliamą oro taršą ir triukšmą</w:t>
            </w:r>
          </w:p>
        </w:tc>
      </w:tr>
      <w:tr w:rsidR="000E7C4C">
        <w:tc>
          <w:tcPr>
            <w:tcW w:w="2372"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Ilgalaikis tikslas – sukurti naujausiomis, palankiomis aplinkai technologijomis pagrįstą, ekonominiu, aplinkosauginiu ir socialiniu požiūriais veiksmingą pramonę</w:t>
            </w:r>
          </w:p>
        </w:tc>
        <w:tc>
          <w:tcPr>
            <w:tcW w:w="330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Padidinti gamybos ir gaminių ekonominį ir aplinkosauginį veiksmingumą, pasiekti, kad BVP vienetui pagaminti energijos ir vandens reikėtų mažiau, pagal šiuos rodiklius pasiekti 2003 metų ES valstybių vidurkį</w:t>
            </w: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Remti pramonės įmonėse ekonominį ir aplinkosauginį veiksmingumą didinančių priemonių taikymo iniciatyvą</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30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Užtikrinti, kad cheminės medžiagos būtų gaminamos, tvarkomos ir naudojamos taip, kad nekeltų didelio pavojaus žmonių sveikatai ir atitiktų ES cheminių medžiagų registracijos, įvertinimo, autorizacijos ir apribojimų (REACH) reglamentą ir jo įgyvendinimo priemonių planą</w:t>
            </w: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Skatinti keisti gamybai naudojamas pavojingas aplinkai ir žmonių sveikatai medžiagas mažiau pavojingomis medžiagomis, o išsenkančius išteklius – atsinaujinančiais ištekliais</w:t>
            </w:r>
          </w:p>
        </w:tc>
      </w:tr>
      <w:tr w:rsidR="000E7C4C">
        <w:tc>
          <w:tcPr>
            <w:tcW w:w="2372"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Trumpalaikiai tikslai – sumažinti neigiamą pramonės poveikį aplinkai, padidinti vietinių atsikuriančiųjų ir antrinių žaliavų perdirbimą, plačiau diegti švaresnės gamybos metodus ir kitas darnaus pramonės vystymosi priemones</w:t>
            </w:r>
          </w:p>
        </w:tc>
        <w:tc>
          <w:tcPr>
            <w:tcW w:w="330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Pasiekti, kad teršalų išmetimas į orą augtų ne mažiau kaip du kartus lėčiau nei gamyba</w:t>
            </w: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Nustatytąja tvarka ES ir Lietuvos Respublikos valstybės biudžeto lėšomis finansuoti pramonės ir energetikos įmonių oro taršos mažinimo ir monitoringo sistemų diegimo projektus</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30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Kuo daugiau Lietuvos pramonės įmonėse taikyti gaminių būvio ciklo vertinimo ir kitas darnaus pramonės vystymosi priemones (aplinkos vadybos sistemas, ekologinį gaminių projektavimą, ekologinį ženklinimą, darnaus pramonės vystymosi ataskaitas)</w:t>
            </w: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Platinti informacinę ir metodinę medžiagą apie darnaus pramonės vystymosi priemones ir jų taikymą</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30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Sumažinti neigiamą pramonės poveikį aplinkai ir pasiekti, kad kuo daugiau Lietuvos pramonės įmonių taikytų švaresnės gamybos metodus</w:t>
            </w: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Remti sertifikuotų aplinkos vadybos sistemų (ISO 14001 ir EMAS) diegimą pramonės įmonėse</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30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Didinti antrinių žaliavų perdirbimą</w:t>
            </w: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 xml:space="preserve">Remti privataus kapitalo investicijų į vietinių antrinių žaliavų surinkimo ir perdirbimo </w:t>
            </w:r>
            <w:proofErr w:type="spellStart"/>
            <w:r>
              <w:rPr>
                <w:color w:val="000000"/>
                <w:sz w:val="20"/>
                <w:lang w:eastAsia="lt-LT"/>
              </w:rPr>
              <w:t>pajėgumų</w:t>
            </w:r>
            <w:proofErr w:type="spellEnd"/>
            <w:r>
              <w:rPr>
                <w:color w:val="000000"/>
                <w:sz w:val="20"/>
                <w:lang w:eastAsia="lt-LT"/>
              </w:rPr>
              <w:t xml:space="preserve"> kūrimą iniciatyvą</w:t>
            </w:r>
          </w:p>
        </w:tc>
      </w:tr>
      <w:tr w:rsidR="000E7C4C">
        <w:tc>
          <w:tcPr>
            <w:tcW w:w="2372" w:type="dxa"/>
            <w:vMerge w:val="restart"/>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 xml:space="preserve">Ilgalaikiai tikslai – sukurti saugų, palankų aplinkai, konkurencingą ir į bendrą ES energetikos sistemą integruotą energetikos sektorių, užtikrinti patikimą ir diversifikuotą energijos išteklių tiekimą, padidinti energijos gamybos, skirstymo ir vartojimo efektyvumą, išplėsti atsinaujinančių ir </w:t>
            </w:r>
            <w:proofErr w:type="spellStart"/>
            <w:r>
              <w:rPr>
                <w:color w:val="000000"/>
                <w:sz w:val="20"/>
                <w:lang w:eastAsia="lt-LT"/>
              </w:rPr>
              <w:t>atliekinių</w:t>
            </w:r>
            <w:proofErr w:type="spellEnd"/>
            <w:r>
              <w:rPr>
                <w:color w:val="000000"/>
                <w:sz w:val="20"/>
                <w:lang w:eastAsia="lt-LT"/>
              </w:rPr>
              <w:t xml:space="preserve"> energijos išteklių naudojimą</w:t>
            </w:r>
          </w:p>
        </w:tc>
        <w:tc>
          <w:tcPr>
            <w:tcW w:w="3305"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Didinti elektros energijos, šilumos gamybos, skirstymo ir vartojimo efektyvumą, sumažinti energijos nuostolius skirstomuosiuose tinkluose</w:t>
            </w: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Koordinuoti centralizuoto šilumos tiekimo sistemų  modernizavimą ir plėtrą, šilumos tiekimo tinklų renovavimą – sudaryti sąlygas šilumos gamintojams konkuruoti, o vartotojams – galimybę reguliuoti šilumos suvartojimą</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 xml:space="preserve">Organizuoti elektros energijos tiekimo infrastruktūros atnaujinimą (transformatorių pastočių modernizavimą, iš dalies – elektros perdavimo ir skirstomųjų tinklų renovavimą) – sudaryti sąlygas prisijungti naujiems elektros energijos gamintojams </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30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Sumažinti teršalų ir išmetamų šiltnamio efektą sukeliančių dujų kiekį pagamintos energijos vienetui</w:t>
            </w: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 xml:space="preserve">Koordinuoti ES saugumo reikalavimus atitinkančios naujos atominės elektrinės projekto įgyvendinimą </w:t>
            </w:r>
          </w:p>
        </w:tc>
      </w:tr>
      <w:tr w:rsidR="000E7C4C">
        <w:tc>
          <w:tcPr>
            <w:tcW w:w="2372"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Trumpalaikiai tikslai – užtikrinti patikimą ir saugų, neviršijantį numatytųjų taršos limitų energijos tiekimą visoms Lietuvos ūkio šakoms, didinti energijos taupymą ir naudojimo efektyvumą, tinkamai naudojant ES struktūrinių paramos fondų, valstybės ir privačias lėšas</w:t>
            </w:r>
          </w:p>
        </w:tc>
        <w:tc>
          <w:tcPr>
            <w:tcW w:w="3305"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Didinti energijos taupymą ir vartojimo efektyvumą</w:t>
            </w: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 xml:space="preserve">Parengti ir Vyriausybei pateikti Nacionalinės energijos vartojimo efektyvumo didinimo 2011–2015 metų programos ir jos įgyvendinimo priemonių plano projektą </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both"/>
              <w:rPr>
                <w:color w:val="000000"/>
                <w:sz w:val="20"/>
                <w:lang w:eastAsia="lt-LT"/>
              </w:rPr>
            </w:pPr>
            <w:r>
              <w:rPr>
                <w:color w:val="000000"/>
                <w:sz w:val="20"/>
                <w:lang w:eastAsia="lt-LT"/>
              </w:rPr>
              <w:t>Įgyvendinti energiją taupančias ūkio šakų priemones, kurios leistų per 3 metus sumažinti lyginamąsias galutinės energijos sąnaudas 1,5 procento, palyginti su 2007 metais</w:t>
            </w:r>
          </w:p>
        </w:tc>
      </w:tr>
      <w:tr w:rsidR="000E7C4C">
        <w:tc>
          <w:tcPr>
            <w:tcW w:w="237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Trumpalaikiai tikslai – sumažinti žemės ūkio veiklos poveikį aplinkai, ypač ekologiškai jautriose teritorijose, gerinti ekonominę ir teisinę aplinką, tinkamą plėtoti tradiciniams (ypač smulkiems ir vidutiniams), ekologiniams ūkiams, padidinti vidutinių ir smulkių ūkių konkurencingumą, aprūpinti vartotojus aukštos kokybės mitybos poreikius atitinkančiais maisto produktais</w:t>
            </w:r>
          </w:p>
        </w:tc>
        <w:tc>
          <w:tcPr>
            <w:tcW w:w="330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Mažinti amoniako patekimą į aplinką</w:t>
            </w: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Ekonominėmis ir teisinėmis priemonėmis skatinti statyti ES reikalavimus atitinkančias mėšlides, srutų ir nuotekų kauptuvus, naudoti šiuolaikiškas organinių trąšų įterpimo ir skleidimo priemones, mažinančias amoniako patekimą į aplinką</w:t>
            </w:r>
          </w:p>
        </w:tc>
      </w:tr>
      <w:tr w:rsidR="000E7C4C">
        <w:tc>
          <w:tcPr>
            <w:tcW w:w="237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Ilgalaikiai tikslai – sukurti šiuolaikišką būsto infrastruktūrą, geras, higieniškas buities sąlygas, padidinti būsto energinį naudingumą, užtikrinti šiuolaikiškas, geros kokybės visiems prieinamas viešąsias paslaugas, sumažinti neigiamą būsto poveikį aplinkai, skatinti socialinę sanglaudą</w:t>
            </w:r>
          </w:p>
        </w:tc>
        <w:tc>
          <w:tcPr>
            <w:tcW w:w="330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 xml:space="preserve">Padidinti būstų energinį efektyvumą, spartinti daugiabučių namų modernizavimą </w:t>
            </w:r>
          </w:p>
        </w:tc>
        <w:tc>
          <w:tcPr>
            <w:tcW w:w="399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Parengti „pasyvaus energijos vartojimui pastato“ – maksimaliai taupančio energiją pastato – normatyvinę bazę ir įgyvendinti demonstracinį projektą</w:t>
            </w:r>
          </w:p>
        </w:tc>
      </w:tr>
      <w:tr w:rsidR="000E7C4C">
        <w:tc>
          <w:tcPr>
            <w:tcW w:w="2372"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 xml:space="preserve">Trumpalaikiai tikslai – toliau įgyvendinti Daugiabučių namų modernizavimo programą </w:t>
            </w:r>
          </w:p>
        </w:tc>
        <w:tc>
          <w:tcPr>
            <w:tcW w:w="3305"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Užtikrinti, kad teikiama valstybės parama skatintų daugiabučių namų butų savininkus įgyvendinti energiniu požiūriu efektyvius namų modernizavimo projektus</w:t>
            </w:r>
          </w:p>
        </w:tc>
        <w:tc>
          <w:tcPr>
            <w:tcW w:w="399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 xml:space="preserve">Teikti ir administruoti valstybės paramą namų modernizavimo projektams parengti ir įgyvendinti </w:t>
            </w:r>
          </w:p>
        </w:tc>
      </w:tr>
    </w:tbl>
    <w:p w:rsidR="000E7C4C" w:rsidRDefault="003C3EA6">
      <w:pPr>
        <w:jc w:val="center"/>
        <w:rPr>
          <w:sz w:val="20"/>
        </w:rPr>
      </w:pPr>
      <w:r>
        <w:rPr>
          <w:sz w:val="20"/>
        </w:rPr>
        <w:t>(Šaltinis: Nacionalinė darnaus vystymosi strategija)</w:t>
      </w:r>
    </w:p>
    <w:p w:rsidR="000E7C4C" w:rsidRDefault="003C3EA6">
      <w:pPr>
        <w:spacing w:line="360" w:lineRule="atLeast"/>
        <w:jc w:val="both"/>
        <w:rPr>
          <w:b/>
          <w:color w:val="000000"/>
          <w:szCs w:val="24"/>
          <w:lang w:eastAsia="lt-LT"/>
        </w:rPr>
      </w:pPr>
    </w:p>
    <w:p w:rsidR="000E7C4C" w:rsidRDefault="003C3EA6">
      <w:pPr>
        <w:ind w:firstLine="567"/>
        <w:jc w:val="both"/>
        <w:rPr>
          <w:color w:val="000000"/>
          <w:szCs w:val="21"/>
        </w:rPr>
      </w:pPr>
      <w:r>
        <w:rPr>
          <w:color w:val="000000"/>
          <w:szCs w:val="24"/>
          <w:lang w:eastAsia="lt-LT"/>
        </w:rPr>
        <w:t>11</w:t>
      </w:r>
      <w:r>
        <w:rPr>
          <w:color w:val="000000"/>
          <w:szCs w:val="24"/>
          <w:lang w:eastAsia="lt-LT"/>
        </w:rPr>
        <w:t>.</w:t>
      </w:r>
      <w:r>
        <w:rPr>
          <w:b/>
          <w:color w:val="000000"/>
          <w:szCs w:val="24"/>
          <w:lang w:eastAsia="lt-LT"/>
        </w:rPr>
        <w:t xml:space="preserve"> Valstybės ilgalaikės raidos strategijoje</w:t>
      </w:r>
      <w:r>
        <w:rPr>
          <w:color w:val="000000"/>
          <w:szCs w:val="24"/>
          <w:lang w:eastAsia="lt-LT"/>
        </w:rPr>
        <w:t xml:space="preserve">, patvirtintoje Seimo 2002 m. lapkričio 12 d. nutarimu Nr. IX-1187 „Dėl </w:t>
      </w:r>
      <w:proofErr w:type="spellStart"/>
      <w:r>
        <w:rPr>
          <w:color w:val="000000"/>
          <w:szCs w:val="24"/>
          <w:lang w:eastAsia="lt-LT"/>
        </w:rPr>
        <w:t>Vastybės</w:t>
      </w:r>
      <w:proofErr w:type="spellEnd"/>
      <w:r>
        <w:rPr>
          <w:color w:val="000000"/>
          <w:szCs w:val="24"/>
          <w:lang w:eastAsia="lt-LT"/>
        </w:rPr>
        <w:t xml:space="preserve"> ilgalaikės raidos strategijos“ (toliau – Valstybės ilgalaikės raidos strategija), išvardinti siekiai energetikos srityje – skatinti energijos naudojimo veiksmingumą bei atsinaujinančiųjų energijos šaltinių naudojimą, taip pat dėmesys atkreipiamas į taršos iš didelių deginimo (energetikos) įrenginių mažinimo poreikį. Kitas svarbus išvardintas aspektas yra transporto neigiamas poveikis aplinkai ir žmonių sveikatai ir būtinybė jį mažinti. Be šių tikslų šioje strategijoje nurodytas siekis yra mažinti poveikį klimato kaitai, ozono sluoksniui, rūgštėjimo eutrofikacijos procesui. Pažymėtina, kad strategija yra galiojanti, tačiau priemonės joje numatytos iki 2015 m., todėl detaliau neanalizuojamos.</w:t>
      </w:r>
    </w:p>
    <w:p w:rsidR="000E7C4C" w:rsidRDefault="003C3EA6">
      <w:pPr>
        <w:ind w:firstLine="567"/>
        <w:jc w:val="both"/>
        <w:rPr>
          <w:color w:val="000000"/>
          <w:sz w:val="22"/>
          <w:szCs w:val="22"/>
        </w:rPr>
      </w:pPr>
      <w:r>
        <w:rPr>
          <w:color w:val="000000"/>
          <w:szCs w:val="24"/>
          <w:lang w:eastAsia="lt-LT"/>
        </w:rPr>
        <w:t>12</w:t>
      </w:r>
      <w:r>
        <w:rPr>
          <w:color w:val="000000"/>
          <w:szCs w:val="24"/>
          <w:lang w:eastAsia="lt-LT"/>
        </w:rPr>
        <w:t xml:space="preserve">. Kaip nurodoma </w:t>
      </w:r>
      <w:r>
        <w:rPr>
          <w:b/>
          <w:color w:val="000000"/>
          <w:szCs w:val="24"/>
          <w:lang w:eastAsia="lt-LT"/>
        </w:rPr>
        <w:t xml:space="preserve">2014–2020 metų nacionalinės pažangos programoje, </w:t>
      </w:r>
      <w:r>
        <w:rPr>
          <w:color w:val="000000"/>
          <w:szCs w:val="24"/>
          <w:lang w:eastAsia="lt-LT"/>
        </w:rPr>
        <w:t xml:space="preserve">patvirtintoje Vyriausybės 2012 m. lapkričio 28 d. nutarimu Nr. 1482 „Dėl 2014-2020 metų nacionalinės pažangos programos patvirtinimo“ (toliau – 2014–2020 metų nacionalinė pažangos programa), vienas iš svarbiausių oro taršą sukeliančių šaltinių šalyje yra spūstys, todėl programoje nustatytas uždavinys – plėtoti modernią transporto infrastruktūrą ir darnų </w:t>
      </w:r>
      <w:proofErr w:type="spellStart"/>
      <w:r>
        <w:rPr>
          <w:color w:val="000000"/>
          <w:szCs w:val="24"/>
          <w:lang w:eastAsia="lt-LT"/>
        </w:rPr>
        <w:t>judumą</w:t>
      </w:r>
      <w:proofErr w:type="spellEnd"/>
      <w:r>
        <w:rPr>
          <w:color w:val="000000"/>
          <w:szCs w:val="24"/>
          <w:lang w:eastAsia="lt-LT"/>
        </w:rPr>
        <w:t>, modernizuojant miesto (ypač viešojo transporto), sausumos, jūrų ir oro transporto infrastruktūrą. Kitas reikšmingas taršos sukėlėjas yra šilumos gamybos įrenginiai namų ūkio sektoriuje ir jų priežiūra, naudojamos kuro rūšys. Šioje programoje taip pat nurodoma, kad turi būti siekiama mažinti oro taršą užtikrinant darnų energijos išteklių naudojimą ir tobulinant oro kokybės valdymo sistemas (žr. 4 lent.).</w:t>
      </w:r>
    </w:p>
    <w:p w:rsidR="000E7C4C" w:rsidRDefault="000E7C4C">
      <w:pPr>
        <w:spacing w:line="360" w:lineRule="atLeast"/>
        <w:ind w:left="720"/>
        <w:jc w:val="both"/>
        <w:rPr>
          <w:color w:val="000000"/>
          <w:sz w:val="22"/>
          <w:szCs w:val="22"/>
        </w:rPr>
      </w:pPr>
    </w:p>
    <w:p w:rsidR="000E7C4C" w:rsidRDefault="003C3EA6">
      <w:pPr>
        <w:jc w:val="both"/>
        <w:rPr>
          <w:color w:val="000000"/>
          <w:szCs w:val="24"/>
        </w:rPr>
      </w:pPr>
      <w:r>
        <w:rPr>
          <w:color w:val="000000"/>
          <w:szCs w:val="24"/>
        </w:rPr>
        <w:t>4 lentelė. 2014–2020 metų nacionalinėje pažangos programoje išvardinti su oro taršos mažinimu susiję tikslai, uždaviniai ir priemonės, vertinimo kriterijai ir jų reikšmės</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304"/>
        <w:gridCol w:w="1559"/>
        <w:gridCol w:w="2552"/>
        <w:gridCol w:w="2268"/>
        <w:gridCol w:w="1984"/>
      </w:tblGrid>
      <w:tr w:rsidR="000E7C4C">
        <w:trPr>
          <w:tblHeader/>
        </w:trPr>
        <w:tc>
          <w:tcPr>
            <w:tcW w:w="1304"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color w:val="FFFFFF"/>
                <w:sz w:val="20"/>
              </w:rPr>
            </w:pPr>
            <w:r>
              <w:rPr>
                <w:color w:val="FFFFFF"/>
                <w:sz w:val="20"/>
              </w:rPr>
              <w:t>Tikslai (ilgalaikiai, trumpalaikiai)</w:t>
            </w:r>
          </w:p>
        </w:tc>
        <w:tc>
          <w:tcPr>
            <w:tcW w:w="1559"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Uždaviniai</w:t>
            </w:r>
          </w:p>
        </w:tc>
        <w:tc>
          <w:tcPr>
            <w:tcW w:w="2552"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Priemonės</w:t>
            </w:r>
          </w:p>
        </w:tc>
        <w:tc>
          <w:tcPr>
            <w:tcW w:w="2268"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Vertinimo kriterijai</w:t>
            </w:r>
          </w:p>
        </w:tc>
        <w:tc>
          <w:tcPr>
            <w:tcW w:w="1984"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Siekiama kriterijaus reikšmė</w:t>
            </w:r>
          </w:p>
        </w:tc>
      </w:tr>
      <w:tr w:rsidR="000E7C4C">
        <w:tc>
          <w:tcPr>
            <w:tcW w:w="1304"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Sukurti tvarią ir efektyvią ekonominę infrastruktūrą</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Plėtoti modernią transporto infrastruktūrą ir darnų </w:t>
            </w:r>
            <w:proofErr w:type="spellStart"/>
            <w:r>
              <w:rPr>
                <w:color w:val="000000"/>
                <w:sz w:val="20"/>
                <w:lang w:eastAsia="lt-LT"/>
              </w:rPr>
              <w:t>judumą</w:t>
            </w:r>
            <w:proofErr w:type="spellEnd"/>
            <w:r>
              <w:rPr>
                <w:color w:val="000000"/>
                <w:sz w:val="20"/>
                <w:lang w:eastAsia="lt-LT"/>
              </w:rPr>
              <w:t xml:space="preserve"> </w:t>
            </w:r>
          </w:p>
        </w:tc>
        <w:tc>
          <w:tcPr>
            <w:tcW w:w="255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plėtoti ir modernizuoti miestų gatvių tinklą ir mažinti grūsčių</w:t>
            </w:r>
          </w:p>
        </w:tc>
        <w:tc>
          <w:tcPr>
            <w:tcW w:w="2268"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Kasmetinis keleivių vežimas visų rūšių transportu</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430 mln. keleivių</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255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diegti ir plėtoti aplinkosaugos priemones, mažinti anglies dioksido (CO</w:t>
            </w:r>
            <w:r>
              <w:rPr>
                <w:color w:val="000000"/>
                <w:sz w:val="20"/>
                <w:vertAlign w:val="subscript"/>
                <w:lang w:eastAsia="lt-LT"/>
              </w:rPr>
              <w:t>2</w:t>
            </w:r>
            <w:r>
              <w:rPr>
                <w:color w:val="000000"/>
                <w:sz w:val="20"/>
                <w:lang w:eastAsia="lt-LT"/>
              </w:rPr>
              <w:t>) kiekį</w:t>
            </w:r>
          </w:p>
        </w:tc>
        <w:tc>
          <w:tcPr>
            <w:tcW w:w="2268"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Kasmetinis krovinių vežimas visų rūšių transportu</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140 mln. tonų</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255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plėtoti pėsčiųjų ir dviračių transporto infrastruktūrą</w:t>
            </w:r>
          </w:p>
        </w:tc>
        <w:tc>
          <w:tcPr>
            <w:tcW w:w="2268"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 xml:space="preserve">Žuvusiųjų keliuose skaičius </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150 skaičius per metus</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Plėtoti energetikos infrastruktūrą</w:t>
            </w:r>
          </w:p>
        </w:tc>
        <w:tc>
          <w:tcPr>
            <w:tcW w:w="2552"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plėtoti ir atnaujinti (modernizuoti) šilumos perdavimo tinklus</w:t>
            </w:r>
          </w:p>
        </w:tc>
        <w:tc>
          <w:tcPr>
            <w:tcW w:w="2268"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proofErr w:type="spellStart"/>
            <w:r>
              <w:rPr>
                <w:color w:val="000000"/>
                <w:sz w:val="20"/>
                <w:lang w:eastAsia="lt-LT"/>
              </w:rPr>
              <w:t>Herfindahl-Hirschman</w:t>
            </w:r>
            <w:proofErr w:type="spellEnd"/>
            <w:r>
              <w:rPr>
                <w:color w:val="000000"/>
                <w:sz w:val="20"/>
                <w:lang w:eastAsia="lt-LT"/>
              </w:rPr>
              <w:t xml:space="preserve"> energijos importo indeksas Lietuvos elektros energijos rinkoje</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2 800</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2268"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proofErr w:type="spellStart"/>
            <w:r>
              <w:rPr>
                <w:color w:val="000000"/>
                <w:sz w:val="20"/>
                <w:lang w:eastAsia="lt-LT"/>
              </w:rPr>
              <w:t>Herfindahl-Hirschman</w:t>
            </w:r>
            <w:proofErr w:type="spellEnd"/>
            <w:r>
              <w:rPr>
                <w:color w:val="000000"/>
                <w:sz w:val="20"/>
                <w:lang w:eastAsia="lt-LT"/>
              </w:rPr>
              <w:t xml:space="preserve"> energijos importo indeksas Lietuvos gamtinių dujų rinkoje</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5 000</w:t>
            </w:r>
          </w:p>
        </w:tc>
      </w:tr>
      <w:tr w:rsidR="000E7C4C">
        <w:tc>
          <w:tcPr>
            <w:tcW w:w="1304"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lang w:eastAsia="lt-LT"/>
              </w:rPr>
            </w:pPr>
            <w:r>
              <w:rPr>
                <w:color w:val="000000"/>
                <w:sz w:val="20"/>
                <w:lang w:eastAsia="lt-LT"/>
              </w:rPr>
              <w:t>Skatinti darnų išteklių naudojimą, užtikrinti ekosistemų stabilumą</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Tausoti gamtos išteklius, išsaugoti biologinę įvairovę ir kraštovaizdį </w:t>
            </w:r>
          </w:p>
        </w:tc>
        <w:tc>
          <w:tcPr>
            <w:tcW w:w="2552"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aplinkos kokybės, teritorijų planavimo ir urbanistinės plėtros valdymo, monitoringo, vertinimo ir kontrolės sistemos stiprinimas</w:t>
            </w:r>
          </w:p>
        </w:tc>
        <w:tc>
          <w:tcPr>
            <w:tcW w:w="2268"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Geros būklės paviršinių vandens telkinių dalis</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60 proc.</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2268"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Lietuvos miškingumas (miško žemės ploto santykis su Lietuvos Respublikos teritorijos plotu)</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34,2 proc.</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2268"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Lietuvoje aptinkamų Europos Bendrijos svarbos buveinių tipų, kurių palanki apsaugos būklė, dalis</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30 proc.</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Užtikrinti darnų energijos išteklių naudojimą</w:t>
            </w:r>
          </w:p>
        </w:tc>
        <w:tc>
          <w:tcPr>
            <w:tcW w:w="2552"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skatinti atsinaujinančių energijos išteklių gamybą ir naudojimą; </w:t>
            </w:r>
          </w:p>
        </w:tc>
        <w:tc>
          <w:tcPr>
            <w:tcW w:w="2268"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Atsinaujinančių išteklių energijos dalis galutiniame energijos balanse</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23 (2020) proc.</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2552"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remti energijos vartojimo efektyvumą gyvenamųjų namų ir viešųjų pastatų sektoriuose; </w:t>
            </w:r>
          </w:p>
        </w:tc>
        <w:tc>
          <w:tcPr>
            <w:tcW w:w="2268"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Galutinės energijos kiekio suvartojimas</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 xml:space="preserve">4,28 mln. </w:t>
            </w:r>
            <w:proofErr w:type="spellStart"/>
            <w:r>
              <w:rPr>
                <w:color w:val="000000"/>
                <w:sz w:val="20"/>
                <w:lang w:eastAsia="lt-LT"/>
              </w:rPr>
              <w:t>tne</w:t>
            </w:r>
            <w:proofErr w:type="spellEnd"/>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2552"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kurti ir diegti modernias energiją ir kitus gamtos išteklius tausojančias technologijas ir procesų valdymo sistemas; </w:t>
            </w:r>
          </w:p>
        </w:tc>
        <w:tc>
          <w:tcPr>
            <w:tcW w:w="2268"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 xml:space="preserve">Energijos suvartojimo intensyvumas </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 xml:space="preserve">230 (2020) kg naftos </w:t>
            </w:r>
            <w:proofErr w:type="spellStart"/>
            <w:r>
              <w:rPr>
                <w:color w:val="000000"/>
                <w:sz w:val="20"/>
                <w:lang w:eastAsia="lt-LT"/>
              </w:rPr>
              <w:t>ekvivalen</w:t>
            </w:r>
            <w:proofErr w:type="spellEnd"/>
            <w:r>
              <w:rPr>
                <w:color w:val="000000"/>
                <w:sz w:val="20"/>
                <w:lang w:eastAsia="lt-LT"/>
              </w:rPr>
              <w:t>-to 1 000 eurų</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255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 xml:space="preserve">didinti energijos išteklių naudojimo efektyvumą energijos gamybos ir naudojimo srityse; </w:t>
            </w:r>
          </w:p>
        </w:tc>
        <w:tc>
          <w:tcPr>
            <w:tcW w:w="2268" w:type="dxa"/>
            <w:tcBorders>
              <w:top w:val="single" w:sz="4" w:space="0" w:color="auto"/>
              <w:left w:val="single" w:sz="4" w:space="0" w:color="auto"/>
              <w:bottom w:val="single" w:sz="4" w:space="0" w:color="auto"/>
              <w:right w:val="single" w:sz="4" w:space="0" w:color="auto"/>
            </w:tcBorders>
            <w:vAlign w:val="bottom"/>
          </w:tcPr>
          <w:p w:rsidR="000E7C4C" w:rsidRDefault="000E7C4C">
            <w:pPr>
              <w:ind w:firstLine="53"/>
              <w:rPr>
                <w:color w:val="000000"/>
                <w:sz w:val="20"/>
                <w:lang w:eastAsia="lt-LT"/>
              </w:rPr>
            </w:pPr>
          </w:p>
        </w:tc>
        <w:tc>
          <w:tcPr>
            <w:tcW w:w="198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255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 xml:space="preserve">plėtoti elektra ir kitais alternatyviais degalais varomų transporto priemonių naudojimą ir skatinti </w:t>
            </w:r>
            <w:proofErr w:type="spellStart"/>
            <w:r>
              <w:rPr>
                <w:color w:val="000000"/>
                <w:sz w:val="20"/>
                <w:lang w:eastAsia="lt-LT"/>
              </w:rPr>
              <w:t>intermodalumą</w:t>
            </w:r>
            <w:proofErr w:type="spellEnd"/>
            <w:r>
              <w:rPr>
                <w:color w:val="000000"/>
                <w:sz w:val="20"/>
                <w:lang w:eastAsia="lt-LT"/>
              </w:rPr>
              <w:t xml:space="preserve">. </w:t>
            </w:r>
          </w:p>
        </w:tc>
        <w:tc>
          <w:tcPr>
            <w:tcW w:w="2268" w:type="dxa"/>
            <w:tcBorders>
              <w:top w:val="single" w:sz="4" w:space="0" w:color="auto"/>
              <w:left w:val="single" w:sz="4" w:space="0" w:color="auto"/>
              <w:bottom w:val="single" w:sz="4" w:space="0" w:color="auto"/>
              <w:right w:val="single" w:sz="4" w:space="0" w:color="auto"/>
            </w:tcBorders>
            <w:vAlign w:val="bottom"/>
          </w:tcPr>
          <w:p w:rsidR="000E7C4C" w:rsidRDefault="000E7C4C">
            <w:pPr>
              <w:ind w:firstLine="53"/>
              <w:rPr>
                <w:color w:val="000000"/>
                <w:sz w:val="20"/>
                <w:lang w:eastAsia="lt-LT"/>
              </w:rPr>
            </w:pPr>
          </w:p>
        </w:tc>
        <w:tc>
          <w:tcPr>
            <w:tcW w:w="198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Tobulinti </w:t>
            </w:r>
            <w:proofErr w:type="spellStart"/>
            <w:r>
              <w:rPr>
                <w:color w:val="000000"/>
                <w:sz w:val="20"/>
                <w:lang w:eastAsia="lt-LT"/>
              </w:rPr>
              <w:t>vandentvarkos</w:t>
            </w:r>
            <w:proofErr w:type="spellEnd"/>
            <w:r>
              <w:rPr>
                <w:color w:val="000000"/>
                <w:sz w:val="20"/>
                <w:lang w:eastAsia="lt-LT"/>
              </w:rPr>
              <w:t>, atliekų ir oro kokybės valdymo sistemas</w:t>
            </w:r>
          </w:p>
        </w:tc>
        <w:tc>
          <w:tcPr>
            <w:tcW w:w="255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paviršinių (lietaus) nuotekų tvarkymo ir gatvių valymo sistemų plėtra ir renovacija</w:t>
            </w:r>
          </w:p>
        </w:tc>
        <w:tc>
          <w:tcPr>
            <w:tcW w:w="2268"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Vandens tiekimo paslaugų prieinamumas</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89 proc.</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2552"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proofErr w:type="spellStart"/>
            <w:r>
              <w:rPr>
                <w:color w:val="000000"/>
                <w:sz w:val="20"/>
                <w:lang w:eastAsia="lt-LT"/>
              </w:rPr>
              <w:t>vandentvarkos</w:t>
            </w:r>
            <w:proofErr w:type="spellEnd"/>
            <w:r>
              <w:rPr>
                <w:color w:val="000000"/>
                <w:sz w:val="20"/>
                <w:lang w:eastAsia="lt-LT"/>
              </w:rPr>
              <w:t>, atliekų ir aplinkos oro kokybės valdymo tobulinimas</w:t>
            </w:r>
          </w:p>
        </w:tc>
        <w:tc>
          <w:tcPr>
            <w:tcW w:w="2268"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Nuotekų tvarkymo paslaugų prieinamumas</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85 proc.</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2268"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Sąvartynuose šalinamų komunalinių atliekų dalis</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35 proc.</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2268"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 xml:space="preserve">Gamybos atliekų kiekis BVP vienetui </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108 tonos / mln. eurų</w:t>
            </w:r>
          </w:p>
        </w:tc>
      </w:tr>
      <w:tr w:rsidR="000E7C4C">
        <w:tc>
          <w:tcPr>
            <w:tcW w:w="1304"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Užtikrinti tolygią ir tvarią regionų plėtrą (horizontalus)</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Modernizuoti bazinę, vietos bendruomenėms svarbią infrastruktūrą, diegti aplinkos gerinimo ir aplinkos apsaugos priemones </w:t>
            </w:r>
          </w:p>
        </w:tc>
        <w:tc>
          <w:tcPr>
            <w:tcW w:w="255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didinti energijos gamybos ir vartojimo efektyvumą savivaldybių valdomoje viešojoje infrastruktūroje</w:t>
            </w:r>
          </w:p>
        </w:tc>
        <w:tc>
          <w:tcPr>
            <w:tcW w:w="2268" w:type="dxa"/>
            <w:vMerge w:val="restart"/>
            <w:tcBorders>
              <w:top w:val="single" w:sz="4" w:space="0" w:color="auto"/>
              <w:left w:val="single" w:sz="4" w:space="0" w:color="auto"/>
              <w:bottom w:val="single" w:sz="4" w:space="0" w:color="auto"/>
              <w:right w:val="single" w:sz="4" w:space="0" w:color="auto"/>
            </w:tcBorders>
            <w:vAlign w:val="bottom"/>
          </w:tcPr>
          <w:p w:rsidR="000E7C4C" w:rsidRDefault="000E7C4C">
            <w:pPr>
              <w:ind w:firstLine="53"/>
              <w:rPr>
                <w:color w:val="000000"/>
                <w:sz w:val="20"/>
                <w:lang w:eastAsia="lt-LT"/>
              </w:rPr>
            </w:pPr>
          </w:p>
          <w:p w:rsidR="000E7C4C" w:rsidRDefault="000E7C4C">
            <w:pPr>
              <w:ind w:firstLine="53"/>
              <w:rPr>
                <w:color w:val="000000"/>
                <w:sz w:val="20"/>
                <w:lang w:eastAsia="lt-LT"/>
              </w:rPr>
            </w:pPr>
          </w:p>
        </w:tc>
        <w:tc>
          <w:tcPr>
            <w:tcW w:w="1984" w:type="dxa"/>
            <w:vMerge w:val="restart"/>
            <w:tcBorders>
              <w:top w:val="single" w:sz="4" w:space="0" w:color="auto"/>
              <w:left w:val="single" w:sz="4" w:space="0" w:color="auto"/>
              <w:bottom w:val="single" w:sz="4" w:space="0" w:color="auto"/>
              <w:right w:val="single" w:sz="4" w:space="0" w:color="auto"/>
            </w:tcBorders>
            <w:vAlign w:val="bottom"/>
          </w:tcPr>
          <w:p w:rsidR="000E7C4C" w:rsidRDefault="000E7C4C">
            <w:pPr>
              <w:rPr>
                <w:color w:val="000000"/>
                <w:sz w:val="20"/>
                <w:lang w:eastAsia="lt-LT"/>
              </w:rPr>
            </w:pPr>
          </w:p>
          <w:p w:rsidR="000E7C4C" w:rsidRDefault="000E7C4C">
            <w:pPr>
              <w:rPr>
                <w:color w:val="000000"/>
                <w:sz w:val="20"/>
                <w:lang w:eastAsia="lt-LT"/>
              </w:rPr>
            </w:pP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255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gerinti aplinkos kokybę (mažinti aplinkos taršą, išvalyti ir tvarkyti užterštas teritorijas ir vykdyti taršos prevenciją)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r>
      <w:tr w:rsidR="000E7C4C">
        <w:tc>
          <w:tcPr>
            <w:tcW w:w="130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Užtikrinti sveikatai palankią aplinką (horizontalus)</w:t>
            </w:r>
          </w:p>
        </w:tc>
        <w:tc>
          <w:tcPr>
            <w:tcW w:w="1559"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Kurti sveikatai palankią gyvenamąją, darbo ir mokymosi aplinką</w:t>
            </w:r>
          </w:p>
        </w:tc>
        <w:tc>
          <w:tcPr>
            <w:tcW w:w="255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 xml:space="preserve">įgyvendinti priemones, užtikrinančias vandens, oro ir dirvožemio kokybę, mažinančias triukšmo ir kitų aplinkos veiksnių neigiamą įtaką gyventojams </w:t>
            </w:r>
          </w:p>
        </w:tc>
        <w:tc>
          <w:tcPr>
            <w:tcW w:w="2268" w:type="dxa"/>
            <w:tcBorders>
              <w:top w:val="single" w:sz="4" w:space="0" w:color="auto"/>
              <w:left w:val="single" w:sz="4" w:space="0" w:color="auto"/>
              <w:bottom w:val="single" w:sz="4" w:space="0" w:color="auto"/>
              <w:right w:val="single" w:sz="4" w:space="0" w:color="auto"/>
            </w:tcBorders>
            <w:vAlign w:val="bottom"/>
          </w:tcPr>
          <w:p w:rsidR="000E7C4C" w:rsidRDefault="000E7C4C">
            <w:pPr>
              <w:ind w:firstLine="53"/>
              <w:rPr>
                <w:color w:val="000000"/>
                <w:sz w:val="20"/>
                <w:lang w:eastAsia="lt-LT"/>
              </w:rPr>
            </w:pPr>
          </w:p>
        </w:tc>
        <w:tc>
          <w:tcPr>
            <w:tcW w:w="198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bl>
    <w:p w:rsidR="000E7C4C" w:rsidRDefault="003C3EA6">
      <w:pPr>
        <w:jc w:val="center"/>
        <w:rPr>
          <w:sz w:val="20"/>
        </w:rPr>
      </w:pPr>
      <w:r>
        <w:rPr>
          <w:sz w:val="20"/>
        </w:rPr>
        <w:t>(Šaltinis: 2014–2020 metų nacionalinės pažangos programa)</w:t>
      </w:r>
    </w:p>
    <w:p w:rsidR="000E7C4C" w:rsidRDefault="003C3EA6">
      <w:pPr>
        <w:spacing w:line="360" w:lineRule="atLeast"/>
        <w:ind w:left="720"/>
        <w:jc w:val="both"/>
        <w:rPr>
          <w:color w:val="000000"/>
          <w:szCs w:val="24"/>
          <w:lang w:eastAsia="lt-LT"/>
        </w:rPr>
      </w:pPr>
    </w:p>
    <w:p w:rsidR="000E7C4C" w:rsidRDefault="003C3EA6">
      <w:pPr>
        <w:ind w:firstLine="567"/>
        <w:jc w:val="both"/>
        <w:rPr>
          <w:color w:val="000000"/>
          <w:sz w:val="22"/>
          <w:szCs w:val="22"/>
        </w:rPr>
      </w:pPr>
      <w:r>
        <w:rPr>
          <w:color w:val="000000"/>
          <w:szCs w:val="24"/>
          <w:lang w:eastAsia="lt-LT"/>
        </w:rPr>
        <w:t>13</w:t>
      </w:r>
      <w:r>
        <w:rPr>
          <w:color w:val="000000"/>
          <w:szCs w:val="24"/>
          <w:lang w:eastAsia="lt-LT"/>
        </w:rPr>
        <w:t xml:space="preserve">. Pabrėžtina, jog išvardintuose dokumentuose – Valstybės ilgalaikėje raidos strategijoje ir 2014–2020 metų nacionalinės pažangos programoje – nurodomas tik vienas kiekybiškai išreikštas tikslas – </w:t>
      </w:r>
      <w:r>
        <w:rPr>
          <w:color w:val="000000"/>
          <w:szCs w:val="24"/>
        </w:rPr>
        <w:t>į atmosferą išmetamų teršalų kiekis turi augti dvigubai lėčiau, negu auga gamyba ir paslaugos, kiti dokumentuose išvardinti tikslai nėra detalizuojami ar apibūdinami kiekybiškai.</w:t>
      </w:r>
    </w:p>
    <w:p w:rsidR="000E7C4C" w:rsidRDefault="003C3EA6">
      <w:pPr>
        <w:tabs>
          <w:tab w:val="left" w:pos="5670"/>
        </w:tabs>
        <w:ind w:firstLine="567"/>
        <w:jc w:val="both"/>
        <w:rPr>
          <w:color w:val="000000"/>
          <w:szCs w:val="21"/>
        </w:rPr>
      </w:pPr>
      <w:r>
        <w:rPr>
          <w:color w:val="000000"/>
          <w:szCs w:val="24"/>
          <w:lang w:eastAsia="lt-LT"/>
        </w:rPr>
        <w:t>14</w:t>
      </w:r>
      <w:r>
        <w:rPr>
          <w:color w:val="000000"/>
          <w:szCs w:val="24"/>
          <w:lang w:eastAsia="lt-LT"/>
        </w:rPr>
        <w:t xml:space="preserve">. Kaip jau buvo minėta, energetikos sektorius, ypač šilumos ūkis, yra vienas iš pagrindinių sektorių, kuris gali daryti reikšmingą įtaką oro taršos mažinimui, kadangi yra vienas iš esminių oro taršos sukėlėjų. </w:t>
      </w:r>
      <w:r>
        <w:rPr>
          <w:b/>
          <w:color w:val="000000"/>
          <w:szCs w:val="24"/>
          <w:lang w:eastAsia="lt-LT"/>
        </w:rPr>
        <w:t xml:space="preserve">Nacionalinės energetinės nepriklausomybės strategijoje, </w:t>
      </w:r>
      <w:r>
        <w:rPr>
          <w:color w:val="000000"/>
          <w:szCs w:val="24"/>
          <w:lang w:eastAsia="lt-LT"/>
        </w:rPr>
        <w:t xml:space="preserve">patvirtintoje Seimo 2012 m. birželio 26 d. nutarimu Nr. XI-2133 „Dėl Nacionalinės energetinės nepriklausomybės strategijos patvirtinimo“ (toliau – Nacionalinė energetinės nepriklausomybės strategija), nurodyta, kad energijos vartojimo efektyvumas gerina aplinkos oro kokybę, siekiama, kad </w:t>
      </w:r>
      <w:r>
        <w:rPr>
          <w:color w:val="000000"/>
          <w:szCs w:val="21"/>
        </w:rPr>
        <w:t xml:space="preserve">2030 m. pirminės ir galutinės energijos intensyvumas būtų 1,5 karto mažesnis nei 2017 m., o 2050 m. – 2,4 karto mažesnis nei 2017 m. Be to, siekiama, kad AEI sudarytų 30 proc. šalies bendrojo galutinio energijos suvartojimo 2020 m., 45 proc. – 2030 m., 80 proc. – 2050 m. Siekiant sumažinti neigiamą energetikos sektoriaus įtaką aplinkos orui, numatytas darnus energetikos sektoriaus vystymas, AEI panaudojimas energijos ir biodegalų gamybai, didinant aplinkai palankių technologijų panaudojimą, saulės energetikos plėtrą, skatinant kompleksišką daugiabučių ir viešųjų pastatų atnaujinimą, ir mažo energetinio intensyvumo ir energijos vartojimo efektyvumą didinančios pramonės šakos. Nacionalinės energetinės nepriklausomybės strategijos tikslams pasiekti ir uždaviniams įgyvendinti numatytos priemonės Nacionalinės energetinės nepriklausomybės strategijos įgyvendinimo priemonių plane, patvirtintame Vyriausybės 2018 m. gruodžio 5 d. nutarimu Nr. 1210 „Dėl Nacionalinės energetinės nepriklausomybės strategijos įgyvendinimo priemonių plano patvirtinimo“ (toliau – Nacionalinės energetinės nepriklausomybės strategijos įgyvendinimo priemonių planas). </w:t>
      </w:r>
    </w:p>
    <w:p w:rsidR="000E7C4C" w:rsidRDefault="000E7C4C">
      <w:pPr>
        <w:tabs>
          <w:tab w:val="left" w:pos="5670"/>
        </w:tabs>
        <w:spacing w:line="360" w:lineRule="atLeast"/>
        <w:ind w:left="720"/>
        <w:jc w:val="both"/>
        <w:rPr>
          <w:color w:val="000000"/>
          <w:szCs w:val="21"/>
        </w:rPr>
      </w:pPr>
    </w:p>
    <w:p w:rsidR="000E7C4C" w:rsidRDefault="003C3EA6">
      <w:pPr>
        <w:tabs>
          <w:tab w:val="left" w:pos="5670"/>
        </w:tabs>
        <w:jc w:val="both"/>
        <w:rPr>
          <w:color w:val="000000"/>
          <w:szCs w:val="24"/>
        </w:rPr>
      </w:pPr>
      <w:r>
        <w:rPr>
          <w:color w:val="000000"/>
          <w:szCs w:val="24"/>
        </w:rPr>
        <w:t>5 lentelė. Nacionalinės energetinės nepriklausomybės strategijos įgyvendinimo priemonių plane išvardinti su oro taršos mažinimu susiję tikslai, uždaviniai ir priemonės, vertinimo kriterijai ir jų reikšmės</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311"/>
        <w:gridCol w:w="1875"/>
        <w:gridCol w:w="1926"/>
        <w:gridCol w:w="2564"/>
        <w:gridCol w:w="2018"/>
      </w:tblGrid>
      <w:tr w:rsidR="000E7C4C">
        <w:trPr>
          <w:tblHeader/>
        </w:trPr>
        <w:tc>
          <w:tcPr>
            <w:tcW w:w="1311"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color w:val="FFFFFF"/>
                <w:sz w:val="20"/>
              </w:rPr>
              <w:t>Tikslai (ilgalaikiai, trumpalaikiai)</w:t>
            </w:r>
          </w:p>
        </w:tc>
        <w:tc>
          <w:tcPr>
            <w:tcW w:w="1875"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Uždaviniai</w:t>
            </w:r>
          </w:p>
        </w:tc>
        <w:tc>
          <w:tcPr>
            <w:tcW w:w="1926" w:type="dxa"/>
            <w:tcBorders>
              <w:top w:val="single" w:sz="4" w:space="0" w:color="auto"/>
              <w:left w:val="single" w:sz="4" w:space="0" w:color="auto"/>
              <w:bottom w:val="single" w:sz="4" w:space="0" w:color="auto"/>
              <w:right w:val="single" w:sz="4" w:space="0" w:color="auto"/>
            </w:tcBorders>
            <w:shd w:val="clear" w:color="auto" w:fill="002060"/>
          </w:tcPr>
          <w:p w:rsidR="000E7C4C" w:rsidRDefault="000E7C4C">
            <w:pPr>
              <w:jc w:val="center"/>
              <w:rPr>
                <w:bCs/>
                <w:color w:val="FFFFFF"/>
                <w:sz w:val="20"/>
                <w:lang w:eastAsia="en-GB"/>
              </w:rPr>
            </w:pPr>
          </w:p>
          <w:p w:rsidR="000E7C4C" w:rsidRDefault="003C3EA6">
            <w:pPr>
              <w:jc w:val="center"/>
              <w:rPr>
                <w:bCs/>
                <w:color w:val="FFFFFF"/>
                <w:sz w:val="20"/>
                <w:lang w:eastAsia="en-GB"/>
              </w:rPr>
            </w:pPr>
            <w:r>
              <w:rPr>
                <w:bCs/>
                <w:color w:val="FFFFFF"/>
                <w:sz w:val="20"/>
                <w:lang w:eastAsia="en-GB"/>
              </w:rPr>
              <w:t>Priemonės</w:t>
            </w:r>
          </w:p>
          <w:p w:rsidR="000E7C4C" w:rsidRDefault="000E7C4C">
            <w:pPr>
              <w:spacing w:line="360" w:lineRule="atLeast"/>
              <w:jc w:val="both"/>
              <w:rPr>
                <w:color w:val="000000"/>
                <w:sz w:val="20"/>
                <w:lang w:eastAsia="en-GB"/>
              </w:rPr>
            </w:pPr>
          </w:p>
        </w:tc>
        <w:tc>
          <w:tcPr>
            <w:tcW w:w="2564"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Vertinimo kriterijai</w:t>
            </w:r>
          </w:p>
        </w:tc>
        <w:tc>
          <w:tcPr>
            <w:tcW w:w="2018" w:type="dxa"/>
            <w:tcBorders>
              <w:top w:val="single" w:sz="4" w:space="0" w:color="auto"/>
              <w:left w:val="single" w:sz="4" w:space="0" w:color="auto"/>
              <w:bottom w:val="single" w:sz="4" w:space="0" w:color="auto"/>
              <w:right w:val="single" w:sz="4" w:space="0" w:color="auto"/>
            </w:tcBorders>
            <w:shd w:val="clear" w:color="auto" w:fill="002060"/>
          </w:tcPr>
          <w:p w:rsidR="000E7C4C" w:rsidRDefault="000E7C4C">
            <w:pPr>
              <w:jc w:val="center"/>
              <w:rPr>
                <w:bCs/>
                <w:color w:val="FFFFFF"/>
                <w:sz w:val="20"/>
                <w:lang w:eastAsia="en-GB"/>
              </w:rPr>
            </w:pPr>
          </w:p>
          <w:p w:rsidR="000E7C4C" w:rsidRDefault="003C3EA6">
            <w:pPr>
              <w:jc w:val="center"/>
              <w:rPr>
                <w:bCs/>
                <w:color w:val="FFFFFF"/>
                <w:sz w:val="20"/>
                <w:lang w:eastAsia="en-GB"/>
              </w:rPr>
            </w:pPr>
            <w:r>
              <w:rPr>
                <w:bCs/>
                <w:color w:val="FFFFFF"/>
                <w:sz w:val="20"/>
                <w:lang w:eastAsia="en-GB"/>
              </w:rPr>
              <w:t>Vertinimo kriterijų reikšmės</w:t>
            </w:r>
          </w:p>
        </w:tc>
      </w:tr>
      <w:tr w:rsidR="000E7C4C">
        <w:trPr>
          <w:trHeight w:val="341"/>
        </w:trPr>
        <w:tc>
          <w:tcPr>
            <w:tcW w:w="1311"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Didinti Lietuvos bendrojo galutinio energijos vartojimo AEI dalį (30 proc. (2020 m.), 32 proc. (2022 m.), 45 proc. (2030 m.))</w:t>
            </w:r>
          </w:p>
        </w:tc>
        <w:tc>
          <w:tcPr>
            <w:tcW w:w="1875"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Didinti vietinę elektros energijos gamybos iš AEI dalį, palyginti su galutiniu elektros energijos suvartojimu iki 30 proc. 2020 metais, 45 proc. 2030 metais ir 45 proc. 2050 metais</w:t>
            </w:r>
          </w:p>
        </w:tc>
        <w:tc>
          <w:tcPr>
            <w:tcW w:w="192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Taikant finansinę paramą skatinti elektros energijos iš AEI gamybą ir vartojimą savo reikmėms namų ūkiuose, įskaitant ir daugiabučius namus, taip pat elektros energiją gaminti geografiškai nutolusioje Lietuvos Respublikos teritorijoje nuo gaminančio vartotojo elektros energijos vartojimo vietos, prioritetą skiriant lokalios taršos nesukeliančioms technologijoms</w:t>
            </w:r>
          </w:p>
        </w:tc>
        <w:tc>
          <w:tcPr>
            <w:tcW w:w="256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Elektros energijos kiekis, elektros energiją gaminančių vartotojų, gavusių paramą, elektrinėse, </w:t>
            </w:r>
            <w:proofErr w:type="spellStart"/>
            <w:r>
              <w:rPr>
                <w:color w:val="000000"/>
                <w:sz w:val="20"/>
                <w:lang w:eastAsia="lt-LT"/>
              </w:rPr>
              <w:t>TWh</w:t>
            </w:r>
            <w:proofErr w:type="spellEnd"/>
          </w:p>
        </w:tc>
        <w:tc>
          <w:tcPr>
            <w:tcW w:w="201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0,04 </w:t>
            </w:r>
            <w:proofErr w:type="spellStart"/>
            <w:r>
              <w:rPr>
                <w:color w:val="000000"/>
                <w:sz w:val="20"/>
                <w:lang w:eastAsia="lt-LT"/>
              </w:rPr>
              <w:t>TWh</w:t>
            </w:r>
            <w:proofErr w:type="spellEnd"/>
            <w:r>
              <w:rPr>
                <w:color w:val="000000"/>
                <w:sz w:val="20"/>
                <w:lang w:eastAsia="lt-LT"/>
              </w:rPr>
              <w:t xml:space="preserve"> (2020 m.),  0,06 </w:t>
            </w:r>
            <w:proofErr w:type="spellStart"/>
            <w:r>
              <w:rPr>
                <w:color w:val="000000"/>
                <w:sz w:val="20"/>
                <w:lang w:eastAsia="lt-LT"/>
              </w:rPr>
              <w:t>TWh</w:t>
            </w:r>
            <w:proofErr w:type="spellEnd"/>
            <w:r>
              <w:rPr>
                <w:color w:val="000000"/>
                <w:sz w:val="20"/>
                <w:lang w:eastAsia="lt-LT"/>
              </w:rPr>
              <w:t xml:space="preserve"> (2022 m.),  1,6 </w:t>
            </w:r>
            <w:proofErr w:type="spellStart"/>
            <w:r>
              <w:rPr>
                <w:color w:val="000000"/>
                <w:sz w:val="20"/>
                <w:lang w:eastAsia="lt-LT"/>
              </w:rPr>
              <w:t>TWh</w:t>
            </w:r>
            <w:proofErr w:type="spellEnd"/>
            <w:r>
              <w:rPr>
                <w:color w:val="000000"/>
                <w:sz w:val="20"/>
                <w:lang w:eastAsia="lt-LT"/>
              </w:rPr>
              <w:t xml:space="preserve"> (2030 m.)</w:t>
            </w:r>
          </w:p>
        </w:tc>
      </w:tr>
      <w:tr w:rsidR="000E7C4C">
        <w:trPr>
          <w:trHeight w:val="9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192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Taikant finansinę paramą skatinti mažų elektrinių, naudojančių AEI, plėtrą.</w:t>
            </w:r>
          </w:p>
        </w:tc>
        <w:tc>
          <w:tcPr>
            <w:tcW w:w="256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Elektros energijos iš AEI gamybos kiekis, </w:t>
            </w:r>
            <w:proofErr w:type="spellStart"/>
            <w:r>
              <w:rPr>
                <w:color w:val="000000"/>
                <w:sz w:val="20"/>
                <w:lang w:eastAsia="lt-LT"/>
              </w:rPr>
              <w:t>TWh</w:t>
            </w:r>
            <w:proofErr w:type="spellEnd"/>
          </w:p>
        </w:tc>
        <w:tc>
          <w:tcPr>
            <w:tcW w:w="201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0,03 </w:t>
            </w:r>
            <w:proofErr w:type="spellStart"/>
            <w:r>
              <w:rPr>
                <w:color w:val="000000"/>
                <w:sz w:val="20"/>
                <w:lang w:eastAsia="lt-LT"/>
              </w:rPr>
              <w:t>TWh</w:t>
            </w:r>
            <w:proofErr w:type="spellEnd"/>
            <w:r>
              <w:rPr>
                <w:color w:val="000000"/>
                <w:sz w:val="20"/>
                <w:lang w:eastAsia="lt-LT"/>
              </w:rPr>
              <w:t xml:space="preserve"> (2030 m.)</w:t>
            </w:r>
          </w:p>
        </w:tc>
      </w:tr>
      <w:tr w:rsidR="000E7C4C">
        <w:trPr>
          <w:trHeight w:val="17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1875"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Didinti vietinių ir AEI dalį šilumos gamyboje centralizuoto šilumos tiekimo (toliau – CŠT) sistemose, proc. visos centralizuotai tiekiamos šilumos (70 proc. (2020 m.), 74 proc. (2022 m.), 90 (2030 m.))</w:t>
            </w:r>
          </w:p>
        </w:tc>
        <w:tc>
          <w:tcPr>
            <w:tcW w:w="192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Modernizuoti ir (ar) keisti nusidėvėjusius biokuro katilus kitomis AEI naudojančiomis technologijomis</w:t>
            </w:r>
          </w:p>
        </w:tc>
        <w:tc>
          <w:tcPr>
            <w:tcW w:w="256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Pakeistų įrenginių vardinė (nominali) šiluminė galia, MW</w:t>
            </w:r>
          </w:p>
        </w:tc>
        <w:tc>
          <w:tcPr>
            <w:tcW w:w="201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18 MW (2020 m.), </w:t>
            </w:r>
          </w:p>
          <w:p w:rsidR="000E7C4C" w:rsidRDefault="003C3EA6">
            <w:pPr>
              <w:rPr>
                <w:color w:val="000000"/>
                <w:sz w:val="20"/>
                <w:lang w:eastAsia="lt-LT"/>
              </w:rPr>
            </w:pPr>
            <w:r>
              <w:rPr>
                <w:color w:val="000000"/>
                <w:sz w:val="20"/>
                <w:lang w:eastAsia="lt-LT"/>
              </w:rPr>
              <w:t xml:space="preserve">35 MW (2022 m.), </w:t>
            </w:r>
          </w:p>
          <w:p w:rsidR="000E7C4C" w:rsidRDefault="003C3EA6">
            <w:pPr>
              <w:rPr>
                <w:color w:val="000000"/>
                <w:sz w:val="20"/>
                <w:lang w:eastAsia="lt-LT"/>
              </w:rPr>
            </w:pPr>
            <w:r>
              <w:rPr>
                <w:color w:val="000000"/>
                <w:sz w:val="20"/>
                <w:lang w:eastAsia="lt-LT"/>
              </w:rPr>
              <w:t>600 MW (2030 m.)</w:t>
            </w:r>
          </w:p>
        </w:tc>
      </w:tr>
      <w:tr w:rsidR="000E7C4C">
        <w:trPr>
          <w:trHeight w:val="1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192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Skatinti AEI panaudojimą CŠT šilumos energijai gaminti įvertinant saulės energiją naudojančių technologijų, šilumos siurblių ir šilumos saugyklų panaudojimo galimybes CŠT sistemose</w:t>
            </w:r>
          </w:p>
        </w:tc>
        <w:tc>
          <w:tcPr>
            <w:tcW w:w="256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Naujai įrengtų įrenginių (nominali) šiluminė galia, MW</w:t>
            </w:r>
          </w:p>
        </w:tc>
        <w:tc>
          <w:tcPr>
            <w:tcW w:w="201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200 MW (2030 m.)</w:t>
            </w:r>
          </w:p>
        </w:tc>
      </w:tr>
      <w:tr w:rsidR="000E7C4C">
        <w:trPr>
          <w:trHeight w:val="27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1875"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Skatinti AEI ir efektyvesnių šilumos gamybos įrenginių naudojimą namų ūkiuose</w:t>
            </w:r>
          </w:p>
        </w:tc>
        <w:tc>
          <w:tcPr>
            <w:tcW w:w="192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Pakeisti energetiškai neefektyvių namų ūkiuose (būstuose) įrengtus katilus į efektyvesnes technologijas, naudojančias AEI šilumos gamybai, ar prijungti prie CŠT sistemos, atsižvelgiant į poveikį aplinkos oro kokybei</w:t>
            </w:r>
          </w:p>
        </w:tc>
        <w:tc>
          <w:tcPr>
            <w:tcW w:w="256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Energijos suvartojimo namų ūkiuose (neprijungtuose prie centralizuotai tiekiamos šilumos tinklų) sumažėjimas, tūkst. </w:t>
            </w:r>
            <w:proofErr w:type="spellStart"/>
            <w:r>
              <w:rPr>
                <w:color w:val="000000"/>
                <w:sz w:val="20"/>
                <w:lang w:eastAsia="lt-LT"/>
              </w:rPr>
              <w:t>tne</w:t>
            </w:r>
            <w:proofErr w:type="spellEnd"/>
          </w:p>
        </w:tc>
        <w:tc>
          <w:tcPr>
            <w:tcW w:w="2018"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lang w:eastAsia="lt-LT"/>
              </w:rPr>
            </w:pPr>
            <w:r>
              <w:rPr>
                <w:color w:val="000000"/>
                <w:sz w:val="20"/>
                <w:lang w:eastAsia="lt-LT"/>
              </w:rPr>
              <w:t xml:space="preserve">5,6 tūkst. </w:t>
            </w:r>
            <w:proofErr w:type="spellStart"/>
            <w:r>
              <w:rPr>
                <w:color w:val="000000"/>
                <w:sz w:val="20"/>
                <w:lang w:eastAsia="lt-LT"/>
              </w:rPr>
              <w:t>tne</w:t>
            </w:r>
            <w:proofErr w:type="spellEnd"/>
            <w:r>
              <w:rPr>
                <w:color w:val="000000"/>
                <w:sz w:val="20"/>
                <w:lang w:eastAsia="lt-LT"/>
              </w:rPr>
              <w:t xml:space="preserve"> (2020 m.), 14 tūkst. </w:t>
            </w:r>
            <w:proofErr w:type="spellStart"/>
            <w:r>
              <w:rPr>
                <w:color w:val="000000"/>
                <w:sz w:val="20"/>
                <w:lang w:eastAsia="lt-LT"/>
              </w:rPr>
              <w:t>tne</w:t>
            </w:r>
            <w:proofErr w:type="spellEnd"/>
            <w:r>
              <w:rPr>
                <w:color w:val="000000"/>
                <w:sz w:val="20"/>
                <w:lang w:eastAsia="lt-LT"/>
              </w:rPr>
              <w:t xml:space="preserve"> (2022 m.), 14 tūkst. </w:t>
            </w:r>
            <w:proofErr w:type="spellStart"/>
            <w:r>
              <w:rPr>
                <w:color w:val="000000"/>
                <w:sz w:val="20"/>
                <w:lang w:eastAsia="lt-LT"/>
              </w:rPr>
              <w:t>tne</w:t>
            </w:r>
            <w:proofErr w:type="spellEnd"/>
            <w:r>
              <w:rPr>
                <w:color w:val="000000"/>
                <w:sz w:val="20"/>
                <w:lang w:eastAsia="lt-LT"/>
              </w:rPr>
              <w:t xml:space="preserve"> (2030 m.)</w:t>
            </w:r>
          </w:p>
        </w:tc>
      </w:tr>
      <w:tr w:rsidR="000E7C4C">
        <w:trPr>
          <w:trHeight w:val="17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1875"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Didinti AEI dalį transporto sektoriuje,</w:t>
            </w:r>
            <w:r>
              <w:rPr>
                <w:color w:val="000000"/>
                <w:szCs w:val="21"/>
                <w:lang w:val="en-US"/>
              </w:rPr>
              <w:t xml:space="preserve"> </w:t>
            </w:r>
            <w:r>
              <w:rPr>
                <w:color w:val="000000"/>
                <w:sz w:val="20"/>
                <w:lang w:eastAsia="lt-LT"/>
              </w:rPr>
              <w:t xml:space="preserve">palyginti su bendruoju energijos suvartojimu transporto sektoriuje, proc. (10 proc. (2020), 11 proc. (2022 m.), 15 proc. (2030 m.)) </w:t>
            </w:r>
          </w:p>
        </w:tc>
        <w:tc>
          <w:tcPr>
            <w:tcW w:w="192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Suteikiant finansinę pagalbą skatinti </w:t>
            </w:r>
            <w:proofErr w:type="spellStart"/>
            <w:r>
              <w:rPr>
                <w:color w:val="000000"/>
                <w:sz w:val="20"/>
                <w:lang w:eastAsia="lt-LT"/>
              </w:rPr>
              <w:t>biometano</w:t>
            </w:r>
            <w:proofErr w:type="spellEnd"/>
            <w:r>
              <w:rPr>
                <w:color w:val="000000"/>
                <w:sz w:val="20"/>
                <w:lang w:eastAsia="lt-LT"/>
              </w:rPr>
              <w:t xml:space="preserve">, vartojamo transporte, pagaminto iš žemės ūkio ir kitų nekomunalinių atliekų, gamybą </w:t>
            </w:r>
          </w:p>
        </w:tc>
        <w:tc>
          <w:tcPr>
            <w:tcW w:w="256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Suvartotas </w:t>
            </w:r>
            <w:proofErr w:type="spellStart"/>
            <w:r>
              <w:rPr>
                <w:color w:val="000000"/>
                <w:sz w:val="20"/>
                <w:lang w:eastAsia="lt-LT"/>
              </w:rPr>
              <w:t>biometano</w:t>
            </w:r>
            <w:proofErr w:type="spellEnd"/>
            <w:r>
              <w:rPr>
                <w:color w:val="000000"/>
                <w:sz w:val="20"/>
                <w:lang w:eastAsia="lt-LT"/>
              </w:rPr>
              <w:t xml:space="preserve"> kiekis, </w:t>
            </w:r>
            <w:proofErr w:type="spellStart"/>
            <w:r>
              <w:rPr>
                <w:color w:val="000000"/>
                <w:sz w:val="20"/>
                <w:lang w:eastAsia="lt-LT"/>
              </w:rPr>
              <w:t>ktne</w:t>
            </w:r>
            <w:proofErr w:type="spellEnd"/>
          </w:p>
        </w:tc>
        <w:tc>
          <w:tcPr>
            <w:tcW w:w="2018"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lang w:eastAsia="lt-LT"/>
              </w:rPr>
            </w:pPr>
            <w:r>
              <w:rPr>
                <w:color w:val="000000"/>
                <w:sz w:val="20"/>
                <w:lang w:eastAsia="lt-LT"/>
              </w:rPr>
              <w:t xml:space="preserve">52, 4 </w:t>
            </w:r>
            <w:proofErr w:type="spellStart"/>
            <w:r>
              <w:rPr>
                <w:color w:val="000000"/>
                <w:sz w:val="20"/>
                <w:lang w:eastAsia="lt-LT"/>
              </w:rPr>
              <w:t>ktne</w:t>
            </w:r>
            <w:proofErr w:type="spellEnd"/>
            <w:r>
              <w:rPr>
                <w:color w:val="000000"/>
                <w:sz w:val="20"/>
                <w:lang w:eastAsia="lt-LT"/>
              </w:rPr>
              <w:t xml:space="preserve"> (2022 m.)</w:t>
            </w:r>
          </w:p>
        </w:tc>
      </w:tr>
      <w:tr w:rsidR="000E7C4C">
        <w:trPr>
          <w:trHeight w:val="8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192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Taikant reguliacines priemones dujų tiekėjams, didinti </w:t>
            </w:r>
            <w:proofErr w:type="spellStart"/>
            <w:r>
              <w:rPr>
                <w:color w:val="000000"/>
                <w:sz w:val="20"/>
                <w:lang w:eastAsia="lt-LT"/>
              </w:rPr>
              <w:t>biometano</w:t>
            </w:r>
            <w:proofErr w:type="spellEnd"/>
            <w:r>
              <w:rPr>
                <w:color w:val="000000"/>
                <w:sz w:val="20"/>
                <w:lang w:eastAsia="lt-LT"/>
              </w:rPr>
              <w:t>, pagaminto iš žemės ūkio ir kitų nekomunalinių atliekų, vartojimą transporte</w:t>
            </w:r>
          </w:p>
        </w:tc>
        <w:tc>
          <w:tcPr>
            <w:tcW w:w="256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Suvartotas </w:t>
            </w:r>
            <w:proofErr w:type="spellStart"/>
            <w:r>
              <w:rPr>
                <w:color w:val="000000"/>
                <w:sz w:val="20"/>
                <w:lang w:eastAsia="lt-LT"/>
              </w:rPr>
              <w:t>biometano</w:t>
            </w:r>
            <w:proofErr w:type="spellEnd"/>
            <w:r>
              <w:rPr>
                <w:color w:val="000000"/>
                <w:sz w:val="20"/>
                <w:lang w:eastAsia="lt-LT"/>
              </w:rPr>
              <w:t xml:space="preserve"> kiekis, </w:t>
            </w:r>
            <w:proofErr w:type="spellStart"/>
            <w:r>
              <w:rPr>
                <w:color w:val="000000"/>
                <w:sz w:val="20"/>
                <w:lang w:eastAsia="lt-LT"/>
              </w:rPr>
              <w:t>ktne</w:t>
            </w:r>
            <w:proofErr w:type="spellEnd"/>
          </w:p>
        </w:tc>
        <w:tc>
          <w:tcPr>
            <w:tcW w:w="2018"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lang w:eastAsia="lt-LT"/>
              </w:rPr>
            </w:pPr>
            <w:r>
              <w:rPr>
                <w:color w:val="000000"/>
                <w:sz w:val="20"/>
                <w:lang w:eastAsia="lt-LT"/>
              </w:rPr>
              <w:t xml:space="preserve">0,1 </w:t>
            </w:r>
            <w:proofErr w:type="spellStart"/>
            <w:r>
              <w:rPr>
                <w:color w:val="000000"/>
                <w:sz w:val="20"/>
                <w:lang w:eastAsia="lt-LT"/>
              </w:rPr>
              <w:t>ktne</w:t>
            </w:r>
            <w:proofErr w:type="spellEnd"/>
            <w:r>
              <w:rPr>
                <w:color w:val="000000"/>
                <w:sz w:val="20"/>
                <w:lang w:eastAsia="lt-LT"/>
              </w:rPr>
              <w:t xml:space="preserve"> (2022 m.)</w:t>
            </w:r>
          </w:p>
        </w:tc>
      </w:tr>
      <w:tr w:rsidR="000E7C4C">
        <w:tc>
          <w:tcPr>
            <w:tcW w:w="1311"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Užtikrinti, kad iki 2030 metų pirminės ir galutinės energijos intensyvumas būtų 1,5 karto mažesnis nei 2017 metais, o iki 2050 metų – apie 2,4 karto mažesnis nei 2017 metais</w:t>
            </w:r>
          </w:p>
        </w:tc>
        <w:tc>
          <w:tcPr>
            <w:tcW w:w="187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sz w:val="20"/>
                <w:lang w:eastAsia="lt-LT"/>
              </w:rPr>
            </w:pPr>
            <w:r>
              <w:rPr>
                <w:sz w:val="20"/>
                <w:lang w:eastAsia="lt-LT"/>
              </w:rPr>
              <w:t>Atnaujinti pastatus ir viešąją infrastruktūrą,</w:t>
            </w:r>
            <w:r>
              <w:rPr>
                <w:color w:val="000000"/>
                <w:szCs w:val="21"/>
                <w:lang w:val="en-US"/>
              </w:rPr>
              <w:t xml:space="preserve"> </w:t>
            </w:r>
            <w:r>
              <w:rPr>
                <w:sz w:val="20"/>
                <w:lang w:eastAsia="lt-LT"/>
              </w:rPr>
              <w:t xml:space="preserve">sutaupant 11,67 </w:t>
            </w:r>
            <w:proofErr w:type="spellStart"/>
            <w:r>
              <w:rPr>
                <w:sz w:val="20"/>
                <w:lang w:eastAsia="lt-LT"/>
              </w:rPr>
              <w:t>TWh</w:t>
            </w:r>
            <w:proofErr w:type="spellEnd"/>
            <w:r>
              <w:rPr>
                <w:sz w:val="20"/>
                <w:lang w:eastAsia="lt-LT"/>
              </w:rPr>
              <w:t xml:space="preserve"> energijos kiekį 2020 m., 16,8 </w:t>
            </w:r>
            <w:proofErr w:type="spellStart"/>
            <w:r>
              <w:rPr>
                <w:sz w:val="20"/>
                <w:lang w:eastAsia="lt-LT"/>
              </w:rPr>
              <w:t>TWh</w:t>
            </w:r>
            <w:proofErr w:type="spellEnd"/>
            <w:r>
              <w:rPr>
                <w:sz w:val="20"/>
                <w:lang w:eastAsia="lt-LT"/>
              </w:rPr>
              <w:t xml:space="preserve"> – 2022 m., 35 </w:t>
            </w:r>
            <w:proofErr w:type="spellStart"/>
            <w:r>
              <w:rPr>
                <w:sz w:val="20"/>
                <w:lang w:eastAsia="lt-LT"/>
              </w:rPr>
              <w:t>TWh</w:t>
            </w:r>
            <w:proofErr w:type="spellEnd"/>
            <w:r>
              <w:rPr>
                <w:sz w:val="20"/>
                <w:lang w:eastAsia="lt-LT"/>
              </w:rPr>
              <w:t xml:space="preserve"> – 2030 m.</w:t>
            </w:r>
          </w:p>
        </w:tc>
        <w:tc>
          <w:tcPr>
            <w:tcW w:w="192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Kasmet renovuoti 500 daugiabučių</w:t>
            </w:r>
          </w:p>
        </w:tc>
        <w:tc>
          <w:tcPr>
            <w:tcW w:w="256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Sutaupytas energijos kiekis, </w:t>
            </w:r>
            <w:proofErr w:type="spellStart"/>
            <w:r>
              <w:rPr>
                <w:color w:val="000000"/>
                <w:sz w:val="20"/>
                <w:lang w:eastAsia="lt-LT"/>
              </w:rPr>
              <w:t>TWh</w:t>
            </w:r>
            <w:proofErr w:type="spellEnd"/>
          </w:p>
        </w:tc>
        <w:tc>
          <w:tcPr>
            <w:tcW w:w="201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2,1 </w:t>
            </w:r>
            <w:proofErr w:type="spellStart"/>
            <w:r>
              <w:rPr>
                <w:color w:val="000000"/>
                <w:sz w:val="20"/>
                <w:lang w:eastAsia="lt-LT"/>
              </w:rPr>
              <w:t>TWh</w:t>
            </w:r>
            <w:proofErr w:type="spellEnd"/>
            <w:r>
              <w:rPr>
                <w:color w:val="000000"/>
                <w:sz w:val="20"/>
                <w:lang w:eastAsia="lt-LT"/>
              </w:rPr>
              <w:t xml:space="preserve"> (2020 m.), </w:t>
            </w:r>
          </w:p>
          <w:p w:rsidR="000E7C4C" w:rsidRDefault="003C3EA6">
            <w:pPr>
              <w:rPr>
                <w:color w:val="000000"/>
                <w:sz w:val="20"/>
                <w:lang w:eastAsia="lt-LT"/>
              </w:rPr>
            </w:pPr>
            <w:r>
              <w:rPr>
                <w:color w:val="000000"/>
                <w:sz w:val="20"/>
                <w:lang w:eastAsia="lt-LT"/>
              </w:rPr>
              <w:t xml:space="preserve">2,4 </w:t>
            </w:r>
            <w:proofErr w:type="spellStart"/>
            <w:r>
              <w:rPr>
                <w:color w:val="000000"/>
                <w:sz w:val="20"/>
                <w:lang w:eastAsia="lt-LT"/>
              </w:rPr>
              <w:t>TWh</w:t>
            </w:r>
            <w:proofErr w:type="spellEnd"/>
            <w:r>
              <w:rPr>
                <w:color w:val="000000"/>
                <w:sz w:val="20"/>
                <w:lang w:eastAsia="lt-LT"/>
              </w:rPr>
              <w:t xml:space="preserve"> (2022 m.), </w:t>
            </w:r>
          </w:p>
          <w:p w:rsidR="000E7C4C" w:rsidRDefault="003C3EA6">
            <w:pPr>
              <w:rPr>
                <w:color w:val="000000"/>
                <w:sz w:val="20"/>
                <w:lang w:eastAsia="lt-LT"/>
              </w:rPr>
            </w:pPr>
            <w:r>
              <w:rPr>
                <w:color w:val="000000"/>
                <w:sz w:val="20"/>
                <w:lang w:eastAsia="lt-LT"/>
              </w:rPr>
              <w:t xml:space="preserve">2,7 </w:t>
            </w:r>
            <w:proofErr w:type="spellStart"/>
            <w:r>
              <w:rPr>
                <w:color w:val="000000"/>
                <w:sz w:val="20"/>
                <w:lang w:eastAsia="lt-LT"/>
              </w:rPr>
              <w:t>TWh</w:t>
            </w:r>
            <w:proofErr w:type="spellEnd"/>
            <w:r>
              <w:rPr>
                <w:color w:val="000000"/>
                <w:sz w:val="20"/>
                <w:lang w:eastAsia="lt-LT"/>
              </w:rPr>
              <w:t xml:space="preserve"> (2030 m.)</w:t>
            </w:r>
          </w:p>
        </w:tc>
      </w:tr>
      <w:tr w:rsidR="000E7C4C">
        <w:trPr>
          <w:trHeight w:val="5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1875"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 xml:space="preserve">Sparčiai plėtoti mažai energijos suvartojančias ir energijos vartojimo efektyvumą didinančias pramonės šakas, diegti ir įsigyti naujausias bei aplinkai palankias technologijas ir įrenginius (energijos sutaupymai dėl efektyviau vartojamos energijos 5,6 </w:t>
            </w:r>
            <w:proofErr w:type="spellStart"/>
            <w:r>
              <w:rPr>
                <w:sz w:val="20"/>
                <w:lang w:eastAsia="lt-LT"/>
              </w:rPr>
              <w:t>TWh</w:t>
            </w:r>
            <w:proofErr w:type="spellEnd"/>
            <w:r>
              <w:rPr>
                <w:sz w:val="20"/>
                <w:lang w:eastAsia="lt-LT"/>
              </w:rPr>
              <w:t xml:space="preserve"> – 2020 m., 5,8 </w:t>
            </w:r>
            <w:proofErr w:type="spellStart"/>
            <w:r>
              <w:rPr>
                <w:sz w:val="20"/>
                <w:lang w:eastAsia="lt-LT"/>
              </w:rPr>
              <w:t>TWh</w:t>
            </w:r>
            <w:proofErr w:type="spellEnd"/>
            <w:r>
              <w:rPr>
                <w:sz w:val="20"/>
                <w:lang w:eastAsia="lt-LT"/>
              </w:rPr>
              <w:t xml:space="preserve"> –22 m.)</w:t>
            </w:r>
          </w:p>
        </w:tc>
        <w:tc>
          <w:tcPr>
            <w:tcW w:w="192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Įgyvendinti vartotojų skatinimo efektyviau vartoti energiją informacinę kampaniją</w:t>
            </w:r>
          </w:p>
        </w:tc>
        <w:tc>
          <w:tcPr>
            <w:tcW w:w="256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Sutaupytas energijos kiekis, </w:t>
            </w:r>
            <w:proofErr w:type="spellStart"/>
            <w:r>
              <w:rPr>
                <w:color w:val="000000"/>
                <w:sz w:val="20"/>
                <w:lang w:eastAsia="lt-LT"/>
              </w:rPr>
              <w:t>TWh</w:t>
            </w:r>
            <w:proofErr w:type="spellEnd"/>
          </w:p>
        </w:tc>
        <w:tc>
          <w:tcPr>
            <w:tcW w:w="201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2 </w:t>
            </w:r>
            <w:proofErr w:type="spellStart"/>
            <w:r>
              <w:rPr>
                <w:color w:val="000000"/>
                <w:sz w:val="20"/>
                <w:lang w:eastAsia="lt-LT"/>
              </w:rPr>
              <w:t>TWh</w:t>
            </w:r>
            <w:proofErr w:type="spellEnd"/>
            <w:r>
              <w:rPr>
                <w:color w:val="000000"/>
                <w:sz w:val="20"/>
                <w:lang w:eastAsia="lt-LT"/>
              </w:rPr>
              <w:t xml:space="preserve"> (2020 m.)</w:t>
            </w:r>
          </w:p>
        </w:tc>
      </w:tr>
      <w:tr w:rsidR="000E7C4C">
        <w:trPr>
          <w:trHeight w:val="21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192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Įgyvendinti susitarimus su energetikos įmonėmis dėl energijos taupymo</w:t>
            </w:r>
          </w:p>
        </w:tc>
        <w:tc>
          <w:tcPr>
            <w:tcW w:w="256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Sutaupytas energijos kiekis, </w:t>
            </w:r>
            <w:proofErr w:type="spellStart"/>
            <w:r>
              <w:rPr>
                <w:color w:val="000000"/>
                <w:sz w:val="20"/>
                <w:lang w:eastAsia="lt-LT"/>
              </w:rPr>
              <w:t>TWh</w:t>
            </w:r>
            <w:proofErr w:type="spellEnd"/>
          </w:p>
        </w:tc>
        <w:tc>
          <w:tcPr>
            <w:tcW w:w="201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3 </w:t>
            </w:r>
            <w:proofErr w:type="spellStart"/>
            <w:r>
              <w:rPr>
                <w:color w:val="000000"/>
                <w:sz w:val="20"/>
                <w:lang w:eastAsia="lt-LT"/>
              </w:rPr>
              <w:t>TWh</w:t>
            </w:r>
            <w:proofErr w:type="spellEnd"/>
            <w:r>
              <w:rPr>
                <w:color w:val="000000"/>
                <w:sz w:val="20"/>
                <w:lang w:eastAsia="lt-LT"/>
              </w:rPr>
              <w:t xml:space="preserve"> (2020 m.)</w:t>
            </w:r>
          </w:p>
        </w:tc>
      </w:tr>
      <w:tr w:rsidR="000E7C4C">
        <w:trPr>
          <w:trHeight w:val="7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1875"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Didinti energijos vartojimo efektyvumą transporto sektoriuje</w:t>
            </w:r>
          </w:p>
        </w:tc>
        <w:tc>
          <w:tcPr>
            <w:tcW w:w="192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Formuoti ir skatinti ekologinio vairavimo įpročius</w:t>
            </w:r>
          </w:p>
        </w:tc>
        <w:tc>
          <w:tcPr>
            <w:tcW w:w="2564"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lang w:eastAsia="lt-LT"/>
              </w:rPr>
            </w:pPr>
            <w:r>
              <w:rPr>
                <w:color w:val="000000"/>
                <w:sz w:val="20"/>
                <w:lang w:eastAsia="lt-LT"/>
              </w:rPr>
              <w:t>–</w:t>
            </w:r>
          </w:p>
        </w:tc>
        <w:tc>
          <w:tcPr>
            <w:tcW w:w="2018"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lang w:eastAsia="lt-LT"/>
              </w:rPr>
            </w:pPr>
            <w:r>
              <w:rPr>
                <w:color w:val="000000"/>
                <w:sz w:val="20"/>
                <w:lang w:eastAsia="lt-LT"/>
              </w:rPr>
              <w:t>–</w:t>
            </w:r>
          </w:p>
        </w:tc>
      </w:tr>
      <w:tr w:rsidR="000E7C4C">
        <w:trPr>
          <w:trHeight w:val="4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192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Skatinti darnų </w:t>
            </w:r>
            <w:proofErr w:type="spellStart"/>
            <w:r>
              <w:rPr>
                <w:color w:val="000000"/>
                <w:sz w:val="20"/>
                <w:lang w:eastAsia="lt-LT"/>
              </w:rPr>
              <w:t>judumą</w:t>
            </w:r>
            <w:proofErr w:type="spellEnd"/>
            <w:r>
              <w:rPr>
                <w:color w:val="000000"/>
                <w:sz w:val="20"/>
                <w:lang w:eastAsia="lt-LT"/>
              </w:rPr>
              <w:t xml:space="preserve"> miestuose</w:t>
            </w:r>
          </w:p>
        </w:tc>
        <w:tc>
          <w:tcPr>
            <w:tcW w:w="2564" w:type="dxa"/>
            <w:tcBorders>
              <w:top w:val="single" w:sz="4" w:space="0" w:color="auto"/>
              <w:left w:val="single" w:sz="4" w:space="0" w:color="auto"/>
              <w:bottom w:val="single" w:sz="4" w:space="0" w:color="auto"/>
              <w:right w:val="single" w:sz="4" w:space="0" w:color="auto"/>
            </w:tcBorders>
          </w:tcPr>
          <w:p w:rsidR="000E7C4C" w:rsidRDefault="000E7C4C">
            <w:pPr>
              <w:jc w:val="center"/>
              <w:rPr>
                <w:color w:val="000000"/>
                <w:sz w:val="20"/>
                <w:lang w:eastAsia="lt-LT"/>
              </w:rPr>
            </w:pPr>
          </w:p>
        </w:tc>
        <w:tc>
          <w:tcPr>
            <w:tcW w:w="2018" w:type="dxa"/>
            <w:tcBorders>
              <w:top w:val="single" w:sz="4" w:space="0" w:color="auto"/>
              <w:left w:val="single" w:sz="4" w:space="0" w:color="auto"/>
              <w:bottom w:val="single" w:sz="4" w:space="0" w:color="auto"/>
              <w:right w:val="single" w:sz="4" w:space="0" w:color="auto"/>
            </w:tcBorders>
          </w:tcPr>
          <w:p w:rsidR="000E7C4C" w:rsidRDefault="000E7C4C">
            <w:pPr>
              <w:jc w:val="center"/>
              <w:rPr>
                <w:color w:val="000000"/>
                <w:sz w:val="20"/>
                <w:lang w:eastAsia="lt-LT"/>
              </w:rPr>
            </w:pPr>
          </w:p>
        </w:tc>
      </w:tr>
      <w:tr w:rsidR="000E7C4C">
        <w:trPr>
          <w:trHeight w:val="797"/>
        </w:trPr>
        <w:tc>
          <w:tcPr>
            <w:tcW w:w="1311"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Palaipsniui pereiti prie alternatyvaus kuro naudojimo</w:t>
            </w:r>
          </w:p>
        </w:tc>
        <w:tc>
          <w:tcPr>
            <w:tcW w:w="1875"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 xml:space="preserve">Skatinti elektrinių transporto priemonių, įskaitant elektromobilius, naudojimą transporto sektoriuje, išsaugant esamą elektrinių transporto priemonių tinklą ir jį plėtojant, sukurti elektromobilių įkrovimo prieigų tinklą (elektros energijos, pagamintos iš AEI, vartojimas elektrinėse transporto priemonėse 6,5 </w:t>
            </w:r>
            <w:proofErr w:type="spellStart"/>
            <w:r>
              <w:rPr>
                <w:sz w:val="20"/>
                <w:lang w:eastAsia="lt-LT"/>
              </w:rPr>
              <w:t>ktne</w:t>
            </w:r>
            <w:proofErr w:type="spellEnd"/>
            <w:r>
              <w:rPr>
                <w:sz w:val="20"/>
                <w:lang w:eastAsia="lt-LT"/>
              </w:rPr>
              <w:t xml:space="preserve"> – 2020 m. ir 2022 m.) </w:t>
            </w:r>
          </w:p>
        </w:tc>
        <w:tc>
          <w:tcPr>
            <w:tcW w:w="192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Skatinti elektromobilių</w:t>
            </w:r>
          </w:p>
          <w:p w:rsidR="000E7C4C" w:rsidRDefault="003C3EA6">
            <w:pPr>
              <w:rPr>
                <w:color w:val="000000"/>
                <w:sz w:val="20"/>
                <w:lang w:eastAsia="lt-LT"/>
              </w:rPr>
            </w:pPr>
            <w:r>
              <w:rPr>
                <w:color w:val="000000"/>
                <w:sz w:val="20"/>
                <w:lang w:eastAsia="lt-LT"/>
              </w:rPr>
              <w:t>naudojimą</w:t>
            </w:r>
          </w:p>
        </w:tc>
        <w:tc>
          <w:tcPr>
            <w:tcW w:w="256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Elektromobilių skaičius, vnt.</w:t>
            </w:r>
          </w:p>
        </w:tc>
        <w:tc>
          <w:tcPr>
            <w:tcW w:w="201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2000 vnt. (2020 m.), 4600 vnt. (2022 m.), 118000 vnt. (2030 m.)</w:t>
            </w:r>
          </w:p>
        </w:tc>
      </w:tr>
      <w:tr w:rsidR="000E7C4C">
        <w:trPr>
          <w:trHeight w:val="26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192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Įgyvendinant geležinkelių pagrindinių transporto koridorių elektrifikavimo projektus, didinti elektros energijos, suvartojamos traukiniuose, vartojimą</w:t>
            </w:r>
          </w:p>
        </w:tc>
        <w:tc>
          <w:tcPr>
            <w:tcW w:w="256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Elektrifikuotų geležinkelių linijų ilgis, km</w:t>
            </w:r>
          </w:p>
        </w:tc>
        <w:tc>
          <w:tcPr>
            <w:tcW w:w="201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149 km (2020 m.), </w:t>
            </w:r>
          </w:p>
          <w:p w:rsidR="000E7C4C" w:rsidRDefault="003C3EA6">
            <w:pPr>
              <w:rPr>
                <w:color w:val="000000"/>
                <w:sz w:val="20"/>
                <w:lang w:eastAsia="lt-LT"/>
              </w:rPr>
            </w:pPr>
            <w:r>
              <w:rPr>
                <w:color w:val="000000"/>
                <w:sz w:val="20"/>
                <w:lang w:eastAsia="lt-LT"/>
              </w:rPr>
              <w:t xml:space="preserve">500 km (2022 m.), </w:t>
            </w:r>
          </w:p>
          <w:p w:rsidR="000E7C4C" w:rsidRDefault="003C3EA6">
            <w:pPr>
              <w:rPr>
                <w:color w:val="000000"/>
                <w:sz w:val="20"/>
                <w:lang w:eastAsia="lt-LT"/>
              </w:rPr>
            </w:pPr>
            <w:r>
              <w:rPr>
                <w:color w:val="000000"/>
                <w:sz w:val="20"/>
                <w:lang w:eastAsia="lt-LT"/>
              </w:rPr>
              <w:t>894 km (2030 m.)</w:t>
            </w:r>
          </w:p>
        </w:tc>
      </w:tr>
      <w:tr w:rsidR="000E7C4C">
        <w:trPr>
          <w:trHeight w:val="16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192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Sudaryti sąlygas kurti ir plėtoti elektros energiją naudojančių transporto priemonių infrastruktūrą miestuose ir savivaldybėse</w:t>
            </w:r>
          </w:p>
        </w:tc>
        <w:tc>
          <w:tcPr>
            <w:tcW w:w="256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Įrengta šalia naujų daugiabučių ir prekybos centrų stotelių skaičius, vnt.</w:t>
            </w:r>
          </w:p>
        </w:tc>
        <w:tc>
          <w:tcPr>
            <w:tcW w:w="201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300 vnt. (2020 m.), </w:t>
            </w:r>
          </w:p>
          <w:p w:rsidR="000E7C4C" w:rsidRDefault="003C3EA6">
            <w:pPr>
              <w:rPr>
                <w:color w:val="000000"/>
                <w:sz w:val="20"/>
                <w:lang w:eastAsia="lt-LT"/>
              </w:rPr>
            </w:pPr>
            <w:r>
              <w:rPr>
                <w:color w:val="000000"/>
                <w:sz w:val="20"/>
                <w:lang w:eastAsia="lt-LT"/>
              </w:rPr>
              <w:t>900 vnt. (2022 m.), 7200 vnt. (2030 m.)</w:t>
            </w:r>
          </w:p>
        </w:tc>
      </w:tr>
      <w:tr w:rsidR="000E7C4C">
        <w:trPr>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192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Skatinti uoste prisišvartavusių laivų naudojimosi elektros tiekimo nuo kranto sistemų plėtojimą</w:t>
            </w:r>
          </w:p>
        </w:tc>
        <w:tc>
          <w:tcPr>
            <w:tcW w:w="256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Įrengtų elektros kolonėlių krantinėse skaičius, vnt.</w:t>
            </w:r>
          </w:p>
        </w:tc>
        <w:tc>
          <w:tcPr>
            <w:tcW w:w="201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5 vnt. (2022 m.), </w:t>
            </w:r>
          </w:p>
          <w:p w:rsidR="000E7C4C" w:rsidRDefault="003C3EA6">
            <w:pPr>
              <w:rPr>
                <w:color w:val="000000"/>
                <w:sz w:val="20"/>
                <w:lang w:eastAsia="lt-LT"/>
              </w:rPr>
            </w:pPr>
            <w:r>
              <w:rPr>
                <w:color w:val="000000"/>
                <w:sz w:val="20"/>
                <w:lang w:eastAsia="lt-LT"/>
              </w:rPr>
              <w:t>5 vnt. (2030 m.)</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187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sz w:val="20"/>
                <w:lang w:eastAsia="lt-LT"/>
              </w:rPr>
            </w:pPr>
            <w:r>
              <w:rPr>
                <w:sz w:val="20"/>
                <w:lang w:eastAsia="lt-LT"/>
              </w:rPr>
              <w:t>Didinti alternatyvių kuro rūšių panaudojimą transporte, įskaitant savivaldybes</w:t>
            </w:r>
          </w:p>
        </w:tc>
        <w:tc>
          <w:tcPr>
            <w:tcW w:w="192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Plėtoti mažai taršų viešąjį transportą</w:t>
            </w:r>
          </w:p>
        </w:tc>
        <w:tc>
          <w:tcPr>
            <w:tcW w:w="2564"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lang w:eastAsia="lt-LT"/>
              </w:rPr>
            </w:pPr>
            <w:r>
              <w:rPr>
                <w:color w:val="000000"/>
                <w:sz w:val="20"/>
                <w:lang w:eastAsia="lt-LT"/>
              </w:rPr>
              <w:t>–</w:t>
            </w:r>
          </w:p>
        </w:tc>
        <w:tc>
          <w:tcPr>
            <w:tcW w:w="2018"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lang w:eastAsia="lt-LT"/>
              </w:rPr>
            </w:pPr>
            <w:r>
              <w:rPr>
                <w:color w:val="000000"/>
                <w:sz w:val="20"/>
                <w:lang w:eastAsia="lt-LT"/>
              </w:rPr>
              <w:t>–</w:t>
            </w:r>
          </w:p>
        </w:tc>
      </w:tr>
      <w:tr w:rsidR="000E7C4C">
        <w:trPr>
          <w:trHeight w:val="9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1875"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Skatinti gamtinių dujų panaudojimą transporto ir laivybos srityse bei viešajame transporte, išnaudojant turimą suskystintųjų gamtinių dujų (toliau – SGD) paskirstymo stoties ir kitos SGD infrastruktūros potencialą</w:t>
            </w:r>
          </w:p>
        </w:tc>
        <w:tc>
          <w:tcPr>
            <w:tcW w:w="192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Įrengti suskystintųjų gamtinių dujų degalų papildymo punktus automobilių keliuose</w:t>
            </w:r>
          </w:p>
        </w:tc>
        <w:tc>
          <w:tcPr>
            <w:tcW w:w="256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Įrengtų stotelių skaičius, vnt.</w:t>
            </w:r>
          </w:p>
        </w:tc>
        <w:tc>
          <w:tcPr>
            <w:tcW w:w="2018"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lang w:eastAsia="lt-LT"/>
              </w:rPr>
            </w:pPr>
            <w:r>
              <w:rPr>
                <w:color w:val="000000"/>
                <w:sz w:val="20"/>
                <w:lang w:eastAsia="lt-LT"/>
              </w:rPr>
              <w:t xml:space="preserve">1 vnt. (2020 m.), </w:t>
            </w:r>
          </w:p>
          <w:p w:rsidR="000E7C4C" w:rsidRDefault="003C3EA6">
            <w:pPr>
              <w:jc w:val="center"/>
              <w:rPr>
                <w:color w:val="000000"/>
                <w:sz w:val="20"/>
                <w:lang w:eastAsia="lt-LT"/>
              </w:rPr>
            </w:pPr>
            <w:r>
              <w:rPr>
                <w:color w:val="000000"/>
                <w:sz w:val="20"/>
                <w:lang w:eastAsia="lt-LT"/>
              </w:rPr>
              <w:t xml:space="preserve">1 vnt. (2022 m.), </w:t>
            </w:r>
          </w:p>
          <w:p w:rsidR="000E7C4C" w:rsidRDefault="003C3EA6">
            <w:pPr>
              <w:jc w:val="center"/>
              <w:rPr>
                <w:color w:val="000000"/>
                <w:sz w:val="20"/>
                <w:lang w:eastAsia="lt-LT"/>
              </w:rPr>
            </w:pPr>
            <w:r>
              <w:rPr>
                <w:color w:val="000000"/>
                <w:sz w:val="20"/>
                <w:lang w:eastAsia="lt-LT"/>
              </w:rPr>
              <w:t>2 vnt. (2030 m.)</w:t>
            </w:r>
          </w:p>
        </w:tc>
      </w:tr>
      <w:tr w:rsidR="000E7C4C">
        <w:trPr>
          <w:trHeight w:val="27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192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Įrengti viešai prieinamus suslėgtųjų gamtinių dujų degalų papildymo punktus miestų ir priemiesčių aglomeracijose (Vilniuje, Kaune, Klaipėdoje, Šiauliuose,</w:t>
            </w:r>
          </w:p>
          <w:p w:rsidR="000E7C4C" w:rsidRDefault="003C3EA6">
            <w:pPr>
              <w:rPr>
                <w:color w:val="000000"/>
                <w:sz w:val="20"/>
                <w:lang w:eastAsia="lt-LT"/>
              </w:rPr>
            </w:pPr>
            <w:r>
              <w:rPr>
                <w:color w:val="000000"/>
                <w:sz w:val="20"/>
                <w:lang w:eastAsia="lt-LT"/>
              </w:rPr>
              <w:t>Panevėžyje, Telšiuose, Ukmergėje, Marijampolėje, Elektrėnuose)</w:t>
            </w:r>
          </w:p>
        </w:tc>
        <w:tc>
          <w:tcPr>
            <w:tcW w:w="256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Viešą prieigą turinčių stotelių skaičius, vnt.</w:t>
            </w:r>
          </w:p>
        </w:tc>
        <w:tc>
          <w:tcPr>
            <w:tcW w:w="2018"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lang w:eastAsia="lt-LT"/>
              </w:rPr>
            </w:pPr>
            <w:r>
              <w:rPr>
                <w:color w:val="000000"/>
                <w:sz w:val="20"/>
                <w:lang w:eastAsia="lt-LT"/>
              </w:rPr>
              <w:t xml:space="preserve">9 vnt. (2020 m.), </w:t>
            </w:r>
          </w:p>
          <w:p w:rsidR="000E7C4C" w:rsidRDefault="003C3EA6">
            <w:pPr>
              <w:jc w:val="center"/>
              <w:rPr>
                <w:color w:val="000000"/>
                <w:sz w:val="20"/>
                <w:lang w:eastAsia="lt-LT"/>
              </w:rPr>
            </w:pPr>
            <w:r>
              <w:rPr>
                <w:color w:val="000000"/>
                <w:sz w:val="20"/>
                <w:lang w:eastAsia="lt-LT"/>
              </w:rPr>
              <w:t xml:space="preserve">9 vnt. (2022 m.), </w:t>
            </w:r>
          </w:p>
          <w:p w:rsidR="000E7C4C" w:rsidRDefault="003C3EA6">
            <w:pPr>
              <w:jc w:val="center"/>
              <w:rPr>
                <w:color w:val="000000"/>
                <w:sz w:val="20"/>
                <w:lang w:eastAsia="lt-LT"/>
              </w:rPr>
            </w:pPr>
            <w:r>
              <w:rPr>
                <w:color w:val="000000"/>
                <w:sz w:val="20"/>
                <w:lang w:eastAsia="lt-LT"/>
              </w:rPr>
              <w:t>9 vnt. (2030 m.)</w:t>
            </w:r>
          </w:p>
        </w:tc>
      </w:tr>
      <w:tr w:rsidR="000E7C4C">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192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Įrengti viešai prieinamus suslėgtųjų gamtinių dujų degalų papildymo punktus automobilių keliuose TEN-T pagrindiniame tinkle (šalia E85 ir E67 kelių)</w:t>
            </w:r>
          </w:p>
        </w:tc>
        <w:tc>
          <w:tcPr>
            <w:tcW w:w="256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Įrengtų stotelių skaičius, vnt.</w:t>
            </w:r>
          </w:p>
        </w:tc>
        <w:tc>
          <w:tcPr>
            <w:tcW w:w="2018"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lang w:eastAsia="lt-LT"/>
              </w:rPr>
            </w:pPr>
            <w:r>
              <w:rPr>
                <w:color w:val="000000"/>
                <w:sz w:val="20"/>
                <w:lang w:eastAsia="lt-LT"/>
              </w:rPr>
              <w:t>10 vnt. (2030 m.)</w:t>
            </w:r>
          </w:p>
        </w:tc>
      </w:tr>
    </w:tbl>
    <w:p w:rsidR="000E7C4C" w:rsidRDefault="003C3EA6">
      <w:pPr>
        <w:jc w:val="center"/>
        <w:rPr>
          <w:sz w:val="20"/>
        </w:rPr>
      </w:pPr>
      <w:r>
        <w:rPr>
          <w:sz w:val="20"/>
        </w:rPr>
        <w:t>(Šaltinis: Nacionalinės energetinės nepriklausomybės strategijos įgyvendinimo priemonių planas)</w:t>
      </w:r>
    </w:p>
    <w:p w:rsidR="000E7C4C" w:rsidRDefault="003C3EA6">
      <w:pPr>
        <w:spacing w:line="360" w:lineRule="atLeast"/>
        <w:ind w:left="720"/>
        <w:jc w:val="both"/>
        <w:rPr>
          <w:color w:val="000000"/>
          <w:szCs w:val="21"/>
        </w:rPr>
      </w:pPr>
    </w:p>
    <w:p w:rsidR="000E7C4C" w:rsidRDefault="003C3EA6">
      <w:pPr>
        <w:ind w:firstLine="567"/>
        <w:jc w:val="both"/>
        <w:rPr>
          <w:b/>
          <w:color w:val="000000"/>
          <w:szCs w:val="21"/>
        </w:rPr>
      </w:pPr>
      <w:r>
        <w:rPr>
          <w:color w:val="000000"/>
          <w:szCs w:val="21"/>
        </w:rPr>
        <w:t>15</w:t>
      </w:r>
      <w:r>
        <w:rPr>
          <w:color w:val="000000"/>
          <w:szCs w:val="21"/>
        </w:rPr>
        <w:t>.</w:t>
      </w:r>
      <w:r>
        <w:rPr>
          <w:b/>
          <w:color w:val="000000"/>
          <w:szCs w:val="21"/>
        </w:rPr>
        <w:t xml:space="preserve"> Nacionalinėje atsinaujinančių energijos išteklių plėtros strategijoje, </w:t>
      </w:r>
      <w:r>
        <w:rPr>
          <w:color w:val="000000"/>
          <w:szCs w:val="21"/>
        </w:rPr>
        <w:t xml:space="preserve">patvirtintoje Vyriausybės 2010 m. birželio 21 d. nutarimu Nr. 789 „Dėl Nacionalinės atsinaujinančių energijos išteklių plėtros strategijos patvirtinimo“ (toliau – Nacionalinė atsinaujinančių energijos išteklių plėtros strategija), nurodyta galimybė sumažinti oro taršą sumažinus iškastinio organinio kuro naudojimą plėtojant mažos galios </w:t>
      </w:r>
      <w:proofErr w:type="spellStart"/>
      <w:r>
        <w:rPr>
          <w:color w:val="000000"/>
          <w:szCs w:val="21"/>
        </w:rPr>
        <w:t>kogeneracines</w:t>
      </w:r>
      <w:proofErr w:type="spellEnd"/>
      <w:r>
        <w:rPr>
          <w:color w:val="000000"/>
          <w:szCs w:val="21"/>
        </w:rPr>
        <w:t xml:space="preserve"> elektrines ir naudojant alternatyvias transporto kuro rūšis. Taigi, šioje strategijoje pabrėžiama, kad modernizuojant centralizuoto šilumos tiekimo sistemas ir didinant atsinaujinančių energijos išteklių naudojimą šiame sektoriuje, galima reikšmingai prisidėti prie oro taršos mažinimo (žr. 6 lent.).</w:t>
      </w:r>
    </w:p>
    <w:p w:rsidR="000E7C4C" w:rsidRDefault="000E7C4C">
      <w:pPr>
        <w:spacing w:line="360" w:lineRule="atLeast"/>
        <w:ind w:left="720"/>
        <w:jc w:val="both"/>
        <w:rPr>
          <w:color w:val="000000"/>
          <w:szCs w:val="21"/>
        </w:rPr>
      </w:pPr>
    </w:p>
    <w:p w:rsidR="000E7C4C" w:rsidRDefault="003C3EA6">
      <w:pPr>
        <w:jc w:val="both"/>
        <w:rPr>
          <w:color w:val="000000"/>
          <w:szCs w:val="24"/>
        </w:rPr>
      </w:pPr>
      <w:r>
        <w:rPr>
          <w:color w:val="000000"/>
          <w:szCs w:val="24"/>
        </w:rPr>
        <w:t>6 lentelė. Nacionalinėje atsinaujinančių energijos išteklių plėtros strategijoje išvardinti su oro taršos mažinimu susiję tikslai ir uždaviniai, vertinimo kriterijai ir jų reikšmės</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863"/>
        <w:gridCol w:w="2835"/>
        <w:gridCol w:w="1842"/>
        <w:gridCol w:w="2127"/>
      </w:tblGrid>
      <w:tr w:rsidR="000E7C4C">
        <w:trPr>
          <w:tblHeader/>
        </w:trPr>
        <w:tc>
          <w:tcPr>
            <w:tcW w:w="2863"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color w:val="FFFFFF"/>
                <w:sz w:val="20"/>
              </w:rPr>
            </w:pPr>
            <w:r>
              <w:rPr>
                <w:color w:val="FFFFFF"/>
                <w:sz w:val="20"/>
              </w:rPr>
              <w:t>Tikslai (ilgalaikiai, trumpalaikiai)</w:t>
            </w:r>
          </w:p>
        </w:tc>
        <w:tc>
          <w:tcPr>
            <w:tcW w:w="2835"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Uždaviniai</w:t>
            </w:r>
          </w:p>
        </w:tc>
        <w:tc>
          <w:tcPr>
            <w:tcW w:w="1842"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Vertinimo kriterijai</w:t>
            </w:r>
          </w:p>
        </w:tc>
        <w:tc>
          <w:tcPr>
            <w:tcW w:w="2127"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Vertinimo kriterijų reikšmės</w:t>
            </w:r>
          </w:p>
        </w:tc>
      </w:tr>
      <w:tr w:rsidR="000E7C4C">
        <w:tc>
          <w:tcPr>
            <w:tcW w:w="2863"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Didinant atsinaujinančių energijos išteklių dalį šalies energijos balanse, kuo geriau patenkinti energijos poreikį elektros ir šilumos energetikos bei transporto sektoriuose vidaus ištekliais, atsisakyti importuojamo taršaus iškastinio kuro ir taip padidinti energijos tiekimo saugumą, energetinę nepriklausomybę ir prisidėti prie tarptautinių pastangų mažinti šiltnamio efektą sukeliančių dujų emisijas</w:t>
            </w:r>
          </w:p>
        </w:tc>
        <w:tc>
          <w:tcPr>
            <w:tcW w:w="2835"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Didinti visų rūšių biomasės naudojimą šilumos ir elektros energijai gaminti</w:t>
            </w:r>
          </w:p>
        </w:tc>
        <w:tc>
          <w:tcPr>
            <w:tcW w:w="1842"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 xml:space="preserve">Biomasės sunaudojimas, </w:t>
            </w:r>
            <w:proofErr w:type="spellStart"/>
            <w:r>
              <w:rPr>
                <w:sz w:val="20"/>
                <w:lang w:eastAsia="lt-LT"/>
              </w:rPr>
              <w:t>ktne</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20"/>
                <w:lang w:eastAsia="lt-LT"/>
              </w:rPr>
            </w:pPr>
            <w:r>
              <w:rPr>
                <w:sz w:val="20"/>
                <w:lang w:eastAsia="lt-LT"/>
              </w:rPr>
              <w:t>484 (2020)</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2835"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 xml:space="preserve">didinti atsinaujinančių energijos išteklių ir elektros energijos naudojimą transporto sektoriuje, užtikrinti, kad biodegalai ir kiti skystieji </w:t>
            </w:r>
            <w:proofErr w:type="spellStart"/>
            <w:r>
              <w:rPr>
                <w:sz w:val="20"/>
                <w:lang w:eastAsia="lt-LT"/>
              </w:rPr>
              <w:t>bioproduktai</w:t>
            </w:r>
            <w:proofErr w:type="spellEnd"/>
            <w:r>
              <w:rPr>
                <w:sz w:val="20"/>
                <w:lang w:eastAsia="lt-LT"/>
              </w:rPr>
              <w:t xml:space="preserve"> atitiktų tvarumo kriterijus</w:t>
            </w:r>
          </w:p>
        </w:tc>
        <w:tc>
          <w:tcPr>
            <w:tcW w:w="1842"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 xml:space="preserve">Atsinaujinančių energijos išteklių sunaudojimas transporto sektoriuje, </w:t>
            </w:r>
            <w:proofErr w:type="spellStart"/>
            <w:r>
              <w:rPr>
                <w:sz w:val="20"/>
                <w:lang w:eastAsia="lt-LT"/>
              </w:rPr>
              <w:t>ktne</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20"/>
                <w:lang w:eastAsia="lt-LT"/>
              </w:rPr>
            </w:pPr>
            <w:r>
              <w:rPr>
                <w:sz w:val="20"/>
                <w:lang w:eastAsia="lt-LT"/>
              </w:rPr>
              <w:t>169</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1842"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 xml:space="preserve">Elektros energijos iš atsinaujinančių energijos išteklių suvartojimas kelių transporto sektoriuje, </w:t>
            </w:r>
            <w:proofErr w:type="spellStart"/>
            <w:r>
              <w:rPr>
                <w:sz w:val="20"/>
                <w:lang w:eastAsia="lt-LT"/>
              </w:rPr>
              <w:t>ktne</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lang w:eastAsia="lt-LT"/>
              </w:rPr>
            </w:pPr>
            <w:r>
              <w:rPr>
                <w:color w:val="000000"/>
                <w:sz w:val="20"/>
                <w:lang w:eastAsia="lt-LT"/>
              </w:rPr>
              <w:t>2,5</w:t>
            </w:r>
          </w:p>
        </w:tc>
      </w:tr>
    </w:tbl>
    <w:p w:rsidR="000E7C4C" w:rsidRDefault="003C3EA6">
      <w:pPr>
        <w:jc w:val="center"/>
        <w:rPr>
          <w:color w:val="000000"/>
          <w:szCs w:val="21"/>
        </w:rPr>
      </w:pPr>
      <w:r>
        <w:rPr>
          <w:sz w:val="20"/>
          <w:szCs w:val="18"/>
        </w:rPr>
        <w:t>(Šaltinis: Nacionalinė atsinaujinančių energijos išteklių plėtros strategija)</w:t>
      </w:r>
    </w:p>
    <w:p w:rsidR="000E7C4C" w:rsidRDefault="003C3EA6">
      <w:pPr>
        <w:spacing w:line="360" w:lineRule="atLeast"/>
        <w:ind w:left="720"/>
        <w:jc w:val="both"/>
        <w:rPr>
          <w:color w:val="000000"/>
          <w:szCs w:val="21"/>
        </w:rPr>
      </w:pPr>
    </w:p>
    <w:p w:rsidR="000E7C4C" w:rsidRDefault="003C3EA6">
      <w:pPr>
        <w:ind w:firstLine="567"/>
        <w:jc w:val="both"/>
        <w:rPr>
          <w:color w:val="000000"/>
          <w:szCs w:val="21"/>
        </w:rPr>
      </w:pPr>
      <w:r>
        <w:rPr>
          <w:color w:val="000000"/>
          <w:szCs w:val="21"/>
        </w:rPr>
        <w:t>16</w:t>
      </w:r>
      <w:r>
        <w:rPr>
          <w:color w:val="000000"/>
          <w:szCs w:val="21"/>
        </w:rPr>
        <w:t>.</w:t>
      </w:r>
      <w:r>
        <w:rPr>
          <w:b/>
          <w:color w:val="000000"/>
          <w:szCs w:val="21"/>
        </w:rPr>
        <w:t xml:space="preserve"> Nacionalinės šilumos ūkio plėtros 2015–2021 metų programos, </w:t>
      </w:r>
      <w:r>
        <w:rPr>
          <w:color w:val="000000"/>
          <w:szCs w:val="21"/>
        </w:rPr>
        <w:t>patvirtintos Vyriausybės 2015 m. kovo 18 d. nutarimu Nr. 284 „Dėl Nacionalinės šilumos ūkio plėtros 2015–2021 metų programos patvirtinimo“ (toliau – Nacionalinė šilumos ūkio plėtros 2015–2021 metų programa), tikslas apima siekį ne tik mažinti šilumos energijos kainas, tačiau taip pat mažinti aplinkos taršą „šilumos energijai gaminti naudojamo kuro balanse teikiant pirmenybę atsinaujinantiems ir (ar) vietiniams energijos ištekliams”.  Šiam tikslui pasiekti, be kitų uždavinių, numatytas uždavinys mažinti šilumos gamybos įrenginių taršą ir užtikrinti AEI naudojančių technologijų plėtrą. Programoje kalbama apie poreikį didinti biokuro dalį šilumos gamybos kuro struktūroje; numatytas siekis diversifikuoti vietinių ir atsinaujinančių energijos išteklių gamybą (žr. 7 lent.).</w:t>
      </w:r>
    </w:p>
    <w:p w:rsidR="000E7C4C" w:rsidRDefault="000E7C4C">
      <w:pPr>
        <w:ind w:left="720" w:firstLine="567"/>
        <w:jc w:val="both"/>
        <w:rPr>
          <w:color w:val="000000"/>
          <w:szCs w:val="21"/>
        </w:rPr>
      </w:pPr>
    </w:p>
    <w:p w:rsidR="000E7C4C" w:rsidRDefault="003C3EA6">
      <w:pPr>
        <w:jc w:val="both"/>
        <w:rPr>
          <w:color w:val="000000"/>
          <w:szCs w:val="24"/>
        </w:rPr>
      </w:pPr>
      <w:r>
        <w:rPr>
          <w:color w:val="000000"/>
          <w:szCs w:val="24"/>
        </w:rPr>
        <w:t>7 lentelė. Nacionalinėje šilumos ūkio plėtros 2015–2021 metų programoje išvardinti su oro taršos mažinimu susiję tikslai, uždaviniai ir priemonės, vertinimo kriterijai ir jų reikšmės</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547"/>
        <w:gridCol w:w="1492"/>
        <w:gridCol w:w="2798"/>
        <w:gridCol w:w="1428"/>
        <w:gridCol w:w="2402"/>
      </w:tblGrid>
      <w:tr w:rsidR="000E7C4C">
        <w:trPr>
          <w:tblHeader/>
        </w:trPr>
        <w:tc>
          <w:tcPr>
            <w:tcW w:w="1547"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color w:val="FFFFFF"/>
                <w:sz w:val="20"/>
              </w:rPr>
            </w:pPr>
            <w:r>
              <w:rPr>
                <w:color w:val="FFFFFF"/>
                <w:sz w:val="20"/>
              </w:rPr>
              <w:t>Tikslai (ilgalaikiai, trumpalaikiai)</w:t>
            </w:r>
          </w:p>
        </w:tc>
        <w:tc>
          <w:tcPr>
            <w:tcW w:w="1492"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Uždaviniai</w:t>
            </w:r>
          </w:p>
        </w:tc>
        <w:tc>
          <w:tcPr>
            <w:tcW w:w="2798" w:type="dxa"/>
            <w:tcBorders>
              <w:top w:val="single" w:sz="4" w:space="0" w:color="auto"/>
              <w:left w:val="single" w:sz="4" w:space="0" w:color="auto"/>
              <w:bottom w:val="single" w:sz="4" w:space="0" w:color="auto"/>
              <w:right w:val="single" w:sz="4" w:space="0" w:color="auto"/>
            </w:tcBorders>
            <w:shd w:val="clear" w:color="auto" w:fill="002060"/>
          </w:tcPr>
          <w:p w:rsidR="000E7C4C" w:rsidRDefault="000E7C4C">
            <w:pPr>
              <w:jc w:val="center"/>
              <w:rPr>
                <w:bCs/>
                <w:color w:val="FFFFFF"/>
                <w:sz w:val="20"/>
                <w:lang w:eastAsia="en-GB"/>
              </w:rPr>
            </w:pPr>
          </w:p>
          <w:p w:rsidR="000E7C4C" w:rsidRDefault="003C3EA6">
            <w:pPr>
              <w:jc w:val="center"/>
              <w:rPr>
                <w:bCs/>
                <w:color w:val="FFFFFF"/>
                <w:sz w:val="20"/>
                <w:lang w:eastAsia="en-GB"/>
              </w:rPr>
            </w:pPr>
            <w:r>
              <w:rPr>
                <w:bCs/>
                <w:color w:val="FFFFFF"/>
                <w:sz w:val="20"/>
                <w:lang w:eastAsia="en-GB"/>
              </w:rPr>
              <w:t>Priemonės</w:t>
            </w:r>
          </w:p>
        </w:tc>
        <w:tc>
          <w:tcPr>
            <w:tcW w:w="1428"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Vertinimo kriterijai</w:t>
            </w:r>
          </w:p>
        </w:tc>
        <w:tc>
          <w:tcPr>
            <w:tcW w:w="2402" w:type="dxa"/>
            <w:tcBorders>
              <w:top w:val="single" w:sz="4" w:space="0" w:color="auto"/>
              <w:left w:val="single" w:sz="4" w:space="0" w:color="auto"/>
              <w:bottom w:val="single" w:sz="4" w:space="0" w:color="auto"/>
              <w:right w:val="single" w:sz="4" w:space="0" w:color="auto"/>
            </w:tcBorders>
            <w:shd w:val="clear" w:color="auto" w:fill="002060"/>
          </w:tcPr>
          <w:p w:rsidR="000E7C4C" w:rsidRDefault="000E7C4C">
            <w:pPr>
              <w:jc w:val="center"/>
              <w:rPr>
                <w:bCs/>
                <w:color w:val="FFFFFF"/>
                <w:sz w:val="20"/>
                <w:lang w:eastAsia="en-GB"/>
              </w:rPr>
            </w:pPr>
          </w:p>
          <w:p w:rsidR="000E7C4C" w:rsidRDefault="003C3EA6">
            <w:pPr>
              <w:jc w:val="center"/>
              <w:rPr>
                <w:bCs/>
                <w:color w:val="FFFFFF"/>
                <w:sz w:val="20"/>
                <w:lang w:eastAsia="en-GB"/>
              </w:rPr>
            </w:pPr>
            <w:r>
              <w:rPr>
                <w:bCs/>
                <w:color w:val="FFFFFF"/>
                <w:sz w:val="20"/>
                <w:lang w:eastAsia="en-GB"/>
              </w:rPr>
              <w:t>Vertinimo kriterijų reikšmės</w:t>
            </w:r>
          </w:p>
        </w:tc>
      </w:tr>
      <w:tr w:rsidR="000E7C4C">
        <w:tc>
          <w:tcPr>
            <w:tcW w:w="1547"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Mažinti šilumos energijos kainas ir aplinkos taršą, šilumos energijai gaminti naudojamo kuro balanse teikiant pirmenybę atsinaujinantiems ir (ar) vietiniams energijos ištekliams</w:t>
            </w:r>
          </w:p>
        </w:tc>
        <w:tc>
          <w:tcPr>
            <w:tcW w:w="1492"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Mažinti šilumos energijos gamybos įrenginių taršą ir užtikrinti atsinaujinančius energijos išteklius naudojančių technologijų plėtrą</w:t>
            </w:r>
          </w:p>
        </w:tc>
        <w:tc>
          <w:tcPr>
            <w:tcW w:w="279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įrengti naujus ar modernizuoti esamus atsinaujinančius energijos išteklius naudojančius šilumos energiją gaminančius įrenginius</w:t>
            </w:r>
          </w:p>
        </w:tc>
        <w:tc>
          <w:tcPr>
            <w:tcW w:w="142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Naujų ar rekonstruotų šilumos energijos gamybos įrenginių, gaminančių energiją iš atsinaujinančių energijos išteklių, šilumos gamybos įrenginių įrengtosios šiluminės galios (MW)</w:t>
            </w:r>
          </w:p>
        </w:tc>
        <w:tc>
          <w:tcPr>
            <w:tcW w:w="2402"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lang w:eastAsia="lt-LT"/>
              </w:rPr>
            </w:pPr>
            <w:r>
              <w:rPr>
                <w:color w:val="000000"/>
                <w:sz w:val="20"/>
                <w:lang w:eastAsia="lt-LT"/>
              </w:rPr>
              <w:t>140 (2021)</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2798" w:type="dxa"/>
            <w:tcBorders>
              <w:top w:val="single" w:sz="4" w:space="0" w:color="auto"/>
              <w:left w:val="single" w:sz="4" w:space="0" w:color="auto"/>
              <w:bottom w:val="single" w:sz="4" w:space="0" w:color="auto"/>
              <w:right w:val="single" w:sz="4" w:space="0" w:color="auto"/>
            </w:tcBorders>
            <w:hideMark/>
          </w:tcPr>
          <w:p w:rsidR="000E7C4C" w:rsidRDefault="003C3EA6">
            <w:pPr>
              <w:ind w:firstLine="720"/>
            </w:pPr>
            <w:r>
              <w:rPr>
                <w:color w:val="000000"/>
                <w:sz w:val="20"/>
                <w:lang w:eastAsia="lt-LT"/>
              </w:rPr>
              <w:t>1.</w:t>
            </w:r>
            <w:r>
              <w:rPr>
                <w:color w:val="000000"/>
                <w:sz w:val="20"/>
                <w:lang w:eastAsia="lt-LT"/>
              </w:rPr>
              <w:tab/>
            </w:r>
            <w:r>
              <w:t xml:space="preserve"> </w:t>
            </w:r>
          </w:p>
          <w:p w:rsidR="000E7C4C" w:rsidRDefault="003C3EA6">
            <w:pPr>
              <w:ind w:firstLine="720"/>
              <w:rPr>
                <w:color w:val="000000"/>
                <w:sz w:val="20"/>
                <w:lang w:eastAsia="lt-LT"/>
              </w:rPr>
            </w:pPr>
            <w:r>
              <w:rPr>
                <w:color w:val="000000"/>
                <w:sz w:val="20"/>
                <w:lang w:eastAsia="lt-LT"/>
              </w:rPr>
              <w:t>užtikrinti 2010 m. lapkričio 24 d. Europos Parlamento ir Tarybos direktyvoje 2010/75/ES(3) dėl pramoninių išmetamų teršalų (taršos integruotos prevencijos ir kontrolės) direktyvoje  nustatytus aplinkosaugos reikalavimus kurą deginantiems įrenginiams</w:t>
            </w:r>
          </w:p>
        </w:tc>
        <w:tc>
          <w:tcPr>
            <w:tcW w:w="142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Aplinkosaugos reikalavimus atitinkančių kurą deginančių įrenginių (esamų pritaikymas ar pakeitimas naujais)1 dalis (procentais)</w:t>
            </w:r>
          </w:p>
        </w:tc>
        <w:tc>
          <w:tcPr>
            <w:tcW w:w="2402"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lang w:eastAsia="lt-LT"/>
              </w:rPr>
            </w:pPr>
            <w:r>
              <w:rPr>
                <w:color w:val="000000"/>
                <w:sz w:val="20"/>
                <w:lang w:eastAsia="lt-LT"/>
              </w:rPr>
              <w:t>100 (2021)</w:t>
            </w:r>
          </w:p>
        </w:tc>
      </w:tr>
      <w:tr w:rsidR="000E7C4C">
        <w:tc>
          <w:tcPr>
            <w:tcW w:w="1547"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Skatinti prekybą energijos išteklių biržoje</w:t>
            </w:r>
          </w:p>
        </w:tc>
        <w:tc>
          <w:tcPr>
            <w:tcW w:w="1492"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Diversifikuoti vietinių ir atsinaujinančių energijos išteklių gamybą</w:t>
            </w:r>
          </w:p>
        </w:tc>
        <w:tc>
          <w:tcPr>
            <w:tcW w:w="279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sukurti skaidrią, konkurencingą, mažai koncentruotą vietinių ir atsinaujinančių energijos išteklių gamintojų ir tiekėjų rinką – sudaryti galimybes prekiauti įvairių rūšių tvariais vietiniais ir atsinaujinančiais energijos ištekliais (kelmai, durpės, </w:t>
            </w:r>
            <w:proofErr w:type="spellStart"/>
            <w:r>
              <w:rPr>
                <w:color w:val="000000"/>
                <w:sz w:val="20"/>
                <w:lang w:eastAsia="lt-LT"/>
              </w:rPr>
              <w:t>ligininas</w:t>
            </w:r>
            <w:proofErr w:type="spellEnd"/>
            <w:r>
              <w:rPr>
                <w:color w:val="000000"/>
                <w:sz w:val="20"/>
                <w:lang w:eastAsia="lt-LT"/>
              </w:rPr>
              <w:t xml:space="preserve"> ir kt.) ir užtikrinti optimalią biokuro kainą šilumos gamintojams</w:t>
            </w:r>
          </w:p>
        </w:tc>
        <w:tc>
          <w:tcPr>
            <w:tcW w:w="142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Kuro rūšys, kuriomis išplėsta prekyba (vienetais)</w:t>
            </w:r>
          </w:p>
        </w:tc>
        <w:tc>
          <w:tcPr>
            <w:tcW w:w="2402" w:type="dxa"/>
            <w:tcBorders>
              <w:top w:val="single" w:sz="4" w:space="0" w:color="auto"/>
              <w:left w:val="single" w:sz="4" w:space="0" w:color="auto"/>
              <w:bottom w:val="single" w:sz="4" w:space="0" w:color="auto"/>
              <w:right w:val="single" w:sz="4" w:space="0" w:color="auto"/>
            </w:tcBorders>
            <w:hideMark/>
          </w:tcPr>
          <w:p w:rsidR="000E7C4C" w:rsidRDefault="003C3EA6">
            <w:pPr>
              <w:ind w:firstLine="720"/>
              <w:jc w:val="center"/>
              <w:rPr>
                <w:color w:val="000000"/>
                <w:sz w:val="20"/>
                <w:lang w:eastAsia="lt-LT"/>
              </w:rPr>
            </w:pPr>
            <w:r>
              <w:rPr>
                <w:color w:val="000000"/>
                <w:sz w:val="20"/>
                <w:lang w:eastAsia="lt-LT"/>
              </w:rPr>
              <w:t>2 (2021)</w:t>
            </w:r>
          </w:p>
        </w:tc>
      </w:tr>
    </w:tbl>
    <w:p w:rsidR="000E7C4C" w:rsidRDefault="003C3EA6">
      <w:pPr>
        <w:jc w:val="center"/>
        <w:rPr>
          <w:color w:val="000000"/>
          <w:sz w:val="20"/>
        </w:rPr>
      </w:pPr>
      <w:r>
        <w:rPr>
          <w:sz w:val="20"/>
        </w:rPr>
        <w:t>(Šaltinis: Nacionalinė šilumos ūkio plėtros 2015–2021 metų programa)</w:t>
      </w:r>
    </w:p>
    <w:p w:rsidR="000E7C4C" w:rsidRDefault="003C3EA6">
      <w:pPr>
        <w:spacing w:line="360" w:lineRule="atLeast"/>
        <w:ind w:left="720"/>
        <w:jc w:val="both"/>
        <w:rPr>
          <w:color w:val="000000"/>
          <w:szCs w:val="21"/>
        </w:rPr>
      </w:pPr>
    </w:p>
    <w:p w:rsidR="000E7C4C" w:rsidRDefault="003C3EA6">
      <w:pPr>
        <w:ind w:firstLine="567"/>
        <w:jc w:val="both"/>
        <w:rPr>
          <w:color w:val="000000"/>
          <w:szCs w:val="21"/>
        </w:rPr>
      </w:pPr>
      <w:r>
        <w:rPr>
          <w:color w:val="000000"/>
          <w:szCs w:val="21"/>
        </w:rPr>
        <w:t>17</w:t>
      </w:r>
      <w:r>
        <w:rPr>
          <w:color w:val="000000"/>
          <w:szCs w:val="21"/>
        </w:rPr>
        <w:t xml:space="preserve">. Kitas sektorius, galintis reikšmingai prisidėti prie oro taršos mažinimo, yra transporto sektorius. </w:t>
      </w:r>
      <w:r>
        <w:rPr>
          <w:b/>
          <w:color w:val="000000"/>
          <w:szCs w:val="24"/>
          <w:lang w:eastAsia="lt-LT"/>
        </w:rPr>
        <w:t>Nacionalinėje susisiekimo plėtros 2014–2022 metų programoje</w:t>
      </w:r>
      <w:r>
        <w:rPr>
          <w:color w:val="000000"/>
          <w:szCs w:val="24"/>
          <w:lang w:eastAsia="lt-LT"/>
        </w:rPr>
        <w:t xml:space="preserve">, patvirtintoje Vyriausybės 2013 m. gruodžio 18 d. nutarimu Nr. 1253 „Dėl Nacionalinės susisiekimo plėtros 2014–2022 metų programos patvirtinimo“ (toliau – Nacionalinė susisiekimo plėtros 2014–2022 metų programa), nurodoma (žr. 8 lent.), kad atsižvelgiant į tarptautiniuose ir ES dokumentuose Lietuvai nustatytus </w:t>
      </w:r>
      <w:r>
        <w:rPr>
          <w:color w:val="000000"/>
          <w:szCs w:val="21"/>
        </w:rPr>
        <w:t>šiltnamio efektą sukeliančių dujų kiekio ir oro taršos mažinimo tikslus, prioritetas teikiamas tokioms priemonėms, kaip:</w:t>
      </w:r>
    </w:p>
    <w:p w:rsidR="000E7C4C" w:rsidRDefault="003C3EA6">
      <w:pPr>
        <w:tabs>
          <w:tab w:val="left" w:pos="851"/>
        </w:tabs>
        <w:ind w:firstLine="567"/>
        <w:jc w:val="both"/>
        <w:rPr>
          <w:color w:val="000000"/>
          <w:szCs w:val="21"/>
        </w:rPr>
      </w:pPr>
      <w:r>
        <w:rPr>
          <w:color w:val="000000"/>
          <w:szCs w:val="21"/>
        </w:rPr>
        <w:t>17.1</w:t>
      </w:r>
      <w:r>
        <w:rPr>
          <w:color w:val="000000"/>
          <w:szCs w:val="21"/>
        </w:rPr>
        <w:t>. investicijos į mažai taršias transporto technologijas;</w:t>
      </w:r>
    </w:p>
    <w:p w:rsidR="000E7C4C" w:rsidRDefault="003C3EA6">
      <w:pPr>
        <w:tabs>
          <w:tab w:val="left" w:pos="851"/>
        </w:tabs>
        <w:ind w:firstLine="567"/>
        <w:jc w:val="both"/>
        <w:rPr>
          <w:color w:val="000000"/>
          <w:szCs w:val="21"/>
        </w:rPr>
      </w:pPr>
      <w:r>
        <w:rPr>
          <w:color w:val="000000"/>
          <w:szCs w:val="21"/>
        </w:rPr>
        <w:t>17.2</w:t>
      </w:r>
      <w:r>
        <w:rPr>
          <w:color w:val="000000"/>
          <w:szCs w:val="21"/>
        </w:rPr>
        <w:t>. energijos efektyvumo didinimas;</w:t>
      </w:r>
    </w:p>
    <w:p w:rsidR="000E7C4C" w:rsidRDefault="003C3EA6">
      <w:pPr>
        <w:tabs>
          <w:tab w:val="left" w:pos="851"/>
        </w:tabs>
        <w:ind w:firstLine="567"/>
        <w:jc w:val="both"/>
        <w:rPr>
          <w:color w:val="000000"/>
          <w:szCs w:val="21"/>
        </w:rPr>
      </w:pPr>
      <w:r>
        <w:rPr>
          <w:color w:val="000000"/>
          <w:szCs w:val="21"/>
        </w:rPr>
        <w:t>17.3</w:t>
      </w:r>
      <w:r>
        <w:rPr>
          <w:color w:val="000000"/>
          <w:szCs w:val="21"/>
        </w:rPr>
        <w:t>. atsinaujinančių energijos išteklių panaudojimas;</w:t>
      </w:r>
    </w:p>
    <w:p w:rsidR="000E7C4C" w:rsidRDefault="003C3EA6">
      <w:pPr>
        <w:tabs>
          <w:tab w:val="left" w:pos="851"/>
        </w:tabs>
        <w:ind w:firstLine="567"/>
        <w:jc w:val="both"/>
        <w:rPr>
          <w:color w:val="000000"/>
          <w:szCs w:val="21"/>
        </w:rPr>
      </w:pPr>
      <w:r>
        <w:rPr>
          <w:color w:val="000000"/>
          <w:szCs w:val="21"/>
        </w:rPr>
        <w:t>17.4</w:t>
      </w:r>
      <w:r>
        <w:rPr>
          <w:color w:val="000000"/>
          <w:szCs w:val="21"/>
        </w:rPr>
        <w:t>. subsidijų ir mokestinių lengvatų iškastiniam kurui nuoseklus atsisakymas;</w:t>
      </w:r>
    </w:p>
    <w:p w:rsidR="000E7C4C" w:rsidRDefault="003C3EA6">
      <w:pPr>
        <w:tabs>
          <w:tab w:val="left" w:pos="851"/>
        </w:tabs>
        <w:ind w:firstLine="567"/>
        <w:jc w:val="both"/>
        <w:rPr>
          <w:color w:val="000000"/>
          <w:szCs w:val="21"/>
        </w:rPr>
      </w:pPr>
      <w:r>
        <w:rPr>
          <w:color w:val="000000"/>
          <w:szCs w:val="21"/>
        </w:rPr>
        <w:t>17.5</w:t>
      </w:r>
      <w:r>
        <w:rPr>
          <w:color w:val="000000"/>
          <w:szCs w:val="21"/>
        </w:rPr>
        <w:t>. daug šiltnamio efektą sukeliančių dujų ir oro teršalų išskiriančios infrastruktūros finansavimo nuoseklus atsisakymas.</w:t>
      </w:r>
    </w:p>
    <w:p w:rsidR="000E7C4C" w:rsidRDefault="000E7C4C">
      <w:pPr>
        <w:spacing w:line="360" w:lineRule="atLeast"/>
        <w:ind w:left="720"/>
        <w:jc w:val="both"/>
        <w:rPr>
          <w:color w:val="000000"/>
          <w:szCs w:val="21"/>
        </w:rPr>
      </w:pPr>
    </w:p>
    <w:p w:rsidR="000E7C4C" w:rsidRDefault="003C3EA6">
      <w:pPr>
        <w:jc w:val="both"/>
        <w:rPr>
          <w:color w:val="000000"/>
          <w:szCs w:val="24"/>
        </w:rPr>
      </w:pPr>
      <w:r>
        <w:rPr>
          <w:color w:val="000000"/>
          <w:szCs w:val="24"/>
        </w:rPr>
        <w:t>8 lentelė. Nacionalinėje susisiekimo plėtros 2014–2022 metų programoje išvardinti su oro taršos mažinimu susiję tikslai ir uždaviniai, vertinimo kriterijai ir jų reikšmės</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438"/>
        <w:gridCol w:w="3260"/>
        <w:gridCol w:w="1985"/>
        <w:gridCol w:w="1984"/>
      </w:tblGrid>
      <w:tr w:rsidR="000E7C4C">
        <w:trPr>
          <w:tblHeader/>
        </w:trPr>
        <w:tc>
          <w:tcPr>
            <w:tcW w:w="2438"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color w:val="FFFFFF"/>
                <w:sz w:val="20"/>
              </w:rPr>
              <w:t>Tikslai (ilgalaikiai, trumpalaikiai)</w:t>
            </w:r>
          </w:p>
        </w:tc>
        <w:tc>
          <w:tcPr>
            <w:tcW w:w="3260"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Uždaviniai</w:t>
            </w:r>
          </w:p>
        </w:tc>
        <w:tc>
          <w:tcPr>
            <w:tcW w:w="1985"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Vertinimo kriterijai</w:t>
            </w:r>
          </w:p>
        </w:tc>
        <w:tc>
          <w:tcPr>
            <w:tcW w:w="1984"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bCs/>
                <w:color w:val="FFFFFF"/>
                <w:sz w:val="20"/>
                <w:lang w:eastAsia="en-GB"/>
              </w:rPr>
              <w:t>Vertinimo kriterijų reikšmės 2022 m.</w:t>
            </w:r>
          </w:p>
        </w:tc>
      </w:tr>
      <w:tr w:rsidR="000E7C4C">
        <w:tc>
          <w:tcPr>
            <w:tcW w:w="2438"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 xml:space="preserve">Didinti krovinių ir keleivių </w:t>
            </w:r>
            <w:proofErr w:type="spellStart"/>
            <w:r>
              <w:rPr>
                <w:color w:val="000000"/>
                <w:sz w:val="20"/>
                <w:lang w:eastAsia="lt-LT"/>
              </w:rPr>
              <w:t>judumą</w:t>
            </w:r>
            <w:proofErr w:type="spellEnd"/>
            <w:r>
              <w:rPr>
                <w:color w:val="000000"/>
                <w:sz w:val="20"/>
                <w:lang w:eastAsia="lt-LT"/>
              </w:rPr>
              <w:t xml:space="preserve">, gerinti ES </w:t>
            </w:r>
            <w:proofErr w:type="spellStart"/>
            <w:r>
              <w:rPr>
                <w:color w:val="000000"/>
                <w:sz w:val="20"/>
                <w:lang w:eastAsia="lt-LT"/>
              </w:rPr>
              <w:t>transeuropinio</w:t>
            </w:r>
            <w:proofErr w:type="spellEnd"/>
            <w:r>
              <w:rPr>
                <w:color w:val="000000"/>
                <w:sz w:val="20"/>
                <w:lang w:eastAsia="lt-LT"/>
              </w:rPr>
              <w:t xml:space="preserve"> transporto tinklo pagrindinio tinklo koridorius ir jų jungtis su valstybinės ir vietinės reikšmės transporto tinklu ir plėsti skirtingų transporto rūšių sąveikos efektyvumą</w:t>
            </w:r>
          </w:p>
        </w:tc>
        <w:tc>
          <w:tcPr>
            <w:tcW w:w="326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sz w:val="20"/>
                <w:lang w:eastAsia="lt-LT"/>
              </w:rPr>
            </w:pPr>
            <w:r>
              <w:rPr>
                <w:sz w:val="20"/>
                <w:lang w:eastAsia="lt-LT"/>
              </w:rPr>
              <w:t>Įrengti naują, atnaujinti ir tobulinti esamą tarptautinės ir vietinės reikšmės geležinkelių infrastruktūrą (įskaitant naujų projekto „</w:t>
            </w:r>
            <w:proofErr w:type="spellStart"/>
            <w:r>
              <w:rPr>
                <w:sz w:val="20"/>
                <w:lang w:eastAsia="lt-LT"/>
              </w:rPr>
              <w:t>Rail</w:t>
            </w:r>
            <w:proofErr w:type="spellEnd"/>
            <w:r>
              <w:rPr>
                <w:sz w:val="20"/>
                <w:lang w:eastAsia="lt-LT"/>
              </w:rPr>
              <w:t xml:space="preserve"> </w:t>
            </w:r>
            <w:proofErr w:type="spellStart"/>
            <w:r>
              <w:rPr>
                <w:sz w:val="20"/>
                <w:lang w:eastAsia="lt-LT"/>
              </w:rPr>
              <w:t>Baltica</w:t>
            </w:r>
            <w:proofErr w:type="spellEnd"/>
            <w:r>
              <w:rPr>
                <w:sz w:val="20"/>
                <w:lang w:eastAsia="lt-LT"/>
              </w:rPr>
              <w:t>“ geležinkelio kelių ir antrųjų geležinkelio kelių bei aplinkkelių tiesimą), įgyvendinti naujus kontrolės, valdymo ir signalizacijos, energijos posistemių projektus (įskaitant geležinkelių linijų elektrifikavimą)</w:t>
            </w:r>
          </w:p>
        </w:tc>
        <w:tc>
          <w:tcPr>
            <w:tcW w:w="198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sz w:val="20"/>
                <w:lang w:eastAsia="lt-LT"/>
              </w:rPr>
            </w:pPr>
            <w:r>
              <w:rPr>
                <w:sz w:val="20"/>
                <w:lang w:eastAsia="lt-LT"/>
              </w:rPr>
              <w:t>elektrifikuotų geležinkelio kelių ilgis, kilometrais</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sz w:val="20"/>
                <w:lang w:eastAsia="lt-LT"/>
              </w:rPr>
            </w:pPr>
            <w:r>
              <w:rPr>
                <w:sz w:val="20"/>
                <w:lang w:eastAsia="lt-LT"/>
              </w:rPr>
              <w:t>314</w:t>
            </w:r>
          </w:p>
        </w:tc>
      </w:tr>
      <w:tr w:rsidR="000E7C4C">
        <w:tc>
          <w:tcPr>
            <w:tcW w:w="2438"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Skatinti vietinio (miestų ir priemiesčių) transporto sistemos darnumą</w:t>
            </w:r>
          </w:p>
        </w:tc>
        <w:tc>
          <w:tcPr>
            <w:tcW w:w="326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sz w:val="20"/>
                <w:lang w:eastAsia="lt-LT"/>
              </w:rPr>
            </w:pPr>
            <w:r>
              <w:rPr>
                <w:sz w:val="20"/>
                <w:lang w:eastAsia="lt-LT"/>
              </w:rPr>
              <w:t xml:space="preserve">Skatinti miestus parengti ir įgyvendinti darnaus </w:t>
            </w:r>
            <w:proofErr w:type="spellStart"/>
            <w:r>
              <w:rPr>
                <w:sz w:val="20"/>
                <w:lang w:eastAsia="lt-LT"/>
              </w:rPr>
              <w:t>judumo</w:t>
            </w:r>
            <w:proofErr w:type="spellEnd"/>
            <w:r>
              <w:rPr>
                <w:sz w:val="20"/>
                <w:lang w:eastAsia="lt-LT"/>
              </w:rPr>
              <w:t xml:space="preserve"> mieste planus</w:t>
            </w:r>
          </w:p>
        </w:tc>
        <w:tc>
          <w:tcPr>
            <w:tcW w:w="198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sz w:val="20"/>
                <w:lang w:eastAsia="lt-LT"/>
              </w:rPr>
            </w:pPr>
            <w:r>
              <w:rPr>
                <w:sz w:val="20"/>
                <w:lang w:eastAsia="lt-LT"/>
              </w:rPr>
              <w:t xml:space="preserve">parengtų darnaus </w:t>
            </w:r>
            <w:proofErr w:type="spellStart"/>
            <w:r>
              <w:rPr>
                <w:sz w:val="20"/>
                <w:lang w:eastAsia="lt-LT"/>
              </w:rPr>
              <w:t>judumo</w:t>
            </w:r>
            <w:proofErr w:type="spellEnd"/>
            <w:r>
              <w:rPr>
                <w:sz w:val="20"/>
                <w:lang w:eastAsia="lt-LT"/>
              </w:rPr>
              <w:t xml:space="preserve"> planų skaičius</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sz w:val="20"/>
                <w:lang w:eastAsia="lt-LT"/>
              </w:rPr>
            </w:pPr>
            <w:r>
              <w:rPr>
                <w:sz w:val="20"/>
                <w:lang w:eastAsia="lt-LT"/>
              </w:rPr>
              <w:t>5</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26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sz w:val="20"/>
                <w:lang w:eastAsia="lt-LT"/>
              </w:rPr>
            </w:pPr>
            <w:r>
              <w:rPr>
                <w:sz w:val="20"/>
                <w:lang w:eastAsia="lt-LT"/>
              </w:rPr>
              <w:t>Skatinti gyventojus naudotis viešuoju transportu ir didinti viešojo transporto patrauklumą atnaujinant transporto priemones, gerinant viešojo transporto infrastruktūrą, diegiant universalaus dizaino sprendimus, didinti prieinamumą, diegti viešojo transporto pirmumo sistemas ir plačiau taikyti informacinių technologijų sprendimus (ITS)</w:t>
            </w:r>
          </w:p>
        </w:tc>
        <w:tc>
          <w:tcPr>
            <w:tcW w:w="198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sz w:val="20"/>
                <w:lang w:eastAsia="lt-LT"/>
              </w:rPr>
            </w:pPr>
            <w:r>
              <w:rPr>
                <w:sz w:val="20"/>
                <w:lang w:eastAsia="lt-LT"/>
              </w:rPr>
              <w:t>įsigytos viešojo transporto priemonės, vienetais</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sz w:val="20"/>
                <w:lang w:eastAsia="lt-LT"/>
              </w:rPr>
            </w:pPr>
            <w:r>
              <w:rPr>
                <w:sz w:val="20"/>
                <w:lang w:eastAsia="lt-LT"/>
              </w:rPr>
              <w:t>60</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26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sz w:val="20"/>
                <w:lang w:eastAsia="lt-LT"/>
              </w:rPr>
            </w:pPr>
            <w:r>
              <w:rPr>
                <w:sz w:val="20"/>
                <w:lang w:eastAsia="lt-LT"/>
              </w:rPr>
              <w:t>Mažinti neigiamą tranzitinių srautų poveikį miestų transporto sistemoms, plėtoti ir modernizuoti miestų ir miestelių aplinkkelius</w:t>
            </w:r>
          </w:p>
        </w:tc>
        <w:tc>
          <w:tcPr>
            <w:tcW w:w="198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sz w:val="20"/>
                <w:lang w:eastAsia="lt-LT"/>
              </w:rPr>
            </w:pPr>
            <w:r>
              <w:rPr>
                <w:sz w:val="20"/>
                <w:lang w:eastAsia="lt-LT"/>
              </w:rPr>
              <w:t>nutiesti valstybinės reikšmės keliuose aplinkkeliai, vienetais</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sz w:val="20"/>
                <w:lang w:eastAsia="lt-LT"/>
              </w:rPr>
            </w:pPr>
            <w:r>
              <w:rPr>
                <w:sz w:val="20"/>
                <w:lang w:eastAsia="lt-LT"/>
              </w:rPr>
              <w:t>12</w:t>
            </w:r>
          </w:p>
        </w:tc>
      </w:tr>
      <w:tr w:rsidR="000E7C4C">
        <w:tc>
          <w:tcPr>
            <w:tcW w:w="2438"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Padidinti energijos vartojimo transporte efektyvumą ir sumažinti neigiamą transporto poveikį aplinkai</w:t>
            </w:r>
          </w:p>
        </w:tc>
        <w:tc>
          <w:tcPr>
            <w:tcW w:w="326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sz w:val="20"/>
                <w:lang w:eastAsia="lt-LT"/>
              </w:rPr>
            </w:pPr>
            <w:r>
              <w:rPr>
                <w:sz w:val="20"/>
                <w:lang w:eastAsia="lt-LT"/>
              </w:rPr>
              <w:t>Ekonominėmis ir administracinėmis priemonėmis skatinti efektyvesnį energijos išteklių ir energijos vartojimą transporto sektoriuje</w:t>
            </w:r>
          </w:p>
        </w:tc>
        <w:tc>
          <w:tcPr>
            <w:tcW w:w="198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sz w:val="20"/>
                <w:lang w:eastAsia="lt-LT"/>
              </w:rPr>
            </w:pPr>
            <w:r>
              <w:rPr>
                <w:sz w:val="20"/>
                <w:lang w:eastAsia="lt-LT"/>
              </w:rPr>
              <w:t>įdiegta komercinio transporto elektroninė mokesčių sistema, atsižvelgiant į nuvažiuotą atstumą, vienetais</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sz w:val="20"/>
                <w:lang w:eastAsia="lt-LT"/>
              </w:rPr>
            </w:pPr>
            <w:r>
              <w:rPr>
                <w:sz w:val="20"/>
                <w:lang w:eastAsia="lt-LT"/>
              </w:rPr>
              <w:t>1</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Didinti energijos vartojimo efektyvumą – skatinti alternatyvių energijos šaltinių (degalų) naudojimą transporte, sukurti tam reikalingą infrastruktūrą ir atnaujinti viešojo transporto parką</w:t>
            </w:r>
          </w:p>
        </w:tc>
        <w:tc>
          <w:tcPr>
            <w:tcW w:w="198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sz w:val="20"/>
                <w:lang w:eastAsia="lt-LT"/>
              </w:rPr>
            </w:pPr>
            <w:r>
              <w:rPr>
                <w:sz w:val="20"/>
                <w:lang w:eastAsia="lt-LT"/>
              </w:rPr>
              <w:t>naujos kartos dyzelinių traukinių skaičius, vienetais</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sz w:val="20"/>
                <w:lang w:eastAsia="lt-LT"/>
              </w:rPr>
            </w:pPr>
            <w:r>
              <w:rPr>
                <w:sz w:val="20"/>
                <w:lang w:eastAsia="lt-LT"/>
              </w:rPr>
              <w:t>9</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198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naujos kartos elektrinių traukinių skaičius, vienetais</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4</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198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 xml:space="preserve">viešųjų elektromobilių įkrovimo prieigų skaičius (didelės galios šalia automobilių kelių </w:t>
            </w:r>
            <w:proofErr w:type="spellStart"/>
            <w:r>
              <w:rPr>
                <w:color w:val="000000"/>
                <w:sz w:val="20"/>
                <w:lang w:eastAsia="lt-LT"/>
              </w:rPr>
              <w:t>transeuropinio</w:t>
            </w:r>
            <w:proofErr w:type="spellEnd"/>
            <w:r>
              <w:rPr>
                <w:color w:val="000000"/>
                <w:sz w:val="20"/>
                <w:lang w:eastAsia="lt-LT"/>
              </w:rPr>
              <w:t xml:space="preserve"> transporto tinkle (TEN-T), vienetais</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28</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198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viešųjų elektromobilių įkrovimo prieigų skaičius (miestų ir priemiesčių aglomeracijose, kuriose yra daugiau kaip 25 tūkst. gyventojų), vienetais</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100</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198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ne viešųjų elektromobilių įkrovimo prieigų įrengimo skatinimo priemonių skaičius (mokesčių lengvata elektros energijai), vienetais</w:t>
            </w:r>
          </w:p>
        </w:tc>
        <w:tc>
          <w:tcPr>
            <w:tcW w:w="198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1</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3260"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Mažinti transporto sistemos neigiamą poveikį aplinkai ir užtikrinti atitiktį „</w:t>
            </w:r>
            <w:proofErr w:type="spellStart"/>
            <w:r>
              <w:rPr>
                <w:color w:val="000000"/>
                <w:sz w:val="20"/>
                <w:lang w:eastAsia="lt-LT"/>
              </w:rPr>
              <w:t>Natura</w:t>
            </w:r>
            <w:proofErr w:type="spellEnd"/>
            <w:r>
              <w:rPr>
                <w:color w:val="000000"/>
                <w:sz w:val="20"/>
                <w:lang w:eastAsia="lt-LT"/>
              </w:rPr>
              <w:t xml:space="preserve"> 2000“ tinklo ir kitų saugomų teritorijų ir rūšių apsaugos režimo reikalavimams</w:t>
            </w:r>
          </w:p>
        </w:tc>
        <w:tc>
          <w:tcPr>
            <w:tcW w:w="198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 xml:space="preserve">šalia valstybinės reikšmės kelių įrengti paviršinių nuotekų valymo įrenginiai – kietųjų dalelių </w:t>
            </w:r>
            <w:proofErr w:type="spellStart"/>
            <w:r>
              <w:rPr>
                <w:color w:val="000000"/>
                <w:sz w:val="20"/>
                <w:lang w:eastAsia="lt-LT"/>
              </w:rPr>
              <w:t>sėsdintuvai</w:t>
            </w:r>
            <w:proofErr w:type="spellEnd"/>
            <w:r>
              <w:rPr>
                <w:color w:val="000000"/>
                <w:sz w:val="20"/>
                <w:lang w:eastAsia="lt-LT"/>
              </w:rPr>
              <w:t xml:space="preserve">, </w:t>
            </w:r>
            <w:proofErr w:type="spellStart"/>
            <w:r>
              <w:rPr>
                <w:color w:val="000000"/>
                <w:sz w:val="20"/>
                <w:lang w:eastAsia="lt-LT"/>
              </w:rPr>
              <w:t>smėliagaudės</w:t>
            </w:r>
            <w:proofErr w:type="spellEnd"/>
            <w:r>
              <w:rPr>
                <w:color w:val="000000"/>
                <w:sz w:val="20"/>
                <w:lang w:eastAsia="lt-LT"/>
              </w:rPr>
              <w:t>, vienetais</w:t>
            </w:r>
          </w:p>
        </w:tc>
        <w:tc>
          <w:tcPr>
            <w:tcW w:w="198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bl>
    <w:p w:rsidR="000E7C4C" w:rsidRDefault="003C3EA6">
      <w:pPr>
        <w:spacing w:line="360" w:lineRule="atLeast"/>
        <w:jc w:val="center"/>
        <w:rPr>
          <w:color w:val="000000"/>
          <w:sz w:val="20"/>
        </w:rPr>
      </w:pPr>
      <w:r>
        <w:rPr>
          <w:sz w:val="20"/>
        </w:rPr>
        <w:t>(Šaltinis: Nacionalinė susisiekimo plėtros 2014–2022 metų programa)</w:t>
      </w:r>
    </w:p>
    <w:p w:rsidR="000E7C4C" w:rsidRDefault="003C3EA6">
      <w:pPr>
        <w:spacing w:line="360" w:lineRule="atLeast"/>
        <w:jc w:val="both"/>
        <w:rPr>
          <w:color w:val="000000"/>
          <w:szCs w:val="21"/>
        </w:rPr>
      </w:pPr>
    </w:p>
    <w:p w:rsidR="000E7C4C" w:rsidRDefault="003C3EA6">
      <w:pPr>
        <w:ind w:firstLine="567"/>
        <w:jc w:val="both"/>
        <w:rPr>
          <w:color w:val="000000"/>
          <w:szCs w:val="21"/>
        </w:rPr>
      </w:pPr>
      <w:r>
        <w:rPr>
          <w:color w:val="000000"/>
          <w:szCs w:val="24"/>
          <w:lang w:eastAsia="lt-LT"/>
        </w:rPr>
        <w:t>18</w:t>
      </w:r>
      <w:r>
        <w:rPr>
          <w:color w:val="000000"/>
          <w:szCs w:val="24"/>
          <w:lang w:eastAsia="lt-LT"/>
        </w:rPr>
        <w:t xml:space="preserve">. Nacionalinėje susisiekimo plėtros 2014–2022 metų programoje numatyta ne tik nacionaliniu mastu įgyvendintinoms priemonėms, bet ir </w:t>
      </w:r>
      <w:r>
        <w:rPr>
          <w:color w:val="000000"/>
          <w:szCs w:val="21"/>
        </w:rPr>
        <w:t>savivaldybės lygmeniu:</w:t>
      </w:r>
    </w:p>
    <w:p w:rsidR="000E7C4C" w:rsidRDefault="003C3EA6">
      <w:pPr>
        <w:tabs>
          <w:tab w:val="left" w:pos="851"/>
        </w:tabs>
        <w:ind w:left="567" w:firstLine="720"/>
        <w:jc w:val="both"/>
        <w:rPr>
          <w:color w:val="000000"/>
          <w:szCs w:val="21"/>
        </w:rPr>
      </w:pPr>
      <w:r>
        <w:rPr>
          <w:color w:val="000000"/>
          <w:szCs w:val="21"/>
        </w:rPr>
        <w:t>18.1</w:t>
      </w:r>
      <w:r>
        <w:rPr>
          <w:color w:val="000000"/>
          <w:szCs w:val="21"/>
        </w:rPr>
        <w:t>. užtikrinti kombinuoto viešojo ir privataus transporto sąveikų sistemų atsiradimą;</w:t>
      </w:r>
    </w:p>
    <w:p w:rsidR="000E7C4C" w:rsidRDefault="003C3EA6">
      <w:pPr>
        <w:tabs>
          <w:tab w:val="left" w:pos="851"/>
        </w:tabs>
        <w:ind w:left="567" w:firstLine="720"/>
        <w:jc w:val="both"/>
        <w:rPr>
          <w:color w:val="000000"/>
          <w:szCs w:val="21"/>
        </w:rPr>
      </w:pPr>
      <w:r>
        <w:rPr>
          <w:color w:val="000000"/>
          <w:szCs w:val="21"/>
        </w:rPr>
        <w:t>18.2</w:t>
      </w:r>
      <w:r>
        <w:rPr>
          <w:color w:val="000000"/>
          <w:szCs w:val="21"/>
        </w:rPr>
        <w:t>. skatinti visą keleivinį transportą apimančios informacinės sistemos sukūrimą;</w:t>
      </w:r>
    </w:p>
    <w:p w:rsidR="000E7C4C" w:rsidRDefault="003C3EA6">
      <w:pPr>
        <w:tabs>
          <w:tab w:val="left" w:pos="851"/>
        </w:tabs>
        <w:ind w:left="567" w:firstLine="720"/>
        <w:jc w:val="both"/>
        <w:rPr>
          <w:color w:val="000000"/>
          <w:szCs w:val="21"/>
        </w:rPr>
      </w:pPr>
      <w:r>
        <w:rPr>
          <w:color w:val="000000"/>
          <w:szCs w:val="21"/>
        </w:rPr>
        <w:t>18.3</w:t>
      </w:r>
      <w:r>
        <w:rPr>
          <w:color w:val="000000"/>
          <w:szCs w:val="21"/>
        </w:rPr>
        <w:t xml:space="preserve">. plėsti dviračių ir pėsčiųjų tinklo infrastruktūrą, formuoti darnaus </w:t>
      </w:r>
      <w:proofErr w:type="spellStart"/>
      <w:r>
        <w:rPr>
          <w:color w:val="000000"/>
          <w:szCs w:val="21"/>
        </w:rPr>
        <w:t>judumo</w:t>
      </w:r>
      <w:proofErr w:type="spellEnd"/>
      <w:r>
        <w:rPr>
          <w:color w:val="000000"/>
          <w:szCs w:val="21"/>
        </w:rPr>
        <w:t xml:space="preserve"> kultūrą;</w:t>
      </w:r>
    </w:p>
    <w:p w:rsidR="000E7C4C" w:rsidRDefault="003C3EA6">
      <w:pPr>
        <w:tabs>
          <w:tab w:val="left" w:pos="851"/>
        </w:tabs>
        <w:ind w:left="567" w:firstLine="720"/>
        <w:jc w:val="both"/>
        <w:rPr>
          <w:color w:val="000000"/>
          <w:szCs w:val="21"/>
        </w:rPr>
      </w:pPr>
      <w:r>
        <w:rPr>
          <w:color w:val="000000"/>
          <w:szCs w:val="21"/>
        </w:rPr>
        <w:t>18.4</w:t>
      </w:r>
      <w:r>
        <w:rPr>
          <w:color w:val="000000"/>
          <w:szCs w:val="21"/>
        </w:rPr>
        <w:t>. didinti transporto objektų apšvietimo įrenginių, naudojančių AEI, skaičių;</w:t>
      </w:r>
    </w:p>
    <w:p w:rsidR="000E7C4C" w:rsidRDefault="003C3EA6">
      <w:pPr>
        <w:tabs>
          <w:tab w:val="left" w:pos="851"/>
        </w:tabs>
        <w:ind w:left="567" w:firstLine="720"/>
        <w:jc w:val="both"/>
        <w:rPr>
          <w:color w:val="000000"/>
          <w:szCs w:val="21"/>
        </w:rPr>
      </w:pPr>
      <w:r>
        <w:rPr>
          <w:color w:val="000000"/>
          <w:szCs w:val="21"/>
        </w:rPr>
        <w:t>18.5</w:t>
      </w:r>
      <w:r>
        <w:rPr>
          <w:color w:val="000000"/>
          <w:szCs w:val="21"/>
        </w:rPr>
        <w:t>. plėsti alternatyviųjų degalų ir technologijų naudojimą.</w:t>
      </w:r>
    </w:p>
    <w:p w:rsidR="000E7C4C" w:rsidRDefault="003C3EA6">
      <w:pPr>
        <w:tabs>
          <w:tab w:val="left" w:pos="5670"/>
        </w:tabs>
        <w:ind w:firstLine="567"/>
        <w:jc w:val="both"/>
        <w:rPr>
          <w:color w:val="000000"/>
          <w:szCs w:val="24"/>
          <w:lang w:eastAsia="lt-LT"/>
        </w:rPr>
      </w:pPr>
      <w:r>
        <w:rPr>
          <w:color w:val="000000"/>
          <w:szCs w:val="21"/>
        </w:rPr>
        <w:t>19</w:t>
      </w:r>
      <w:r>
        <w:rPr>
          <w:color w:val="000000"/>
          <w:szCs w:val="21"/>
        </w:rPr>
        <w:t xml:space="preserve">. Žemės ūkio sektorius (ypač gyvulininkystės sritis) prisideda prie aplinkos oro taršos, ypač amoniaku, todėl taršos mažinimo priemonių plėtojimas šiame sektoriuje yra labai svarbus bendriems oro taršos mažinimo tikslams pasiekti. Vienas iš </w:t>
      </w:r>
      <w:r>
        <w:rPr>
          <w:color w:val="000000"/>
          <w:szCs w:val="24"/>
          <w:lang w:eastAsia="lt-LT"/>
        </w:rPr>
        <w:t xml:space="preserve">Nacionalinėje darnaus vystymosi strategijoje išvardintų trumpalaikių žemės ūkio sektoriui iškeltų uždavinių yra „mažinti amoniako patekimą į aplinką“, kuris pasiekiamas ekonominėmis ir teisinėmis priemonėmis skatinant statyti ES reikalavimus atitinkančias mėšlides, srutų ir nuotekų kauptuvus, naudoti šiuolaikiškas organinių trąšų įterpimo ir skleidimo priemones. </w:t>
      </w:r>
      <w:r>
        <w:rPr>
          <w:b/>
          <w:color w:val="000000"/>
          <w:szCs w:val="24"/>
          <w:lang w:eastAsia="lt-LT"/>
        </w:rPr>
        <w:t>Lietuvos kaimo plėtros 2014–2020 m. programoje</w:t>
      </w:r>
      <w:r>
        <w:rPr>
          <w:color w:val="000000"/>
          <w:szCs w:val="24"/>
          <w:lang w:eastAsia="lt-LT"/>
        </w:rPr>
        <w:t>, patvirtintoje Europos Komisijos 2015 m. vasario 13 d. sprendimu Nr. C(2015)842 (toliau – Lietuvos kaimo plėtros 2014–2020 m. programa), nurodoma, kad siekiant mažinti amoniako patekimą į orą, būtina tobulinti pašarų tiekimo ir gyvulių laikymo tvartuose technologijas, pasižyminčias mažesne amoniako emisija (žr. 9 lent.).</w:t>
      </w:r>
    </w:p>
    <w:p w:rsidR="000E7C4C" w:rsidRDefault="000E7C4C">
      <w:pPr>
        <w:tabs>
          <w:tab w:val="left" w:pos="5670"/>
        </w:tabs>
        <w:spacing w:line="360" w:lineRule="atLeast"/>
        <w:ind w:left="720"/>
        <w:jc w:val="both"/>
        <w:rPr>
          <w:color w:val="000000"/>
          <w:szCs w:val="24"/>
          <w:lang w:eastAsia="lt-LT"/>
        </w:rPr>
      </w:pPr>
    </w:p>
    <w:p w:rsidR="000E7C4C" w:rsidRDefault="003C3EA6">
      <w:pPr>
        <w:tabs>
          <w:tab w:val="left" w:pos="5670"/>
        </w:tabs>
        <w:jc w:val="both"/>
        <w:rPr>
          <w:color w:val="000000"/>
          <w:szCs w:val="24"/>
        </w:rPr>
      </w:pPr>
      <w:r>
        <w:rPr>
          <w:color w:val="000000"/>
          <w:szCs w:val="24"/>
        </w:rPr>
        <w:t>9 lentelė. Lietuvos kaimo plėtros 2014–2020 m. programoje išvardinti su oro taršos mažinimu susiję tikslai, priemonės ir vertinimo kriterijai bei vertinimų kriterijų reikšmės</w:t>
      </w:r>
    </w:p>
    <w:p w:rsidR="000E7C4C" w:rsidRDefault="000E7C4C">
      <w:pPr>
        <w:jc w:val="both"/>
        <w:rPr>
          <w:color w:val="000000"/>
          <w:szCs w:val="24"/>
        </w:rPr>
      </w:pPr>
    </w:p>
    <w:p w:rsidR="000E7C4C" w:rsidRDefault="000E7C4C">
      <w:pPr>
        <w:jc w:val="both"/>
        <w:rPr>
          <w:color w:val="000000"/>
          <w:szCs w:val="24"/>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588"/>
        <w:gridCol w:w="2835"/>
        <w:gridCol w:w="2269"/>
        <w:gridCol w:w="1168"/>
        <w:gridCol w:w="1807"/>
      </w:tblGrid>
      <w:tr w:rsidR="000E7C4C">
        <w:trPr>
          <w:tblHeader/>
        </w:trPr>
        <w:tc>
          <w:tcPr>
            <w:tcW w:w="1588"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color w:val="FFFFFF"/>
                <w:sz w:val="20"/>
              </w:rPr>
              <w:t>Tikslai (ilgalaikiai, trumpalaikiai)</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bCs/>
                <w:color w:val="FFFFFF"/>
                <w:sz w:val="20"/>
                <w:lang w:eastAsia="en-GB"/>
              </w:rPr>
              <w:t>Priemonės</w:t>
            </w:r>
          </w:p>
        </w:tc>
        <w:tc>
          <w:tcPr>
            <w:tcW w:w="2269"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Vertinimo kriterijai</w:t>
            </w:r>
          </w:p>
        </w:tc>
        <w:tc>
          <w:tcPr>
            <w:tcW w:w="2975" w:type="dxa"/>
            <w:gridSpan w:val="2"/>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bCs/>
                <w:color w:val="FFFFFF"/>
                <w:sz w:val="20"/>
                <w:lang w:eastAsia="en-GB"/>
              </w:rPr>
              <w:t>Vertinimo kriterijų reikšmės</w:t>
            </w:r>
          </w:p>
        </w:tc>
      </w:tr>
      <w:tr w:rsidR="000E7C4C">
        <w:tc>
          <w:tcPr>
            <w:tcW w:w="1588"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Žemės ūkio išmetamo šiltnamio efektą sukeliančių dujų ir amoniako kiekio mažinimas</w:t>
            </w:r>
          </w:p>
        </w:tc>
        <w:tc>
          <w:tcPr>
            <w:tcW w:w="283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 xml:space="preserve">M01. Žinių perdavimas ir informavimo veikla </w:t>
            </w:r>
          </w:p>
        </w:tc>
        <w:tc>
          <w:tcPr>
            <w:tcW w:w="2269"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Žemės ūkio paskirties žemės ploto, kuriame vykdomos valdymo sutartys, susijusios su išmetamo šiltnamio efektą sukeliančių dujų ir (arba) amoniako kiekio mažinimu, procentinė dalis</w:t>
            </w:r>
          </w:p>
        </w:tc>
        <w:tc>
          <w:tcPr>
            <w:tcW w:w="1168"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5,81 proc. (2023)</w:t>
            </w:r>
          </w:p>
        </w:tc>
        <w:tc>
          <w:tcPr>
            <w:tcW w:w="18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159,4 ha</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0E7C4C" w:rsidRDefault="003C3EA6">
            <w:pPr>
              <w:jc w:val="both"/>
              <w:rPr>
                <w:color w:val="000000"/>
                <w:sz w:val="20"/>
                <w:lang w:eastAsia="lt-LT"/>
              </w:rPr>
            </w:pPr>
            <w:r>
              <w:rPr>
                <w:color w:val="000000"/>
                <w:sz w:val="20"/>
                <w:lang w:eastAsia="lt-LT"/>
              </w:rPr>
              <w:t xml:space="preserve">M02. Konsultavimo paslaugos, ūkio valdymo ir ūkininkų pavadavimo paslaugos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1807" w:type="dxa"/>
            <w:tcBorders>
              <w:top w:val="single" w:sz="4" w:space="0" w:color="auto"/>
              <w:left w:val="single" w:sz="4" w:space="0" w:color="auto"/>
              <w:bottom w:val="single" w:sz="4" w:space="0" w:color="auto"/>
              <w:right w:val="single" w:sz="4" w:space="0" w:color="auto"/>
            </w:tcBorders>
            <w:vAlign w:val="bottom"/>
          </w:tcPr>
          <w:p w:rsidR="000E7C4C" w:rsidRDefault="000E7C4C">
            <w:pPr>
              <w:ind w:firstLine="53"/>
              <w:rPr>
                <w:color w:val="000000"/>
                <w:sz w:val="20"/>
                <w:lang w:eastAsia="lt-LT"/>
              </w:rPr>
            </w:pP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0E7C4C" w:rsidRDefault="003C3EA6">
            <w:pPr>
              <w:jc w:val="both"/>
              <w:rPr>
                <w:color w:val="000000"/>
                <w:sz w:val="20"/>
                <w:lang w:eastAsia="lt-LT"/>
              </w:rPr>
            </w:pPr>
            <w:r>
              <w:rPr>
                <w:color w:val="000000"/>
                <w:sz w:val="20"/>
                <w:lang w:eastAsia="lt-LT"/>
              </w:rPr>
              <w:t>M10. Agrarinė aplinkosauga ir klimatas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1807" w:type="dxa"/>
            <w:tcBorders>
              <w:top w:val="single" w:sz="4" w:space="0" w:color="auto"/>
              <w:left w:val="single" w:sz="4" w:space="0" w:color="auto"/>
              <w:bottom w:val="single" w:sz="4" w:space="0" w:color="auto"/>
              <w:right w:val="single" w:sz="4" w:space="0" w:color="auto"/>
            </w:tcBorders>
            <w:vAlign w:val="bottom"/>
          </w:tcPr>
          <w:p w:rsidR="000E7C4C" w:rsidRDefault="000E7C4C">
            <w:pPr>
              <w:ind w:firstLine="53"/>
              <w:rPr>
                <w:color w:val="000000"/>
                <w:sz w:val="20"/>
                <w:lang w:eastAsia="lt-LT"/>
              </w:rPr>
            </w:pP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283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 xml:space="preserve">M16. Bendradarbiavimas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1807" w:type="dxa"/>
            <w:tcBorders>
              <w:top w:val="single" w:sz="4" w:space="0" w:color="auto"/>
              <w:left w:val="single" w:sz="4" w:space="0" w:color="auto"/>
              <w:bottom w:val="single" w:sz="4" w:space="0" w:color="auto"/>
              <w:right w:val="single" w:sz="4" w:space="0" w:color="auto"/>
            </w:tcBorders>
            <w:vAlign w:val="bottom"/>
          </w:tcPr>
          <w:p w:rsidR="000E7C4C" w:rsidRDefault="000E7C4C">
            <w:pPr>
              <w:ind w:firstLine="53"/>
              <w:rPr>
                <w:color w:val="000000"/>
                <w:sz w:val="20"/>
                <w:lang w:eastAsia="lt-LT"/>
              </w:rPr>
            </w:pPr>
          </w:p>
        </w:tc>
      </w:tr>
    </w:tbl>
    <w:p w:rsidR="000E7C4C" w:rsidRDefault="003C3EA6">
      <w:pPr>
        <w:spacing w:line="360" w:lineRule="atLeast"/>
        <w:jc w:val="center"/>
        <w:rPr>
          <w:sz w:val="20"/>
        </w:rPr>
      </w:pPr>
      <w:r>
        <w:rPr>
          <w:sz w:val="20"/>
        </w:rPr>
        <w:t>(Šaltinis: Lietuvos kaimo plėtros 2014–2020 m. programa)</w:t>
      </w:r>
    </w:p>
    <w:p w:rsidR="000E7C4C" w:rsidRDefault="003C3EA6">
      <w:pPr>
        <w:spacing w:line="360" w:lineRule="atLeast"/>
        <w:ind w:left="720"/>
        <w:jc w:val="both"/>
        <w:rPr>
          <w:color w:val="000000"/>
          <w:szCs w:val="24"/>
          <w:lang w:eastAsia="lt-LT"/>
        </w:rPr>
      </w:pPr>
    </w:p>
    <w:p w:rsidR="000E7C4C" w:rsidRDefault="003C3EA6">
      <w:pPr>
        <w:ind w:firstLine="567"/>
        <w:jc w:val="both"/>
        <w:rPr>
          <w:color w:val="000000"/>
          <w:szCs w:val="21"/>
        </w:rPr>
      </w:pPr>
      <w:r>
        <w:rPr>
          <w:color w:val="000000"/>
          <w:szCs w:val="21"/>
        </w:rPr>
        <w:t>20</w:t>
      </w:r>
      <w:r>
        <w:rPr>
          <w:color w:val="000000"/>
          <w:szCs w:val="21"/>
        </w:rPr>
        <w:t>.</w:t>
      </w:r>
      <w:r>
        <w:rPr>
          <w:b/>
          <w:color w:val="000000"/>
          <w:szCs w:val="21"/>
        </w:rPr>
        <w:t xml:space="preserve"> Nacionalinėje 2014–2020 metų gyvulininkystės sektoriaus plėtros programoje</w:t>
      </w:r>
      <w:r>
        <w:rPr>
          <w:color w:val="000000"/>
          <w:szCs w:val="21"/>
        </w:rPr>
        <w:t>, patvirtintoje Vyriausybės 2013 m. gruodžio 4 d. nutarimu Nr. 1162 „Dėl Nacionalinės 2014–2020 metų gyvulininkystės sektoriaus plėtros programos patvirtinimo“ (toliau –</w:t>
      </w:r>
      <w:r>
        <w:rPr>
          <w:color w:val="000000"/>
          <w:szCs w:val="21"/>
          <w:lang w:val="en-US"/>
        </w:rPr>
        <w:t xml:space="preserve"> </w:t>
      </w:r>
      <w:r>
        <w:rPr>
          <w:color w:val="000000"/>
          <w:szCs w:val="21"/>
        </w:rPr>
        <w:t xml:space="preserve">Nacionalinė 2014–2020 metų gyvulininkystės sektoriaus plėtros programa), nurodytas tikslas „didinti ūkinių gyvūnų skaičių ir plėsti gyvulininkystės produkcijos gamybą, drauge užtikrinti aplinkos apsaugą“. Vienas iš uždavinių šiam tikslui pasiekti yra technologinių procesų, susijusių su aplinkos apsauga, optimizavimo skatinimas, apibūdinamas tokiais rodikliais kaip biodujų jėgainių gyvulininkystės ūkiuose skaičius ir mokymo renginių, informacinių kampanijų (efektyvaus mėšlo ir srutų, susidarančių nuotekų tvarkymo, optimalaus ūkininkavimo </w:t>
      </w:r>
      <w:proofErr w:type="spellStart"/>
      <w:r>
        <w:rPr>
          <w:color w:val="000000"/>
          <w:szCs w:val="21"/>
        </w:rPr>
        <w:t>vandensaugos</w:t>
      </w:r>
      <w:proofErr w:type="spellEnd"/>
      <w:r>
        <w:rPr>
          <w:color w:val="000000"/>
          <w:szCs w:val="21"/>
        </w:rPr>
        <w:t xml:space="preserve"> tikslams pasiekti klausimais) skaičius (žr. 10 lent.).</w:t>
      </w:r>
    </w:p>
    <w:p w:rsidR="000E7C4C" w:rsidRDefault="000E7C4C">
      <w:pPr>
        <w:spacing w:line="360" w:lineRule="atLeast"/>
        <w:jc w:val="both"/>
        <w:rPr>
          <w:color w:val="000000"/>
          <w:szCs w:val="21"/>
        </w:rPr>
      </w:pPr>
    </w:p>
    <w:p w:rsidR="000E7C4C" w:rsidRDefault="003C3EA6">
      <w:pPr>
        <w:jc w:val="both"/>
        <w:rPr>
          <w:color w:val="000000"/>
          <w:szCs w:val="24"/>
        </w:rPr>
      </w:pPr>
      <w:r>
        <w:rPr>
          <w:color w:val="000000"/>
          <w:szCs w:val="24"/>
        </w:rPr>
        <w:t>10 lentelė. Nacionalinėje 2014–2020 metų gyvulininkystės sektoriaus plėtros programoje išvardinti su oro taršos mažinimu susiję tikslai, uždaviniai ir priemonės, vertinimo kriterijai ir jų reikšmės</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540"/>
        <w:gridCol w:w="1745"/>
        <w:gridCol w:w="2013"/>
        <w:gridCol w:w="2139"/>
        <w:gridCol w:w="2230"/>
      </w:tblGrid>
      <w:tr w:rsidR="000E7C4C">
        <w:trPr>
          <w:tblHeader/>
        </w:trPr>
        <w:tc>
          <w:tcPr>
            <w:tcW w:w="1540"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color w:val="FFFFFF"/>
                <w:sz w:val="20"/>
              </w:rPr>
              <w:t>Tikslai (ilgalaikiai, trumpalaikiai)</w:t>
            </w:r>
          </w:p>
        </w:tc>
        <w:tc>
          <w:tcPr>
            <w:tcW w:w="1745" w:type="dxa"/>
            <w:tcBorders>
              <w:top w:val="single" w:sz="4" w:space="0" w:color="auto"/>
              <w:left w:val="single" w:sz="4" w:space="0" w:color="auto"/>
              <w:bottom w:val="single" w:sz="4" w:space="0" w:color="auto"/>
              <w:right w:val="single" w:sz="4" w:space="0" w:color="auto"/>
            </w:tcBorders>
            <w:shd w:val="clear" w:color="auto" w:fill="002060"/>
          </w:tcPr>
          <w:p w:rsidR="000E7C4C" w:rsidRDefault="000E7C4C">
            <w:pPr>
              <w:jc w:val="center"/>
              <w:rPr>
                <w:bCs/>
                <w:color w:val="FFFFFF"/>
                <w:sz w:val="20"/>
                <w:lang w:eastAsia="en-GB"/>
              </w:rPr>
            </w:pPr>
          </w:p>
          <w:p w:rsidR="000E7C4C" w:rsidRDefault="003C3EA6">
            <w:pPr>
              <w:jc w:val="center"/>
              <w:rPr>
                <w:bCs/>
                <w:color w:val="FFFFFF"/>
                <w:sz w:val="20"/>
                <w:lang w:eastAsia="en-GB"/>
              </w:rPr>
            </w:pPr>
            <w:r>
              <w:rPr>
                <w:bCs/>
                <w:color w:val="FFFFFF"/>
                <w:sz w:val="20"/>
                <w:lang w:eastAsia="en-GB"/>
              </w:rPr>
              <w:t>Uždaviniai</w:t>
            </w:r>
          </w:p>
        </w:tc>
        <w:tc>
          <w:tcPr>
            <w:tcW w:w="2013" w:type="dxa"/>
            <w:tcBorders>
              <w:top w:val="single" w:sz="4" w:space="0" w:color="auto"/>
              <w:left w:val="single" w:sz="4" w:space="0" w:color="auto"/>
              <w:bottom w:val="single" w:sz="4" w:space="0" w:color="auto"/>
              <w:right w:val="single" w:sz="4" w:space="0" w:color="auto"/>
            </w:tcBorders>
            <w:shd w:val="clear" w:color="auto" w:fill="002060"/>
          </w:tcPr>
          <w:p w:rsidR="000E7C4C" w:rsidRDefault="000E7C4C">
            <w:pPr>
              <w:jc w:val="center"/>
              <w:rPr>
                <w:bCs/>
                <w:color w:val="FFFFFF"/>
                <w:sz w:val="20"/>
                <w:lang w:eastAsia="en-GB"/>
              </w:rPr>
            </w:pPr>
          </w:p>
          <w:p w:rsidR="000E7C4C" w:rsidRDefault="003C3EA6">
            <w:pPr>
              <w:jc w:val="center"/>
              <w:rPr>
                <w:bCs/>
                <w:color w:val="FFFFFF"/>
                <w:sz w:val="20"/>
                <w:lang w:eastAsia="en-GB"/>
              </w:rPr>
            </w:pPr>
            <w:r>
              <w:rPr>
                <w:bCs/>
                <w:color w:val="FFFFFF"/>
                <w:sz w:val="20"/>
                <w:lang w:eastAsia="en-GB"/>
              </w:rPr>
              <w:t>Priemonės</w:t>
            </w:r>
          </w:p>
        </w:tc>
        <w:tc>
          <w:tcPr>
            <w:tcW w:w="2139"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Vertinimo kriterijai</w:t>
            </w:r>
          </w:p>
        </w:tc>
        <w:tc>
          <w:tcPr>
            <w:tcW w:w="2230"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bCs/>
                <w:color w:val="FFFFFF"/>
                <w:sz w:val="20"/>
                <w:lang w:eastAsia="en-GB"/>
              </w:rPr>
              <w:t>Vertinimo kriterijų reikšmės</w:t>
            </w:r>
          </w:p>
        </w:tc>
      </w:tr>
      <w:tr w:rsidR="000E7C4C">
        <w:tc>
          <w:tcPr>
            <w:tcW w:w="1540"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Didinti ūkinių gyvūnų skaičių ir plėsti gyvulininkystės produkcijos gamybą, drauge užtikrinti aplinkos apsaugą</w:t>
            </w:r>
          </w:p>
        </w:tc>
        <w:tc>
          <w:tcPr>
            <w:tcW w:w="1745"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Skatinti technologinių procesų, susijusių su aplinkos apsauga, optimizavimą</w:t>
            </w:r>
          </w:p>
        </w:tc>
        <w:tc>
          <w:tcPr>
            <w:tcW w:w="2013"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remti biodujų jėgainių gyvulininkystės ūkiuose įrengimą pagal specialiąją paramos schemą, suderintą su Europos Komisija</w:t>
            </w:r>
          </w:p>
        </w:tc>
        <w:tc>
          <w:tcPr>
            <w:tcW w:w="2139"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pastatyta biodujų jėgainių gyvulininkystės ūkiuose, vienetais</w:t>
            </w:r>
          </w:p>
        </w:tc>
        <w:tc>
          <w:tcPr>
            <w:tcW w:w="2230"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lang w:eastAsia="lt-LT"/>
              </w:rPr>
            </w:pPr>
            <w:r>
              <w:rPr>
                <w:color w:val="000000"/>
                <w:sz w:val="20"/>
                <w:lang w:eastAsia="lt-LT"/>
              </w:rPr>
              <w:t>8 (2020)</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2013"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teikti paramą projektams, kuriuose numatyti mokymai valdymo reikalavimų, aplinkosaugos, ekologijos, gyvulininkystės tematika</w:t>
            </w:r>
          </w:p>
        </w:tc>
        <w:tc>
          <w:tcPr>
            <w:tcW w:w="2139"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mokymo renginių, informacinių kampanijų efektyvaus mėšlo ir srutų, susidarančių nuotekų tvarkymo, optimalaus ūkininkavimo </w:t>
            </w:r>
            <w:proofErr w:type="spellStart"/>
            <w:r>
              <w:rPr>
                <w:color w:val="000000"/>
                <w:sz w:val="20"/>
                <w:lang w:eastAsia="lt-LT"/>
              </w:rPr>
              <w:t>vandensaugos</w:t>
            </w:r>
            <w:proofErr w:type="spellEnd"/>
            <w:r>
              <w:rPr>
                <w:color w:val="000000"/>
                <w:sz w:val="20"/>
                <w:lang w:eastAsia="lt-LT"/>
              </w:rPr>
              <w:t xml:space="preserve"> tikslams pasiekti skirtinguose upių baseinuose klausimais, vienetais</w:t>
            </w:r>
          </w:p>
        </w:tc>
        <w:tc>
          <w:tcPr>
            <w:tcW w:w="2230" w:type="dxa"/>
            <w:tcBorders>
              <w:top w:val="single" w:sz="4" w:space="0" w:color="auto"/>
              <w:left w:val="single" w:sz="4" w:space="0" w:color="auto"/>
              <w:bottom w:val="single" w:sz="4" w:space="0" w:color="auto"/>
              <w:right w:val="single" w:sz="4" w:space="0" w:color="auto"/>
            </w:tcBorders>
            <w:hideMark/>
          </w:tcPr>
          <w:p w:rsidR="000E7C4C" w:rsidRDefault="003C3EA6">
            <w:pPr>
              <w:ind w:left="1080" w:firstLine="7"/>
              <w:jc w:val="both"/>
              <w:rPr>
                <w:color w:val="000000"/>
                <w:sz w:val="20"/>
                <w:lang w:eastAsia="lt-LT"/>
              </w:rPr>
            </w:pPr>
            <w:r>
              <w:rPr>
                <w:color w:val="000000"/>
                <w:sz w:val="20"/>
                <w:lang w:eastAsia="lt-LT"/>
              </w:rPr>
              <w:t>98</w:t>
            </w:r>
            <w:r>
              <w:rPr>
                <w:color w:val="000000"/>
                <w:sz w:val="20"/>
                <w:lang w:eastAsia="lt-LT"/>
              </w:rPr>
              <w:tab/>
            </w:r>
            <w:proofErr w:type="spellStart"/>
            <w:r>
              <w:rPr>
                <w:color w:val="000000"/>
                <w:sz w:val="20"/>
                <w:lang w:eastAsia="lt-LT"/>
              </w:rPr>
              <w:t>ap</w:t>
            </w:r>
            <w:proofErr w:type="spellEnd"/>
            <w:r>
              <w:rPr>
                <w:color w:val="000000"/>
                <w:sz w:val="20"/>
                <w:lang w:eastAsia="lt-LT"/>
              </w:rPr>
              <w:t xml:space="preserve"> (2020)</w:t>
            </w:r>
          </w:p>
        </w:tc>
      </w:tr>
    </w:tbl>
    <w:p w:rsidR="000E7C4C" w:rsidRDefault="003C3EA6">
      <w:pPr>
        <w:jc w:val="center"/>
        <w:rPr>
          <w:color w:val="000000"/>
          <w:sz w:val="20"/>
        </w:rPr>
      </w:pPr>
      <w:r>
        <w:rPr>
          <w:sz w:val="20"/>
        </w:rPr>
        <w:t>(Šaltinis: Nacionalinė 2014–2020 metų gyvulininkystės sektoriaus plėtros programa)</w:t>
      </w:r>
    </w:p>
    <w:p w:rsidR="000E7C4C" w:rsidRDefault="003C3EA6">
      <w:pPr>
        <w:ind w:firstLine="567"/>
        <w:jc w:val="both"/>
        <w:rPr>
          <w:color w:val="000000"/>
          <w:szCs w:val="21"/>
        </w:rPr>
      </w:pPr>
    </w:p>
    <w:p w:rsidR="000E7C4C" w:rsidRDefault="003C3EA6">
      <w:pPr>
        <w:tabs>
          <w:tab w:val="left" w:pos="5529"/>
        </w:tabs>
        <w:ind w:firstLine="567"/>
        <w:jc w:val="both"/>
        <w:rPr>
          <w:color w:val="000000"/>
          <w:szCs w:val="21"/>
        </w:rPr>
      </w:pPr>
      <w:r>
        <w:rPr>
          <w:color w:val="000000"/>
          <w:szCs w:val="21"/>
        </w:rPr>
        <w:t>21</w:t>
      </w:r>
      <w:r>
        <w:rPr>
          <w:color w:val="000000"/>
          <w:szCs w:val="21"/>
        </w:rPr>
        <w:t xml:space="preserve">. Oro taršos mažinimas yra svarbus ne vien gamtinės aplinkos išsaugojimo ir tausojimo požiūriu, tačiau taip pat, kaip nurodyta įvairių strategijų tiksluose ir uždaviniuose, žmonių sveikatai. Sveikatos apsaugos srityje yra numatyti tam tikri siekiai dėl oro taršos mažinimo ar oro kokybės gerinimo. </w:t>
      </w:r>
      <w:r>
        <w:rPr>
          <w:b/>
          <w:color w:val="000000"/>
          <w:szCs w:val="21"/>
        </w:rPr>
        <w:t xml:space="preserve">Lietuvos sveikatos 2014–2025 metų strategijos, </w:t>
      </w:r>
      <w:r>
        <w:rPr>
          <w:color w:val="000000"/>
          <w:szCs w:val="21"/>
        </w:rPr>
        <w:t>patvirtintos Seimo 2014 m. birželio 26 d. nutarimu Nr. XII-964 „Dėl Lietuvos sveikatos 2014–2025 metų strategijos patvirtinimo“ (toliau – Lietuvos sveikatos 2014–2025 metų strategija), 55 punkte ir 56.4 papunktyje nurodytas tikslas sukurti sveikatai palankią fizinę darbo ir gyvenamąją aplinką. Vienas iš uždavinių, numatytų tikslui pasiekti, yra mažinti oro, vandens ir dirvožemio užterštumą, triukšmą (žr. 11 lent.).</w:t>
      </w:r>
    </w:p>
    <w:p w:rsidR="000E7C4C" w:rsidRDefault="000E7C4C">
      <w:pPr>
        <w:tabs>
          <w:tab w:val="left" w:pos="5529"/>
        </w:tabs>
        <w:ind w:firstLine="567"/>
        <w:jc w:val="both"/>
        <w:rPr>
          <w:color w:val="000000"/>
          <w:szCs w:val="21"/>
        </w:rPr>
      </w:pPr>
    </w:p>
    <w:p w:rsidR="000E7C4C" w:rsidRDefault="003C3EA6">
      <w:pPr>
        <w:tabs>
          <w:tab w:val="left" w:pos="5529"/>
        </w:tabs>
        <w:jc w:val="both"/>
        <w:rPr>
          <w:color w:val="000000"/>
          <w:szCs w:val="24"/>
        </w:rPr>
      </w:pPr>
      <w:r>
        <w:rPr>
          <w:color w:val="000000"/>
          <w:szCs w:val="24"/>
        </w:rPr>
        <w:t>11 lentelė. Lietuvos sveikatos 2014–2025 metų strategijoje išvardinti su oro taršos mažinimu susiję tikslai, uždaviniai, priemonės ir vertinimo kriterijai bei vertinimų kriterijų reikšmės</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286"/>
        <w:gridCol w:w="1350"/>
        <w:gridCol w:w="1994"/>
        <w:gridCol w:w="76"/>
        <w:gridCol w:w="2023"/>
        <w:gridCol w:w="1946"/>
        <w:gridCol w:w="992"/>
      </w:tblGrid>
      <w:tr w:rsidR="000E7C4C">
        <w:trPr>
          <w:tblHeader/>
        </w:trPr>
        <w:tc>
          <w:tcPr>
            <w:tcW w:w="1286"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color w:val="FFFFFF"/>
                <w:sz w:val="20"/>
              </w:rPr>
              <w:t>Tikslai (ilgalaikiai, trumpalaikiai)</w:t>
            </w:r>
          </w:p>
        </w:tc>
        <w:tc>
          <w:tcPr>
            <w:tcW w:w="1350" w:type="dxa"/>
            <w:tcBorders>
              <w:top w:val="single" w:sz="4" w:space="0" w:color="auto"/>
              <w:left w:val="single" w:sz="4" w:space="0" w:color="auto"/>
              <w:bottom w:val="single" w:sz="4" w:space="0" w:color="auto"/>
              <w:right w:val="single" w:sz="4" w:space="0" w:color="auto"/>
            </w:tcBorders>
            <w:shd w:val="clear" w:color="auto" w:fill="002060"/>
          </w:tcPr>
          <w:p w:rsidR="000E7C4C" w:rsidRDefault="000E7C4C">
            <w:pPr>
              <w:jc w:val="center"/>
              <w:rPr>
                <w:bCs/>
                <w:color w:val="FFFFFF"/>
                <w:sz w:val="20"/>
                <w:lang w:eastAsia="en-GB"/>
              </w:rPr>
            </w:pPr>
          </w:p>
          <w:p w:rsidR="000E7C4C" w:rsidRDefault="003C3EA6">
            <w:pPr>
              <w:jc w:val="center"/>
              <w:rPr>
                <w:bCs/>
                <w:color w:val="FFFFFF"/>
                <w:sz w:val="20"/>
                <w:lang w:eastAsia="en-GB"/>
              </w:rPr>
            </w:pPr>
            <w:r>
              <w:rPr>
                <w:bCs/>
                <w:color w:val="FFFFFF"/>
                <w:sz w:val="20"/>
                <w:lang w:eastAsia="en-GB"/>
              </w:rPr>
              <w:t>Uždaviniai</w:t>
            </w:r>
          </w:p>
        </w:tc>
        <w:tc>
          <w:tcPr>
            <w:tcW w:w="2070" w:type="dxa"/>
            <w:gridSpan w:val="2"/>
            <w:tcBorders>
              <w:top w:val="single" w:sz="4" w:space="0" w:color="auto"/>
              <w:left w:val="single" w:sz="4" w:space="0" w:color="auto"/>
              <w:bottom w:val="single" w:sz="4" w:space="0" w:color="auto"/>
              <w:right w:val="single" w:sz="4" w:space="0" w:color="auto"/>
            </w:tcBorders>
            <w:shd w:val="clear" w:color="auto" w:fill="002060"/>
          </w:tcPr>
          <w:p w:rsidR="000E7C4C" w:rsidRDefault="000E7C4C">
            <w:pPr>
              <w:jc w:val="center"/>
              <w:rPr>
                <w:bCs/>
                <w:color w:val="FFFFFF"/>
                <w:sz w:val="20"/>
                <w:lang w:eastAsia="en-GB"/>
              </w:rPr>
            </w:pPr>
          </w:p>
          <w:p w:rsidR="000E7C4C" w:rsidRDefault="003C3EA6">
            <w:pPr>
              <w:jc w:val="center"/>
              <w:rPr>
                <w:bCs/>
                <w:color w:val="FFFFFF"/>
                <w:sz w:val="20"/>
                <w:lang w:eastAsia="en-GB"/>
              </w:rPr>
            </w:pPr>
            <w:r>
              <w:rPr>
                <w:bCs/>
                <w:color w:val="FFFFFF"/>
                <w:sz w:val="20"/>
                <w:lang w:eastAsia="en-GB"/>
              </w:rPr>
              <w:t>Priemonės</w:t>
            </w:r>
          </w:p>
        </w:tc>
        <w:tc>
          <w:tcPr>
            <w:tcW w:w="2023"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Vertinimo kriterijai</w:t>
            </w:r>
          </w:p>
        </w:tc>
        <w:tc>
          <w:tcPr>
            <w:tcW w:w="2938" w:type="dxa"/>
            <w:gridSpan w:val="2"/>
            <w:tcBorders>
              <w:top w:val="single" w:sz="4" w:space="0" w:color="auto"/>
              <w:left w:val="single" w:sz="4" w:space="0" w:color="auto"/>
              <w:bottom w:val="single" w:sz="4" w:space="0" w:color="auto"/>
              <w:right w:val="single" w:sz="4" w:space="0" w:color="auto"/>
            </w:tcBorders>
            <w:shd w:val="clear" w:color="auto" w:fill="002060"/>
          </w:tcPr>
          <w:p w:rsidR="000E7C4C" w:rsidRDefault="000E7C4C">
            <w:pPr>
              <w:jc w:val="center"/>
              <w:rPr>
                <w:bCs/>
                <w:color w:val="FFFFFF"/>
                <w:sz w:val="20"/>
                <w:lang w:eastAsia="en-GB"/>
              </w:rPr>
            </w:pPr>
          </w:p>
          <w:p w:rsidR="000E7C4C" w:rsidRDefault="003C3EA6">
            <w:pPr>
              <w:jc w:val="center"/>
              <w:rPr>
                <w:bCs/>
                <w:color w:val="FFFFFF"/>
                <w:sz w:val="20"/>
                <w:lang w:eastAsia="en-GB"/>
              </w:rPr>
            </w:pPr>
            <w:r>
              <w:rPr>
                <w:bCs/>
                <w:color w:val="FFFFFF"/>
                <w:sz w:val="20"/>
                <w:lang w:eastAsia="en-GB"/>
              </w:rPr>
              <w:t>Vertinimo kriterijų reikšmės</w:t>
            </w:r>
          </w:p>
        </w:tc>
      </w:tr>
      <w:tr w:rsidR="000E7C4C">
        <w:tc>
          <w:tcPr>
            <w:tcW w:w="1286"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Sukurti sveikatai palankią fizinę darbo ir gyvenamąją aplinką</w:t>
            </w:r>
          </w:p>
        </w:tc>
        <w:tc>
          <w:tcPr>
            <w:tcW w:w="1350"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Mažinti oro, vandens ir dirvožemio užterštumą, triukšmą</w:t>
            </w:r>
          </w:p>
        </w:tc>
        <w:tc>
          <w:tcPr>
            <w:tcW w:w="1994"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mažinti oro, vandens, maisto ar dirvožemio užterštumą, siekiant išvengti susirgimų lėtinėmis neinfekcinėmis ligomis ir kitų sveikatos sutrikimų</w:t>
            </w:r>
          </w:p>
        </w:tc>
        <w:tc>
          <w:tcPr>
            <w:tcW w:w="2099" w:type="dxa"/>
            <w:gridSpan w:val="2"/>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Šiltnamio efektą sukeliančių dujų kiekis (CO2 ekvivalentas), tūkst. tonų, Eurostatas</w:t>
            </w:r>
          </w:p>
        </w:tc>
        <w:tc>
          <w:tcPr>
            <w:tcW w:w="194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stabilizuotas augimas</w:t>
            </w:r>
          </w:p>
        </w:tc>
        <w:tc>
          <w:tcPr>
            <w:tcW w:w="992" w:type="dxa"/>
            <w:tcBorders>
              <w:top w:val="single" w:sz="4" w:space="0" w:color="auto"/>
              <w:left w:val="single" w:sz="4" w:space="0" w:color="auto"/>
              <w:bottom w:val="single" w:sz="4" w:space="0" w:color="auto"/>
              <w:right w:val="single" w:sz="4" w:space="0" w:color="auto"/>
            </w:tcBorders>
            <w:vAlign w:val="bottom"/>
          </w:tcPr>
          <w:p w:rsidR="000E7C4C" w:rsidRDefault="000E7C4C">
            <w:pPr>
              <w:ind w:firstLine="53"/>
              <w:rPr>
                <w:color w:val="000000"/>
                <w:sz w:val="20"/>
                <w:lang w:eastAsia="lt-LT"/>
              </w:rPr>
            </w:pP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2099" w:type="dxa"/>
            <w:gridSpan w:val="2"/>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Mirtingumas dėl išorinių priežasčių 100 tūkst. gyventojų, HI</w:t>
            </w:r>
          </w:p>
        </w:tc>
        <w:tc>
          <w:tcPr>
            <w:tcW w:w="194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77,3 (2020)</w:t>
            </w:r>
          </w:p>
        </w:tc>
        <w:tc>
          <w:tcPr>
            <w:tcW w:w="99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51,7 (2025)</w:t>
            </w:r>
          </w:p>
        </w:tc>
      </w:tr>
    </w:tbl>
    <w:p w:rsidR="000E7C4C" w:rsidRDefault="003C3EA6">
      <w:pPr>
        <w:jc w:val="center"/>
        <w:rPr>
          <w:sz w:val="20"/>
        </w:rPr>
      </w:pPr>
      <w:r>
        <w:rPr>
          <w:sz w:val="20"/>
        </w:rPr>
        <w:t>(Šaltinis: Lietuvos sveikatos 2014–2025 metų programa)</w:t>
      </w:r>
    </w:p>
    <w:p w:rsidR="000E7C4C" w:rsidRDefault="003C3EA6">
      <w:pPr>
        <w:spacing w:line="360" w:lineRule="atLeast"/>
        <w:ind w:left="720"/>
        <w:jc w:val="both"/>
        <w:rPr>
          <w:color w:val="000000"/>
          <w:szCs w:val="21"/>
        </w:rPr>
      </w:pPr>
    </w:p>
    <w:p w:rsidR="000E7C4C" w:rsidRDefault="003C3EA6">
      <w:pPr>
        <w:ind w:firstLine="567"/>
        <w:jc w:val="both"/>
        <w:rPr>
          <w:color w:val="000000"/>
          <w:szCs w:val="24"/>
          <w:lang w:eastAsia="lt-LT"/>
        </w:rPr>
      </w:pPr>
      <w:r>
        <w:rPr>
          <w:color w:val="000000"/>
          <w:szCs w:val="21"/>
          <w:lang w:eastAsia="lt-LT"/>
        </w:rPr>
        <w:t>22</w:t>
      </w:r>
      <w:r>
        <w:rPr>
          <w:color w:val="000000"/>
          <w:szCs w:val="21"/>
          <w:lang w:eastAsia="lt-LT"/>
        </w:rPr>
        <w:t>. Vienas iš</w:t>
      </w:r>
      <w:r>
        <w:rPr>
          <w:b/>
          <w:color w:val="000000"/>
          <w:szCs w:val="21"/>
          <w:lang w:eastAsia="lt-LT"/>
        </w:rPr>
        <w:t xml:space="preserve"> Nacionalinėje visuomenės sveikatos priežiūros 2016–2030 metų plėtros programoje, </w:t>
      </w:r>
      <w:r>
        <w:rPr>
          <w:color w:val="000000"/>
          <w:szCs w:val="21"/>
          <w:lang w:eastAsia="lt-LT"/>
        </w:rPr>
        <w:t xml:space="preserve">patvirtintoje Vyriausybės 2015 m. gruodžio 9 d. nutarimu Nr. 1291 „Dėl Nacionalinės visuomenės sveikatos priežiūros 2016–2023 metų plėtros programos patvirtinimo“ (toliau – Nacionalinė visuomenės sveikatos priežiūros 2016–2023 metų plėtros programa), </w:t>
      </w:r>
      <w:r>
        <w:rPr>
          <w:color w:val="000000"/>
          <w:szCs w:val="24"/>
          <w:lang w:eastAsia="lt-LT"/>
        </w:rPr>
        <w:t>įtvirtintų tikslų numato mažinti aplinkos veiksnių, nesaugių produktų (gaminių ir paslaugų) neigiamą poveikį ir riziką gyventojų sveikatai. Šiam tikslui pasiekti be kitų uždavinių yra numatytas uždavinys kurti sveikatai palankią gyvenamąją aplinką tobulinant aplinkos oro kokybės valdymą ir priežiūrą. Minėti veiksmai turėtų būti atliekami:</w:t>
      </w:r>
    </w:p>
    <w:p w:rsidR="000E7C4C" w:rsidRDefault="003C3EA6">
      <w:pPr>
        <w:tabs>
          <w:tab w:val="left" w:pos="851"/>
        </w:tabs>
        <w:ind w:firstLine="567"/>
        <w:jc w:val="both"/>
        <w:rPr>
          <w:color w:val="000000"/>
          <w:szCs w:val="24"/>
          <w:lang w:eastAsia="lt-LT"/>
        </w:rPr>
      </w:pPr>
      <w:r>
        <w:rPr>
          <w:color w:val="000000"/>
          <w:szCs w:val="24"/>
          <w:lang w:eastAsia="lt-LT"/>
        </w:rPr>
        <w:t>22.1</w:t>
      </w:r>
      <w:r>
        <w:rPr>
          <w:color w:val="000000"/>
          <w:szCs w:val="24"/>
          <w:lang w:eastAsia="lt-LT"/>
        </w:rPr>
        <w:t>. rengiant ir tobulinant aplinkos oro taršos ir kokybės vertinimą ir valdymą reglamentuojančius teisės aktus;</w:t>
      </w:r>
    </w:p>
    <w:p w:rsidR="000E7C4C" w:rsidRDefault="003C3EA6">
      <w:pPr>
        <w:tabs>
          <w:tab w:val="left" w:pos="851"/>
        </w:tabs>
        <w:ind w:firstLine="567"/>
        <w:jc w:val="both"/>
        <w:rPr>
          <w:color w:val="000000"/>
          <w:szCs w:val="24"/>
          <w:lang w:eastAsia="lt-LT"/>
        </w:rPr>
      </w:pPr>
      <w:r>
        <w:rPr>
          <w:color w:val="000000"/>
          <w:szCs w:val="24"/>
          <w:lang w:eastAsia="lt-LT"/>
        </w:rPr>
        <w:t>22.2</w:t>
      </w:r>
      <w:r>
        <w:rPr>
          <w:color w:val="000000"/>
          <w:szCs w:val="24"/>
          <w:lang w:eastAsia="lt-LT"/>
        </w:rPr>
        <w:t>. informuojant visuomenę apie oro taršos galimą poveikį sveikatai ir šio poveikio prevencijos priemones.</w:t>
      </w:r>
    </w:p>
    <w:p w:rsidR="000E7C4C" w:rsidRDefault="003C3EA6">
      <w:pPr>
        <w:ind w:firstLine="567"/>
        <w:jc w:val="both"/>
        <w:rPr>
          <w:color w:val="000000"/>
          <w:szCs w:val="24"/>
          <w:lang w:eastAsia="lt-LT"/>
        </w:rPr>
      </w:pPr>
      <w:r>
        <w:rPr>
          <w:color w:val="000000"/>
          <w:szCs w:val="24"/>
          <w:lang w:eastAsia="lt-LT"/>
        </w:rPr>
        <w:t>23</w:t>
      </w:r>
      <w:r>
        <w:rPr>
          <w:color w:val="000000"/>
          <w:szCs w:val="24"/>
          <w:lang w:eastAsia="lt-LT"/>
        </w:rPr>
        <w:t>. Nacionalinėje visuomenės sveikatos priežiūros 2016–2030 metų plėtros programoje taip pat numatytas uždavinys mažinti pavojingų cheminių medžiagų poveikį per visą cheminių medžiagų gyvavimo ciklą, kuris turi būti pasiekiamas skatinant aplinkai saugių technologijų diegimą (žr. 12 lent.).</w:t>
      </w:r>
    </w:p>
    <w:p w:rsidR="000E7C4C" w:rsidRDefault="000E7C4C">
      <w:pPr>
        <w:spacing w:line="360" w:lineRule="atLeast"/>
        <w:ind w:left="720"/>
        <w:jc w:val="both"/>
        <w:rPr>
          <w:color w:val="000000"/>
          <w:szCs w:val="24"/>
          <w:lang w:eastAsia="lt-LT"/>
        </w:rPr>
      </w:pPr>
    </w:p>
    <w:p w:rsidR="000E7C4C" w:rsidRDefault="003C3EA6">
      <w:pPr>
        <w:jc w:val="both"/>
        <w:rPr>
          <w:color w:val="000000"/>
          <w:szCs w:val="24"/>
        </w:rPr>
      </w:pPr>
      <w:r>
        <w:rPr>
          <w:color w:val="000000"/>
          <w:szCs w:val="24"/>
        </w:rPr>
        <w:t>12 lentelė. Nacionalinėje visuomenės sveikatos priežiūros 2016–2030 metų plėtros programoje išvardinti su oro taršos mažinimu susiję tikslai, uždaviniai ir priemonės, vertinimo kriterijai ir jų reikšmės</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286"/>
        <w:gridCol w:w="1350"/>
        <w:gridCol w:w="86"/>
        <w:gridCol w:w="1984"/>
        <w:gridCol w:w="2023"/>
        <w:gridCol w:w="103"/>
        <w:gridCol w:w="1723"/>
        <w:gridCol w:w="1112"/>
      </w:tblGrid>
      <w:tr w:rsidR="000E7C4C">
        <w:trPr>
          <w:tblHeader/>
        </w:trPr>
        <w:tc>
          <w:tcPr>
            <w:tcW w:w="1286"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color w:val="FFFFFF"/>
                <w:sz w:val="20"/>
              </w:rPr>
              <w:t>Tikslai (ilgalaikiai, trumpalaikiai)</w:t>
            </w:r>
          </w:p>
        </w:tc>
        <w:tc>
          <w:tcPr>
            <w:tcW w:w="1350" w:type="dxa"/>
            <w:tcBorders>
              <w:top w:val="single" w:sz="4" w:space="0" w:color="auto"/>
              <w:left w:val="single" w:sz="4" w:space="0" w:color="auto"/>
              <w:bottom w:val="single" w:sz="4" w:space="0" w:color="auto"/>
              <w:right w:val="single" w:sz="4" w:space="0" w:color="auto"/>
            </w:tcBorders>
            <w:shd w:val="clear" w:color="auto" w:fill="002060"/>
          </w:tcPr>
          <w:p w:rsidR="000E7C4C" w:rsidRDefault="000E7C4C">
            <w:pPr>
              <w:jc w:val="center"/>
              <w:rPr>
                <w:bCs/>
                <w:color w:val="FFFFFF"/>
                <w:sz w:val="20"/>
                <w:lang w:eastAsia="en-GB"/>
              </w:rPr>
            </w:pPr>
          </w:p>
          <w:p w:rsidR="000E7C4C" w:rsidRDefault="003C3EA6">
            <w:pPr>
              <w:jc w:val="center"/>
              <w:rPr>
                <w:bCs/>
                <w:color w:val="FFFFFF"/>
                <w:sz w:val="20"/>
                <w:lang w:eastAsia="en-GB"/>
              </w:rPr>
            </w:pPr>
            <w:r>
              <w:rPr>
                <w:bCs/>
                <w:color w:val="FFFFFF"/>
                <w:sz w:val="20"/>
                <w:lang w:eastAsia="en-GB"/>
              </w:rPr>
              <w:t>Uždaviniai</w:t>
            </w:r>
          </w:p>
        </w:tc>
        <w:tc>
          <w:tcPr>
            <w:tcW w:w="2070" w:type="dxa"/>
            <w:gridSpan w:val="2"/>
            <w:tcBorders>
              <w:top w:val="single" w:sz="4" w:space="0" w:color="auto"/>
              <w:left w:val="single" w:sz="4" w:space="0" w:color="auto"/>
              <w:bottom w:val="single" w:sz="4" w:space="0" w:color="auto"/>
              <w:right w:val="single" w:sz="4" w:space="0" w:color="auto"/>
            </w:tcBorders>
            <w:shd w:val="clear" w:color="auto" w:fill="002060"/>
          </w:tcPr>
          <w:p w:rsidR="000E7C4C" w:rsidRDefault="000E7C4C">
            <w:pPr>
              <w:jc w:val="center"/>
              <w:rPr>
                <w:bCs/>
                <w:color w:val="FFFFFF"/>
                <w:sz w:val="20"/>
                <w:lang w:eastAsia="en-GB"/>
              </w:rPr>
            </w:pPr>
          </w:p>
          <w:p w:rsidR="000E7C4C" w:rsidRDefault="003C3EA6">
            <w:pPr>
              <w:jc w:val="center"/>
              <w:rPr>
                <w:bCs/>
                <w:color w:val="FFFFFF"/>
                <w:sz w:val="20"/>
                <w:lang w:eastAsia="en-GB"/>
              </w:rPr>
            </w:pPr>
            <w:r>
              <w:rPr>
                <w:bCs/>
                <w:color w:val="FFFFFF"/>
                <w:sz w:val="20"/>
                <w:lang w:eastAsia="en-GB"/>
              </w:rPr>
              <w:t>Priemonės</w:t>
            </w:r>
          </w:p>
        </w:tc>
        <w:tc>
          <w:tcPr>
            <w:tcW w:w="2023"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Vertinimo kriterijai</w:t>
            </w:r>
          </w:p>
        </w:tc>
        <w:tc>
          <w:tcPr>
            <w:tcW w:w="2938" w:type="dxa"/>
            <w:gridSpan w:val="3"/>
            <w:tcBorders>
              <w:top w:val="single" w:sz="4" w:space="0" w:color="auto"/>
              <w:left w:val="single" w:sz="4" w:space="0" w:color="auto"/>
              <w:bottom w:val="single" w:sz="4" w:space="0" w:color="auto"/>
              <w:right w:val="single" w:sz="4" w:space="0" w:color="auto"/>
            </w:tcBorders>
            <w:shd w:val="clear" w:color="auto" w:fill="002060"/>
          </w:tcPr>
          <w:p w:rsidR="000E7C4C" w:rsidRDefault="000E7C4C">
            <w:pPr>
              <w:jc w:val="center"/>
              <w:rPr>
                <w:bCs/>
                <w:color w:val="FFFFFF"/>
                <w:sz w:val="20"/>
                <w:lang w:eastAsia="en-GB"/>
              </w:rPr>
            </w:pPr>
          </w:p>
          <w:p w:rsidR="000E7C4C" w:rsidRDefault="003C3EA6">
            <w:pPr>
              <w:jc w:val="center"/>
              <w:rPr>
                <w:bCs/>
                <w:color w:val="FFFFFF"/>
                <w:sz w:val="20"/>
                <w:lang w:eastAsia="en-GB"/>
              </w:rPr>
            </w:pPr>
            <w:r>
              <w:rPr>
                <w:bCs/>
                <w:color w:val="FFFFFF"/>
                <w:sz w:val="20"/>
                <w:lang w:eastAsia="en-GB"/>
              </w:rPr>
              <w:t>Vertinimo kriterijų reikšmės</w:t>
            </w:r>
          </w:p>
        </w:tc>
      </w:tr>
      <w:tr w:rsidR="000E7C4C">
        <w:tc>
          <w:tcPr>
            <w:tcW w:w="1286"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Mažinti aplinkos veiksnių, nesaugių produktų (gaminių ir paslaugų) neigiamą poveikį ir riziką gyventojų sveikatai </w:t>
            </w:r>
          </w:p>
        </w:tc>
        <w:tc>
          <w:tcPr>
            <w:tcW w:w="1436"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Kurti sveikatai palankią gyvenamąją aplinką</w:t>
            </w:r>
          </w:p>
        </w:tc>
        <w:tc>
          <w:tcPr>
            <w:tcW w:w="198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tobulinti aplinkos oro kokybės valdymą ir priežiūrą – rengti ir tobulinti aplinkos oro taršos ir kokybės vertinimą ir valdymą reglamentuojančius teisės aktus, informuoti visuomenę apie oro taršos galimą poveikį sveikatai ir šio poveikio prevencijos priemones</w:t>
            </w:r>
          </w:p>
        </w:tc>
        <w:tc>
          <w:tcPr>
            <w:tcW w:w="2126"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asmenų, gyvenančių namų ūkiuose ir susiduriančių su oro ir aplinkos tarša (smogu, dulkėmis, nemaloniais kvapais, užterštu vandeniu), dalis (procentais)</w:t>
            </w:r>
          </w:p>
        </w:tc>
        <w:tc>
          <w:tcPr>
            <w:tcW w:w="172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lang w:eastAsia="lt-LT"/>
              </w:rPr>
            </w:pPr>
            <w:r>
              <w:rPr>
                <w:color w:val="000000"/>
                <w:sz w:val="20"/>
                <w:lang w:eastAsia="lt-LT"/>
              </w:rPr>
              <w:t>12 (2019)</w:t>
            </w:r>
          </w:p>
        </w:tc>
        <w:tc>
          <w:tcPr>
            <w:tcW w:w="1112"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lang w:eastAsia="lt-LT"/>
              </w:rPr>
            </w:pPr>
            <w:r>
              <w:rPr>
                <w:color w:val="000000"/>
                <w:sz w:val="20"/>
                <w:lang w:eastAsia="lt-LT"/>
              </w:rPr>
              <w:t>10 (2023)</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1436"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Mažinti pavojingų cheminių medžiagų poveikį per visą cheminių medžiagų gyvavimo ciklą</w:t>
            </w:r>
          </w:p>
        </w:tc>
        <w:tc>
          <w:tcPr>
            <w:tcW w:w="198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skatinti sveikatai ir aplinkai palankių cheminių mišinių gamybą ir sveikatai, aplinkai ir klimatui saugių technologijų diegimą</w:t>
            </w:r>
          </w:p>
        </w:tc>
        <w:tc>
          <w:tcPr>
            <w:tcW w:w="2126"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vaikų iki 7 metų apsinuodijimų skaičius (atvejais)</w:t>
            </w:r>
          </w:p>
        </w:tc>
        <w:tc>
          <w:tcPr>
            <w:tcW w:w="1723"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lang w:eastAsia="lt-LT"/>
              </w:rPr>
            </w:pPr>
            <w:r>
              <w:rPr>
                <w:color w:val="000000"/>
                <w:sz w:val="20"/>
                <w:lang w:eastAsia="lt-LT"/>
              </w:rPr>
              <w:t>360 (2019)</w:t>
            </w:r>
          </w:p>
        </w:tc>
        <w:tc>
          <w:tcPr>
            <w:tcW w:w="1112"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lang w:eastAsia="lt-LT"/>
              </w:rPr>
            </w:pPr>
            <w:r>
              <w:rPr>
                <w:color w:val="000000"/>
                <w:sz w:val="20"/>
                <w:lang w:eastAsia="lt-LT"/>
              </w:rPr>
              <w:t>340 (2023)</w:t>
            </w:r>
          </w:p>
        </w:tc>
      </w:tr>
    </w:tbl>
    <w:p w:rsidR="000E7C4C" w:rsidRDefault="003C3EA6">
      <w:pPr>
        <w:jc w:val="center"/>
        <w:rPr>
          <w:sz w:val="20"/>
          <w:lang w:eastAsia="lt-LT"/>
        </w:rPr>
      </w:pPr>
      <w:r>
        <w:rPr>
          <w:sz w:val="20"/>
        </w:rPr>
        <w:t>(Šaltinis: Nacionalinė visuomenės sveikatos priežiūros 2016–2030 metų plėtros programa)</w:t>
      </w:r>
    </w:p>
    <w:p w:rsidR="000E7C4C" w:rsidRDefault="003C3EA6">
      <w:pPr>
        <w:ind w:left="720"/>
        <w:jc w:val="both"/>
        <w:rPr>
          <w:color w:val="000000"/>
          <w:szCs w:val="24"/>
          <w:lang w:eastAsia="lt-LT"/>
        </w:rPr>
      </w:pPr>
    </w:p>
    <w:p w:rsidR="000E7C4C" w:rsidRDefault="003C3EA6">
      <w:pPr>
        <w:tabs>
          <w:tab w:val="left" w:pos="5670"/>
        </w:tabs>
        <w:ind w:firstLine="567"/>
        <w:jc w:val="both"/>
        <w:rPr>
          <w:color w:val="000000"/>
          <w:szCs w:val="21"/>
        </w:rPr>
      </w:pPr>
      <w:r>
        <w:rPr>
          <w:color w:val="000000"/>
          <w:szCs w:val="21"/>
        </w:rPr>
        <w:t>24</w:t>
      </w:r>
      <w:r>
        <w:rPr>
          <w:color w:val="000000"/>
          <w:szCs w:val="21"/>
        </w:rPr>
        <w:t>.</w:t>
      </w:r>
      <w:r>
        <w:rPr>
          <w:b/>
          <w:color w:val="000000"/>
          <w:szCs w:val="21"/>
        </w:rPr>
        <w:t xml:space="preserve"> Investicijų skatinimo ir pramonės plėtros 2014–2020 metų programoje, </w:t>
      </w:r>
      <w:r>
        <w:rPr>
          <w:color w:val="000000"/>
          <w:szCs w:val="21"/>
        </w:rPr>
        <w:t xml:space="preserve">patvirtintoje Vyriausybės 2014 m. rugsėjo 17 d. nutarimu Nr. 986 „Dėl Investicijų skatinimo ir pramonės plėtros 2014–2020 metų programos patvirtinimo“ (toliau – Investicijų skatinimo ir pramonės plėtros 2014–2020 metų programa), nurodomas tikslas modernizuoti, integruoti ir plėtoti pramonę, apimantis uždavinį „skatinti įmones efektyviau naudoti žaliavas ir energiją“. Šiuo uždaviniu siekiama didinti energijos vartojimo efektyvumą ir AEI naudojimą pramonėje. Programoje įvardijamas poreikis mažinti šiltnamio efektą sukeliančių dujų (toliau –ŠESD) </w:t>
      </w:r>
      <w:proofErr w:type="spellStart"/>
      <w:r>
        <w:rPr>
          <w:color w:val="000000"/>
          <w:szCs w:val="21"/>
        </w:rPr>
        <w:t>išmetimus</w:t>
      </w:r>
      <w:proofErr w:type="spellEnd"/>
      <w:r>
        <w:rPr>
          <w:color w:val="000000"/>
          <w:szCs w:val="21"/>
        </w:rPr>
        <w:t>, tačiau nėra įvardinto poreikio ir tikslų mažinti  į aplinkos orą išmetamą teršalų  (sieros dioksidas (SO</w:t>
      </w:r>
      <w:r>
        <w:rPr>
          <w:color w:val="000000"/>
          <w:szCs w:val="21"/>
          <w:vertAlign w:val="subscript"/>
        </w:rPr>
        <w:t>2</w:t>
      </w:r>
      <w:r>
        <w:rPr>
          <w:color w:val="000000"/>
          <w:szCs w:val="21"/>
        </w:rPr>
        <w:t>), azoto oksidai (</w:t>
      </w:r>
      <w:proofErr w:type="spellStart"/>
      <w:r>
        <w:rPr>
          <w:color w:val="000000"/>
          <w:szCs w:val="21"/>
        </w:rPr>
        <w:t>NO</w:t>
      </w:r>
      <w:r>
        <w:rPr>
          <w:color w:val="000000"/>
          <w:szCs w:val="21"/>
          <w:vertAlign w:val="subscript"/>
        </w:rPr>
        <w:t>x</w:t>
      </w:r>
      <w:proofErr w:type="spellEnd"/>
      <w:r>
        <w:rPr>
          <w:color w:val="000000"/>
          <w:szCs w:val="21"/>
        </w:rPr>
        <w:t>), nemetaniniai lakieji organiniai junginiai (NMLOJ), smulkiosios kietosios dalelės (KD</w:t>
      </w:r>
      <w:r>
        <w:rPr>
          <w:color w:val="000000"/>
          <w:szCs w:val="21"/>
          <w:vertAlign w:val="subscript"/>
        </w:rPr>
        <w:t>2,5</w:t>
      </w:r>
      <w:r>
        <w:rPr>
          <w:color w:val="000000"/>
          <w:szCs w:val="21"/>
        </w:rPr>
        <w:t>), amoniakas (NH</w:t>
      </w:r>
      <w:r>
        <w:rPr>
          <w:color w:val="000000"/>
          <w:szCs w:val="21"/>
          <w:vertAlign w:val="subscript"/>
        </w:rPr>
        <w:t>3</w:t>
      </w:r>
      <w:r>
        <w:rPr>
          <w:color w:val="000000"/>
          <w:szCs w:val="21"/>
        </w:rPr>
        <w:t>) ir kt., pvz. sunkieji metalai, patvarieji organiniai teršalai) kiekį (žr. 13 lent.). Nors pramonė yra vienas iš pagrindinių oro taršos šaltinių, programoje labai mažai dėmesio skiriama oro taršos mažinimo klausimams.</w:t>
      </w:r>
    </w:p>
    <w:p w:rsidR="000E7C4C" w:rsidRDefault="000E7C4C">
      <w:pPr>
        <w:tabs>
          <w:tab w:val="left" w:pos="5670"/>
        </w:tabs>
        <w:spacing w:line="360" w:lineRule="atLeast"/>
        <w:jc w:val="both"/>
        <w:rPr>
          <w:color w:val="000000"/>
          <w:szCs w:val="21"/>
        </w:rPr>
      </w:pPr>
    </w:p>
    <w:p w:rsidR="000E7C4C" w:rsidRDefault="003C3EA6">
      <w:pPr>
        <w:tabs>
          <w:tab w:val="left" w:pos="5670"/>
        </w:tabs>
        <w:jc w:val="both"/>
        <w:rPr>
          <w:color w:val="000000"/>
          <w:szCs w:val="24"/>
        </w:rPr>
      </w:pPr>
      <w:r>
        <w:rPr>
          <w:color w:val="000000"/>
          <w:szCs w:val="24"/>
        </w:rPr>
        <w:t>13 lentelė. Investicijų skatinimo ir pramonės plėtros 2014–2020 metų programoje išvardinti su oro taršos mažinimu susiję tikslai, uždaviniai ir priemonės, vertinimo kriterijai ir jų reikšmės</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286"/>
        <w:gridCol w:w="18"/>
        <w:gridCol w:w="1332"/>
        <w:gridCol w:w="85"/>
        <w:gridCol w:w="1985"/>
        <w:gridCol w:w="141"/>
        <w:gridCol w:w="3119"/>
        <w:gridCol w:w="1701"/>
      </w:tblGrid>
      <w:tr w:rsidR="000E7C4C">
        <w:trPr>
          <w:tblHeader/>
        </w:trPr>
        <w:tc>
          <w:tcPr>
            <w:tcW w:w="1286"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tabs>
                <w:tab w:val="left" w:pos="5670"/>
              </w:tabs>
              <w:jc w:val="center"/>
              <w:rPr>
                <w:color w:val="FFFFFF"/>
                <w:sz w:val="20"/>
              </w:rPr>
            </w:pPr>
            <w:r>
              <w:rPr>
                <w:color w:val="FFFFFF"/>
                <w:sz w:val="20"/>
              </w:rPr>
              <w:t>Tikslai (ilgalaikiai, trumpalaikiai)</w:t>
            </w:r>
          </w:p>
        </w:tc>
        <w:tc>
          <w:tcPr>
            <w:tcW w:w="1350" w:type="dxa"/>
            <w:gridSpan w:val="2"/>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tabs>
                <w:tab w:val="left" w:pos="5670"/>
              </w:tabs>
              <w:jc w:val="center"/>
              <w:rPr>
                <w:bCs/>
                <w:color w:val="FFFFFF"/>
                <w:sz w:val="20"/>
                <w:lang w:eastAsia="en-GB"/>
              </w:rPr>
            </w:pPr>
            <w:r>
              <w:rPr>
                <w:bCs/>
                <w:color w:val="FFFFFF"/>
                <w:sz w:val="20"/>
                <w:lang w:eastAsia="en-GB"/>
              </w:rPr>
              <w:t>Uždaviniai</w:t>
            </w:r>
          </w:p>
        </w:tc>
        <w:tc>
          <w:tcPr>
            <w:tcW w:w="2070" w:type="dxa"/>
            <w:gridSpan w:val="2"/>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tabs>
                <w:tab w:val="left" w:pos="5670"/>
              </w:tabs>
              <w:jc w:val="center"/>
              <w:rPr>
                <w:bCs/>
                <w:color w:val="FFFFFF"/>
                <w:sz w:val="20"/>
                <w:lang w:eastAsia="en-GB"/>
              </w:rPr>
            </w:pPr>
            <w:r>
              <w:rPr>
                <w:bCs/>
                <w:color w:val="FFFFFF"/>
                <w:sz w:val="20"/>
                <w:lang w:eastAsia="en-GB"/>
              </w:rPr>
              <w:t>Priemonės</w:t>
            </w:r>
          </w:p>
        </w:tc>
        <w:tc>
          <w:tcPr>
            <w:tcW w:w="3260"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tabs>
                <w:tab w:val="left" w:pos="5670"/>
              </w:tabs>
              <w:jc w:val="center"/>
              <w:rPr>
                <w:bCs/>
                <w:color w:val="FFFFFF"/>
                <w:sz w:val="20"/>
                <w:lang w:eastAsia="en-GB"/>
              </w:rPr>
            </w:pPr>
            <w:r>
              <w:rPr>
                <w:bCs/>
                <w:color w:val="FFFFFF"/>
                <w:sz w:val="20"/>
                <w:lang w:eastAsia="en-GB"/>
              </w:rPr>
              <w:t>Vertinimo kriterijai</w:t>
            </w:r>
          </w:p>
        </w:tc>
        <w:tc>
          <w:tcPr>
            <w:tcW w:w="1701"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tabs>
                <w:tab w:val="left" w:pos="5670"/>
              </w:tabs>
              <w:jc w:val="center"/>
              <w:rPr>
                <w:bCs/>
                <w:color w:val="FFFFFF"/>
                <w:sz w:val="20"/>
                <w:lang w:eastAsia="en-GB"/>
              </w:rPr>
            </w:pPr>
            <w:r>
              <w:rPr>
                <w:bCs/>
                <w:color w:val="FFFFFF"/>
                <w:sz w:val="20"/>
                <w:lang w:eastAsia="en-GB"/>
              </w:rPr>
              <w:t>Vertinimo kriterijų reikšmės</w:t>
            </w:r>
          </w:p>
        </w:tc>
      </w:tr>
      <w:tr w:rsidR="000E7C4C">
        <w:tc>
          <w:tcPr>
            <w:tcW w:w="1304" w:type="dxa"/>
            <w:gridSpan w:val="2"/>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Modernizuoti, integruoti ir plėtoti pramonę</w:t>
            </w:r>
          </w:p>
        </w:tc>
        <w:tc>
          <w:tcPr>
            <w:tcW w:w="1417" w:type="dxa"/>
            <w:gridSpan w:val="2"/>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skatinti įmones efektyviau naudoti žaliavas ir energiją</w:t>
            </w:r>
          </w:p>
        </w:tc>
        <w:tc>
          <w:tcPr>
            <w:tcW w:w="2126" w:type="dxa"/>
            <w:gridSpan w:val="2"/>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daugiau naudoti atsinaujinančių energijos išteklių </w:t>
            </w:r>
          </w:p>
        </w:tc>
        <w:tc>
          <w:tcPr>
            <w:tcW w:w="3119"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energijos suvartojimo Lietuvos apdirbamosios gamybos pramonėje intensyvumas (1 tūkst. eurų pridėtinei vertei pramonėje sukurti (kilogramais naftos ekvivalento)</w:t>
            </w:r>
          </w:p>
        </w:tc>
        <w:tc>
          <w:tcPr>
            <w:tcW w:w="170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182,9 (2020)</w:t>
            </w:r>
          </w:p>
        </w:tc>
      </w:tr>
      <w:tr w:rsidR="000E7C4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lang w:eastAsia="lt-LT"/>
              </w:rPr>
            </w:pPr>
          </w:p>
        </w:tc>
        <w:tc>
          <w:tcPr>
            <w:tcW w:w="2126" w:type="dxa"/>
            <w:gridSpan w:val="2"/>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diegti anglies dioksido išsiskyrimą į aplinką mažinančias technologijas</w:t>
            </w:r>
          </w:p>
        </w:tc>
        <w:tc>
          <w:tcPr>
            <w:tcW w:w="3119"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 xml:space="preserve">perdirbtų ir kitaip panaudotų gamybos ir kitos ūkinės veiklos atliekų (išskyrus </w:t>
            </w:r>
            <w:proofErr w:type="spellStart"/>
            <w:r>
              <w:rPr>
                <w:color w:val="000000"/>
                <w:sz w:val="20"/>
                <w:lang w:eastAsia="lt-LT"/>
              </w:rPr>
              <w:t>fosfogipso</w:t>
            </w:r>
            <w:proofErr w:type="spellEnd"/>
            <w:r>
              <w:rPr>
                <w:color w:val="000000"/>
                <w:sz w:val="20"/>
                <w:lang w:eastAsia="lt-LT"/>
              </w:rPr>
              <w:t xml:space="preserve"> atliekas) kiekis (procentais)</w:t>
            </w:r>
          </w:p>
        </w:tc>
        <w:tc>
          <w:tcPr>
            <w:tcW w:w="170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ne mažiau kaip 92 proc.</w:t>
            </w:r>
          </w:p>
        </w:tc>
      </w:tr>
    </w:tbl>
    <w:p w:rsidR="000E7C4C" w:rsidRDefault="003C3EA6">
      <w:pPr>
        <w:jc w:val="center"/>
        <w:rPr>
          <w:color w:val="000000"/>
          <w:sz w:val="20"/>
          <w:lang w:eastAsia="lt-LT"/>
        </w:rPr>
      </w:pPr>
      <w:r>
        <w:rPr>
          <w:sz w:val="20"/>
        </w:rPr>
        <w:t>(Šaltinis: Investicijų skatinimo ir pramonės plėtros 2014–2020 metų programa)</w:t>
      </w:r>
    </w:p>
    <w:p w:rsidR="000E7C4C" w:rsidRDefault="003C3EA6">
      <w:pPr>
        <w:spacing w:line="360" w:lineRule="atLeast"/>
        <w:ind w:left="720"/>
        <w:jc w:val="both"/>
        <w:rPr>
          <w:color w:val="000000"/>
          <w:szCs w:val="21"/>
        </w:rPr>
      </w:pPr>
    </w:p>
    <w:p w:rsidR="000E7C4C" w:rsidRDefault="003C3EA6">
      <w:pPr>
        <w:ind w:firstLine="567"/>
        <w:jc w:val="both"/>
        <w:rPr>
          <w:color w:val="000000"/>
          <w:szCs w:val="21"/>
        </w:rPr>
      </w:pPr>
      <w:r>
        <w:rPr>
          <w:color w:val="000000"/>
          <w:szCs w:val="21"/>
        </w:rPr>
        <w:t>25</w:t>
      </w:r>
      <w:r>
        <w:rPr>
          <w:color w:val="000000"/>
          <w:szCs w:val="21"/>
        </w:rPr>
        <w:t xml:space="preserve">. Kita sritis, turinti įtakos oro taršai – atliekų tvarkymas. </w:t>
      </w:r>
      <w:r>
        <w:rPr>
          <w:b/>
          <w:color w:val="000000"/>
          <w:szCs w:val="21"/>
        </w:rPr>
        <w:t>Valstybiniame atliekų tvarkymo 2014–2020 metų plane</w:t>
      </w:r>
      <w:r>
        <w:rPr>
          <w:color w:val="000000"/>
          <w:szCs w:val="21"/>
        </w:rPr>
        <w:t xml:space="preserve">, patvirtintame Vyriausybės 2002 m. balandžio 12 d. nutarimu Nr. 519 „Dėl Valstybinio atliekų tvarkymo 2014–2020 metų plano patvirtinimo“ (toliau – Valstybinis atliekų tvarkymo 2014–2020 metų planas), vienas iš strateginių uždavinių iki 2020 m. yra nustatyti teisines priemones, užtikrinančias skaidrias ūkio subjektų, naudojančių atliekas energijai gaminti, veiklos ir energijos gamybos sąlygas. Plane nurodoma, kad komunalinių atliekų deginimo įmones, kuriose būtų gaminama šilumos energija, planuojama statyti didžiuosiuose šalies miestuose arba šalia jų; po rūšiavimo likusių ir perdirbti netinkamų energinę vertę turinčių nepavojingųjų komunalinių ir gamybos atliekų, įskaitant kietąjį atgautąjį kurą, naudojimo energijai gauti įrenginius statyti Kauno ir Vilniaus regionuose. Pažymėtina, kad planuojama veikla gali turėti neigiamą poveikį oro kokybei didžiuosiuose miestuose. </w:t>
      </w:r>
    </w:p>
    <w:p w:rsidR="000E7C4C" w:rsidRDefault="003C3EA6">
      <w:pPr>
        <w:ind w:firstLine="567"/>
        <w:jc w:val="both"/>
        <w:rPr>
          <w:color w:val="000000"/>
          <w:szCs w:val="21"/>
        </w:rPr>
      </w:pPr>
      <w:r>
        <w:rPr>
          <w:color w:val="000000"/>
          <w:szCs w:val="21"/>
        </w:rPr>
        <w:t>26</w:t>
      </w:r>
      <w:r>
        <w:rPr>
          <w:color w:val="000000"/>
          <w:szCs w:val="21"/>
        </w:rPr>
        <w:t>.</w:t>
      </w:r>
      <w:r>
        <w:rPr>
          <w:b/>
          <w:color w:val="000000"/>
          <w:szCs w:val="21"/>
        </w:rPr>
        <w:t xml:space="preserve"> Vandenų srities plėtros 2017–2023 metų programoje, </w:t>
      </w:r>
      <w:r>
        <w:rPr>
          <w:color w:val="000000"/>
          <w:szCs w:val="21"/>
        </w:rPr>
        <w:t>patvirtintoje Vyriausybės 2017 m. vasario 1 d. nutarimu Nr. 88 „Dėl Vandenų srities plėtros 2017–2023 metų programos patvirtinimo“ (toliau – Vandenų srities plėtros 2017–2023 metų programa), svarbiu aspektu oro taršos mažinimo ir oro kokybės gerinimo požiūriu laikomas nuotekų valymas dėl nuotekų dumblo generuojamos oro taršos. Programoje numatyti uždaviniai, netiesiogiai prisidėsiantys prie oro taršos mažinimo ir kokybės gerinimo:</w:t>
      </w:r>
    </w:p>
    <w:p w:rsidR="000E7C4C" w:rsidRDefault="003C3EA6">
      <w:pPr>
        <w:tabs>
          <w:tab w:val="left" w:pos="851"/>
        </w:tabs>
        <w:ind w:left="567" w:firstLine="720"/>
        <w:jc w:val="both"/>
        <w:rPr>
          <w:color w:val="000000"/>
          <w:szCs w:val="21"/>
        </w:rPr>
      </w:pPr>
      <w:r>
        <w:rPr>
          <w:color w:val="000000"/>
          <w:szCs w:val="21"/>
        </w:rPr>
        <w:t>26.1</w:t>
      </w:r>
      <w:r>
        <w:rPr>
          <w:color w:val="000000"/>
          <w:szCs w:val="21"/>
        </w:rPr>
        <w:t>. plėtoti ir renovuoti geriamojo vandens tiekimo ir nuotekų surinkimo infrastruktūrą;</w:t>
      </w:r>
    </w:p>
    <w:p w:rsidR="000E7C4C" w:rsidRDefault="003C3EA6">
      <w:pPr>
        <w:tabs>
          <w:tab w:val="left" w:pos="851"/>
        </w:tabs>
        <w:ind w:left="567" w:firstLine="720"/>
        <w:jc w:val="both"/>
        <w:rPr>
          <w:color w:val="000000"/>
          <w:szCs w:val="21"/>
        </w:rPr>
      </w:pPr>
      <w:r>
        <w:rPr>
          <w:color w:val="000000"/>
          <w:szCs w:val="21"/>
        </w:rPr>
        <w:t>26.2</w:t>
      </w:r>
      <w:r>
        <w:rPr>
          <w:color w:val="000000"/>
          <w:szCs w:val="21"/>
        </w:rPr>
        <w:t>. užtikrinti, kad individualiai tvarkomos nuotekos neterštų aplinkos.</w:t>
      </w:r>
    </w:p>
    <w:p w:rsidR="000E7C4C" w:rsidRDefault="003C3EA6">
      <w:pPr>
        <w:ind w:firstLine="567"/>
        <w:jc w:val="both"/>
        <w:rPr>
          <w:color w:val="000000"/>
          <w:szCs w:val="21"/>
        </w:rPr>
      </w:pPr>
      <w:r>
        <w:rPr>
          <w:color w:val="000000"/>
          <w:szCs w:val="21"/>
        </w:rPr>
        <w:t>27</w:t>
      </w:r>
      <w:r>
        <w:rPr>
          <w:color w:val="000000"/>
          <w:szCs w:val="21"/>
        </w:rPr>
        <w:t>.</w:t>
      </w:r>
      <w:r>
        <w:rPr>
          <w:b/>
          <w:color w:val="000000"/>
          <w:szCs w:val="21"/>
        </w:rPr>
        <w:t xml:space="preserve"> </w:t>
      </w:r>
      <w:r>
        <w:rPr>
          <w:color w:val="000000"/>
          <w:szCs w:val="21"/>
        </w:rPr>
        <w:t xml:space="preserve">Valstybiniame atliekų tvarkymo 2014–2020 metų plane nurodoma, kad komunalinių nuotekų dumblas turi būti kuo efektyviau tvarkomas atsižvelgiant į jo kokybę ir išnaudojant sukurtus dumblo tvarkymo </w:t>
      </w:r>
      <w:proofErr w:type="spellStart"/>
      <w:r>
        <w:rPr>
          <w:color w:val="000000"/>
          <w:szCs w:val="21"/>
        </w:rPr>
        <w:t>pajėgumus</w:t>
      </w:r>
      <w:proofErr w:type="spellEnd"/>
      <w:r>
        <w:rPr>
          <w:color w:val="000000"/>
          <w:szCs w:val="21"/>
        </w:rPr>
        <w:t>, maksimaliai išnaudojant dumblo energinį potencialą. Vienas iš dumblo panaudojimo būdų yra tręšimas dumblu, kuris turi būti naudojamas ribotai dėl taršos sunkiaisiais metalais (numatytas „Nuotekų dumblo naudojimo tręšimui reikalavimų“ papildymas dumblo naudojimo miškininkystėje kriterijais). Siekiant mažinti neigiamą dumblo poveikį, siekiama ištirti jo tvarkymo galimybes ir finansavimo šaltinius. Be to, iki 2015 m. pradžios buvo uždrausta šalinti dumblą sąvartynuose.</w:t>
      </w:r>
    </w:p>
    <w:p w:rsidR="000E7C4C" w:rsidRDefault="003C3EA6">
      <w:pPr>
        <w:ind w:firstLine="567"/>
        <w:jc w:val="both"/>
        <w:rPr>
          <w:color w:val="000000"/>
          <w:szCs w:val="21"/>
        </w:rPr>
      </w:pPr>
      <w:r>
        <w:rPr>
          <w:color w:val="000000"/>
          <w:szCs w:val="21"/>
        </w:rPr>
        <w:t>28</w:t>
      </w:r>
      <w:r>
        <w:rPr>
          <w:color w:val="000000"/>
          <w:szCs w:val="21"/>
        </w:rPr>
        <w:t xml:space="preserve">. Oro taršos mažinimas ir oro kokybės gerinimas labai susijęs su klimato kaitos valdymo politika. Kaip nurodoma </w:t>
      </w:r>
      <w:r>
        <w:rPr>
          <w:b/>
          <w:color w:val="000000"/>
          <w:szCs w:val="21"/>
        </w:rPr>
        <w:t>Nacionalinėje klimato kaitos valdymo politikos strategijoje</w:t>
      </w:r>
      <w:r>
        <w:rPr>
          <w:color w:val="000000"/>
          <w:szCs w:val="21"/>
        </w:rPr>
        <w:t xml:space="preserve">, patvirtintoje Seimo 2012 m. lapkričio 6 d. nutarimu Nr. XI-2375 „Dėl Nacionalinės klimato kaitos valdymo politikos strategijos patvirtinimo“ (toliau – Nacionalinė klimato kaitos valdymo politikos strategija), klimato kaita turės poveikį aplinkos oro kokybei, o „įgyvendinamos išmetamųjų ŠESD kiekį mažinančios priemonės papildys esamas ir planuojamas priemones aplinkos oro kokybei gerinti ir veiksmingai sumažins aplinkos oro taršą“. </w:t>
      </w:r>
      <w:r>
        <w:rPr>
          <w:b/>
          <w:color w:val="000000"/>
          <w:szCs w:val="21"/>
        </w:rPr>
        <w:t>2014 m. sausio 22 d. Europos Komisijos komunikate Europos Parlamentui, Tarybai, Europos ekonomikos ir socialinių reikalų komitetui ir regionų komitetui dėl 2020–2030 m. klimato ir energetikos politikos strategijos (</w:t>
      </w:r>
      <w:r>
        <w:rPr>
          <w:b/>
          <w:color w:val="000000"/>
          <w:szCs w:val="21"/>
          <w:lang w:val="en-US"/>
        </w:rPr>
        <w:t>COM(2014) 15 final)</w:t>
      </w:r>
      <w:r>
        <w:rPr>
          <w:color w:val="000000"/>
          <w:szCs w:val="21"/>
          <w:lang w:val="en-US"/>
        </w:rPr>
        <w:t xml:space="preserve"> </w:t>
      </w:r>
      <w:r>
        <w:rPr>
          <w:color w:val="000000"/>
          <w:szCs w:val="21"/>
        </w:rPr>
        <w:t>nustatyti trys tiksliniai rodikliai, susiję su klimato kaita ir tuo pačiu oro tarša – iki 2020 m. siekiama sumažinti išmetamo ŠESD kiekį 20 proc., padidinti atsinaujinančių energijos šaltinių naudojimą 20 proc. ir padidinti energijos vartojimo efektyvumą 20 proc., t. y. nustatyti „20-20-20“ tikslai. Nacionalinėje klimato kaitos valdymo politikos strategijoje nurodyta, kad šių tikslų įgyvendinimas turi būti užtikrintas ir Lietuvoje; nustatyti trumpalaikiai klimato kaitos švelninimo tikslai:</w:t>
      </w:r>
    </w:p>
    <w:p w:rsidR="000E7C4C" w:rsidRDefault="003C3EA6">
      <w:pPr>
        <w:tabs>
          <w:tab w:val="left" w:pos="851"/>
        </w:tabs>
        <w:ind w:firstLine="567"/>
        <w:jc w:val="both"/>
        <w:rPr>
          <w:color w:val="000000"/>
          <w:szCs w:val="21"/>
        </w:rPr>
      </w:pPr>
      <w:r>
        <w:rPr>
          <w:color w:val="000000"/>
          <w:szCs w:val="21"/>
        </w:rPr>
        <w:t>28.1</w:t>
      </w:r>
      <w:r>
        <w:rPr>
          <w:color w:val="000000"/>
          <w:szCs w:val="21"/>
        </w:rPr>
        <w:t>. pasiekti, kad ES prekybos apyvartinių taršos leidimų (toliau – ATL) sistemoje dalyvaujančiuose sektoriuose išmetamųjų ŠESD kiekis neviršytų 8,53 mln. t CO</w:t>
      </w:r>
      <w:r>
        <w:rPr>
          <w:color w:val="000000"/>
          <w:szCs w:val="21"/>
          <w:vertAlign w:val="subscript"/>
        </w:rPr>
        <w:t>2e</w:t>
      </w:r>
      <w:r>
        <w:rPr>
          <w:color w:val="000000"/>
          <w:szCs w:val="21"/>
        </w:rPr>
        <w:t>;</w:t>
      </w:r>
    </w:p>
    <w:p w:rsidR="000E7C4C" w:rsidRDefault="003C3EA6">
      <w:pPr>
        <w:tabs>
          <w:tab w:val="left" w:pos="851"/>
        </w:tabs>
        <w:ind w:firstLine="567"/>
        <w:jc w:val="both"/>
        <w:rPr>
          <w:color w:val="000000"/>
          <w:szCs w:val="21"/>
        </w:rPr>
      </w:pPr>
      <w:r>
        <w:rPr>
          <w:color w:val="000000"/>
          <w:szCs w:val="21"/>
        </w:rPr>
        <w:t>28.2</w:t>
      </w:r>
      <w:r>
        <w:rPr>
          <w:color w:val="000000"/>
          <w:szCs w:val="21"/>
        </w:rPr>
        <w:t>. pasiekti, kad ES prekybos ATL sistemoje nedalyvaujančiuose sektoriuose išmetamųjų ŠESD kiekis neviršytų 18,338 mln. t CO</w:t>
      </w:r>
      <w:r>
        <w:rPr>
          <w:color w:val="000000"/>
          <w:szCs w:val="21"/>
          <w:vertAlign w:val="subscript"/>
        </w:rPr>
        <w:t>2e</w:t>
      </w:r>
      <w:r>
        <w:rPr>
          <w:color w:val="000000"/>
          <w:szCs w:val="21"/>
        </w:rPr>
        <w:t xml:space="preserve"> ES 20 proc. tikslo atveju ir 16,584 mln. t CO</w:t>
      </w:r>
      <w:r>
        <w:rPr>
          <w:color w:val="000000"/>
          <w:szCs w:val="21"/>
          <w:vertAlign w:val="subscript"/>
        </w:rPr>
        <w:t>2e</w:t>
      </w:r>
      <w:r>
        <w:rPr>
          <w:color w:val="000000"/>
          <w:szCs w:val="21"/>
        </w:rPr>
        <w:t xml:space="preserve"> – ES 30 proc. tikslo atveju;</w:t>
      </w:r>
    </w:p>
    <w:p w:rsidR="000E7C4C" w:rsidRDefault="003C3EA6">
      <w:pPr>
        <w:tabs>
          <w:tab w:val="left" w:pos="851"/>
        </w:tabs>
        <w:ind w:firstLine="567"/>
        <w:jc w:val="both"/>
        <w:rPr>
          <w:color w:val="000000"/>
          <w:szCs w:val="21"/>
        </w:rPr>
      </w:pPr>
      <w:r>
        <w:rPr>
          <w:color w:val="000000"/>
          <w:szCs w:val="21"/>
        </w:rPr>
        <w:t>28.3</w:t>
      </w:r>
      <w:r>
        <w:rPr>
          <w:color w:val="000000"/>
          <w:szCs w:val="21"/>
        </w:rPr>
        <w:t>. pasiekti, kad atsinaujinančių išteklių energijos dalis, palyginti su šalies bendruoju galutiniu energijos suvartojimu, sudarytų ne mažiau kaip 23 proc.;</w:t>
      </w:r>
    </w:p>
    <w:p w:rsidR="000E7C4C" w:rsidRDefault="003C3EA6">
      <w:pPr>
        <w:tabs>
          <w:tab w:val="left" w:pos="851"/>
        </w:tabs>
        <w:ind w:firstLine="567"/>
        <w:jc w:val="both"/>
        <w:rPr>
          <w:color w:val="000000"/>
          <w:szCs w:val="21"/>
        </w:rPr>
      </w:pPr>
      <w:r>
        <w:rPr>
          <w:color w:val="000000"/>
          <w:szCs w:val="21"/>
        </w:rPr>
        <w:t>28.4</w:t>
      </w:r>
      <w:r>
        <w:rPr>
          <w:color w:val="000000"/>
          <w:szCs w:val="21"/>
        </w:rPr>
        <w:t>. kiekvienais metais suvartoti po 1,5 proc. mažiau energijos (2020 m. suvartoti 17 proc. mažiau energijos negu 2009 m.);</w:t>
      </w:r>
    </w:p>
    <w:p w:rsidR="000E7C4C" w:rsidRDefault="003C3EA6">
      <w:pPr>
        <w:tabs>
          <w:tab w:val="left" w:pos="851"/>
        </w:tabs>
        <w:ind w:firstLine="567"/>
        <w:jc w:val="both"/>
        <w:rPr>
          <w:color w:val="000000"/>
          <w:szCs w:val="21"/>
        </w:rPr>
      </w:pPr>
      <w:r>
        <w:rPr>
          <w:color w:val="000000"/>
          <w:szCs w:val="21"/>
        </w:rPr>
        <w:t>28.5</w:t>
      </w:r>
      <w:r>
        <w:rPr>
          <w:color w:val="000000"/>
          <w:szCs w:val="21"/>
        </w:rPr>
        <w:t>. siekti, kad trumpalaikių klimato kaitos švelninimo tikslų įgyvendinimui būtų skiriama ne mažiau kaip 0,38 proc. šalies BVP 2020 m.</w:t>
      </w:r>
    </w:p>
    <w:p w:rsidR="000E7C4C" w:rsidRDefault="003C3EA6">
      <w:pPr>
        <w:ind w:firstLine="567"/>
        <w:jc w:val="both"/>
        <w:rPr>
          <w:color w:val="000000"/>
          <w:szCs w:val="21"/>
        </w:rPr>
      </w:pPr>
      <w:r>
        <w:rPr>
          <w:color w:val="000000"/>
          <w:szCs w:val="21"/>
        </w:rPr>
        <w:t>29</w:t>
      </w:r>
      <w:r>
        <w:rPr>
          <w:color w:val="000000"/>
          <w:szCs w:val="21"/>
        </w:rPr>
        <w:t>. Tačiau ES vadovai 2014 m. spalio mėn. susitarė dėl naujų 2030 m. klimato ir energetikos tikslų, kuriais siekiama:</w:t>
      </w:r>
    </w:p>
    <w:p w:rsidR="000E7C4C" w:rsidRDefault="003C3EA6">
      <w:pPr>
        <w:tabs>
          <w:tab w:val="left" w:pos="851"/>
        </w:tabs>
        <w:ind w:firstLine="567"/>
        <w:jc w:val="both"/>
        <w:rPr>
          <w:color w:val="000000"/>
          <w:szCs w:val="21"/>
        </w:rPr>
      </w:pPr>
      <w:r>
        <w:rPr>
          <w:color w:val="000000"/>
          <w:szCs w:val="21"/>
        </w:rPr>
        <w:t>29.1</w:t>
      </w:r>
      <w:r>
        <w:rPr>
          <w:color w:val="000000"/>
          <w:szCs w:val="21"/>
        </w:rPr>
        <w:t>. išmetamą šiltnamio efektą sukeliančių dujų kiekį sumažinti bent 40 proc., palyginti su 1990 m. lygiu;</w:t>
      </w:r>
    </w:p>
    <w:p w:rsidR="000E7C4C" w:rsidRDefault="003C3EA6">
      <w:pPr>
        <w:tabs>
          <w:tab w:val="left" w:pos="851"/>
        </w:tabs>
        <w:ind w:firstLine="567"/>
        <w:jc w:val="both"/>
        <w:rPr>
          <w:color w:val="000000"/>
          <w:szCs w:val="21"/>
        </w:rPr>
      </w:pPr>
      <w:r>
        <w:rPr>
          <w:color w:val="000000"/>
          <w:szCs w:val="21"/>
        </w:rPr>
        <w:t>29.2</w:t>
      </w:r>
      <w:r>
        <w:rPr>
          <w:color w:val="000000"/>
          <w:szCs w:val="21"/>
        </w:rPr>
        <w:t>. ne mažiau kaip 27 proc. visos suvartojamos energijos gauti iš atsinaujinančiųjų išteklių;</w:t>
      </w:r>
    </w:p>
    <w:p w:rsidR="000E7C4C" w:rsidRDefault="003C3EA6">
      <w:pPr>
        <w:tabs>
          <w:tab w:val="left" w:pos="851"/>
        </w:tabs>
        <w:ind w:firstLine="567"/>
        <w:jc w:val="both"/>
        <w:rPr>
          <w:color w:val="000000"/>
          <w:szCs w:val="21"/>
        </w:rPr>
      </w:pPr>
      <w:r>
        <w:rPr>
          <w:color w:val="000000"/>
          <w:szCs w:val="21"/>
        </w:rPr>
        <w:t>29.3</w:t>
      </w:r>
      <w:r>
        <w:rPr>
          <w:color w:val="000000"/>
          <w:szCs w:val="21"/>
        </w:rPr>
        <w:t>. mažiausiai 27 proc. padidinti energijos vartojimo efektyvumą, t. y. sutaupyti energijos; 2020 m. šis tikslas bus peržiūrėtas ir galbūt nustatytas 30 proc. tikslas.</w:t>
      </w:r>
    </w:p>
    <w:p w:rsidR="000E7C4C" w:rsidRDefault="003C3EA6">
      <w:pPr>
        <w:ind w:firstLine="567"/>
        <w:jc w:val="both"/>
        <w:rPr>
          <w:color w:val="000000"/>
          <w:szCs w:val="21"/>
        </w:rPr>
      </w:pPr>
      <w:r>
        <w:rPr>
          <w:color w:val="000000"/>
          <w:szCs w:val="21"/>
        </w:rPr>
        <w:t>30</w:t>
      </w:r>
      <w:r>
        <w:rPr>
          <w:color w:val="000000"/>
          <w:szCs w:val="21"/>
        </w:rPr>
        <w:t xml:space="preserve">. Nacionalinėje klimato kaitos valdymo politikos strategijoje nurodyta, kad Lietuva siekia iki 2030 m. sumažinti 40 proc. ir iki 2040 m. – 60 proc. išmetamųjų ŠESD kiekį, palyginti su 1990 m. lygiu. </w:t>
      </w:r>
    </w:p>
    <w:p w:rsidR="000E7C4C" w:rsidRDefault="003C3EA6">
      <w:pPr>
        <w:ind w:firstLine="567"/>
        <w:jc w:val="both"/>
        <w:rPr>
          <w:color w:val="000000"/>
          <w:szCs w:val="21"/>
        </w:rPr>
      </w:pPr>
      <w:r>
        <w:rPr>
          <w:color w:val="000000"/>
          <w:szCs w:val="21"/>
        </w:rPr>
        <w:t>31</w:t>
      </w:r>
      <w:r>
        <w:rPr>
          <w:color w:val="000000"/>
          <w:szCs w:val="21"/>
        </w:rPr>
        <w:t xml:space="preserve">. ES įsipareigojo taip pat siekti ilgalaikio tikslo iki 2050 m. (dėl to siekiama, kad išsivysčiusios šalys imtųsi drauge panašių veiksmų, kas sumažintų išmetamųjų teršalų kiekį 80–95 proc., palyginti su 1990 m. lygiu). Lietuvai šis tikslas yra 80 proc. sumažintas išmetamųjų ŠESD kiekis, palyginti su 1990 m. lygiu. Nacionalinės klimato kaitos valdymo politikos strategijos 2013–2020 metų tikslų ir uždavinių įgyvendinimo </w:t>
      </w:r>
      <w:proofErr w:type="spellStart"/>
      <w:r>
        <w:rPr>
          <w:color w:val="000000"/>
          <w:szCs w:val="21"/>
        </w:rPr>
        <w:t>tarpinstituciniame</w:t>
      </w:r>
      <w:proofErr w:type="spellEnd"/>
      <w:r>
        <w:rPr>
          <w:color w:val="000000"/>
          <w:szCs w:val="21"/>
        </w:rPr>
        <w:t xml:space="preserve"> veiklos plane, patvirtintame Vyriausybės 2013 m. balandžio 23 d. nutarimu Nr. 366 „Dėl nacionalinės klimato kaitos valdymo politikos strategijos 2013–2020 metų tikslų ir uždavinių įgyvendinimo </w:t>
      </w:r>
      <w:proofErr w:type="spellStart"/>
      <w:r>
        <w:rPr>
          <w:color w:val="000000"/>
          <w:szCs w:val="21"/>
        </w:rPr>
        <w:t>tarpinstitucinio</w:t>
      </w:r>
      <w:proofErr w:type="spellEnd"/>
      <w:r>
        <w:rPr>
          <w:color w:val="000000"/>
          <w:szCs w:val="21"/>
        </w:rPr>
        <w:t xml:space="preserve"> veiklos plano patvirtinimo“ pakeitimo“, numatyta, kaip turi būti įgyvendinami Nacionalinėje klimato kaitos valdymo politikos strategijoje nustatyti tikslai, pasidalinant tam tikrų tikslų ir uždavinių įgyvendinimą tarp institucijų ir siekiant </w:t>
      </w:r>
      <w:proofErr w:type="spellStart"/>
      <w:r>
        <w:rPr>
          <w:color w:val="000000"/>
          <w:szCs w:val="21"/>
        </w:rPr>
        <w:t>tarpinstitucinio</w:t>
      </w:r>
      <w:proofErr w:type="spellEnd"/>
      <w:r>
        <w:rPr>
          <w:color w:val="000000"/>
          <w:szCs w:val="21"/>
        </w:rPr>
        <w:t xml:space="preserve"> bendradarbiavimo. Prie Nacionalinės klimato kaitos valdymo politikos strategijos įgyvendinimo prisidės tokios Lietuvos Respublikos ministerijos: Lietuvos Respublikos aplinkos ministerija, Lietuvos Respublikos energetikos ministerija, Lietuvos Respublikos vidaus reikalų ministerija, Lietuvos Respublikos susisiekimo ministerija, Lietuvos Respublikos ekonomikos ir inovacijų ministerija, Lietuvos Respublikos žemės ūkio ministerija, Lietuvos Respublikos švietimo, mokslo ir sporto ministerija, Lietuvos Respublikos sveikatos apsaugos ministerija, Lietuvos Respublikos užsienio reikalų ministerija; taip pat Lietuvos standartizacijos departamentas.</w:t>
      </w:r>
    </w:p>
    <w:p w:rsidR="000E7C4C" w:rsidRDefault="003C3EA6">
      <w:pPr>
        <w:ind w:firstLine="567"/>
        <w:jc w:val="both"/>
        <w:rPr>
          <w:color w:val="000000"/>
          <w:szCs w:val="21"/>
        </w:rPr>
      </w:pPr>
      <w:r>
        <w:rPr>
          <w:color w:val="000000"/>
          <w:szCs w:val="21"/>
        </w:rPr>
        <w:t>32</w:t>
      </w:r>
      <w:r>
        <w:rPr>
          <w:color w:val="000000"/>
          <w:szCs w:val="21"/>
        </w:rPr>
        <w:t>. Apibendrinant atliktą analizę, pažymėtina, kad strateginiuose dokumentuose dominuoja keli esminiai su oro taršos mažinimu (valdymu) susiję aspektai (žr. 1 pav.).</w:t>
      </w:r>
    </w:p>
    <w:p w:rsidR="000E7C4C" w:rsidRDefault="003C3EA6">
      <w:pPr>
        <w:rPr>
          <w:color w:val="000000"/>
          <w:szCs w:val="21"/>
        </w:rPr>
      </w:pPr>
      <w:r>
        <w:rPr>
          <w:color w:val="000000"/>
          <w:szCs w:val="21"/>
        </w:rPr>
        <w:br w:type="page"/>
      </w:r>
    </w:p>
    <w:p w:rsidR="000E7C4C" w:rsidRDefault="003C3EA6">
      <w:pPr>
        <w:jc w:val="both"/>
        <w:rPr>
          <w:color w:val="000000"/>
          <w:szCs w:val="21"/>
        </w:rPr>
      </w:pPr>
      <w:r>
        <w:rPr>
          <w:noProof/>
          <w:lang w:eastAsia="lt-LT"/>
        </w:rPr>
        <mc:AlternateContent>
          <mc:Choice Requires="wpg">
            <w:drawing>
              <wp:anchor distT="0" distB="0" distL="114300" distR="114300" simplePos="0" relativeHeight="251662336" behindDoc="0" locked="0" layoutInCell="1" allowOverlap="1" wp14:anchorId="287D1581" wp14:editId="0A2AE33C">
                <wp:simplePos x="0" y="0"/>
                <wp:positionH relativeFrom="column">
                  <wp:posOffset>141605</wp:posOffset>
                </wp:positionH>
                <wp:positionV relativeFrom="paragraph">
                  <wp:posOffset>27940</wp:posOffset>
                </wp:positionV>
                <wp:extent cx="6162040" cy="8597265"/>
                <wp:effectExtent l="0" t="0" r="10160" b="13335"/>
                <wp:wrapNone/>
                <wp:docPr id="107" name="Grupė 107"/>
                <wp:cNvGraphicFramePr/>
                <a:graphic xmlns:a="http://schemas.openxmlformats.org/drawingml/2006/main">
                  <a:graphicData uri="http://schemas.microsoft.com/office/word/2010/wordprocessingGroup">
                    <wpg:wgp>
                      <wpg:cNvGrpSpPr/>
                      <wpg:grpSpPr>
                        <a:xfrm>
                          <a:off x="0" y="0"/>
                          <a:ext cx="6161405" cy="8596630"/>
                          <a:chOff x="0" y="0"/>
                          <a:chExt cx="6302375" cy="9006205"/>
                        </a:xfrm>
                      </wpg:grpSpPr>
                      <wpg:grpSp>
                        <wpg:cNvPr id="35" name="Group 109"/>
                        <wpg:cNvGrpSpPr/>
                        <wpg:grpSpPr>
                          <a:xfrm>
                            <a:off x="0" y="0"/>
                            <a:ext cx="6302375" cy="9006205"/>
                            <a:chOff x="0" y="0"/>
                            <a:chExt cx="6302375" cy="9006205"/>
                          </a:xfrm>
                        </wpg:grpSpPr>
                        <wpg:grpSp>
                          <wpg:cNvPr id="37" name="Group 111"/>
                          <wpg:cNvGrpSpPr/>
                          <wpg:grpSpPr>
                            <a:xfrm>
                              <a:off x="0" y="0"/>
                              <a:ext cx="6302375" cy="9006205"/>
                              <a:chOff x="0" y="0"/>
                              <a:chExt cx="6302375" cy="9006205"/>
                            </a:xfrm>
                          </wpg:grpSpPr>
                          <wps:wsp>
                            <wps:cNvPr id="40" name="Rectangle 113"/>
                            <wps:cNvSpPr/>
                            <wps:spPr>
                              <a:xfrm>
                                <a:off x="0" y="0"/>
                                <a:ext cx="2344857" cy="381136"/>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jc w:val="both"/>
                                    <w:rPr>
                                      <w:color w:val="FFFFFF"/>
                                      <w:sz w:val="18"/>
                                      <w:szCs w:val="18"/>
                                    </w:rPr>
                                  </w:pPr>
                                  <w:r>
                                    <w:rPr>
                                      <w:color w:val="FFFFFF"/>
                                      <w:sz w:val="18"/>
                                      <w:szCs w:val="18"/>
                                    </w:rPr>
                                    <w:t>Oro taršos mažinimo (valdymo) aspektai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148"/>
                            <wps:cNvSpPr/>
                            <wps:spPr>
                              <a:xfrm>
                                <a:off x="2628900" y="0"/>
                                <a:ext cx="3644035" cy="381136"/>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jc w:val="both"/>
                                    <w:rPr>
                                      <w:color w:val="FFFFFF"/>
                                      <w:sz w:val="18"/>
                                      <w:szCs w:val="18"/>
                                    </w:rPr>
                                  </w:pPr>
                                  <w:r>
                                    <w:rPr>
                                      <w:color w:val="FFFFFF"/>
                                      <w:sz w:val="18"/>
                                      <w:szCs w:val="18"/>
                                    </w:rPr>
                                    <w:t>Strategijos, programos, planai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151"/>
                            <wps:cNvSpPr/>
                            <wps:spPr>
                              <a:xfrm>
                                <a:off x="19050" y="476250"/>
                                <a:ext cx="2344420" cy="560705"/>
                              </a:xfrm>
                              <a:prstGeom prst="rect">
                                <a:avLst/>
                              </a:prstGeom>
                              <a:solidFill>
                                <a:schemeClr val="bg1"/>
                              </a:solid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18"/>
                                    </w:rPr>
                                  </w:pPr>
                                  <w:r>
                                    <w:rPr>
                                      <w:color w:val="000000"/>
                                      <w:sz w:val="18"/>
                                      <w:szCs w:val="18"/>
                                    </w:rPr>
                                    <w:t>Tikslas mažinti oro užterštumą ir gerinti oro kokybę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157"/>
                            <wps:cNvSpPr/>
                            <wps:spPr>
                              <a:xfrm>
                                <a:off x="2628900" y="476250"/>
                                <a:ext cx="3654425" cy="560717"/>
                              </a:xfrm>
                              <a:prstGeom prst="rect">
                                <a:avLst/>
                              </a:prstGeom>
                              <a:solidFill>
                                <a:schemeClr val="bg1"/>
                              </a:solid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jc w:val="both"/>
                                    <w:rPr>
                                      <w:color w:val="000000"/>
                                      <w:sz w:val="18"/>
                                      <w:szCs w:val="18"/>
                                    </w:rPr>
                                  </w:pPr>
                                  <w:r>
                                    <w:rPr>
                                      <w:color w:val="000000"/>
                                      <w:sz w:val="18"/>
                                      <w:szCs w:val="18"/>
                                    </w:rPr>
                                    <w:t xml:space="preserve">Nacionalinė darnaus vystymosi strategija </w:t>
                                  </w:r>
                                </w:p>
                                <w:p w:rsidR="003C3EA6" w:rsidRDefault="003C3EA6">
                                  <w:pPr>
                                    <w:jc w:val="both"/>
                                    <w:rPr>
                                      <w:color w:val="000000"/>
                                      <w:sz w:val="18"/>
                                      <w:szCs w:val="18"/>
                                    </w:rPr>
                                  </w:pPr>
                                  <w:r>
                                    <w:rPr>
                                      <w:color w:val="000000"/>
                                      <w:sz w:val="18"/>
                                      <w:szCs w:val="18"/>
                                    </w:rPr>
                                    <w:t>Lietuvos sveikatos 2014–2025 metų strategija</w:t>
                                  </w:r>
                                </w:p>
                                <w:p w:rsidR="003C3EA6" w:rsidRDefault="003C3EA6">
                                  <w:pPr>
                                    <w:jc w:val="both"/>
                                    <w:rPr>
                                      <w:color w:val="000000"/>
                                      <w:sz w:val="18"/>
                                      <w:szCs w:val="18"/>
                                    </w:rPr>
                                  </w:pPr>
                                  <w:r>
                                    <w:rPr>
                                      <w:color w:val="000000"/>
                                      <w:sz w:val="18"/>
                                      <w:szCs w:val="18"/>
                                    </w:rPr>
                                    <w:t>Nacionalinė klimato kaitos valdymo politikos strategija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Rectangle 162"/>
                            <wps:cNvSpPr/>
                            <wps:spPr>
                              <a:xfrm>
                                <a:off x="19050" y="1943100"/>
                                <a:ext cx="2344420" cy="267335"/>
                              </a:xfrm>
                              <a:prstGeom prst="rect">
                                <a:avLst/>
                              </a:prstGeom>
                              <a:solidFill>
                                <a:schemeClr val="bg1"/>
                              </a:solid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18"/>
                                    </w:rPr>
                                  </w:pPr>
                                  <w:r>
                                    <w:rPr>
                                      <w:color w:val="000000"/>
                                      <w:sz w:val="18"/>
                                      <w:szCs w:val="18"/>
                                    </w:rPr>
                                    <w:t>Rodiklių atitikimas nustatytiems normatyvams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163"/>
                            <wps:cNvSpPr/>
                            <wps:spPr>
                              <a:xfrm>
                                <a:off x="2628900" y="1943100"/>
                                <a:ext cx="3654425" cy="267335"/>
                              </a:xfrm>
                              <a:prstGeom prst="rect">
                                <a:avLst/>
                              </a:prstGeom>
                              <a:solidFill>
                                <a:schemeClr val="bg1"/>
                              </a:solid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jc w:val="both"/>
                                    <w:rPr>
                                      <w:color w:val="000000"/>
                                      <w:sz w:val="18"/>
                                      <w:szCs w:val="18"/>
                                    </w:rPr>
                                  </w:pPr>
                                  <w:r>
                                    <w:rPr>
                                      <w:color w:val="000000"/>
                                      <w:sz w:val="18"/>
                                      <w:szCs w:val="18"/>
                                    </w:rPr>
                                    <w:t xml:space="preserve">Nacionalinė darnaus vystymosi strategija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Rectangle 196"/>
                            <wps:cNvSpPr/>
                            <wps:spPr>
                              <a:xfrm>
                                <a:off x="19050" y="2286000"/>
                                <a:ext cx="2344420" cy="939800"/>
                              </a:xfrm>
                              <a:prstGeom prst="rect">
                                <a:avLst/>
                              </a:prstGeom>
                              <a:solidFill>
                                <a:schemeClr val="bg1"/>
                              </a:solid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18"/>
                                    </w:rPr>
                                  </w:pPr>
                                  <w:r>
                                    <w:rPr>
                                      <w:color w:val="000000"/>
                                      <w:sz w:val="18"/>
                                      <w:szCs w:val="18"/>
                                    </w:rPr>
                                    <w:t>Tam tikrų teršalų sumažinimo tikslai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Rectangle 199"/>
                            <wps:cNvSpPr/>
                            <wps:spPr>
                              <a:xfrm>
                                <a:off x="2647950" y="2286000"/>
                                <a:ext cx="3654425" cy="939800"/>
                              </a:xfrm>
                              <a:prstGeom prst="rect">
                                <a:avLst/>
                              </a:prstGeom>
                              <a:solidFill>
                                <a:schemeClr val="bg1"/>
                              </a:solid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jc w:val="both"/>
                                    <w:rPr>
                                      <w:color w:val="000000"/>
                                      <w:sz w:val="18"/>
                                      <w:szCs w:val="18"/>
                                    </w:rPr>
                                  </w:pPr>
                                  <w:r>
                                    <w:rPr>
                                      <w:color w:val="000000"/>
                                      <w:sz w:val="18"/>
                                      <w:szCs w:val="18"/>
                                    </w:rPr>
                                    <w:t xml:space="preserve">Nacionalinė darnaus vystymosi strategija </w:t>
                                  </w:r>
                                </w:p>
                                <w:p w:rsidR="003C3EA6" w:rsidRDefault="003C3EA6">
                                  <w:pPr>
                                    <w:jc w:val="both"/>
                                    <w:rPr>
                                      <w:color w:val="000000"/>
                                      <w:sz w:val="18"/>
                                      <w:szCs w:val="18"/>
                                    </w:rPr>
                                  </w:pPr>
                                  <w:r>
                                    <w:rPr>
                                      <w:color w:val="000000"/>
                                      <w:sz w:val="18"/>
                                      <w:szCs w:val="18"/>
                                    </w:rPr>
                                    <w:t>Valstybės ilgalaikė raidos strategija</w:t>
                                  </w:r>
                                </w:p>
                                <w:p w:rsidR="003C3EA6" w:rsidRDefault="003C3EA6">
                                  <w:pPr>
                                    <w:jc w:val="both"/>
                                    <w:rPr>
                                      <w:color w:val="000000"/>
                                      <w:sz w:val="18"/>
                                      <w:szCs w:val="18"/>
                                    </w:rPr>
                                  </w:pPr>
                                  <w:r>
                                    <w:rPr>
                                      <w:color w:val="000000"/>
                                      <w:sz w:val="18"/>
                                      <w:szCs w:val="18"/>
                                    </w:rPr>
                                    <w:t xml:space="preserve">Lietuvos kaimo plėtros 2014–2020 m. programa </w:t>
                                  </w:r>
                                </w:p>
                                <w:p w:rsidR="003C3EA6" w:rsidRDefault="003C3EA6">
                                  <w:pPr>
                                    <w:jc w:val="both"/>
                                    <w:rPr>
                                      <w:color w:val="000000"/>
                                      <w:sz w:val="18"/>
                                      <w:szCs w:val="18"/>
                                    </w:rPr>
                                  </w:pPr>
                                  <w:r>
                                    <w:rPr>
                                      <w:color w:val="000000"/>
                                      <w:sz w:val="18"/>
                                      <w:szCs w:val="18"/>
                                    </w:rPr>
                                    <w:t xml:space="preserve">Nacionalinė klimato kaitos valdymo politikos strategija </w:t>
                                  </w:r>
                                </w:p>
                                <w:p w:rsidR="003C3EA6" w:rsidRDefault="003C3EA6">
                                  <w:pPr>
                                    <w:jc w:val="both"/>
                                    <w:rPr>
                                      <w:color w:val="000000"/>
                                      <w:sz w:val="18"/>
                                      <w:szCs w:val="18"/>
                                    </w:rPr>
                                  </w:pPr>
                                  <w:r>
                                    <w:rPr>
                                      <w:color w:val="000000"/>
                                      <w:sz w:val="18"/>
                                      <w:szCs w:val="18"/>
                                    </w:rPr>
                                    <w:t>Europos Komisijos komunikatas dėl 2020–2030 m. klimato ir energetikos politikos strategijos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8" name="Group 200"/>
                            <wpg:cNvGrpSpPr/>
                            <wpg:grpSpPr>
                              <a:xfrm>
                                <a:off x="19050" y="3295650"/>
                                <a:ext cx="2344420" cy="5710555"/>
                                <a:chOff x="19050" y="3295650"/>
                                <a:chExt cx="2667000" cy="3256236"/>
                              </a:xfrm>
                            </wpg:grpSpPr>
                            <wps:wsp>
                              <wps:cNvPr id="67" name="Rectangle 202"/>
                              <wps:cNvSpPr/>
                              <wps:spPr>
                                <a:xfrm>
                                  <a:off x="19050" y="3295650"/>
                                  <a:ext cx="2667000" cy="3256236"/>
                                </a:xfrm>
                                <a:prstGeom prst="rect">
                                  <a:avLst/>
                                </a:prstGeom>
                                <a:solidFill>
                                  <a:schemeClr val="bg1"/>
                                </a:solid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18"/>
                                      </w:rPr>
                                    </w:pPr>
                                    <w:r>
                                      <w:rPr>
                                        <w:color w:val="000000"/>
                                        <w:sz w:val="18"/>
                                        <w:szCs w:val="18"/>
                                      </w:rPr>
                                      <w:t>Tikslai ir priemonės pagal sektorius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 name="Rectangle 204"/>
                              <wps:cNvSpPr/>
                              <wps:spPr>
                                <a:xfrm>
                                  <a:off x="84891" y="3471172"/>
                                  <a:ext cx="2514601" cy="723900"/>
                                </a:xfrm>
                                <a:prstGeom prst="rect">
                                  <a:avLst/>
                                </a:prstGeom>
                                <a:solidFill>
                                  <a:schemeClr val="bg1"/>
                                </a:solid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18"/>
                                      </w:rPr>
                                    </w:pPr>
                                    <w:r>
                                      <w:rPr>
                                        <w:color w:val="000000"/>
                                        <w:sz w:val="18"/>
                                        <w:szCs w:val="18"/>
                                      </w:rPr>
                                      <w:t>Energetikos (AEI naudojimo, energijos vartojimo efektyvumo, šilumos ūkio efektyvumo didinimas, iškastinio kuro naudojimo mažinimas, biokuro naudojimo didinimas ir kt.)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Rectangle 235"/>
                              <wps:cNvSpPr/>
                              <wps:spPr>
                                <a:xfrm>
                                  <a:off x="84891" y="4282640"/>
                                  <a:ext cx="2514601" cy="661971"/>
                                </a:xfrm>
                                <a:prstGeom prst="rect">
                                  <a:avLst/>
                                </a:prstGeom>
                                <a:solidFill>
                                  <a:schemeClr val="bg1"/>
                                </a:solid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18"/>
                                      </w:rPr>
                                    </w:pPr>
                                    <w:r>
                                      <w:rPr>
                                        <w:color w:val="000000"/>
                                        <w:sz w:val="18"/>
                                        <w:szCs w:val="18"/>
                                      </w:rPr>
                                      <w:t>Transporto (tobulinti reguliavimą, skatinti naudoti AEI ir kt.)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236"/>
                              <wps:cNvSpPr/>
                              <wps:spPr>
                                <a:xfrm>
                                  <a:off x="84891" y="5002899"/>
                                  <a:ext cx="2514601" cy="451593"/>
                                </a:xfrm>
                                <a:prstGeom prst="rect">
                                  <a:avLst/>
                                </a:prstGeom>
                                <a:solidFill>
                                  <a:schemeClr val="bg1"/>
                                </a:solid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18"/>
                                      </w:rPr>
                                    </w:pPr>
                                    <w:r>
                                      <w:rPr>
                                        <w:color w:val="000000"/>
                                        <w:sz w:val="18"/>
                                        <w:szCs w:val="18"/>
                                      </w:rPr>
                                      <w:t>Žemės ūkio (naudojamų technologijų (ypač gyvulininkystės) tobulinimas, mokymai ir kt.)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Rectangle 237"/>
                              <wps:cNvSpPr/>
                              <wps:spPr>
                                <a:xfrm>
                                  <a:off x="84891" y="5510431"/>
                                  <a:ext cx="2514601" cy="372235"/>
                                </a:xfrm>
                                <a:prstGeom prst="rect">
                                  <a:avLst/>
                                </a:prstGeom>
                                <a:solidFill>
                                  <a:schemeClr val="bg1"/>
                                </a:solid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18"/>
                                      </w:rPr>
                                    </w:pPr>
                                    <w:r>
                                      <w:rPr>
                                        <w:color w:val="000000"/>
                                        <w:sz w:val="18"/>
                                        <w:szCs w:val="18"/>
                                      </w:rPr>
                                      <w:t>Sveikatos apsaugos (fizinės darbo ir gyvenamosios aplinkos gerinimas ir kt.)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9" name="Rectangle 238"/>
                            <wps:cNvSpPr/>
                            <wps:spPr>
                              <a:xfrm>
                                <a:off x="2647950" y="3295650"/>
                                <a:ext cx="3654425" cy="1651635"/>
                              </a:xfrm>
                              <a:prstGeom prst="rect">
                                <a:avLst/>
                              </a:prstGeom>
                              <a:solidFill>
                                <a:schemeClr val="bg1"/>
                              </a:solid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jc w:val="both"/>
                                    <w:rPr>
                                      <w:color w:val="000000"/>
                                      <w:sz w:val="18"/>
                                      <w:szCs w:val="18"/>
                                    </w:rPr>
                                  </w:pPr>
                                  <w:r>
                                    <w:rPr>
                                      <w:color w:val="000000"/>
                                      <w:sz w:val="18"/>
                                      <w:szCs w:val="18"/>
                                    </w:rPr>
                                    <w:t xml:space="preserve">Valstybės ilgalaikė raidos strategija </w:t>
                                  </w:r>
                                </w:p>
                                <w:p w:rsidR="003C3EA6" w:rsidRDefault="003C3EA6">
                                  <w:pPr>
                                    <w:jc w:val="both"/>
                                    <w:rPr>
                                      <w:color w:val="000000"/>
                                      <w:sz w:val="18"/>
                                      <w:szCs w:val="18"/>
                                    </w:rPr>
                                  </w:pPr>
                                  <w:r>
                                    <w:rPr>
                                      <w:color w:val="000000"/>
                                      <w:sz w:val="18"/>
                                      <w:szCs w:val="18"/>
                                    </w:rPr>
                                    <w:t>2014–2020 metų nacionalinės pažangos programa</w:t>
                                  </w:r>
                                </w:p>
                                <w:p w:rsidR="003C3EA6" w:rsidRDefault="003C3EA6">
                                  <w:pPr>
                                    <w:jc w:val="both"/>
                                    <w:rPr>
                                      <w:color w:val="000000"/>
                                      <w:sz w:val="18"/>
                                      <w:szCs w:val="18"/>
                                    </w:rPr>
                                  </w:pPr>
                                  <w:r>
                                    <w:rPr>
                                      <w:color w:val="000000"/>
                                      <w:sz w:val="18"/>
                                      <w:szCs w:val="18"/>
                                    </w:rPr>
                                    <w:t>Nacionalinė energetinės nepriklausomybės strategija</w:t>
                                  </w:r>
                                </w:p>
                                <w:p w:rsidR="003C3EA6" w:rsidRDefault="003C3EA6">
                                  <w:pPr>
                                    <w:jc w:val="both"/>
                                    <w:rPr>
                                      <w:color w:val="000000"/>
                                      <w:sz w:val="18"/>
                                      <w:szCs w:val="18"/>
                                    </w:rPr>
                                  </w:pPr>
                                  <w:r>
                                    <w:rPr>
                                      <w:color w:val="000000"/>
                                      <w:sz w:val="18"/>
                                      <w:szCs w:val="18"/>
                                    </w:rPr>
                                    <w:t>Nacionalinė atsinaujinančių energijos išteklių plėtros strategija</w:t>
                                  </w:r>
                                </w:p>
                                <w:p w:rsidR="003C3EA6" w:rsidRDefault="003C3EA6">
                                  <w:pPr>
                                    <w:jc w:val="both"/>
                                    <w:rPr>
                                      <w:color w:val="000000"/>
                                      <w:sz w:val="18"/>
                                      <w:szCs w:val="18"/>
                                    </w:rPr>
                                  </w:pPr>
                                  <w:r>
                                    <w:rPr>
                                      <w:color w:val="000000"/>
                                      <w:sz w:val="18"/>
                                      <w:szCs w:val="18"/>
                                    </w:rPr>
                                    <w:t>Europos Komisijos komunikatas dėl 2020-2030 m. klimato ir energetikos politikos strategijos</w:t>
                                  </w:r>
                                </w:p>
                                <w:p w:rsidR="003C3EA6" w:rsidRDefault="003C3EA6">
                                  <w:pPr>
                                    <w:jc w:val="both"/>
                                    <w:rPr>
                                      <w:color w:val="000000"/>
                                      <w:sz w:val="18"/>
                                      <w:szCs w:val="18"/>
                                    </w:rPr>
                                  </w:pPr>
                                  <w:r>
                                    <w:rPr>
                                      <w:color w:val="000000"/>
                                      <w:sz w:val="18"/>
                                      <w:szCs w:val="18"/>
                                    </w:rPr>
                                    <w:t>Nacionalinė susisiekimo plėtros 2014-2022 metų programa</w:t>
                                  </w:r>
                                </w:p>
                                <w:p w:rsidR="003C3EA6" w:rsidRDefault="003C3EA6">
                                  <w:pPr>
                                    <w:jc w:val="both"/>
                                    <w:rPr>
                                      <w:color w:val="000000"/>
                                      <w:sz w:val="18"/>
                                      <w:szCs w:val="18"/>
                                    </w:rPr>
                                  </w:pPr>
                                  <w:r>
                                    <w:rPr>
                                      <w:color w:val="000000"/>
                                      <w:sz w:val="18"/>
                                      <w:szCs w:val="18"/>
                                    </w:rPr>
                                    <w:t>Vyriausybės programa</w:t>
                                  </w:r>
                                </w:p>
                                <w:p w:rsidR="003C3EA6" w:rsidRDefault="003C3EA6">
                                  <w:pPr>
                                    <w:jc w:val="both"/>
                                    <w:rPr>
                                      <w:color w:val="000000"/>
                                      <w:sz w:val="18"/>
                                      <w:szCs w:val="18"/>
                                    </w:rPr>
                                  </w:pPr>
                                  <w:r>
                                    <w:rPr>
                                      <w:color w:val="000000"/>
                                      <w:sz w:val="18"/>
                                      <w:szCs w:val="18"/>
                                    </w:rPr>
                                    <w:t>Bendrasis planas</w:t>
                                  </w:r>
                                </w:p>
                                <w:p w:rsidR="003C3EA6" w:rsidRDefault="003C3EA6">
                                  <w:pPr>
                                    <w:jc w:val="both"/>
                                    <w:rPr>
                                      <w:color w:val="000000"/>
                                      <w:sz w:val="18"/>
                                      <w:szCs w:val="18"/>
                                    </w:rPr>
                                  </w:pPr>
                                  <w:r>
                                    <w:rPr>
                                      <w:color w:val="000000"/>
                                      <w:sz w:val="18"/>
                                      <w:szCs w:val="18"/>
                                    </w:rPr>
                                    <w:t xml:space="preserve">Valstybės pažangos strategija </w:t>
                                  </w:r>
                                </w:p>
                                <w:p w:rsidR="003C3EA6" w:rsidRDefault="003C3EA6">
                                  <w:pPr>
                                    <w:jc w:val="both"/>
                                    <w:rPr>
                                      <w:color w:val="000000"/>
                                      <w:sz w:val="18"/>
                                      <w:szCs w:val="18"/>
                                    </w:rPr>
                                  </w:pPr>
                                  <w:r>
                                    <w:rPr>
                                      <w:color w:val="000000"/>
                                      <w:sz w:val="18"/>
                                      <w:szCs w:val="18"/>
                                    </w:rPr>
                                    <w:t>Valstybinis atliekų tvarkymo 2014-2020 metų planas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Rectangle 239"/>
                            <wps:cNvSpPr/>
                            <wps:spPr>
                              <a:xfrm>
                                <a:off x="2647950" y="5029200"/>
                                <a:ext cx="3654425" cy="1207698"/>
                              </a:xfrm>
                              <a:prstGeom prst="rect">
                                <a:avLst/>
                              </a:prstGeom>
                              <a:solidFill>
                                <a:schemeClr val="bg1"/>
                              </a:solid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jc w:val="both"/>
                                    <w:rPr>
                                      <w:color w:val="000000"/>
                                      <w:sz w:val="18"/>
                                      <w:szCs w:val="18"/>
                                    </w:rPr>
                                  </w:pPr>
                                  <w:r>
                                    <w:rPr>
                                      <w:color w:val="000000"/>
                                      <w:sz w:val="18"/>
                                      <w:szCs w:val="18"/>
                                    </w:rPr>
                                    <w:t>Nacionalinė darnaus vystymosi strategija</w:t>
                                  </w:r>
                                </w:p>
                                <w:p w:rsidR="003C3EA6" w:rsidRDefault="003C3EA6">
                                  <w:pPr>
                                    <w:jc w:val="both"/>
                                    <w:rPr>
                                      <w:color w:val="000000"/>
                                      <w:sz w:val="18"/>
                                      <w:szCs w:val="18"/>
                                    </w:rPr>
                                  </w:pPr>
                                  <w:r>
                                    <w:rPr>
                                      <w:color w:val="000000"/>
                                      <w:sz w:val="18"/>
                                      <w:szCs w:val="18"/>
                                    </w:rPr>
                                    <w:t xml:space="preserve">Valstybės ilgalaikė raidos strategija </w:t>
                                  </w:r>
                                </w:p>
                                <w:p w:rsidR="003C3EA6" w:rsidRDefault="003C3EA6">
                                  <w:pPr>
                                    <w:jc w:val="both"/>
                                    <w:rPr>
                                      <w:color w:val="000000"/>
                                      <w:sz w:val="18"/>
                                      <w:szCs w:val="18"/>
                                    </w:rPr>
                                  </w:pPr>
                                  <w:r>
                                    <w:rPr>
                                      <w:color w:val="000000"/>
                                      <w:sz w:val="18"/>
                                      <w:szCs w:val="18"/>
                                    </w:rPr>
                                    <w:t>2014-2020 metų nacionalinės pažangos programa</w:t>
                                  </w:r>
                                </w:p>
                                <w:p w:rsidR="003C3EA6" w:rsidRDefault="003C3EA6">
                                  <w:pPr>
                                    <w:jc w:val="both"/>
                                    <w:rPr>
                                      <w:color w:val="000000"/>
                                      <w:sz w:val="18"/>
                                      <w:szCs w:val="18"/>
                                    </w:rPr>
                                  </w:pPr>
                                  <w:r>
                                    <w:rPr>
                                      <w:color w:val="000000"/>
                                      <w:sz w:val="18"/>
                                      <w:szCs w:val="18"/>
                                    </w:rPr>
                                    <w:t>Nacionalinė energetinės nepriklausomybės strategija</w:t>
                                  </w:r>
                                </w:p>
                                <w:p w:rsidR="003C3EA6" w:rsidRDefault="003C3EA6">
                                  <w:pPr>
                                    <w:jc w:val="both"/>
                                    <w:rPr>
                                      <w:color w:val="000000"/>
                                      <w:sz w:val="18"/>
                                      <w:szCs w:val="18"/>
                                    </w:rPr>
                                  </w:pPr>
                                  <w:r>
                                    <w:rPr>
                                      <w:color w:val="000000"/>
                                      <w:sz w:val="18"/>
                                      <w:szCs w:val="18"/>
                                    </w:rPr>
                                    <w:t xml:space="preserve">Nacionalinė atsinaujinančių energijos išteklių plėtros strategija </w:t>
                                  </w:r>
                                </w:p>
                                <w:p w:rsidR="003C3EA6" w:rsidRDefault="003C3EA6">
                                  <w:pPr>
                                    <w:jc w:val="both"/>
                                    <w:rPr>
                                      <w:color w:val="000000"/>
                                      <w:sz w:val="18"/>
                                      <w:szCs w:val="18"/>
                                    </w:rPr>
                                  </w:pPr>
                                  <w:r>
                                    <w:rPr>
                                      <w:color w:val="000000"/>
                                      <w:sz w:val="18"/>
                                      <w:szCs w:val="18"/>
                                    </w:rPr>
                                    <w:t>Nacionalinė susisiekimo plėtros 2014–2022 metų programa</w:t>
                                  </w:r>
                                </w:p>
                                <w:p w:rsidR="003C3EA6" w:rsidRDefault="003C3EA6">
                                  <w:pPr>
                                    <w:jc w:val="both"/>
                                    <w:rPr>
                                      <w:color w:val="000000"/>
                                      <w:sz w:val="18"/>
                                      <w:szCs w:val="18"/>
                                    </w:rPr>
                                  </w:pPr>
                                  <w:r>
                                    <w:rPr>
                                      <w:color w:val="000000"/>
                                      <w:sz w:val="18"/>
                                      <w:szCs w:val="18"/>
                                    </w:rPr>
                                    <w:t>Vyriausybės programa</w:t>
                                  </w:r>
                                </w:p>
                                <w:p w:rsidR="003C3EA6" w:rsidRDefault="003C3EA6">
                                  <w:pPr>
                                    <w:jc w:val="both"/>
                                    <w:rPr>
                                      <w:color w:val="000000"/>
                                      <w:sz w:val="18"/>
                                      <w:szCs w:val="18"/>
                                    </w:rPr>
                                  </w:pPr>
                                  <w:r>
                                    <w:rPr>
                                      <w:color w:val="000000"/>
                                      <w:sz w:val="18"/>
                                      <w:szCs w:val="18"/>
                                    </w:rPr>
                                    <w:t>Bendrasis planas</w:t>
                                  </w:r>
                                </w:p>
                                <w:p w:rsidR="003C3EA6" w:rsidRDefault="003C3EA6">
                                  <w:pPr>
                                    <w:jc w:val="both"/>
                                    <w:rPr>
                                      <w:color w:val="000000"/>
                                      <w:sz w:val="18"/>
                                      <w:szCs w:val="18"/>
                                    </w:rPr>
                                  </w:pPr>
                                  <w:r>
                                    <w:rPr>
                                      <w:color w:val="000000"/>
                                      <w:sz w:val="18"/>
                                      <w:szCs w:val="18"/>
                                    </w:rPr>
                                    <w:t xml:space="preserve">Valstybės pažangos strategija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Rectangle 240"/>
                            <wps:cNvSpPr/>
                            <wps:spPr>
                              <a:xfrm>
                                <a:off x="2647950" y="6286500"/>
                                <a:ext cx="3654425" cy="793115"/>
                              </a:xfrm>
                              <a:prstGeom prst="rect">
                                <a:avLst/>
                              </a:prstGeom>
                              <a:solidFill>
                                <a:schemeClr val="bg1"/>
                              </a:solid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jc w:val="both"/>
                                    <w:rPr>
                                      <w:color w:val="000000"/>
                                      <w:sz w:val="18"/>
                                      <w:szCs w:val="18"/>
                                    </w:rPr>
                                  </w:pPr>
                                  <w:r>
                                    <w:rPr>
                                      <w:color w:val="000000"/>
                                      <w:sz w:val="18"/>
                                      <w:szCs w:val="18"/>
                                    </w:rPr>
                                    <w:t xml:space="preserve">Lietuvos kaimo plėtros 2014–2020 m. programa </w:t>
                                  </w:r>
                                </w:p>
                                <w:p w:rsidR="003C3EA6" w:rsidRDefault="003C3EA6">
                                  <w:pPr>
                                    <w:jc w:val="both"/>
                                    <w:rPr>
                                      <w:color w:val="000000"/>
                                      <w:sz w:val="18"/>
                                      <w:szCs w:val="18"/>
                                    </w:rPr>
                                  </w:pPr>
                                  <w:r>
                                    <w:rPr>
                                      <w:color w:val="000000"/>
                                      <w:sz w:val="18"/>
                                      <w:szCs w:val="18"/>
                                    </w:rPr>
                                    <w:t>Nacionalinė 2014–2020 metų gyvulininkystės sektoriaus plėtros programa</w:t>
                                  </w:r>
                                </w:p>
                                <w:p w:rsidR="003C3EA6" w:rsidRDefault="003C3EA6">
                                  <w:pPr>
                                    <w:jc w:val="both"/>
                                    <w:rPr>
                                      <w:color w:val="000000"/>
                                      <w:sz w:val="18"/>
                                      <w:szCs w:val="18"/>
                                    </w:rPr>
                                  </w:pPr>
                                  <w:r>
                                    <w:rPr>
                                      <w:color w:val="000000"/>
                                      <w:sz w:val="18"/>
                                      <w:szCs w:val="18"/>
                                    </w:rPr>
                                    <w:t>Vyriausybės programa</w:t>
                                  </w:r>
                                </w:p>
                                <w:p w:rsidR="003C3EA6" w:rsidRDefault="003C3EA6">
                                  <w:pPr>
                                    <w:jc w:val="both"/>
                                    <w:rPr>
                                      <w:color w:val="000000"/>
                                      <w:sz w:val="18"/>
                                      <w:szCs w:val="18"/>
                                    </w:rPr>
                                  </w:pPr>
                                  <w:r>
                                    <w:rPr>
                                      <w:color w:val="000000"/>
                                      <w:sz w:val="18"/>
                                      <w:szCs w:val="18"/>
                                    </w:rPr>
                                    <w:t>Bendrasis planas</w:t>
                                  </w:r>
                                </w:p>
                                <w:p w:rsidR="003C3EA6" w:rsidRDefault="003C3EA6">
                                  <w:pPr>
                                    <w:ind w:firstLine="720"/>
                                    <w:jc w:val="both"/>
                                    <w:rPr>
                                      <w:color w:val="000000"/>
                                      <w:sz w:val="18"/>
                                      <w:szCs w:val="18"/>
                                    </w:rPr>
                                  </w:pPr>
                                  <w:r>
                                    <w:rPr>
                                      <w:color w:val="000000"/>
                                      <w:szCs w:val="18"/>
                                    </w:rPr>
                                    <w:t xml:space="preserve">1.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Rectangle 241"/>
                            <wps:cNvSpPr/>
                            <wps:spPr>
                              <a:xfrm>
                                <a:off x="2647950" y="7162800"/>
                                <a:ext cx="3654425" cy="664234"/>
                              </a:xfrm>
                              <a:prstGeom prst="rect">
                                <a:avLst/>
                              </a:prstGeom>
                              <a:solidFill>
                                <a:schemeClr val="bg1"/>
                              </a:solid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jc w:val="both"/>
                                    <w:rPr>
                                      <w:color w:val="000000"/>
                                      <w:sz w:val="18"/>
                                      <w:szCs w:val="18"/>
                                    </w:rPr>
                                  </w:pPr>
                                  <w:r>
                                    <w:rPr>
                                      <w:color w:val="000000"/>
                                      <w:sz w:val="18"/>
                                      <w:szCs w:val="18"/>
                                    </w:rPr>
                                    <w:t xml:space="preserve">Nacionalinė darnaus vystymosi strategija </w:t>
                                  </w:r>
                                </w:p>
                                <w:p w:rsidR="003C3EA6" w:rsidRDefault="003C3EA6">
                                  <w:pPr>
                                    <w:jc w:val="both"/>
                                    <w:rPr>
                                      <w:color w:val="000000"/>
                                      <w:sz w:val="18"/>
                                      <w:szCs w:val="18"/>
                                    </w:rPr>
                                  </w:pPr>
                                  <w:r>
                                    <w:rPr>
                                      <w:color w:val="000000"/>
                                      <w:sz w:val="18"/>
                                      <w:szCs w:val="18"/>
                                    </w:rPr>
                                    <w:t xml:space="preserve">Lietuvos sveikatos 2014–2025 metų strategija </w:t>
                                  </w:r>
                                </w:p>
                                <w:p w:rsidR="003C3EA6" w:rsidRDefault="003C3EA6">
                                  <w:pPr>
                                    <w:jc w:val="both"/>
                                    <w:rPr>
                                      <w:color w:val="000000"/>
                                      <w:sz w:val="18"/>
                                      <w:szCs w:val="18"/>
                                    </w:rPr>
                                  </w:pPr>
                                  <w:r>
                                    <w:rPr>
                                      <w:color w:val="000000"/>
                                      <w:sz w:val="18"/>
                                      <w:szCs w:val="18"/>
                                    </w:rPr>
                                    <w:t>Nacionalinė visuomenės sveikatos priežiūros 2016–2030 metų plėtros programa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Rectangle 242"/>
                            <wps:cNvSpPr/>
                            <wps:spPr>
                              <a:xfrm>
                                <a:off x="19050" y="1085850"/>
                                <a:ext cx="2346385" cy="793115"/>
                              </a:xfrm>
                              <a:prstGeom prst="rect">
                                <a:avLst/>
                              </a:prstGeom>
                              <a:solidFill>
                                <a:schemeClr val="bg1"/>
                              </a:solid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18"/>
                                    </w:rPr>
                                  </w:pPr>
                                  <w:r>
                                    <w:rPr>
                                      <w:color w:val="000000"/>
                                      <w:sz w:val="18"/>
                                      <w:szCs w:val="18"/>
                                      <w:lang w:eastAsia="lt-LT"/>
                                    </w:rPr>
                                    <w:t>Aplinkos oro taršos ir kokybės valdymo, organizavimo ir priežiūros tobulinimas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243"/>
                            <wps:cNvSpPr/>
                            <wps:spPr>
                              <a:xfrm>
                                <a:off x="2628900" y="1085850"/>
                                <a:ext cx="3654425" cy="793115"/>
                              </a:xfrm>
                              <a:prstGeom prst="rect">
                                <a:avLst/>
                              </a:prstGeom>
                              <a:solidFill>
                                <a:schemeClr val="bg1"/>
                              </a:solid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jc w:val="both"/>
                                    <w:rPr>
                                      <w:color w:val="000000"/>
                                      <w:sz w:val="18"/>
                                      <w:szCs w:val="18"/>
                                    </w:rPr>
                                  </w:pPr>
                                  <w:r>
                                    <w:rPr>
                                      <w:color w:val="000000"/>
                                      <w:sz w:val="18"/>
                                      <w:szCs w:val="18"/>
                                    </w:rPr>
                                    <w:t xml:space="preserve">Nacionalinė darnaus vystymosi strategija </w:t>
                                  </w:r>
                                </w:p>
                                <w:p w:rsidR="003C3EA6" w:rsidRDefault="003C3EA6">
                                  <w:pPr>
                                    <w:jc w:val="both"/>
                                    <w:rPr>
                                      <w:color w:val="000000"/>
                                      <w:sz w:val="18"/>
                                      <w:szCs w:val="18"/>
                                    </w:rPr>
                                  </w:pPr>
                                  <w:r>
                                    <w:rPr>
                                      <w:color w:val="000000"/>
                                      <w:sz w:val="18"/>
                                      <w:szCs w:val="18"/>
                                    </w:rPr>
                                    <w:t>Valstybės ilgalaikės raidos strategija</w:t>
                                  </w:r>
                                </w:p>
                                <w:p w:rsidR="003C3EA6" w:rsidRDefault="003C3EA6">
                                  <w:pPr>
                                    <w:jc w:val="both"/>
                                    <w:rPr>
                                      <w:color w:val="000000"/>
                                      <w:sz w:val="18"/>
                                      <w:szCs w:val="18"/>
                                    </w:rPr>
                                  </w:pPr>
                                  <w:r>
                                    <w:rPr>
                                      <w:color w:val="000000"/>
                                      <w:sz w:val="18"/>
                                      <w:szCs w:val="18"/>
                                    </w:rPr>
                                    <w:t>Nacionalinė visuomenės sveikatos priežiūros 2016–2030 metų plėtros programa</w:t>
                                  </w:r>
                                </w:p>
                                <w:p w:rsidR="003C3EA6" w:rsidRDefault="003C3EA6">
                                  <w:pPr>
                                    <w:jc w:val="both"/>
                                    <w:rPr>
                                      <w:color w:val="000000"/>
                                      <w:sz w:val="18"/>
                                      <w:szCs w:val="18"/>
                                    </w:rPr>
                                  </w:pPr>
                                  <w:r>
                                    <w:rPr>
                                      <w:color w:val="000000"/>
                                      <w:sz w:val="18"/>
                                      <w:szCs w:val="18"/>
                                    </w:rPr>
                                    <w:t>Vyriausybės programa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Left Arrow 244"/>
                            <wps:cNvSpPr/>
                            <wps:spPr>
                              <a:xfrm>
                                <a:off x="2362200" y="533400"/>
                                <a:ext cx="254635" cy="328295"/>
                              </a:xfrm>
                              <a:prstGeom prst="lef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Left Arrow 245"/>
                            <wps:cNvSpPr/>
                            <wps:spPr>
                              <a:xfrm>
                                <a:off x="2362200" y="1257300"/>
                                <a:ext cx="254898" cy="328295"/>
                              </a:xfrm>
                              <a:prstGeom prst="lef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Left Arrow 246"/>
                            <wps:cNvSpPr/>
                            <wps:spPr>
                              <a:xfrm>
                                <a:off x="2362200" y="5391150"/>
                                <a:ext cx="263525" cy="328295"/>
                              </a:xfrm>
                              <a:prstGeom prst="lef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spacing w:line="360" w:lineRule="atLeast"/>
                                    <w:ind w:firstLine="720"/>
                                    <w:jc w:val="center"/>
                                    <w:rPr>
                                      <w:color w:val="000000"/>
                                      <w:sz w:val="18"/>
                                      <w:szCs w:val="18"/>
                                    </w:rPr>
                                  </w:pPr>
                                  <w:r>
                                    <w:rPr>
                                      <w:color w:val="000000"/>
                                      <w:szCs w:val="18"/>
                                    </w:rPr>
                                    <w:t xml:space="preserve">2. </w:t>
                                  </w:r>
                                  <w:r>
                                    <w:rPr>
                                      <w:color w:val="000000"/>
                                      <w:sz w:val="18"/>
                                      <w:szCs w:val="18"/>
                                    </w:rPr>
                                    <w:t>v</w:t>
                                  </w:r>
                                  <w:r>
                                    <w:rPr>
                                      <w:noProof/>
                                      <w:sz w:val="20"/>
                                      <w:lang w:eastAsia="lt-LT"/>
                                    </w:rPr>
                                    <w:drawing>
                                      <wp:inline distT="0" distB="0" distL="0" distR="0" wp14:anchorId="47AD3D9B" wp14:editId="271A5A18">
                                        <wp:extent cx="342900" cy="342900"/>
                                        <wp:effectExtent l="0" t="0" r="0" b="0"/>
                                        <wp:docPr id="21" name="Paveikslėlis 21"/>
                                        <wp:cNvGraphicFramePr>
                                          <a:graphicFrameLocks noChangeAspect="1"/>
                                        </wp:cNvGraphicFramePr>
                                        <a:graphic>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Left Arrow 247"/>
                            <wps:cNvSpPr/>
                            <wps:spPr>
                              <a:xfrm>
                                <a:off x="2400300" y="1905000"/>
                                <a:ext cx="228600" cy="328295"/>
                              </a:xfrm>
                              <a:prstGeom prst="lef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Left Arrow 248"/>
                            <wps:cNvSpPr/>
                            <wps:spPr>
                              <a:xfrm>
                                <a:off x="2400300" y="2552700"/>
                                <a:ext cx="241300" cy="328295"/>
                              </a:xfrm>
                              <a:prstGeom prst="lef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Left Arrow 263"/>
                            <wps:cNvSpPr/>
                            <wps:spPr>
                              <a:xfrm>
                                <a:off x="2381250" y="7334250"/>
                                <a:ext cx="263525" cy="328295"/>
                              </a:xfrm>
                              <a:prstGeom prst="lef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Left Arrow 264"/>
                            <wps:cNvSpPr/>
                            <wps:spPr>
                              <a:xfrm>
                                <a:off x="2362200" y="6477000"/>
                                <a:ext cx="263525" cy="328295"/>
                              </a:xfrm>
                              <a:prstGeom prst="lef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Left Arrow 265"/>
                            <wps:cNvSpPr/>
                            <wps:spPr>
                              <a:xfrm>
                                <a:off x="2381250" y="8020050"/>
                                <a:ext cx="263525" cy="328295"/>
                              </a:xfrm>
                              <a:prstGeom prst="lef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266"/>
                            <wps:cNvSpPr/>
                            <wps:spPr>
                              <a:xfrm>
                                <a:off x="2647950" y="7924800"/>
                                <a:ext cx="3653790" cy="541655"/>
                              </a:xfrm>
                              <a:prstGeom prst="rect">
                                <a:avLst/>
                              </a:prstGeom>
                              <a:solidFill>
                                <a:schemeClr val="bg1"/>
                              </a:solid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jc w:val="both"/>
                                    <w:rPr>
                                      <w:color w:val="000000"/>
                                      <w:sz w:val="18"/>
                                      <w:szCs w:val="18"/>
                                    </w:rPr>
                                  </w:pPr>
                                  <w:r>
                                    <w:rPr>
                                      <w:color w:val="000000"/>
                                      <w:sz w:val="18"/>
                                      <w:szCs w:val="18"/>
                                    </w:rPr>
                                    <w:t>Vyriausybės programa</w:t>
                                  </w:r>
                                </w:p>
                                <w:p w:rsidR="003C3EA6" w:rsidRDefault="003C3EA6">
                                  <w:pPr>
                                    <w:jc w:val="both"/>
                                    <w:rPr>
                                      <w:color w:val="000000"/>
                                      <w:sz w:val="18"/>
                                      <w:szCs w:val="18"/>
                                    </w:rPr>
                                  </w:pPr>
                                  <w:r>
                                    <w:rPr>
                                      <w:color w:val="000000"/>
                                      <w:sz w:val="18"/>
                                      <w:szCs w:val="18"/>
                                    </w:rPr>
                                    <w:t>Bendrasis planas</w:t>
                                  </w:r>
                                </w:p>
                                <w:p w:rsidR="003C3EA6" w:rsidRDefault="003C3EA6">
                                  <w:pPr>
                                    <w:jc w:val="both"/>
                                    <w:rPr>
                                      <w:color w:val="000000"/>
                                      <w:sz w:val="18"/>
                                      <w:szCs w:val="18"/>
                                    </w:rPr>
                                  </w:pPr>
                                  <w:r>
                                    <w:rPr>
                                      <w:color w:val="000000"/>
                                      <w:sz w:val="18"/>
                                      <w:szCs w:val="18"/>
                                    </w:rPr>
                                    <w:t xml:space="preserve">Valstybės pažangos strategija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Rectangle 267"/>
                            <wps:cNvSpPr/>
                            <wps:spPr>
                              <a:xfrm>
                                <a:off x="2647950" y="8534400"/>
                                <a:ext cx="3653790" cy="393065"/>
                              </a:xfrm>
                              <a:prstGeom prst="rect">
                                <a:avLst/>
                              </a:prstGeom>
                              <a:solidFill>
                                <a:schemeClr val="bg1"/>
                              </a:solid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jc w:val="both"/>
                                    <w:rPr>
                                      <w:color w:val="000000"/>
                                      <w:sz w:val="18"/>
                                      <w:szCs w:val="18"/>
                                    </w:rPr>
                                  </w:pPr>
                                  <w:r>
                                    <w:rPr>
                                      <w:color w:val="000000"/>
                                      <w:sz w:val="18"/>
                                      <w:szCs w:val="18"/>
                                    </w:rPr>
                                    <w:t>Vandenų srities plėtros 2017–2023 metų programa</w:t>
                                  </w:r>
                                </w:p>
                                <w:p w:rsidR="003C3EA6" w:rsidRDefault="003C3EA6">
                                  <w:pPr>
                                    <w:jc w:val="both"/>
                                    <w:rPr>
                                      <w:color w:val="000000"/>
                                      <w:sz w:val="18"/>
                                      <w:szCs w:val="18"/>
                                    </w:rPr>
                                  </w:pPr>
                                  <w:r>
                                    <w:rPr>
                                      <w:color w:val="000000"/>
                                      <w:sz w:val="18"/>
                                      <w:szCs w:val="18"/>
                                    </w:rPr>
                                    <w:t>Valstybinis atliekų tvarkymo 2014–2020 metų planas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 name="Left Arrow 268"/>
                            <wps:cNvSpPr/>
                            <wps:spPr>
                              <a:xfrm>
                                <a:off x="2362200" y="3924300"/>
                                <a:ext cx="263525" cy="328295"/>
                              </a:xfrm>
                              <a:prstGeom prst="lef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spacing w:line="360" w:lineRule="atLeast"/>
                                    <w:ind w:firstLine="720"/>
                                    <w:jc w:val="center"/>
                                    <w:rPr>
                                      <w:color w:val="000000"/>
                                      <w:sz w:val="18"/>
                                      <w:szCs w:val="18"/>
                                    </w:rPr>
                                  </w:pPr>
                                  <w:r>
                                    <w:rPr>
                                      <w:color w:val="000000"/>
                                      <w:szCs w:val="18"/>
                                    </w:rPr>
                                    <w:t xml:space="preserve">3. </w:t>
                                  </w:r>
                                  <w:r>
                                    <w:rPr>
                                      <w:color w:val="000000"/>
                                      <w:sz w:val="18"/>
                                      <w:szCs w:val="18"/>
                                    </w:rPr>
                                    <w:t>v</w:t>
                                  </w:r>
                                  <w:r>
                                    <w:rPr>
                                      <w:noProof/>
                                      <w:sz w:val="20"/>
                                      <w:lang w:eastAsia="lt-LT"/>
                                    </w:rPr>
                                    <w:drawing>
                                      <wp:inline distT="0" distB="0" distL="0" distR="0" wp14:anchorId="7997F603" wp14:editId="7AE28F8B">
                                        <wp:extent cx="342900" cy="342900"/>
                                        <wp:effectExtent l="0" t="0" r="0" b="0"/>
                                        <wp:docPr id="34" name="Paveikslėlis 34"/>
                                        <wp:cNvGraphicFramePr>
                                          <a:graphicFrameLocks noChangeAspect="1"/>
                                        </wp:cNvGraphicFramePr>
                                        <a:graphic>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Left Arrow 269"/>
                            <wps:cNvSpPr/>
                            <wps:spPr>
                              <a:xfrm>
                                <a:off x="2381250" y="8534400"/>
                                <a:ext cx="263525" cy="328295"/>
                              </a:xfrm>
                              <a:prstGeom prst="lef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8" name="Rectangle 270"/>
                          <wps:cNvSpPr/>
                          <wps:spPr>
                            <a:xfrm>
                              <a:off x="76200" y="8534400"/>
                              <a:ext cx="2210435" cy="393065"/>
                            </a:xfrm>
                            <a:prstGeom prst="rect">
                              <a:avLst/>
                            </a:prstGeom>
                            <a:solidFill>
                              <a:schemeClr val="bg1"/>
                            </a:solid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18"/>
                                  </w:rPr>
                                </w:pPr>
                                <w:r>
                                  <w:rPr>
                                    <w:color w:val="000000"/>
                                    <w:sz w:val="18"/>
                                    <w:szCs w:val="18"/>
                                  </w:rPr>
                                  <w:t>Atliekų valdymas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6" name="Rectangle 271"/>
                        <wps:cNvSpPr/>
                        <wps:spPr>
                          <a:xfrm>
                            <a:off x="76200" y="7905750"/>
                            <a:ext cx="2210435" cy="541655"/>
                          </a:xfrm>
                          <a:prstGeom prst="rect">
                            <a:avLst/>
                          </a:prstGeom>
                          <a:solidFill>
                            <a:schemeClr val="bg1"/>
                          </a:solidFill>
                          <a:ln w="127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18"/>
                                </w:rPr>
                              </w:pPr>
                              <w:r>
                                <w:rPr>
                                  <w:color w:val="000000"/>
                                  <w:sz w:val="18"/>
                                  <w:szCs w:val="18"/>
                                </w:rPr>
                                <w:t>Pramonės skatinimas, plėtra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7D1581" id="Grupė 107" o:spid="_x0000_s1058" style="position:absolute;left:0;text-align:left;margin-left:11.15pt;margin-top:2.2pt;width:485.2pt;height:676.95pt;z-index:251662336;mso-width-relative:margin;mso-height-relative:margin" coordsize="63023,900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ZvGj/wgAAPCLAAAOAAAAZHJzL2Uyb0RvYy54bWzsXdGOmzgUfV9p/wHxvg3Y2EDUTDVqt6OV Rt1R21WfGQJJJAKsYSYz+yP7Q/the23AQMJ0SDo7Imv3YQoBjG3M8bnnXl/evnvYJsZ9xIpNli5M +41lGlEaZstNulqYf3z9+ItnGkUZpMsgydJoYT5Ghfnu4uef3u7yeYSydZYsI2ZAIWkx3+ULc12W +Xw2K8J1tA2KN1kepXAwztg2KGGXrWZLFuyg9G0yQ5ZFZ7uMLXOWhVFRwK8fqoPmhSg/jqOw/D2O i6g0koUJdSvFXyb+3vK/s4u3wXzFgny9CetqBCfUYhtsUripLOpDUAbGHdscFLXdhCwrsrh8E2bb WRbHmzASbYDW2NZea65YdpeLtqzmu1Uuuwm6dq+fTi42/HR/w4zNEp6d5ZpGGmzhIV2xu/yfvw3+ C/TPLl/N4bQrln/Jb1j9w6ra401+iNmW/w+NMR5Ezz7Kno0eSiOEH6lNbcciphHCMY/4lOK678M1 PKCD68L1r82V2ELYra/04YkjKAYqMWtuPOP1k9WRO7LedfMwFNG0DnoVGue/WOOeqGIwf7XGdR6d aJxtn2HjAAGKdpAXPzbIv6yDPBLvTsFHbz0KHMCAahR8BmgI0lUSGbaNq84SJ8oxXswLGO5jBzjC juMReAx8gGMPyqS9URrMc1aUV1G2NfjGwmRwf4EYwf11UVYDujmF37TIks3y4yZJxA6Hw+h9woz7 AIAsCMMoLcUjhtegd2aSnnwxFMWvhvepabrYKh+TiJeZpJ+jGJAC3mYkKi4w+rBS4v7rYBlVdSUW /Ku7Ql4hXl9RID87hlbKsu3vlV11U30+vzQSEC8vtp6/WF4h7pylpbx4u0kzNlRAIrs6rs5vOqnq Gt5L5cPtg0BRJNrKf7rNlo8w6lhWzTlFHn7cwJO/DoryJmAwycBQhIkTjq4z9pdp7GASWpjFn3cB i0wj+S2FF8C3HT5iS7HjEBdKN1j3yG33SHq3fZ/B8LBhys1DscnPL5NmM2bZ9hvMl5f8rnAoSEO4 98IMS9bsvC+ryRFm3DC6vBSnwUyVB+V1+iUPeeG84/hI/frwLWB5PZxLQPpPWfPSBfO9UV2dy69M s8u7Mos3Ysi3/VR3KQAAB+7XQALopQMkcLyjkABR5MGUZBqHEx6m8OT4nKPxAB56oS4e1BOxxoPe LDdBPEADeEDk0wMK8TwzsH2LVGjguBTBJsxXMEfVTJZTBIcjOIcEQi13j8i+KEW4XT1BD4wdYDhy AbV43XrcQU7P1cx9u0LNvN1yEU0SXoIkiI5tJz9NEjqEYlIkAQ+BQm0VjzQXuiRhCBYwJQALNVPg sGCL8qV9q2FBWAsSnP7HtoO0Q8/IdijVsxycAVCgEtKPZAq272C7spCfoAqIuhgsia7mpTFBGUxw Gov0jDBBST1B6ssdZZFKRB+FCl2qMIgLPa6gcUFlXUFMCGdmQijIFegAV/CFa4A/u1Go0KoKCHm0 VtOf4Ao+9j0ptzeOucat8AKeBy0rVL4KoetMzvcgx5XmCh2P2gS1Rumu7XAFv/ZHj0QFRB3Xr9XG QVzocQWNCypzBSlYnREuTIwr1CEm+1El4DDsRZVASFJlrx0VMtPO8Bj5hH7fceDaFiGC/XXiS54o oQ2jQZSC5l87HzAiFO0FKOyH0byCC5YOwCCyThVShrvuuWZrJUUZJUX69jUKimfexnBMyeVCJaK2 3AhZUgUbZTF5judDeAePxHJc23YFpHQsJmI71IITuCPWRZiHcGh1VUSWqRatJTn3GWGCiuoq9Rue 1UGFyikyWkdpUcFBHphP++EZXVSg1PbdJoJC6yhqxXBWoelnpq2qiAou2DP7MZy1XXMCKsDcB+Gc YkZ4gis4xCa+cOno6AwIYVMMFWQsoOYKk1ZXYd4eQAWpgR1pQRBiWxChwQ2EJ1ABuwjp+AxF13tg KVdpVDgVFVrp8bXWfgxaE1IfGoUQXf/LoPTY87/YlNhUg4SqICHDgM4IJCbmgHkFfwT3ph6aE1Ii OhoWiIX82iHUUoc+LCDLpb4AHm1RqGdRSFVbw8KEPRKwCOwQFir1cLTK0GULsGgUXLx76mMPFlwf 27aO+FZzBXmramtUmDIqDKwXRY7UiI4mC64NuPBdVKDUgSWk2lOpZF6JKlrnzHwSCpoQAwtGkSM1 olGo0MZy2ZZHvIFoMIq9er2oZgoKx3ViqWmfEVNQ0U9JnCELQopCo1ChtzZsCBe0BdEmxuK+GnVz zmCpZJ8RLijIFeSK0esoLo1LxrKdgRwpCo2DBUwR1xh5sCPB2Nm3IBBxuN+hSkMFYU/+M7JCAlUR NRHpYfayePH0deLVavPBwHumc9N1kvFNMDfdGYGAkuRALhHtwYBc33s0DNiIuHgABzxwNGgcEO+q kvxA48CpAQpcdvnPU9Py5LGV97GHA3JN79E4QLAPXoQ9PwMCNtAkm8KaD6htJ0jXtoaGaUODXBPV gwYp/4yDBrANOC3gloKQGA8ogsguoSlClVtbUwSRRVrnrIYpYio5q4mMW+zhgJR7jsYBRIhIBdsP bnZsgRMic7WmCCpSBM0HJs0HqAxU7OLAscnm4CsVPEc15wOQYBJS0GpTQUz6w3qm5gOaD/DvXfBx MBU+QGVkYg8HTvcgQE4pkSWmzwe0ZND55o7GAY0Dk8MBGYvYw4FjXQgtH/As8ClqPjD0Majm21sa BzQOTA4HhqIP6ZEehE5eSddHzlBMMnZ9sBvEZ2wcWNn4TEgB+4Ev3el8sxPON9uugTkjvUC9OCM6 FH0IuReB5J+0fskj8CGrfecBRB+2qIB9bFGNCmquX2rXwGhUmPD6JXg/B8INIPviUbDQiT7EQBYO w460dqC6diA/jdsugzkjYFAxIhEshiFokNEi49yMHffCIGPQkUjdT3lrOUHLCUfICa+eMgnWlBwm QYD8i8ewBfgmbh1/NAwIiGdaa9YqaBNC3QVMjlwap5nCqYEIr48QkjV0UjRXOZRHywwtQoDCSNwD D0QXIYiWHhVGCOnj1gjxQwixW0FEA+QeW7EgX2/CD0EZdPdhe5fPI5Sts2QZsYt/AQAA//8DAFBL AwQUAAYACAAAACEAIXkHh+EAAAAJAQAADwAAAGRycy9kb3ducmV2LnhtbEyPTUvDQBCG74L/YRnB m918tNrGbEop6qkItoJ4m2anSWh2NmS3SfrvXU96HN6H930mX0+mFQP1rrGsIJ5FIIhLqxuuFHwe Xh+WIJxH1thaJgVXcrAubm9yzLQd+YOGva9EKGGXoYLa+y6T0pU1GXQz2xGH7GR7gz6cfSV1j2Mo N61MouhRGmw4LNTY0bam8ry/GAVvI46bNH4ZdufT9vp9WLx/7WJS6v5u2jyD8DT5Pxh+9YM6FMHp aC+snWgVJEkaSAXzOYgQr1bJE4hj4NLFMgVZ5PL/B8UPAAAA//8DAFBLAQItABQABgAIAAAAIQC2 gziS/gAAAOEBAAATAAAAAAAAAAAAAAAAAAAAAABbQ29udGVudF9UeXBlc10ueG1sUEsBAi0AFAAG AAgAAAAhADj9If/WAAAAlAEAAAsAAAAAAAAAAAAAAAAALwEAAF9yZWxzLy5yZWxzUEsBAi0AFAAG AAgAAAAhABhm8aP/CAAA8IsAAA4AAAAAAAAAAAAAAAAALgIAAGRycy9lMm9Eb2MueG1sUEsBAi0A FAAGAAgAAAAhACF5B4fhAAAACQEAAA8AAAAAAAAAAAAAAAAAWQsAAGRycy9kb3ducmV2LnhtbFBL BQYAAAAABAAEAPMAAABnDAAAAAA= ">
                <v:group id="Group 109" o:spid="_x0000_s1059" style="position:absolute;width:63023;height:90062" coordsize="63023,9006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z3ixQAAANsAAAAPAAAAZHJzL2Rvd25yZXYueG1sRI9Pa8JA FMTvhX6H5RW81U0Ui6TZiIgVD1KoCtLbI/vyh2Tfhuw2id/eLRR6HGbmN0y6mUwrBupdbVlBPI9A EOdW11wquF4+XtcgnEfW2FomBXdysMmen1JMtB35i4azL0WAsEtQQeV9l0jp8ooMurntiINX2N6g D7Ivpe5xDHDTykUUvUmDNYeFCjvaVZQ35x+j4DDiuF3G++HUFLv792X1eTvFpNTsZdq+g/A0+f/w X/uoFSxX8Psl/ACZPQAAAP//AwBQSwECLQAUAAYACAAAACEA2+H2y+4AAACFAQAAEwAAAAAAAAAA AAAAAAAAAAAAW0NvbnRlbnRfVHlwZXNdLnhtbFBLAQItABQABgAIAAAAIQBa9CxbvwAAABUBAAAL AAAAAAAAAAAAAAAAAB8BAABfcmVscy8ucmVsc1BLAQItABQABgAIAAAAIQC2/z3ixQAAANsAAAAP AAAAAAAAAAAAAAAAAAcCAABkcnMvZG93bnJldi54bWxQSwUGAAAAAAMAAwC3AAAA+QIAAAAA ">
                  <v:group id="Group 111" o:spid="_x0000_s1060" style="position:absolute;width:63023;height:90062" coordsize="63023,9006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YQYOxAAAANsAAAAPAAAAZHJzL2Rvd25yZXYueG1sRI9Pi8Iw FMTvC36H8ARva1rFVapRRFzxIIJ/QLw9mmdbbF5Kk23rt98sCHscZuY3zGLVmVI0VLvCsoJ4GIEg Tq0uOFNwvXx/zkA4j6yxtEwKXuRgtex9LDDRtuUTNWefiQBhl6CC3PsqkdKlORl0Q1sRB+9ha4M+ yDqTusY2wE0pR1H0JQ0WHBZyrGiTU/o8/xgFuxbb9TjeNofnY/O6XybH2yEmpQb9bj0H4anz/+F3 e68VjKfw9yX8ALn8BQAA//8DAFBLAQItABQABgAIAAAAIQDb4fbL7gAAAIUBAAATAAAAAAAAAAAA AAAAAAAAAABbQ29udGVudF9UeXBlc10ueG1sUEsBAi0AFAAGAAgAAAAhAFr0LFu/AAAAFQEAAAsA AAAAAAAAAAAAAAAAHwEAAF9yZWxzLy5yZWxzUEsBAi0AFAAGAAgAAAAhAClhBg7EAAAA2wAAAA8A AAAAAAAAAAAAAAAABwIAAGRycy9kb3ducmV2LnhtbFBLBQYAAAAAAwADALcAAAD4AgAAAAA= ">
                    <v:rect id="Rectangle 113" o:spid="_x0000_s1061" style="position:absolute;width:23448;height:381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dy1HwAAAANsAAAAPAAAAZHJzL2Rvd25yZXYueG1sRE/NSsNA EL4LvsMyQi9iN7YiJe22lIBUj0YfYMhOs2mzs2F3m6Y+vXMQPH58/5vd5Hs1UkxdYAPP8wIUcRNs x62B76+3pxWolJEt9oHJwI0S7Lb3dxssbbjyJ411bpWEcCrRgMt5KLVOjSOPaR4GYuGOIXrMAmOr bcSrhPteL4riVXvsWBocDlQ5as71xUvvT/6oD8t9c3pcLYuLi9XIqTJm9jDt16AyTflf/Od+twZe ZL18kR+gt78AAAD//wMAUEsBAi0AFAAGAAgAAAAhANvh9svuAAAAhQEAABMAAAAAAAAAAAAAAAAA AAAAAFtDb250ZW50X1R5cGVzXS54bWxQSwECLQAUAAYACAAAACEAWvQsW78AAAAVAQAACwAAAAAA AAAAAAAAAAAfAQAAX3JlbHMvLnJlbHNQSwECLQAUAAYACAAAACEAUHctR8AAAADbAAAADwAAAAAA AAAAAAAAAAAHAgAAZHJzL2Rvd25yZXYueG1sUEsFBgAAAAADAAMAtwAAAPQCAAAAAA== " fillcolor="#4f81bd [3204]" strokecolor="#4f81bd [3204]" strokeweight="2pt">
                      <v:textbox>
                        <w:txbxContent>
                          <w:p w:rsidR="003C3EA6" w:rsidRDefault="003C3EA6">
                            <w:pPr>
                              <w:jc w:val="both"/>
                              <w:rPr>
                                <w:color w:val="FFFFFF"/>
                                <w:sz w:val="18"/>
                                <w:szCs w:val="18"/>
                              </w:rPr>
                            </w:pPr>
                            <w:r>
                              <w:rPr>
                                <w:color w:val="FFFFFF"/>
                                <w:sz w:val="18"/>
                                <w:szCs w:val="18"/>
                              </w:rPr>
                              <w:t>Oro taršos mažinimo (valdymo) aspektai</w:t>
                            </w:r>
                          </w:p>
                        </w:txbxContent>
                      </v:textbox>
                    </v:rect>
                    <v:rect id="Rectangle 148" o:spid="_x0000_s1062" style="position:absolute;left:26289;width:36440;height:381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4jcwgAAANsAAAAPAAAAZHJzL2Rvd25yZXYueG1sRI9da8Iw FIbvBf9DOII3MlM/GNIZRQpjerluP+DQnDXdmpOSxFr99UYYePnyfjy82/1gW9GTD41jBYt5BoK4 crrhWsH31/vLBkSIyBpbx6TgSgH2u/Foi7l2F/6kvoy1SCMcclRgYuxyKUNlyGKYu444eT/OW4xJ +lpqj5c0blu5zLJXabHhRDDYUWGo+ivPNnFv8VR+rA7V72yzys7GFz2HQqnpZDi8gYg0xGf4v33U CtYLeHxJP0Du7gAAAP//AwBQSwECLQAUAAYACAAAACEA2+H2y+4AAACFAQAAEwAAAAAAAAAAAAAA AAAAAAAAW0NvbnRlbnRfVHlwZXNdLnhtbFBLAQItABQABgAIAAAAIQBa9CxbvwAAABUBAAALAAAA AAAAAAAAAAAAAB8BAABfcmVscy8ucmVsc1BLAQItABQABgAIAAAAIQA/O4jcwgAAANsAAAAPAAAA AAAAAAAAAAAAAAcCAABkcnMvZG93bnJldi54bWxQSwUGAAAAAAMAAwC3AAAA9gIAAAAA " fillcolor="#4f81bd [3204]" strokecolor="#4f81bd [3204]" strokeweight="2pt">
                      <v:textbox>
                        <w:txbxContent>
                          <w:p w:rsidR="003C3EA6" w:rsidRDefault="003C3EA6">
                            <w:pPr>
                              <w:jc w:val="both"/>
                              <w:rPr>
                                <w:color w:val="FFFFFF"/>
                                <w:sz w:val="18"/>
                                <w:szCs w:val="18"/>
                              </w:rPr>
                            </w:pPr>
                            <w:r>
                              <w:rPr>
                                <w:color w:val="FFFFFF"/>
                                <w:sz w:val="18"/>
                                <w:szCs w:val="18"/>
                              </w:rPr>
                              <w:t>Strategijos, programos, planai</w:t>
                            </w:r>
                          </w:p>
                        </w:txbxContent>
                      </v:textbox>
                    </v:rect>
                    <v:rect id="Rectangle 151" o:spid="_x0000_s1063" style="position:absolute;left:190;top:4762;width:23444;height:560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rdbYxAAAANsAAAAPAAAAZHJzL2Rvd25yZXYueG1sRI9Ba4NA FITvgf6H5RVyi2tDUoJ1E0Ih1lNLteD14b6oxH1r3K0x/75bKPQ4zMw3THqYTS8mGl1nWcFTFIMg rq3uuFHwVZ5WOxDOI2vsLZOCOzk47B8WKSba3viTpsI3IkDYJaig9X5IpHR1SwZdZAfi4J3taNAH OTZSj3gLcNPLdRw/S4Mdh4UWB3ptqb4U30ZBOTfbt/zjPb/itqrOWVH0WXVXavk4H19AeJr9f/iv nWsFmzX8fgk/QO5/AAAA//8DAFBLAQItABQABgAIAAAAIQDb4fbL7gAAAIUBAAATAAAAAAAAAAAA AAAAAAAAAABbQ29udGVudF9UeXBlc10ueG1sUEsBAi0AFAAGAAgAAAAhAFr0LFu/AAAAFQEAAAsA AAAAAAAAAAAAAAAAHwEAAF9yZWxzLy5yZWxzUEsBAi0AFAAGAAgAAAAhAKCt1tjEAAAA2wAAAA8A AAAAAAAAAAAAAAAABwIAAGRycy9kb3ducmV2LnhtbFBLBQYAAAAAAwADALcAAAD4AgAAAAA= " fillcolor="white [3212]" strokecolor="#eeece1 [3214]" strokeweight="1pt">
                      <v:textbox>
                        <w:txbxContent>
                          <w:p w:rsidR="003C3EA6" w:rsidRDefault="003C3EA6">
                            <w:pPr>
                              <w:rPr>
                                <w:color w:val="000000"/>
                                <w:sz w:val="18"/>
                                <w:szCs w:val="18"/>
                              </w:rPr>
                            </w:pPr>
                            <w:r>
                              <w:rPr>
                                <w:color w:val="000000"/>
                                <w:sz w:val="18"/>
                                <w:szCs w:val="18"/>
                              </w:rPr>
                              <w:t>Tikslas mažinti oro užterštumą ir gerinti oro kokybę</w:t>
                            </w:r>
                          </w:p>
                        </w:txbxContent>
                      </v:textbox>
                    </v:rect>
                    <v:rect id="Rectangle 157" o:spid="_x0000_s1064" style="position:absolute;left:26289;top:4762;width:36544;height:560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d8wmwgAAANsAAAAPAAAAZHJzL2Rvd25yZXYueG1sRI9Pi8Iw FMTvC36H8AQvi6a6IlKbilaUPa5/8Pxonm2xealN1PrtNwsLHoeZ+Q2TLDtTiwe1rrKsYDyKQBDn VldcKDgdt8M5COeRNdaWScGLHCzT3keCsbZP3tPj4AsRIOxiVFB638RSurwkg25kG+LgXWxr0AfZ FlK3+AxwU8tJFM2kwYrDQokNZSXl18PdKJA/9Xo2/eRik2F2lse7290uuVKDfrdagPDU+Xf4v/2t FUy/4O9L+AEy/QUAAP//AwBQSwECLQAUAAYACAAAACEA2+H2y+4AAACFAQAAEwAAAAAAAAAAAAAA AAAAAAAAW0NvbnRlbnRfVHlwZXNdLnhtbFBLAQItABQABgAIAAAAIQBa9CxbvwAAABUBAAALAAAA AAAAAAAAAAAAAB8BAABfcmVscy8ucmVsc1BLAQItABQABgAIAAAAIQAzd8wmwgAAANsAAAAPAAAA AAAAAAAAAAAAAAcCAABkcnMvZG93bnJldi54bWxQSwUGAAAAAAMAAwC3AAAA9gIAAAAA " fillcolor="white [3212]" strokecolor="#eeece1 [3214]" strokeweight="1pt">
                      <v:textbox>
                        <w:txbxContent>
                          <w:p w:rsidR="003C3EA6" w:rsidRDefault="003C3EA6">
                            <w:pPr>
                              <w:jc w:val="both"/>
                              <w:rPr>
                                <w:color w:val="000000"/>
                                <w:sz w:val="18"/>
                                <w:szCs w:val="18"/>
                              </w:rPr>
                            </w:pPr>
                            <w:r>
                              <w:rPr>
                                <w:color w:val="000000"/>
                                <w:sz w:val="18"/>
                                <w:szCs w:val="18"/>
                              </w:rPr>
                              <w:t xml:space="preserve">Nacionalinė darnaus vystymosi strategija </w:t>
                            </w:r>
                          </w:p>
                          <w:p w:rsidR="003C3EA6" w:rsidRDefault="003C3EA6">
                            <w:pPr>
                              <w:jc w:val="both"/>
                              <w:rPr>
                                <w:color w:val="000000"/>
                                <w:sz w:val="18"/>
                                <w:szCs w:val="18"/>
                              </w:rPr>
                            </w:pPr>
                            <w:r>
                              <w:rPr>
                                <w:color w:val="000000"/>
                                <w:sz w:val="18"/>
                                <w:szCs w:val="18"/>
                              </w:rPr>
                              <w:t>Lietuvos sveikatos 2014–2025 metų strategija</w:t>
                            </w:r>
                          </w:p>
                          <w:p w:rsidR="003C3EA6" w:rsidRDefault="003C3EA6">
                            <w:pPr>
                              <w:jc w:val="both"/>
                              <w:rPr>
                                <w:color w:val="000000"/>
                                <w:sz w:val="18"/>
                                <w:szCs w:val="18"/>
                              </w:rPr>
                            </w:pPr>
                            <w:r>
                              <w:rPr>
                                <w:color w:val="000000"/>
                                <w:sz w:val="18"/>
                                <w:szCs w:val="18"/>
                              </w:rPr>
                              <w:t>Nacionalinė klimato kaitos valdymo politikos strategija</w:t>
                            </w:r>
                          </w:p>
                        </w:txbxContent>
                      </v:textbox>
                    </v:rect>
                    <v:rect id="Rectangle 162" o:spid="_x0000_s1065" style="position:absolute;left:190;top:19431;width:23444;height:267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COs3xAAAANsAAAAPAAAAZHJzL2Rvd25yZXYueG1sRI9Ba8JA FITvBf/D8oTemo0lFolZRYTanCyNQq6P7DMJZt+m2W2M/94tFHocZuYbJttOphMjDa61rGARxSCI K6tbrhWcT+8vKxDOI2vsLJOCOznYbmZPGaba3viLxsLXIkDYpaig8b5PpXRVQwZdZHvi4F3sYNAH OdRSD3gLcNPJ1zh+kwZbDgsN9rRvqLoWP0bBaaqXH/nnMf/GZVleDkXRHcq7Us/zabcG4Wny/+G/ dq4VJAn8fgk/QG4eAAAA//8DAFBLAQItABQABgAIAAAAIQDb4fbL7gAAAIUBAAATAAAAAAAAAAAA AAAAAAAAAABbQ29udGVudF9UeXBlc10ueG1sUEsBAi0AFAAGAAgAAAAhAFr0LFu/AAAAFQEAAAsA AAAAAAAAAAAAAAAAHwEAAF9yZWxzLy5yZWxzUEsBAi0AFAAGAAgAAAAhAEAI6zfEAAAA2wAAAA8A AAAAAAAAAAAAAAAABwIAAGRycy9kb3ducmV2LnhtbFBLBQYAAAAAAwADALcAAAD4AgAAAAA= " fillcolor="white [3212]" strokecolor="#eeece1 [3214]" strokeweight="1pt">
                      <v:textbox>
                        <w:txbxContent>
                          <w:p w:rsidR="003C3EA6" w:rsidRDefault="003C3EA6">
                            <w:pPr>
                              <w:rPr>
                                <w:color w:val="000000"/>
                                <w:sz w:val="18"/>
                                <w:szCs w:val="18"/>
                              </w:rPr>
                            </w:pPr>
                            <w:r>
                              <w:rPr>
                                <w:color w:val="000000"/>
                                <w:sz w:val="18"/>
                                <w:szCs w:val="18"/>
                              </w:rPr>
                              <w:t>Rodiklių atitikimas nustatytiems normatyvams</w:t>
                            </w:r>
                          </w:p>
                        </w:txbxContent>
                      </v:textbox>
                    </v:rect>
                    <v:rect id="Rectangle 163" o:spid="_x0000_s1066" style="position:absolute;left:26289;top:19431;width:36544;height:26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0vHJwgAAANsAAAAPAAAAZHJzL2Rvd25yZXYueG1sRI9Pi8Iw FMTvgt8hPGEvoqmLitSmsnbZxaP/8Pxonm2xeek2Ubvf3giCx2FmfsMkq87U4katqywrmIwjEMS5 1RUXCo6Hn9EChPPIGmvLpOCfHKzSfi/BWNs77+i294UIEHYxKii9b2IpXV6SQTe2DXHwzrY16INs C6lbvAe4qeVnFM2lwYrDQokNZSXll/3VKJDbej2fDrn4zjA7ycPV/f6dc6U+Bt3XEoSnzr/Dr/ZG K5jO4Pkl/ACZPgAAAP//AwBQSwECLQAUAAYACAAAACEA2+H2y+4AAACFAQAAEwAAAAAAAAAAAAAA AAAAAAAAW0NvbnRlbnRfVHlwZXNdLnhtbFBLAQItABQABgAIAAAAIQBa9CxbvwAAABUBAAALAAAA AAAAAAAAAAAAAB8BAABfcmVscy8ucmVsc1BLAQItABQABgAIAAAAIQDT0vHJwgAAANsAAAAPAAAA AAAAAAAAAAAAAAcCAABkcnMvZG93bnJldi54bWxQSwUGAAAAAAMAAwC3AAAA9gIAAAAA " fillcolor="white [3212]" strokecolor="#eeece1 [3214]" strokeweight="1pt">
                      <v:textbox>
                        <w:txbxContent>
                          <w:p w:rsidR="003C3EA6" w:rsidRDefault="003C3EA6">
                            <w:pPr>
                              <w:jc w:val="both"/>
                              <w:rPr>
                                <w:color w:val="000000"/>
                                <w:sz w:val="18"/>
                                <w:szCs w:val="18"/>
                              </w:rPr>
                            </w:pPr>
                            <w:r>
                              <w:rPr>
                                <w:color w:val="000000"/>
                                <w:sz w:val="18"/>
                                <w:szCs w:val="18"/>
                              </w:rPr>
                              <w:t xml:space="preserve">Nacionalinė darnaus vystymosi strategija </w:t>
                            </w:r>
                          </w:p>
                        </w:txbxContent>
                      </v:textbox>
                    </v:rect>
                    <v:rect id="Rectangle 196" o:spid="_x0000_s1067" style="position:absolute;left:190;top:22860;width:23444;height:939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ltDbwwAAANsAAAAPAAAAZHJzL2Rvd25yZXYueG1sRI9Bi8Iw FITvC/sfwhO8ramiIl2jyILak7LtQq+P5tkWm5faRK3/3gjCHoeZ+YZZrnvTiBt1rrasYDyKQBAX VtdcKvjLtl8LEM4ja2wsk4IHOVivPj+WGGt751+6pb4UAcIuRgWV920spSsqMuhGtiUO3sl2Bn2Q XSl1h/cAN42cRNFcGqw5LFTY0k9FxTm9GgVZX872yfGQXHCW56ddmja7/KHUcNBvvkF46v1/+N1O tILpHF5fwg+QqycAAAD//wMAUEsBAi0AFAAGAAgAAAAhANvh9svuAAAAhQEAABMAAAAAAAAAAAAA AAAAAAAAAFtDb250ZW50X1R5cGVzXS54bWxQSwECLQAUAAYACAAAACEAWvQsW78AAAAVAQAACwAA AAAAAAAAAAAAAAAfAQAAX3JlbHMvLnJlbHNQSwECLQAUAAYACAAAACEA35bQ28MAAADbAAAADwAA AAAAAAAAAAAAAAAHAgAAZHJzL2Rvd25yZXYueG1sUEsFBgAAAAADAAMAtwAAAPcCAAAAAA== " fillcolor="white [3212]" strokecolor="#eeece1 [3214]" strokeweight="1pt">
                      <v:textbox>
                        <w:txbxContent>
                          <w:p w:rsidR="003C3EA6" w:rsidRDefault="003C3EA6">
                            <w:pPr>
                              <w:rPr>
                                <w:color w:val="000000"/>
                                <w:sz w:val="18"/>
                                <w:szCs w:val="18"/>
                              </w:rPr>
                            </w:pPr>
                            <w:r>
                              <w:rPr>
                                <w:color w:val="000000"/>
                                <w:sz w:val="18"/>
                                <w:szCs w:val="18"/>
                              </w:rPr>
                              <w:t>Tam tikrų teršalų sumažinimo tikslai</w:t>
                            </w:r>
                          </w:p>
                        </w:txbxContent>
                      </v:textbox>
                    </v:rect>
                    <v:rect id="Rectangle 199" o:spid="_x0000_s1068" style="position:absolute;left:26479;top:22860;width:36544;height:939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TMolwgAAANsAAAAPAAAAZHJzL2Rvd25yZXYueG1sRI9Pi8Iw FMTvgt8hPGEvoqmLqNSmsnbZxaP/8Pxonm2xeek2Ubvf3giCx2FmfsMkq87U4katqywrmIwjEMS5 1RUXCo6Hn9EChPPIGmvLpOCfHKzSfi/BWNs77+i294UIEHYxKii9b2IpXV6SQTe2DXHwzrY16INs C6lbvAe4qeVnFM2kwYrDQokNZSXll/3VKJDbej2bDrn4zjA7ycPV/f6dc6U+Bt3XEoSnzr/Dr/ZG K5jO4fkl/ACZPgAAAP//AwBQSwECLQAUAAYACAAAACEA2+H2y+4AAACFAQAAEwAAAAAAAAAAAAAA AAAAAAAAW0NvbnRlbnRfVHlwZXNdLnhtbFBLAQItABQABgAIAAAAIQBa9CxbvwAAABUBAAALAAAA AAAAAAAAAAAAAB8BAABfcmVscy8ucmVsc1BLAQItABQABgAIAAAAIQBMTMolwgAAANsAAAAPAAAA AAAAAAAAAAAAAAcCAABkcnMvZG93bnJldi54bWxQSwUGAAAAAAMAAwC3AAAA9gIAAAAA " fillcolor="white [3212]" strokecolor="#eeece1 [3214]" strokeweight="1pt">
                      <v:textbox>
                        <w:txbxContent>
                          <w:p w:rsidR="003C3EA6" w:rsidRDefault="003C3EA6">
                            <w:pPr>
                              <w:jc w:val="both"/>
                              <w:rPr>
                                <w:color w:val="000000"/>
                                <w:sz w:val="18"/>
                                <w:szCs w:val="18"/>
                              </w:rPr>
                            </w:pPr>
                            <w:r>
                              <w:rPr>
                                <w:color w:val="000000"/>
                                <w:sz w:val="18"/>
                                <w:szCs w:val="18"/>
                              </w:rPr>
                              <w:t xml:space="preserve">Nacionalinė darnaus vystymosi strategija </w:t>
                            </w:r>
                          </w:p>
                          <w:p w:rsidR="003C3EA6" w:rsidRDefault="003C3EA6">
                            <w:pPr>
                              <w:jc w:val="both"/>
                              <w:rPr>
                                <w:color w:val="000000"/>
                                <w:sz w:val="18"/>
                                <w:szCs w:val="18"/>
                              </w:rPr>
                            </w:pPr>
                            <w:r>
                              <w:rPr>
                                <w:color w:val="000000"/>
                                <w:sz w:val="18"/>
                                <w:szCs w:val="18"/>
                              </w:rPr>
                              <w:t>Valstybės ilgalaikė raidos strategija</w:t>
                            </w:r>
                          </w:p>
                          <w:p w:rsidR="003C3EA6" w:rsidRDefault="003C3EA6">
                            <w:pPr>
                              <w:jc w:val="both"/>
                              <w:rPr>
                                <w:color w:val="000000"/>
                                <w:sz w:val="18"/>
                                <w:szCs w:val="18"/>
                              </w:rPr>
                            </w:pPr>
                            <w:r>
                              <w:rPr>
                                <w:color w:val="000000"/>
                                <w:sz w:val="18"/>
                                <w:szCs w:val="18"/>
                              </w:rPr>
                              <w:t xml:space="preserve">Lietuvos kaimo plėtros 2014–2020 m. programa </w:t>
                            </w:r>
                          </w:p>
                          <w:p w:rsidR="003C3EA6" w:rsidRDefault="003C3EA6">
                            <w:pPr>
                              <w:jc w:val="both"/>
                              <w:rPr>
                                <w:color w:val="000000"/>
                                <w:sz w:val="18"/>
                                <w:szCs w:val="18"/>
                              </w:rPr>
                            </w:pPr>
                            <w:r>
                              <w:rPr>
                                <w:color w:val="000000"/>
                                <w:sz w:val="18"/>
                                <w:szCs w:val="18"/>
                              </w:rPr>
                              <w:t xml:space="preserve">Nacionalinė klimato kaitos valdymo politikos strategija </w:t>
                            </w:r>
                          </w:p>
                          <w:p w:rsidR="003C3EA6" w:rsidRDefault="003C3EA6">
                            <w:pPr>
                              <w:jc w:val="both"/>
                              <w:rPr>
                                <w:color w:val="000000"/>
                                <w:sz w:val="18"/>
                                <w:szCs w:val="18"/>
                              </w:rPr>
                            </w:pPr>
                            <w:r>
                              <w:rPr>
                                <w:color w:val="000000"/>
                                <w:sz w:val="18"/>
                                <w:szCs w:val="18"/>
                              </w:rPr>
                              <w:t>Europos Komisijos komunikatas dėl 2020–2030 m. klimato ir energetikos politikos strategijos</w:t>
                            </w:r>
                          </w:p>
                        </w:txbxContent>
                      </v:textbox>
                    </v:rect>
                    <v:group id="Group 200" o:spid="_x0000_s1069" style="position:absolute;left:190;top:32956;width:23444;height:57106" coordorigin="190,32956" coordsize="26670,3256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OEBwwAAANsAAAAPAAAAZHJzL2Rvd25yZXYueG1sRE/LasJA FN0L/YfhFrozk7RaSnQUCW3pQgSTQnF3yVyTYOZOyEzz+HtnUejycN7b/WRaMVDvGssKkigGQVxa 3XCl4Lv4WL6BcB5ZY2uZFMzkYL97WGwx1XbkMw25r0QIYZeigtr7LpXSlTUZdJHtiAN3tb1BH2Bf Sd3jGMJNK5/j+FUabDg01NhRVlN5y3+Ngs8Rx8NL8j4cb9dsvhTr088xIaWeHqfDBoSnyf+L/9xf WsEqjA1fwg+QuzsAAAD//wMAUEsBAi0AFAAGAAgAAAAhANvh9svuAAAAhQEAABMAAAAAAAAAAAAA AAAAAAAAAFtDb250ZW50X1R5cGVzXS54bWxQSwECLQAUAAYACAAAACEAWvQsW78AAAAVAQAACwAA AAAAAAAAAAAAAAAfAQAAX3JlbHMvLnJlbHNQSwECLQAUAAYACAAAACEAAPjhAcMAAADbAAAADwAA AAAAAAAAAAAAAAAHAgAAZHJzL2Rvd25yZXYueG1sUEsFBgAAAAADAAMAtwAAAPcCAAAAAA== ">
                      <v:rect id="Rectangle 202" o:spid="_x0000_s1070" style="position:absolute;left:190;top:32956;width:26670;height:325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ZZFwgAAANsAAAAPAAAAZHJzL2Rvd25yZXYueG1sRI9Bi8Iw FITvgv8hPMGLaLqyVKlG0S67eNQqnh/Nsy02L7WJ2v33ZmHB4zAz3zDLdWdq8aDWVZYVfEwiEMS5 1RUXCk7H7/EchPPIGmvLpOCXHKxX/d4SE22ffKBH5gsRIOwSVFB63yRSurwkg25iG+LgXWxr0AfZ FlK3+AxwU8tpFMXSYMVhocSG0pLya3Y3CuS+3safIy6+UkzP8nh3P7dLrtRw0G0WIDx1/h3+b++0 gngGf1/CD5CrFwAAAP//AwBQSwECLQAUAAYACAAAACEA2+H2y+4AAACFAQAAEwAAAAAAAAAAAAAA AAAAAAAAW0NvbnRlbnRfVHlwZXNdLnhtbFBLAQItABQABgAIAAAAIQBa9CxbvwAAABUBAAALAAAA AAAAAAAAAAAAAB8BAABfcmVscy8ucmVsc1BLAQItABQABgAIAAAAIQAH+ZZFwgAAANsAAAAPAAAA AAAAAAAAAAAAAAcCAABkcnMvZG93bnJldi54bWxQSwUGAAAAAAMAAwC3AAAA9gIAAAAA " fillcolor="white [3212]" strokecolor="#eeece1 [3214]" strokeweight="1pt">
                        <v:textbox>
                          <w:txbxContent>
                            <w:p w:rsidR="003C3EA6" w:rsidRDefault="003C3EA6">
                              <w:pPr>
                                <w:rPr>
                                  <w:color w:val="000000"/>
                                  <w:sz w:val="18"/>
                                  <w:szCs w:val="18"/>
                                </w:rPr>
                              </w:pPr>
                              <w:r>
                                <w:rPr>
                                  <w:color w:val="000000"/>
                                  <w:sz w:val="18"/>
                                  <w:szCs w:val="18"/>
                                </w:rPr>
                                <w:t>Tikslai ir priemonės pagal sektorius</w:t>
                              </w:r>
                            </w:p>
                          </w:txbxContent>
                        </v:textbox>
                      </v:rect>
                      <v:rect id="Rectangle 204" o:spid="_x0000_s1071" style="position:absolute;left:848;top:34711;width:25146;height:723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8L1SwQAAANsAAAAPAAAAZHJzL2Rvd25yZXYueG1sRE/LasJA FN0L/sNwhe50YiFSoqOIUJtVSxMh20vmmgQzd2JmmsffdxaFLg/nfThNphUD9a6xrGC7iUAQl1Y3 XCm45e/rNxDOI2tsLZOCmRycjsvFARNtR/6mIfOVCCHsElRQe98lUrqyJoNuYzviwN1tb9AH2FdS 9ziGcNPK1yjaSYMNh4YaO7rUVD6yH6Mgn6r4I/36TJ8YF8X9mmXttZiVellN5z0IT5P/F/+5U61g F8aGL+EHyOMvAAAA//8DAFBLAQItABQABgAIAAAAIQDb4fbL7gAAAIUBAAATAAAAAAAAAAAAAAAA AAAAAABbQ29udGVudF9UeXBlc10ueG1sUEsBAi0AFAAGAAgAAAAhAFr0LFu/AAAAFQEAAAsAAAAA AAAAAAAAAAAAHwEAAF9yZWxzLy5yZWxzUEsBAi0AFAAGAAgAAAAhAIrwvVLBAAAA2wAAAA8AAAAA AAAAAAAAAAAABwIAAGRycy9kb3ducmV2LnhtbFBLBQYAAAAAAwADALcAAAD1AgAAAAA= " fillcolor="white [3212]" strokecolor="#eeece1 [3214]" strokeweight="1pt">
                        <v:textbox>
                          <w:txbxContent>
                            <w:p w:rsidR="003C3EA6" w:rsidRDefault="003C3EA6">
                              <w:pPr>
                                <w:rPr>
                                  <w:color w:val="000000"/>
                                  <w:sz w:val="18"/>
                                  <w:szCs w:val="18"/>
                                </w:rPr>
                              </w:pPr>
                              <w:r>
                                <w:rPr>
                                  <w:color w:val="000000"/>
                                  <w:sz w:val="18"/>
                                  <w:szCs w:val="18"/>
                                </w:rPr>
                                <w:t>Energetikos (AEI naudojimo, energijos vartojimo efektyvumo, šilumos ūkio efektyvumo didinimas, iškastinio kuro naudojimo mažinimas, biokuro naudojimo didinimas ir kt.)</w:t>
                              </w:r>
                            </w:p>
                          </w:txbxContent>
                        </v:textbox>
                      </v:rect>
                      <v:rect id="Rectangle 235" o:spid="_x0000_s1072" style="position:absolute;left:848;top:42826;width:25146;height:662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vBjJxAAAANsAAAAPAAAAZHJzL2Rvd25yZXYueG1sRI9Ba8JA FITvBf/D8oTemo2FSI1ZRYTanCyNQq6P7DMJZt+m2W2M/94tFHocZuYbJttOphMjDa61rGARxSCI K6tbrhWcT+8vbyCcR9bYWSYFd3Kw3cyeMky1vfEXjYWvRYCwS1FB432fSumqhgy6yPbEwbvYwaAP cqilHvAW4KaTr3G8lAZbDgsN9rRvqLoWP0bBaaqTj/zzmH9jUpaXQ1F0h/Ku1PN82q1BeJr8f/iv nWsFyxX8fgk/QG4eAAAA//8DAFBLAQItABQABgAIAAAAIQDb4fbL7gAAAIUBAAATAAAAAAAAAAAA AAAAAAAAAABbQ29udGVudF9UeXBlc10ueG1sUEsBAi0AFAAGAAgAAAAhAFr0LFu/AAAAFQEAAAsA AAAAAAAAAAAAAAAAHwEAAF9yZWxzLy5yZWxzUEsBAi0AFAAGAAgAAAAhAOW8GMnEAAAA2wAAAA8A AAAAAAAAAAAAAAAABwIAAGRycy9kb3ducmV2LnhtbFBLBQYAAAAAAwADALcAAAD4AgAAAAA= " fillcolor="white [3212]" strokecolor="#eeece1 [3214]" strokeweight="1pt">
                        <v:textbox>
                          <w:txbxContent>
                            <w:p w:rsidR="003C3EA6" w:rsidRDefault="003C3EA6">
                              <w:pPr>
                                <w:rPr>
                                  <w:color w:val="000000"/>
                                  <w:sz w:val="18"/>
                                  <w:szCs w:val="18"/>
                                </w:rPr>
                              </w:pPr>
                              <w:r>
                                <w:rPr>
                                  <w:color w:val="000000"/>
                                  <w:sz w:val="18"/>
                                  <w:szCs w:val="18"/>
                                </w:rPr>
                                <w:t>Transporto (tobulinti reguliavimą, skatinti naudoti AEI ir kt.)</w:t>
                              </w:r>
                            </w:p>
                          </w:txbxContent>
                        </v:textbox>
                      </v:rect>
                      <v:rect id="Rectangle 236" o:spid="_x0000_s1073" style="position:absolute;left:848;top:50028;width:25146;height:451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XyeJwQAAANsAAAAPAAAAZHJzL2Rvd25yZXYueG1sRE9Na8JA EL0X/A/LCL01GwuxkrpKEUxzUpoUch2yYxKanY3ZrcZ/7x4Ej4/3vd5OphcXGl1nWcEiikEQ11Z3 3Cj4LfdvKxDOI2vsLZOCGznYbmYva0y1vfIPXQrfiBDCLkUFrfdDKqWrWzLoIjsQB+5kR4M+wLGR esRrCDe9fI/jpTTYcWhocaBdS/Vf8W8UlFOTfOfHQ37GpKpOWVH0WXVT6nU+fX2C8DT5p/jhzrWC j7A+fAk/QG7uAAAA//8DAFBLAQItABQABgAIAAAAIQDb4fbL7gAAAIUBAAATAAAAAAAAAAAAAAAA AAAAAABbQ29udGVudF9UeXBlc10ueG1sUEsBAi0AFAAGAAgAAAAhAFr0LFu/AAAAFQEAAAsAAAAA AAAAAAAAAAAAHwEAAF9yZWxzLy5yZWxzUEsBAi0AFAAGAAgAAAAhAPFfJ4nBAAAA2wAAAA8AAAAA AAAAAAAAAAAABwIAAGRycy9kb3ducmV2LnhtbFBLBQYAAAAAAwADALcAAAD1AgAAAAA= " fillcolor="white [3212]" strokecolor="#eeece1 [3214]" strokeweight="1pt">
                        <v:textbox>
                          <w:txbxContent>
                            <w:p w:rsidR="003C3EA6" w:rsidRDefault="003C3EA6">
                              <w:pPr>
                                <w:rPr>
                                  <w:color w:val="000000"/>
                                  <w:sz w:val="18"/>
                                  <w:szCs w:val="18"/>
                                </w:rPr>
                              </w:pPr>
                              <w:r>
                                <w:rPr>
                                  <w:color w:val="000000"/>
                                  <w:sz w:val="18"/>
                                  <w:szCs w:val="18"/>
                                </w:rPr>
                                <w:t>Žemės ūkio (naudojamų technologijų (ypač gyvulininkystės) tobulinimas, mokymai ir kt.)</w:t>
                              </w:r>
                            </w:p>
                          </w:txbxContent>
                        </v:textbox>
                      </v:rect>
                      <v:rect id="Rectangle 237" o:spid="_x0000_s1074" style="position:absolute;left:848;top:55104;width:25146;height:372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E4ISwwAAANsAAAAPAAAAZHJzL2Rvd25yZXYueG1sRI9Pi8Iw FMTvwn6H8Ba8aargH7pGkQXdnhTbhV4fzbMtNi/dJqv12xtB8DjMzG+Y1aY3jbhS52rLCibjCARx YXXNpYLfbDdagnAeWWNjmRTcycFm/TFYYaztjU90TX0pAoRdjAoq79tYSldUZNCNbUscvLPtDPog u1LqDm8Bbho5jaK5NFhzWKiwpe+Kikv6bxRkfTn7SY6H5A9neX7ep2mzz+9KDT/77RcIT71/h1/t RCtYTOD5JfwAuX4AAAD//wMAUEsBAi0AFAAGAAgAAAAhANvh9svuAAAAhQEAABMAAAAAAAAAAAAA AAAAAAAAAFtDb250ZW50X1R5cGVzXS54bWxQSwECLQAUAAYACAAAACEAWvQsW78AAAAVAQAACwAA AAAAAAAAAAAAAAAfAQAAX3JlbHMvLnJlbHNQSwECLQAUAAYACAAAACEAnhOCEsMAAADbAAAADwAA AAAAAAAAAAAAAAAHAgAAZHJzL2Rvd25yZXYueG1sUEsFBgAAAAADAAMAtwAAAPcCAAAAAA== " fillcolor="white [3212]" strokecolor="#eeece1 [3214]" strokeweight="1pt">
                        <v:textbox>
                          <w:txbxContent>
                            <w:p w:rsidR="003C3EA6" w:rsidRDefault="003C3EA6">
                              <w:pPr>
                                <w:rPr>
                                  <w:color w:val="000000"/>
                                  <w:sz w:val="18"/>
                                  <w:szCs w:val="18"/>
                                </w:rPr>
                              </w:pPr>
                              <w:r>
                                <w:rPr>
                                  <w:color w:val="000000"/>
                                  <w:sz w:val="18"/>
                                  <w:szCs w:val="18"/>
                                </w:rPr>
                                <w:t>Sveikatos apsaugos (fizinės darbo ir gyvenamosios aplinkos gerinimas ir kt.)</w:t>
                              </w:r>
                            </w:p>
                          </w:txbxContent>
                        </v:textbox>
                      </v:rect>
                    </v:group>
                    <v:rect id="Rectangle 238" o:spid="_x0000_s1075" style="position:absolute;left:26479;top:32956;width:36544;height:1651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n/vMwgAAANsAAAAPAAAAZHJzL2Rvd25yZXYueG1sRI9Pi8Iw FMTvgt8hPGEvoqmLiNamsnbZxaP/8Pxonm2xeek2Ubvf3giCx2FmfsMkq87U4katqywrmIwjEMS5 1RUXCo6Hn9EchPPIGmvLpOCfHKzSfi/BWNs77+i294UIEHYxKii9b2IpXV6SQTe2DXHwzrY16INs C6lbvAe4qeVnFM2kwYrDQokNZSXll/3VKJDbej2bDrn4zjA7ycPV/f6dc6U+Bt3XEoSnzr/Dr/ZG K5gu4Pkl/ACZPgAAAP//AwBQSwECLQAUAAYACAAAACEA2+H2y+4AAACFAQAAEwAAAAAAAAAAAAAA AAAAAAAAW0NvbnRlbnRfVHlwZXNdLnhtbFBLAQItABQABgAIAAAAIQBa9CxbvwAAABUBAAALAAAA AAAAAAAAAAAAAB8BAABfcmVscy8ucmVsc1BLAQItABQABgAIAAAAIQBSn/vMwgAAANsAAAAPAAAA AAAAAAAAAAAAAAcCAABkcnMvZG93bnJldi54bWxQSwUGAAAAAAMAAwC3AAAA9gIAAAAA " fillcolor="white [3212]" strokecolor="#eeece1 [3214]" strokeweight="1pt">
                      <v:textbox>
                        <w:txbxContent>
                          <w:p w:rsidR="003C3EA6" w:rsidRDefault="003C3EA6">
                            <w:pPr>
                              <w:jc w:val="both"/>
                              <w:rPr>
                                <w:color w:val="000000"/>
                                <w:sz w:val="18"/>
                                <w:szCs w:val="18"/>
                              </w:rPr>
                            </w:pPr>
                            <w:r>
                              <w:rPr>
                                <w:color w:val="000000"/>
                                <w:sz w:val="18"/>
                                <w:szCs w:val="18"/>
                              </w:rPr>
                              <w:t xml:space="preserve">Valstybės ilgalaikė raidos strategija </w:t>
                            </w:r>
                          </w:p>
                          <w:p w:rsidR="003C3EA6" w:rsidRDefault="003C3EA6">
                            <w:pPr>
                              <w:jc w:val="both"/>
                              <w:rPr>
                                <w:color w:val="000000"/>
                                <w:sz w:val="18"/>
                                <w:szCs w:val="18"/>
                              </w:rPr>
                            </w:pPr>
                            <w:r>
                              <w:rPr>
                                <w:color w:val="000000"/>
                                <w:sz w:val="18"/>
                                <w:szCs w:val="18"/>
                              </w:rPr>
                              <w:t>2014–2020 metų nacionalinės pažangos programa</w:t>
                            </w:r>
                          </w:p>
                          <w:p w:rsidR="003C3EA6" w:rsidRDefault="003C3EA6">
                            <w:pPr>
                              <w:jc w:val="both"/>
                              <w:rPr>
                                <w:color w:val="000000"/>
                                <w:sz w:val="18"/>
                                <w:szCs w:val="18"/>
                              </w:rPr>
                            </w:pPr>
                            <w:r>
                              <w:rPr>
                                <w:color w:val="000000"/>
                                <w:sz w:val="18"/>
                                <w:szCs w:val="18"/>
                              </w:rPr>
                              <w:t>Nacionalinė energetinės nepriklausomybės strategija</w:t>
                            </w:r>
                          </w:p>
                          <w:p w:rsidR="003C3EA6" w:rsidRDefault="003C3EA6">
                            <w:pPr>
                              <w:jc w:val="both"/>
                              <w:rPr>
                                <w:color w:val="000000"/>
                                <w:sz w:val="18"/>
                                <w:szCs w:val="18"/>
                              </w:rPr>
                            </w:pPr>
                            <w:r>
                              <w:rPr>
                                <w:color w:val="000000"/>
                                <w:sz w:val="18"/>
                                <w:szCs w:val="18"/>
                              </w:rPr>
                              <w:t>Nacionalinė atsinaujinančių energijos išteklių plėtros strategija</w:t>
                            </w:r>
                          </w:p>
                          <w:p w:rsidR="003C3EA6" w:rsidRDefault="003C3EA6">
                            <w:pPr>
                              <w:jc w:val="both"/>
                              <w:rPr>
                                <w:color w:val="000000"/>
                                <w:sz w:val="18"/>
                                <w:szCs w:val="18"/>
                              </w:rPr>
                            </w:pPr>
                            <w:r>
                              <w:rPr>
                                <w:color w:val="000000"/>
                                <w:sz w:val="18"/>
                                <w:szCs w:val="18"/>
                              </w:rPr>
                              <w:t>Europos Komisijos komunikatas dėl 2020-2030 m. klimato ir energetikos politikos strategijos</w:t>
                            </w:r>
                          </w:p>
                          <w:p w:rsidR="003C3EA6" w:rsidRDefault="003C3EA6">
                            <w:pPr>
                              <w:jc w:val="both"/>
                              <w:rPr>
                                <w:color w:val="000000"/>
                                <w:sz w:val="18"/>
                                <w:szCs w:val="18"/>
                              </w:rPr>
                            </w:pPr>
                            <w:r>
                              <w:rPr>
                                <w:color w:val="000000"/>
                                <w:sz w:val="18"/>
                                <w:szCs w:val="18"/>
                              </w:rPr>
                              <w:t>Nacionalinė susisiekimo plėtros 2014-2022 metų programa</w:t>
                            </w:r>
                          </w:p>
                          <w:p w:rsidR="003C3EA6" w:rsidRDefault="003C3EA6">
                            <w:pPr>
                              <w:jc w:val="both"/>
                              <w:rPr>
                                <w:color w:val="000000"/>
                                <w:sz w:val="18"/>
                                <w:szCs w:val="18"/>
                              </w:rPr>
                            </w:pPr>
                            <w:r>
                              <w:rPr>
                                <w:color w:val="000000"/>
                                <w:sz w:val="18"/>
                                <w:szCs w:val="18"/>
                              </w:rPr>
                              <w:t>Vyriausybės programa</w:t>
                            </w:r>
                          </w:p>
                          <w:p w:rsidR="003C3EA6" w:rsidRDefault="003C3EA6">
                            <w:pPr>
                              <w:jc w:val="both"/>
                              <w:rPr>
                                <w:color w:val="000000"/>
                                <w:sz w:val="18"/>
                                <w:szCs w:val="18"/>
                              </w:rPr>
                            </w:pPr>
                            <w:r>
                              <w:rPr>
                                <w:color w:val="000000"/>
                                <w:sz w:val="18"/>
                                <w:szCs w:val="18"/>
                              </w:rPr>
                              <w:t>Bendrasis planas</w:t>
                            </w:r>
                          </w:p>
                          <w:p w:rsidR="003C3EA6" w:rsidRDefault="003C3EA6">
                            <w:pPr>
                              <w:jc w:val="both"/>
                              <w:rPr>
                                <w:color w:val="000000"/>
                                <w:sz w:val="18"/>
                                <w:szCs w:val="18"/>
                              </w:rPr>
                            </w:pPr>
                            <w:r>
                              <w:rPr>
                                <w:color w:val="000000"/>
                                <w:sz w:val="18"/>
                                <w:szCs w:val="18"/>
                              </w:rPr>
                              <w:t xml:space="preserve">Valstybės pažangos strategija </w:t>
                            </w:r>
                          </w:p>
                          <w:p w:rsidR="003C3EA6" w:rsidRDefault="003C3EA6">
                            <w:pPr>
                              <w:jc w:val="both"/>
                              <w:rPr>
                                <w:color w:val="000000"/>
                                <w:sz w:val="18"/>
                                <w:szCs w:val="18"/>
                              </w:rPr>
                            </w:pPr>
                            <w:r>
                              <w:rPr>
                                <w:color w:val="000000"/>
                                <w:sz w:val="18"/>
                                <w:szCs w:val="18"/>
                              </w:rPr>
                              <w:t>Valstybinis atliekų tvarkymo 2014-2020 metų planas</w:t>
                            </w:r>
                          </w:p>
                        </w:txbxContent>
                      </v:textbox>
                    </v:rect>
                    <v:rect id="Rectangle 239" o:spid="_x0000_s1076" style="position:absolute;left:26479;top:50292;width:36544;height:120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fMSMvwAAANsAAAAPAAAAZHJzL2Rvd25yZXYueG1sRE/LisIw FN0L8w/hCrORMZ1By1CbythBcekL15fm2habm9pErX9vFoLLw3mn89404kadqy0r+B5HIIgLq2su FRz2y69fEM4ja2wsk4IHOZhnH4MUE23vvKXbzpcihLBLUEHlfZtI6YqKDLqxbYkDd7KdQR9gV0rd 4T2Em0b+RFEsDdYcGipsKa+oOO+uRoHcNIt4MuLyP8f8KPdXt7qcCqU+h/3fDISn3r/FL/daK5iG 9eFL+AEyewIAAP//AwBQSwECLQAUAAYACAAAACEA2+H2y+4AAACFAQAAEwAAAAAAAAAAAAAAAAAA AAAAW0NvbnRlbnRfVHlwZXNdLnhtbFBLAQItABQABgAIAAAAIQBa9CxbvwAAABUBAAALAAAAAAAA AAAAAAAAAB8BAABfcmVscy8ucmVsc1BLAQItABQABgAIAAAAIQBGfMSMvwAAANsAAAAPAAAAAAAA AAAAAAAAAAcCAABkcnMvZG93bnJldi54bWxQSwUGAAAAAAMAAwC3AAAA8wIAAAAA " fillcolor="white [3212]" strokecolor="#eeece1 [3214]" strokeweight="1pt">
                      <v:textbox>
                        <w:txbxContent>
                          <w:p w:rsidR="003C3EA6" w:rsidRDefault="003C3EA6">
                            <w:pPr>
                              <w:jc w:val="both"/>
                              <w:rPr>
                                <w:color w:val="000000"/>
                                <w:sz w:val="18"/>
                                <w:szCs w:val="18"/>
                              </w:rPr>
                            </w:pPr>
                            <w:r>
                              <w:rPr>
                                <w:color w:val="000000"/>
                                <w:sz w:val="18"/>
                                <w:szCs w:val="18"/>
                              </w:rPr>
                              <w:t>Nacionalinė darnaus vystymosi strategija</w:t>
                            </w:r>
                          </w:p>
                          <w:p w:rsidR="003C3EA6" w:rsidRDefault="003C3EA6">
                            <w:pPr>
                              <w:jc w:val="both"/>
                              <w:rPr>
                                <w:color w:val="000000"/>
                                <w:sz w:val="18"/>
                                <w:szCs w:val="18"/>
                              </w:rPr>
                            </w:pPr>
                            <w:r>
                              <w:rPr>
                                <w:color w:val="000000"/>
                                <w:sz w:val="18"/>
                                <w:szCs w:val="18"/>
                              </w:rPr>
                              <w:t xml:space="preserve">Valstybės ilgalaikė raidos strategija </w:t>
                            </w:r>
                          </w:p>
                          <w:p w:rsidR="003C3EA6" w:rsidRDefault="003C3EA6">
                            <w:pPr>
                              <w:jc w:val="both"/>
                              <w:rPr>
                                <w:color w:val="000000"/>
                                <w:sz w:val="18"/>
                                <w:szCs w:val="18"/>
                              </w:rPr>
                            </w:pPr>
                            <w:r>
                              <w:rPr>
                                <w:color w:val="000000"/>
                                <w:sz w:val="18"/>
                                <w:szCs w:val="18"/>
                              </w:rPr>
                              <w:t>2014-2020 metų nacionalinės pažangos programa</w:t>
                            </w:r>
                          </w:p>
                          <w:p w:rsidR="003C3EA6" w:rsidRDefault="003C3EA6">
                            <w:pPr>
                              <w:jc w:val="both"/>
                              <w:rPr>
                                <w:color w:val="000000"/>
                                <w:sz w:val="18"/>
                                <w:szCs w:val="18"/>
                              </w:rPr>
                            </w:pPr>
                            <w:r>
                              <w:rPr>
                                <w:color w:val="000000"/>
                                <w:sz w:val="18"/>
                                <w:szCs w:val="18"/>
                              </w:rPr>
                              <w:t>Nacionalinė energetinės nepriklausomybės strategija</w:t>
                            </w:r>
                          </w:p>
                          <w:p w:rsidR="003C3EA6" w:rsidRDefault="003C3EA6">
                            <w:pPr>
                              <w:jc w:val="both"/>
                              <w:rPr>
                                <w:color w:val="000000"/>
                                <w:sz w:val="18"/>
                                <w:szCs w:val="18"/>
                              </w:rPr>
                            </w:pPr>
                            <w:r>
                              <w:rPr>
                                <w:color w:val="000000"/>
                                <w:sz w:val="18"/>
                                <w:szCs w:val="18"/>
                              </w:rPr>
                              <w:t xml:space="preserve">Nacionalinė atsinaujinančių energijos išteklių plėtros strategija </w:t>
                            </w:r>
                          </w:p>
                          <w:p w:rsidR="003C3EA6" w:rsidRDefault="003C3EA6">
                            <w:pPr>
                              <w:jc w:val="both"/>
                              <w:rPr>
                                <w:color w:val="000000"/>
                                <w:sz w:val="18"/>
                                <w:szCs w:val="18"/>
                              </w:rPr>
                            </w:pPr>
                            <w:r>
                              <w:rPr>
                                <w:color w:val="000000"/>
                                <w:sz w:val="18"/>
                                <w:szCs w:val="18"/>
                              </w:rPr>
                              <w:t>Nacionalinė susisiekimo plėtros 2014–2022 metų programa</w:t>
                            </w:r>
                          </w:p>
                          <w:p w:rsidR="003C3EA6" w:rsidRDefault="003C3EA6">
                            <w:pPr>
                              <w:jc w:val="both"/>
                              <w:rPr>
                                <w:color w:val="000000"/>
                                <w:sz w:val="18"/>
                                <w:szCs w:val="18"/>
                              </w:rPr>
                            </w:pPr>
                            <w:r>
                              <w:rPr>
                                <w:color w:val="000000"/>
                                <w:sz w:val="18"/>
                                <w:szCs w:val="18"/>
                              </w:rPr>
                              <w:t>Vyriausybės programa</w:t>
                            </w:r>
                          </w:p>
                          <w:p w:rsidR="003C3EA6" w:rsidRDefault="003C3EA6">
                            <w:pPr>
                              <w:jc w:val="both"/>
                              <w:rPr>
                                <w:color w:val="000000"/>
                                <w:sz w:val="18"/>
                                <w:szCs w:val="18"/>
                              </w:rPr>
                            </w:pPr>
                            <w:r>
                              <w:rPr>
                                <w:color w:val="000000"/>
                                <w:sz w:val="18"/>
                                <w:szCs w:val="18"/>
                              </w:rPr>
                              <w:t>Bendrasis planas</w:t>
                            </w:r>
                          </w:p>
                          <w:p w:rsidR="003C3EA6" w:rsidRDefault="003C3EA6">
                            <w:pPr>
                              <w:jc w:val="both"/>
                              <w:rPr>
                                <w:color w:val="000000"/>
                                <w:sz w:val="18"/>
                                <w:szCs w:val="18"/>
                              </w:rPr>
                            </w:pPr>
                            <w:r>
                              <w:rPr>
                                <w:color w:val="000000"/>
                                <w:sz w:val="18"/>
                                <w:szCs w:val="18"/>
                              </w:rPr>
                              <w:t xml:space="preserve">Valstybės pažangos strategija </w:t>
                            </w:r>
                          </w:p>
                        </w:txbxContent>
                      </v:textbox>
                    </v:rect>
                    <v:rect id="Rectangle 240" o:spid="_x0000_s1077" style="position:absolute;left:26479;top:62865;width:36544;height:793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MGEXwwAAANsAAAAPAAAAZHJzL2Rvd25yZXYueG1sRI9Pa8JA FMTvhX6H5RV6KWaT0kqJ2YQasXhstXh+ZF/+YPZtml01fntXEHocZuY3TFZMphcnGl1nWUESxSCI K6s7bhT87tazDxDOI2vsLZOCCzko8seHDFNtz/xDp61vRICwS1FB6/2QSumqlgy6yA7EwavtaNAH OTZSj3gOcNPL1zieS4Mdh4UWBypbqg7bo1Egv/vl/O2Fm1WJ5V7uju7rr66Uen6aPhcgPE3+P3xv b7SC9wRuX8IPkPkVAAD//wMAUEsBAi0AFAAGAAgAAAAhANvh9svuAAAAhQEAABMAAAAAAAAAAAAA AAAAAAAAAFtDb250ZW50X1R5cGVzXS54bWxQSwECLQAUAAYACAAAACEAWvQsW78AAAAVAQAACwAA AAAAAAAAAAAAAAAfAQAAX3JlbHMvLnJlbHNQSwECLQAUAAYACAAAACEAKTBhF8MAAADbAAAADwAA AAAAAAAAAAAAAAAHAgAAZHJzL2Rvd25yZXYueG1sUEsFBgAAAAADAAMAtwAAAPcCAAAAAA== " fillcolor="white [3212]" strokecolor="#eeece1 [3214]" strokeweight="1pt">
                      <v:textbox>
                        <w:txbxContent>
                          <w:p w:rsidR="003C3EA6" w:rsidRDefault="003C3EA6">
                            <w:pPr>
                              <w:jc w:val="both"/>
                              <w:rPr>
                                <w:color w:val="000000"/>
                                <w:sz w:val="18"/>
                                <w:szCs w:val="18"/>
                              </w:rPr>
                            </w:pPr>
                            <w:r>
                              <w:rPr>
                                <w:color w:val="000000"/>
                                <w:sz w:val="18"/>
                                <w:szCs w:val="18"/>
                              </w:rPr>
                              <w:t xml:space="preserve">Lietuvos kaimo plėtros 2014–2020 m. programa </w:t>
                            </w:r>
                          </w:p>
                          <w:p w:rsidR="003C3EA6" w:rsidRDefault="003C3EA6">
                            <w:pPr>
                              <w:jc w:val="both"/>
                              <w:rPr>
                                <w:color w:val="000000"/>
                                <w:sz w:val="18"/>
                                <w:szCs w:val="18"/>
                              </w:rPr>
                            </w:pPr>
                            <w:r>
                              <w:rPr>
                                <w:color w:val="000000"/>
                                <w:sz w:val="18"/>
                                <w:szCs w:val="18"/>
                              </w:rPr>
                              <w:t>Nacionalinė 2014–2020 metų gyvulininkystės sektoriaus plėtros programa</w:t>
                            </w:r>
                          </w:p>
                          <w:p w:rsidR="003C3EA6" w:rsidRDefault="003C3EA6">
                            <w:pPr>
                              <w:jc w:val="both"/>
                              <w:rPr>
                                <w:color w:val="000000"/>
                                <w:sz w:val="18"/>
                                <w:szCs w:val="18"/>
                              </w:rPr>
                            </w:pPr>
                            <w:r>
                              <w:rPr>
                                <w:color w:val="000000"/>
                                <w:sz w:val="18"/>
                                <w:szCs w:val="18"/>
                              </w:rPr>
                              <w:t>Vyriausybės programa</w:t>
                            </w:r>
                          </w:p>
                          <w:p w:rsidR="003C3EA6" w:rsidRDefault="003C3EA6">
                            <w:pPr>
                              <w:jc w:val="both"/>
                              <w:rPr>
                                <w:color w:val="000000"/>
                                <w:sz w:val="18"/>
                                <w:szCs w:val="18"/>
                              </w:rPr>
                            </w:pPr>
                            <w:r>
                              <w:rPr>
                                <w:color w:val="000000"/>
                                <w:sz w:val="18"/>
                                <w:szCs w:val="18"/>
                              </w:rPr>
                              <w:t>Bendrasis planas</w:t>
                            </w:r>
                          </w:p>
                          <w:p w:rsidR="003C3EA6" w:rsidRDefault="003C3EA6">
                            <w:pPr>
                              <w:ind w:firstLine="720"/>
                              <w:jc w:val="both"/>
                              <w:rPr>
                                <w:color w:val="000000"/>
                                <w:sz w:val="18"/>
                                <w:szCs w:val="18"/>
                              </w:rPr>
                            </w:pPr>
                            <w:r>
                              <w:rPr>
                                <w:color w:val="000000"/>
                                <w:szCs w:val="18"/>
                              </w:rPr>
                              <w:t xml:space="preserve">1. </w:t>
                            </w:r>
                          </w:p>
                        </w:txbxContent>
                      </v:textbox>
                    </v:rect>
                    <v:rect id="Rectangle 241" o:spid="_x0000_s1078" style="position:absolute;left:26479;top:71628;width:36544;height:664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4v9gwQAAANsAAAAPAAAAZHJzL2Rvd25yZXYueG1sRI/NqsIw FIT3gu8QjuBGNFVUpBpFK1fu0j9cH5pjW2xOahO19+1vBMHlMDPfMItVY0rxpNoVlhUMBxEI4tTq gjMF59NPfwbCeWSNpWVS8EcOVst2a4Gxti8+0PPoMxEg7GJUkHtfxVK6NCeDbmAr4uBdbW3QB1ln Utf4CnBTylEUTaXBgsNCjhUlOaW348MokPtyMx33ONsmmFzk6eF292uqVLfTrOcgPDX+G/60f7WC yQjeX8IPkMt/AAAA//8DAFBLAQItABQABgAIAAAAIQDb4fbL7gAAAIUBAAATAAAAAAAAAAAAAAAA AAAAAABbQ29udGVudF9UeXBlc10ueG1sUEsBAi0AFAAGAAgAAAAhAFr0LFu/AAAAFQEAAAsAAAAA AAAAAAAAAAAAHwEAAF9yZWxzLy5yZWxzUEsBAi0AFAAGAAgAAAAhANni/2DBAAAA2wAAAA8AAAAA AAAAAAAAAAAABwIAAGRycy9kb3ducmV2LnhtbFBLBQYAAAAAAwADALcAAAD1AgAAAAA= " fillcolor="white [3212]" strokecolor="#eeece1 [3214]" strokeweight="1pt">
                      <v:textbox>
                        <w:txbxContent>
                          <w:p w:rsidR="003C3EA6" w:rsidRDefault="003C3EA6">
                            <w:pPr>
                              <w:jc w:val="both"/>
                              <w:rPr>
                                <w:color w:val="000000"/>
                                <w:sz w:val="18"/>
                                <w:szCs w:val="18"/>
                              </w:rPr>
                            </w:pPr>
                            <w:r>
                              <w:rPr>
                                <w:color w:val="000000"/>
                                <w:sz w:val="18"/>
                                <w:szCs w:val="18"/>
                              </w:rPr>
                              <w:t xml:space="preserve">Nacionalinė darnaus vystymosi strategija </w:t>
                            </w:r>
                          </w:p>
                          <w:p w:rsidR="003C3EA6" w:rsidRDefault="003C3EA6">
                            <w:pPr>
                              <w:jc w:val="both"/>
                              <w:rPr>
                                <w:color w:val="000000"/>
                                <w:sz w:val="18"/>
                                <w:szCs w:val="18"/>
                              </w:rPr>
                            </w:pPr>
                            <w:r>
                              <w:rPr>
                                <w:color w:val="000000"/>
                                <w:sz w:val="18"/>
                                <w:szCs w:val="18"/>
                              </w:rPr>
                              <w:t xml:space="preserve">Lietuvos sveikatos 2014–2025 metų strategija </w:t>
                            </w:r>
                          </w:p>
                          <w:p w:rsidR="003C3EA6" w:rsidRDefault="003C3EA6">
                            <w:pPr>
                              <w:jc w:val="both"/>
                              <w:rPr>
                                <w:color w:val="000000"/>
                                <w:sz w:val="18"/>
                                <w:szCs w:val="18"/>
                              </w:rPr>
                            </w:pPr>
                            <w:r>
                              <w:rPr>
                                <w:color w:val="000000"/>
                                <w:sz w:val="18"/>
                                <w:szCs w:val="18"/>
                              </w:rPr>
                              <w:t>Nacionalinė visuomenės sveikatos priežiūros 2016–2030 metų plėtros programa</w:t>
                            </w:r>
                          </w:p>
                        </w:txbxContent>
                      </v:textbox>
                    </v:rect>
                    <v:rect id="Rectangle 242" o:spid="_x0000_s1079" style="position:absolute;left:190;top:10858;width:23464;height:793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OOWewgAAANsAAAAPAAAAZHJzL2Rvd25yZXYueG1sRI9Bi8Iw FITvwv6H8Ba8aapSka5RZEG3J8Uq9Pponm3Z5qXbZLX+eyMIHoeZ+YZZrnvTiCt1rrasYDKOQBAX VtdcKjiftqMFCOeRNTaWScGdHKxXH4MlJtre+EjXzJciQNglqKDyvk2kdEVFBt3YtsTBu9jOoA+y K6Xu8BbgppHTKJpLgzWHhQpb+q6o+M3+jYJTX8Y/6WGf/mGc55ddljW7/K7U8LPffIHw1Pt3+NVO tYJ4Bs8v4QfI1QMAAP//AwBQSwECLQAUAAYACAAAACEA2+H2y+4AAACFAQAAEwAAAAAAAAAAAAAA AAAAAAAAW0NvbnRlbnRfVHlwZXNdLnhtbFBLAQItABQABgAIAAAAIQBa9CxbvwAAABUBAAALAAAA AAAAAAAAAAAAAB8BAABfcmVscy8ucmVsc1BLAQItABQABgAIAAAAIQBKOOWewgAAANsAAAAPAAAA AAAAAAAAAAAAAAcCAABkcnMvZG93bnJldi54bWxQSwUGAAAAAAMAAwC3AAAA9gIAAAAA " fillcolor="white [3212]" strokecolor="#eeece1 [3214]" strokeweight="1pt">
                      <v:textbox>
                        <w:txbxContent>
                          <w:p w:rsidR="003C3EA6" w:rsidRDefault="003C3EA6">
                            <w:pPr>
                              <w:rPr>
                                <w:color w:val="000000"/>
                                <w:sz w:val="18"/>
                                <w:szCs w:val="18"/>
                              </w:rPr>
                            </w:pPr>
                            <w:r>
                              <w:rPr>
                                <w:color w:val="000000"/>
                                <w:sz w:val="18"/>
                                <w:szCs w:val="18"/>
                                <w:lang w:eastAsia="lt-LT"/>
                              </w:rPr>
                              <w:t>Aplinkos oro taršos ir kokybės valdymo, organizavimo ir priežiūros tobulinimas</w:t>
                            </w:r>
                          </w:p>
                        </w:txbxContent>
                      </v:textbox>
                    </v:rect>
                    <v:rect id="Rectangle 243" o:spid="_x0000_s1080" style="position:absolute;left:26289;top:10858;width:36544;height:793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R8KPwgAAANsAAAAPAAAAZHJzL2Rvd25yZXYueG1sRI9Pi8Iw FMTvgt8hPGEvoqmLitSmsnbZxaP/8Pxonm2xeek2Ubvf3giCx2FmfsMkq87U4katqywrmIwjEMS5 1RUXCo6Hn9EChPPIGmvLpOCfHKzSfi/BWNs77+i294UIEHYxKii9b2IpXV6SQTe2DXHwzrY16INs C6lbvAe4qeVnFM2lwYrDQokNZSXll/3VKJDbej2fDrn4zjA7ycPV/f6dc6U+Bt3XEoSnzr/Dr/ZG K5hN4fkl/ACZPgAAAP//AwBQSwECLQAUAAYACAAAACEA2+H2y+4AAACFAQAAEwAAAAAAAAAAAAAA AAAAAAAAW0NvbnRlbnRfVHlwZXNdLnhtbFBLAQItABQABgAIAAAAIQBa9CxbvwAAABUBAAALAAAA AAAAAAAAAAAAAB8BAABfcmVscy8ucmVsc1BLAQItABQABgAIAAAAIQA5R8KPwgAAANsAAAAPAAAA AAAAAAAAAAAAAAcCAABkcnMvZG93bnJldi54bWxQSwUGAAAAAAMAAwC3AAAA9gIAAAAA " fillcolor="white [3212]" strokecolor="#eeece1 [3214]" strokeweight="1pt">
                      <v:textbox>
                        <w:txbxContent>
                          <w:p w:rsidR="003C3EA6" w:rsidRDefault="003C3EA6">
                            <w:pPr>
                              <w:jc w:val="both"/>
                              <w:rPr>
                                <w:color w:val="000000"/>
                                <w:sz w:val="18"/>
                                <w:szCs w:val="18"/>
                              </w:rPr>
                            </w:pPr>
                            <w:r>
                              <w:rPr>
                                <w:color w:val="000000"/>
                                <w:sz w:val="18"/>
                                <w:szCs w:val="18"/>
                              </w:rPr>
                              <w:t xml:space="preserve">Nacionalinė darnaus vystymosi strategija </w:t>
                            </w:r>
                          </w:p>
                          <w:p w:rsidR="003C3EA6" w:rsidRDefault="003C3EA6">
                            <w:pPr>
                              <w:jc w:val="both"/>
                              <w:rPr>
                                <w:color w:val="000000"/>
                                <w:sz w:val="18"/>
                                <w:szCs w:val="18"/>
                              </w:rPr>
                            </w:pPr>
                            <w:r>
                              <w:rPr>
                                <w:color w:val="000000"/>
                                <w:sz w:val="18"/>
                                <w:szCs w:val="18"/>
                              </w:rPr>
                              <w:t>Valstybės ilgalaikės raidos strategija</w:t>
                            </w:r>
                          </w:p>
                          <w:p w:rsidR="003C3EA6" w:rsidRDefault="003C3EA6">
                            <w:pPr>
                              <w:jc w:val="both"/>
                              <w:rPr>
                                <w:color w:val="000000"/>
                                <w:sz w:val="18"/>
                                <w:szCs w:val="18"/>
                              </w:rPr>
                            </w:pPr>
                            <w:r>
                              <w:rPr>
                                <w:color w:val="000000"/>
                                <w:sz w:val="18"/>
                                <w:szCs w:val="18"/>
                              </w:rPr>
                              <w:t>Nacionalinė visuomenės sveikatos priežiūros 2016–2030 metų plėtros programa</w:t>
                            </w:r>
                          </w:p>
                          <w:p w:rsidR="003C3EA6" w:rsidRDefault="003C3EA6">
                            <w:pPr>
                              <w:jc w:val="both"/>
                              <w:rPr>
                                <w:color w:val="000000"/>
                                <w:sz w:val="18"/>
                                <w:szCs w:val="18"/>
                              </w:rPr>
                            </w:pPr>
                            <w:r>
                              <w:rPr>
                                <w:color w:val="000000"/>
                                <w:sz w:val="18"/>
                                <w:szCs w:val="18"/>
                              </w:rPr>
                              <w:t>Vyriausybės programa</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44" o:spid="_x0000_s1081" type="#_x0000_t66" style="position:absolute;left:23622;top:5334;width:2546;height:328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7SYowgAAANsAAAAPAAAAZHJzL2Rvd25yZXYueG1sRI9Bi8Iw FITvgv8hPMGbphYqUo2yCAUPItjd4vXZPNuyzUtpYu3++42wsMdhZr5hdofRtGKg3jWWFayWEQji 0uqGKwVfn9liA8J5ZI2tZVLwQw4O++lkh6m2L77SkPtKBAi7FBXU3neplK6syaBb2o44eA/bG/RB 9pXUPb4C3LQyjqK1NNhwWKixo2NN5Xf+NApy252Le5Gsb9klp0eziVcyjpWaz8aPLQhPo/8P/7VP WkGSwPtL+AFy/wsAAP//AwBQSwECLQAUAAYACAAAACEA2+H2y+4AAACFAQAAEwAAAAAAAAAAAAAA AAAAAAAAW0NvbnRlbnRfVHlwZXNdLnhtbFBLAQItABQABgAIAAAAIQBa9CxbvwAAABUBAAALAAAA AAAAAAAAAAAAAB8BAABfcmVscy8ucmVsc1BLAQItABQABgAIAAAAIQCG7SYowgAAANsAAAAPAAAA AAAAAAAAAAAAAAcCAABkcnMvZG93bnJldi54bWxQSwUGAAAAAAMAAwC3AAAA9gIAAAAA " adj="10800" fillcolor="#4f81bd [3204]" strokecolor="#4f81bd [3204]" strokeweight="2pt"/>
                    <v:shape id="Left Arrow 245" o:spid="_x0000_s1082" type="#_x0000_t66" style="position:absolute;left:23622;top:12573;width:2548;height:328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P7hfwQAAANsAAAAPAAAAZHJzL2Rvd25yZXYueG1sRI9Bi8Iw FITvgv8hPMGbphYsUo0iguBBBLtbvD6bZ1tsXkoTtf57IyzscZiZb5jVpjeNeFLnassKZtMIBHFh dc2lgt+f/WQBwnlkjY1lUvAmB5v1cLDCVNsXn+mZ+VIECLsUFVTet6mUrqjIoJvaljh4N9sZ9EF2 pdQdvgLcNDKOokQarDksVNjSrqLinj2Mgsy2x/yaz5PL/pTRrV7EMxnHSo1H/XYJwlPv/8N/7YNW ME/g+yX8ALn+AAAA//8DAFBLAQItABQABgAIAAAAIQDb4fbL7gAAAIUBAAATAAAAAAAAAAAAAAAA AAAAAABbQ29udGVudF9UeXBlc10ueG1sUEsBAi0AFAAGAAgAAAAhAFr0LFu/AAAAFQEAAAsAAAAA AAAAAAAAAAAAHwEAAF9yZWxzLy5yZWxzUEsBAi0AFAAGAAgAAAAhAHY/uF/BAAAA2wAAAA8AAAAA AAAAAAAAAAAABwIAAGRycy9kb3ducmV2LnhtbFBLBQYAAAAAAwADALcAAAD1AgAAAAA= " adj="10800" fillcolor="#4f81bd [3204]" strokecolor="#4f81bd [3204]" strokeweight="2pt"/>
                    <v:shape id="Left Arrow 246" o:spid="_x0000_s1083" type="#_x0000_t66" style="position:absolute;left:23622;top:53911;width:2635;height:328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cx3EwwAAANsAAAAPAAAAZHJzL2Rvd25yZXYueG1sRI9Ba8JA FITvBf/D8gRvdZNA0pC6ihQCHqRgWun1NftMgtm3IbvV+O+7guBxmJlvmNVmMr240Og6ywriZQSC uLa640bB91f5moNwHlljb5kU3MjBZj17WWGh7ZUPdKl8IwKEXYEKWu+HQkpXt2TQLe1AHLyTHQ36 IMdG6hGvAW56mURRJg12HBZaHOijpfpc/RkFlR32x99jmv2UnxWdujyJZZIotZhP23cQnib/DD/a O60gfYP7l/AD5PofAAD//wMAUEsBAi0AFAAGAAgAAAAhANvh9svuAAAAhQEAABMAAAAAAAAAAAAA AAAAAAAAAFtDb250ZW50X1R5cGVzXS54bWxQSwECLQAUAAYACAAAACEAWvQsW78AAAAVAQAACwAA AAAAAAAAAAAAAAAfAQAAX3JlbHMvLnJlbHNQSwECLQAUAAYACAAAACEAGXMdxMMAAADbAAAADwAA AAAAAAAAAAAAAAAHAgAAZHJzL2Rvd25yZXYueG1sUEsFBgAAAAADAAMAtwAAAPcCAAAAAA== " adj="10800" fillcolor="#4f81bd [3204]" strokecolor="#4f81bd [3204]" strokeweight="2pt">
                      <v:textbox>
                        <w:txbxContent>
                          <w:p w:rsidR="003C3EA6" w:rsidRDefault="003C3EA6">
                            <w:pPr>
                              <w:spacing w:line="360" w:lineRule="atLeast"/>
                              <w:ind w:firstLine="720"/>
                              <w:jc w:val="center"/>
                              <w:rPr>
                                <w:color w:val="000000"/>
                                <w:sz w:val="18"/>
                                <w:szCs w:val="18"/>
                              </w:rPr>
                            </w:pPr>
                            <w:r>
                              <w:rPr>
                                <w:color w:val="000000"/>
                                <w:szCs w:val="18"/>
                              </w:rPr>
                              <w:t xml:space="preserve">2. </w:t>
                            </w:r>
                            <w:r>
                              <w:rPr>
                                <w:color w:val="000000"/>
                                <w:sz w:val="18"/>
                                <w:szCs w:val="18"/>
                              </w:rPr>
                              <w:t>v</w:t>
                            </w:r>
                            <w:r>
                              <w:rPr>
                                <w:noProof/>
                                <w:sz w:val="20"/>
                                <w:lang w:eastAsia="lt-LT"/>
                              </w:rPr>
                              <w:drawing>
                                <wp:inline distT="0" distB="0" distL="0" distR="0" wp14:anchorId="47AD3D9B" wp14:editId="271A5A18">
                                  <wp:extent cx="342900" cy="342900"/>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xbxContent>
                      </v:textbox>
                    </v:shape>
                    <v:shape id="Left Arrow 247" o:spid="_x0000_s1084" type="#_x0000_t66" style="position:absolute;left:24003;top:19050;width:2286;height:328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7Im2vQAAANsAAAAPAAAAZHJzL2Rvd25yZXYueG1sRE+9CsIw EN4F3yGc4KapBUWqUUQQHESwWlzP5myLzaU0Uevbm0Fw/Pj+l+vO1OJFrassK5iMIxDEudUVFwou 591oDsJ5ZI21ZVLwIQfrVb+3xETbN5/olfpChBB2CSoovW8SKV1ekkE3tg1x4O62NegDbAupW3yH cFPLOIpm0mDFoaHEhrYl5Y/0aRSktjlkt2w6u+6OKd2reTyRcazUcNBtFiA8df4v/rn3WsE0jA1f wg+Qqy8AAAD//wMAUEsBAi0AFAAGAAgAAAAhANvh9svuAAAAhQEAABMAAAAAAAAAAAAAAAAAAAAA AFtDb250ZW50X1R5cGVzXS54bWxQSwECLQAUAAYACAAAACEAWvQsW78AAAAVAQAACwAAAAAAAAAA AAAAAAAfAQAAX3JlbHMvLnJlbHNQSwECLQAUAAYACAAAACEAaOyJtr0AAADbAAAADwAAAAAAAAAA AAAAAAAHAgAAZHJzL2Rvd25yZXYueG1sUEsFBgAAAAADAAMAtwAAAPECAAAAAA== " adj="10800" fillcolor="#4f81bd [3204]" strokecolor="#4f81bd [3204]" strokeweight="2pt"/>
                    <v:shape id="Left Arrow 248" o:spid="_x0000_s1085" type="#_x0000_t66" style="position:absolute;left:24003;top:25527;width:2413;height:328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oCwtwgAAANsAAAAPAAAAZHJzL2Rvd25yZXYueG1sRI9Pi8Iw FMTvC36H8ARva2pBcaupiCB4EGHritdn8/oHm5fSRK3ffiMIHoeZ+Q2zXPWmEXfqXG1ZwWQcgSDO ra65VPB33H7PQTiPrLGxTAqe5GCVDr6WmGj74F+6Z74UAcIuQQWV920ipcsrMujGtiUOXmE7gz7I rpS6w0eAm0bGUTSTBmsOCxW2tKkov2Y3oyCz7f50OU1n5+0ho6KexxMZx0qNhv16AcJT7z/hd3un FUx/4PUl/ACZ/gMAAP//AwBQSwECLQAUAAYACAAAACEA2+H2y+4AAACFAQAAEwAAAAAAAAAAAAAA AAAAAAAAW0NvbnRlbnRfVHlwZXNdLnhtbFBLAQItABQABgAIAAAAIQBa9CxbvwAAABUBAAALAAAA AAAAAAAAAAAAAB8BAABfcmVscy8ucmVsc1BLAQItABQABgAIAAAAIQAHoCwtwgAAANsAAAAPAAAA AAAAAAAAAAAAAAcCAABkcnMvZG93bnJldi54bWxQSwUGAAAAAAMAAwC3AAAA9gIAAAAA " adj="10800" fillcolor="#4f81bd [3204]" strokecolor="#4f81bd [3204]" strokeweight="2pt"/>
                    <v:shape id="Left Arrow 263" o:spid="_x0000_s1086" type="#_x0000_t66" style="position:absolute;left:23812;top:73342;width:2635;height:328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9k8NvAAAANsAAAAPAAAAZHJzL2Rvd25yZXYueG1sRE+9CsIw EN4F3yGc4KapBYtUo4ggOIhgVVzP5myLzaU0Uevbm0Fw/Pj+F6vO1OJFrassK5iMIxDEudUVFwrO p+1oBsJ5ZI21ZVLwIQerZb+3wFTbNx/plflChBB2KSoovW9SKV1ekkE3tg1x4O62NegDbAupW3yH cFPLOIoSabDi0FBiQ5uS8kf2NAoy2+wvt8s0uW4PGd2rWTyRcazUcNCt5yA8df4v/rl3WkES1ocv 4QfI5RcAAP//AwBQSwECLQAUAAYACAAAACEA2+H2y+4AAACFAQAAEwAAAAAAAAAAAAAAAAAAAAAA W0NvbnRlbnRfVHlwZXNdLnhtbFBLAQItABQABgAIAAAAIQBa9CxbvwAAABUBAAALAAAAAAAAAAAA AAAAAB8BAABfcmVscy8ucmVsc1BLAQItABQABgAIAAAAIQBY9k8NvAAAANsAAAAPAAAAAAAAAAAA AAAAAAcCAABkcnMvZG93bnJldi54bWxQSwUGAAAAAAMAAwC3AAAA8AIAAAAA " adj="10800" fillcolor="#4f81bd [3204]" strokecolor="#4f81bd [3204]" strokeweight="2pt"/>
                    <v:shape id="Left Arrow 264" o:spid="_x0000_s1087" type="#_x0000_t66" style="position:absolute;left:23622;top:64770;width:2635;height:328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uuqWwQAAANsAAAAPAAAAZHJzL2Rvd25yZXYueG1sRI9Bi8Iw FITvgv8hPGFvmrawRapRRBA8iGBV9vq2ebbF5qU0Ueu/N4LgcZiZb5j5sjeNuFPnassK4kkEgriw uuZSwem4GU9BOI+ssbFMCp7kYLkYDuaYafvgA91zX4oAYZehgsr7NpPSFRUZdBPbEgfvYjuDPsiu lLrDR4CbRiZRlEqDNYeFCltaV1Rc85tRkNt2d/4//6Z/m31Ol3qaxDJJlPoZ9asZCE+9/4Y/7a1W kMbw/hJ+gFy8AAAA//8DAFBLAQItABQABgAIAAAAIQDb4fbL7gAAAIUBAAATAAAAAAAAAAAAAAAA AAAAAABbQ29udGVudF9UeXBlc10ueG1sUEsBAi0AFAAGAAgAAAAhAFr0LFu/AAAAFQEAAAsAAAAA AAAAAAAAAAAAHwEAAF9yZWxzLy5yZWxzUEsBAi0AFAAGAAgAAAAhADe66pbBAAAA2wAAAA8AAAAA AAAAAAAAAAAABwIAAGRycy9kb3ducmV2LnhtbFBLBQYAAAAAAwADALcAAAD1AgAAAAA= " adj="10800" fillcolor="#4f81bd [3204]" strokecolor="#4f81bd [3204]" strokeweight="2pt"/>
                    <v:shape id="Left Arrow 265" o:spid="_x0000_s1088" type="#_x0000_t66" style="position:absolute;left:23812;top:80200;width:2635;height:328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aHThwgAAANsAAAAPAAAAZHJzL2Rvd25yZXYueG1sRI9Bi8Iw FITvwv6H8Ba8aWrAIl2jiCDsQQSrxeuzebZlm5fSZLX77zeC4HGYmW+Y5XqwrbhT7xvHGmbTBARx 6UzDlYbzaTdZgPAB2WDrmDT8kYf16mO0xMy4Bx/pnodKRAj7DDXUIXSZlL6syaKfuo44ejfXWwxR 9pU0PT4i3LZSJUkqLTYcF2rsaFtT+ZP/Wg256/bFtZinl90hp1uzUDOplNbjz2HzBSLQEN7hV/vb aEgVPL/EHyBX/wAAAP//AwBQSwECLQAUAAYACAAAACEA2+H2y+4AAACFAQAAEwAAAAAAAAAAAAAA AAAAAAAAW0NvbnRlbnRfVHlwZXNdLnhtbFBLAQItABQABgAIAAAAIQBa9CxbvwAAABUBAAALAAAA AAAAAAAAAAAAAB8BAABfcmVscy8ucmVsc1BLAQItABQABgAIAAAAIQDHaHThwgAAANsAAAAPAAAA AAAAAAAAAAAAAAcCAABkcnMvZG93bnJldi54bWxQSwUGAAAAAAMAAwC3AAAA9gIAAAAA " adj="10800" fillcolor="#4f81bd [3204]" strokecolor="#4f81bd [3204]" strokeweight="2pt"/>
                    <v:rect id="Rectangle 266" o:spid="_x0000_s1089" style="position:absolute;left:26479;top:79248;width:36538;height:541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wpBGwwAAANsAAAAPAAAAZHJzL2Rvd25yZXYueG1sRI9Ba8JA FITvgv9heYVepNm0lVCim6ApLT1qIp4f2WcSmn0bs6um/75bKHgcZuYbZp1PphdXGl1nWcFzFIMg rq3uuFFwqD6e3kA4j6yxt0wKfshBns1na0y1vfGerqVvRICwS1FB6/2QSunqlgy6yA7EwTvZ0aAP cmykHvEW4KaXL3GcSIMdh4UWBypaqr/Li1Egd/02WS64eS+wOMrq4j7Pp1qpx4dpswLhafL38H/7 SytIXuHvS/gBMvsFAAD//wMAUEsBAi0AFAAGAAgAAAAhANvh9svuAAAAhQEAABMAAAAAAAAAAAAA AAAAAAAAAFtDb250ZW50X1R5cGVzXS54bWxQSwECLQAUAAYACAAAACEAWvQsW78AAAAVAQAACwAA AAAAAAAAAAAAAAAfAQAAX3JlbHMvLnJlbHNQSwECLQAUAAYACAAAACEAeMKQRsMAAADbAAAADwAA AAAAAAAAAAAAAAAHAgAAZHJzL2Rvd25yZXYueG1sUEsFBgAAAAADAAMAtwAAAPcCAAAAAA== " fillcolor="white [3212]" strokecolor="#eeece1 [3214]" strokeweight="1pt">
                      <v:textbox>
                        <w:txbxContent>
                          <w:p w:rsidR="003C3EA6" w:rsidRDefault="003C3EA6">
                            <w:pPr>
                              <w:jc w:val="both"/>
                              <w:rPr>
                                <w:color w:val="000000"/>
                                <w:sz w:val="18"/>
                                <w:szCs w:val="18"/>
                              </w:rPr>
                            </w:pPr>
                            <w:r>
                              <w:rPr>
                                <w:color w:val="000000"/>
                                <w:sz w:val="18"/>
                                <w:szCs w:val="18"/>
                              </w:rPr>
                              <w:t>Vyriausybės programa</w:t>
                            </w:r>
                          </w:p>
                          <w:p w:rsidR="003C3EA6" w:rsidRDefault="003C3EA6">
                            <w:pPr>
                              <w:jc w:val="both"/>
                              <w:rPr>
                                <w:color w:val="000000"/>
                                <w:sz w:val="18"/>
                                <w:szCs w:val="18"/>
                              </w:rPr>
                            </w:pPr>
                            <w:r>
                              <w:rPr>
                                <w:color w:val="000000"/>
                                <w:sz w:val="18"/>
                                <w:szCs w:val="18"/>
                              </w:rPr>
                              <w:t>Bendrasis planas</w:t>
                            </w:r>
                          </w:p>
                          <w:p w:rsidR="003C3EA6" w:rsidRDefault="003C3EA6">
                            <w:pPr>
                              <w:jc w:val="both"/>
                              <w:rPr>
                                <w:color w:val="000000"/>
                                <w:sz w:val="18"/>
                                <w:szCs w:val="18"/>
                              </w:rPr>
                            </w:pPr>
                            <w:r>
                              <w:rPr>
                                <w:color w:val="000000"/>
                                <w:sz w:val="18"/>
                                <w:szCs w:val="18"/>
                              </w:rPr>
                              <w:t xml:space="preserve">Valstybės pažangos strategija </w:t>
                            </w:r>
                          </w:p>
                        </w:txbxContent>
                      </v:textbox>
                    </v:rect>
                    <v:rect id="Rectangle 267" o:spid="_x0000_s1090" style="position:absolute;left:26479;top:85344;width:36538;height:393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KwgywgAAANsAAAAPAAAAZHJzL2Rvd25yZXYueG1sRI9Li8JA EITvwv6HoRe8iE5cJEh0ImtkxaOPZc9NpvNgMz0xM2r8944geCyq6itquepNI67UudqygukkAkGc W11zqeD39DOeg3AeWWNjmRTcycEq/RgsMdH2xge6Hn0pAoRdggoq79tESpdXZNBNbEscvMJ2Bn2Q XSl1h7cAN438iqJYGqw5LFTYUlZR/n+8GAVy36zj2YjLTYbZnzxd3PZc5EoNP/vvBQhPvX+HX+2d VhDP4Pkl/ACZPgAAAP//AwBQSwECLQAUAAYACAAAACEA2+H2y+4AAACFAQAAEwAAAAAAAAAAAAAA AAAAAAAAW0NvbnRlbnRfVHlwZXNdLnhtbFBLAQItABQABgAIAAAAIQBa9CxbvwAAABUBAAALAAAA AAAAAAAAAAAAAB8BAABfcmVscy8ucmVsc1BLAQItABQABgAIAAAAIQD3KwgywgAAANsAAAAPAAAA AAAAAAAAAAAAAAcCAABkcnMvZG93bnJldi54bWxQSwUGAAAAAAMAAwC3AAAA9gIAAAAA " fillcolor="white [3212]" strokecolor="#eeece1 [3214]" strokeweight="1pt">
                      <v:textbox>
                        <w:txbxContent>
                          <w:p w:rsidR="003C3EA6" w:rsidRDefault="003C3EA6">
                            <w:pPr>
                              <w:jc w:val="both"/>
                              <w:rPr>
                                <w:color w:val="000000"/>
                                <w:sz w:val="18"/>
                                <w:szCs w:val="18"/>
                              </w:rPr>
                            </w:pPr>
                            <w:r>
                              <w:rPr>
                                <w:color w:val="000000"/>
                                <w:sz w:val="18"/>
                                <w:szCs w:val="18"/>
                              </w:rPr>
                              <w:t>Vandenų srities plėtros 2017–2023 metų programa</w:t>
                            </w:r>
                          </w:p>
                          <w:p w:rsidR="003C3EA6" w:rsidRDefault="003C3EA6">
                            <w:pPr>
                              <w:jc w:val="both"/>
                              <w:rPr>
                                <w:color w:val="000000"/>
                                <w:sz w:val="18"/>
                                <w:szCs w:val="18"/>
                              </w:rPr>
                            </w:pPr>
                            <w:r>
                              <w:rPr>
                                <w:color w:val="000000"/>
                                <w:sz w:val="18"/>
                                <w:szCs w:val="18"/>
                              </w:rPr>
                              <w:t>Valstybinis atliekų tvarkymo 2014–2020 metų planas</w:t>
                            </w:r>
                          </w:p>
                        </w:txbxContent>
                      </v:textbox>
                    </v:rect>
                    <v:shape id="Left Arrow 268" o:spid="_x0000_s1091" type="#_x0000_t66" style="position:absolute;left:23622;top:39243;width:2635;height:328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geyVwQAAANsAAAAPAAAAZHJzL2Rvd25yZXYueG1sRI9Bi8Iw FITvgv8hPMGbphYsUo0iguBBBLtbvD6bZ1tsXkoTtf57IyzscZiZb5jVpjeNeFLnassKZtMIBHFh dc2lgt+f/WQBwnlkjY1lUvAmB5v1cLDCVNsXn+mZ+VIECLsUFVTet6mUrqjIoJvaljh4N9sZ9EF2 pdQdvgLcNDKOokQarDksVNjSrqLinj2Mgsy2x/yaz5PL/pTRrV7EMxnHSo1H/XYJwlPv/8N/7YNW kMzh+yX8ALn+AAAA//8DAFBLAQItABQABgAIAAAAIQDb4fbL7gAAAIUBAAATAAAAAAAAAAAAAAAA AAAAAABbQ29udGVudF9UeXBlc10ueG1sUEsBAi0AFAAGAAgAAAAhAFr0LFu/AAAAFQEAAAsAAAAA AAAAAAAAAAAAHwEAAF9yZWxzLy5yZWxzUEsBAi0AFAAGAAgAAAAhAEiB7JXBAAAA2wAAAA8AAAAA AAAAAAAAAAAABwIAAGRycy9kb3ducmV2LnhtbFBLBQYAAAAAAwADALcAAAD1AgAAAAA= " adj="10800" fillcolor="#4f81bd [3204]" strokecolor="#4f81bd [3204]" strokeweight="2pt">
                      <v:textbox>
                        <w:txbxContent>
                          <w:p w:rsidR="003C3EA6" w:rsidRDefault="003C3EA6">
                            <w:pPr>
                              <w:spacing w:line="360" w:lineRule="atLeast"/>
                              <w:ind w:firstLine="720"/>
                              <w:jc w:val="center"/>
                              <w:rPr>
                                <w:color w:val="000000"/>
                                <w:sz w:val="18"/>
                                <w:szCs w:val="18"/>
                              </w:rPr>
                            </w:pPr>
                            <w:r>
                              <w:rPr>
                                <w:color w:val="000000"/>
                                <w:szCs w:val="18"/>
                              </w:rPr>
                              <w:t xml:space="preserve">3. </w:t>
                            </w:r>
                            <w:r>
                              <w:rPr>
                                <w:color w:val="000000"/>
                                <w:sz w:val="18"/>
                                <w:szCs w:val="18"/>
                              </w:rPr>
                              <w:t>v</w:t>
                            </w:r>
                            <w:r>
                              <w:rPr>
                                <w:noProof/>
                                <w:sz w:val="20"/>
                                <w:lang w:eastAsia="lt-LT"/>
                              </w:rPr>
                              <w:drawing>
                                <wp:inline distT="0" distB="0" distL="0" distR="0" wp14:anchorId="7997F603" wp14:editId="7AE28F8B">
                                  <wp:extent cx="342900" cy="342900"/>
                                  <wp:effectExtent l="0" t="0" r="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xbxContent>
                      </v:textbox>
                    </v:shape>
                    <v:shape id="Left Arrow 269" o:spid="_x0000_s1092" type="#_x0000_t66" style="position:absolute;left:23812;top:85344;width:2635;height:328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U3LiwgAAANsAAAAPAAAAZHJzL2Rvd25yZXYueG1sRI9Pi8Iw FMTvC36H8ARva2rBItVURBA8iGB3y17fNq9/sHkpTdT67Y2wsMdhZn7DbLaj6cSdBtdaVrCYRyCI S6tbrhV8fx0+VyCcR9bYWSYFT3KwzSYfG0y1ffCF7rmvRYCwS1FB432fSunKhgy6ue2Jg1fZwaAP cqilHvAR4KaTcRQl0mDLYaHBnvYNldf8ZhTktj8Vv8Uy+Tmcc6raVbyQcazUbDru1iA8jf4//Nc+ agVJAu8v4QfI7AUAAP//AwBQSwECLQAUAAYACAAAACEA2+H2y+4AAACFAQAAEwAAAAAAAAAAAAAA AAAAAAAAW0NvbnRlbnRfVHlwZXNdLnhtbFBLAQItABQABgAIAAAAIQBa9CxbvwAAABUBAAALAAAA AAAAAAAAAAAAAB8BAABfcmVscy8ucmVsc1BLAQItABQABgAIAAAAIQC4U3LiwgAAANsAAAAPAAAA AAAAAAAAAAAAAAcCAABkcnMvZG93bnJldi54bWxQSwUGAAAAAAMAAwC3AAAA9gIAAAAA " adj="10800" fillcolor="#4f81bd [3204]" strokecolor="#4f81bd [3204]" strokeweight="2pt"/>
                  </v:group>
                  <v:rect id="Rectangle 270" o:spid="_x0000_s1093" style="position:absolute;left:762;top:85344;width:22104;height:393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Q5JPwQAAANsAAAAPAAAAZHJzL2Rvd25yZXYueG1sRE9Na8JA EL0X/A/LFHprNm2xSHQVEbQ5KU2EXIfsmASzszG7Ncm/7x4Ej4/3vdqMphV36l1jWcFHFIMgLq1u uFJwzvfvCxDOI2tsLZOCiRxs1rOXFSbaDvxL98xXIoSwS1BB7X2XSOnKmgy6yHbEgbvY3qAPsK+k 7nEI4aaVn3H8LQ02HBpq7GhXU3nN/oyCfKzmP+npmN5wXhSXQ5a1h2JS6u113C5BeBr9U/xwp1rB VxgbvoQfINf/AAAA//8DAFBLAQItABQABgAIAAAAIQDb4fbL7gAAAIUBAAATAAAAAAAAAAAAAAAA AAAAAABbQ29udGVudF9UeXBlc10ueG1sUEsBAi0AFAAGAAgAAAAhAFr0LFu/AAAAFQEAAAsAAAAA AAAAAAAAAAAAHwEAAF9yZWxzLy5yZWxzUEsBAi0AFAAGAAgAAAAhAJlDkk/BAAAA2wAAAA8AAAAA AAAAAAAAAAAABwIAAGRycy9kb3ducmV2LnhtbFBLBQYAAAAAAwADALcAAAD1AgAAAAA= " fillcolor="white [3212]" strokecolor="#eeece1 [3214]" strokeweight="1pt">
                    <v:textbox>
                      <w:txbxContent>
                        <w:p w:rsidR="003C3EA6" w:rsidRDefault="003C3EA6">
                          <w:pPr>
                            <w:rPr>
                              <w:color w:val="000000"/>
                              <w:sz w:val="18"/>
                              <w:szCs w:val="18"/>
                            </w:rPr>
                          </w:pPr>
                          <w:r>
                            <w:rPr>
                              <w:color w:val="000000"/>
                              <w:sz w:val="18"/>
                              <w:szCs w:val="18"/>
                            </w:rPr>
                            <w:t>Atliekų valdymas</w:t>
                          </w:r>
                        </w:p>
                      </w:txbxContent>
                    </v:textbox>
                  </v:rect>
                </v:group>
                <v:rect id="Rectangle 271" o:spid="_x0000_s1094" style="position:absolute;left:762;top:79057;width:22104;height:541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kKOmwwAAANsAAAAPAAAAZHJzL2Rvd25yZXYueG1sRI9Bi8Iw FITvC/sfwhO8ramKIl2jyILak7LtQq+P5tkWm5faRK3/3gjCHoeZ+YZZrnvTiBt1rrasYDyKQBAX VtdcKvjLtl8LEM4ja2wsk4IHOVivPj+WGGt751+6pb4UAcIuRgWV920spSsqMuhGtiUO3sl2Bn2Q XSl1h/cAN42cRNFcGqw5LFTY0k9FxTm9GgVZX872yfGQXHCW56ddmja7/KHUcNBvvkF46v1/+N1O tILpHF5fwg+QqycAAAD//wMAUEsBAi0AFAAGAAgAAAAhANvh9svuAAAAhQEAABMAAAAAAAAAAAAA AAAAAAAAAFtDb250ZW50X1R5cGVzXS54bWxQSwECLQAUAAYACAAAACEAWvQsW78AAAAVAQAACwAA AAAAAAAAAAAAAAAfAQAAX3JlbHMvLnJlbHNQSwECLQAUAAYACAAAACEAh5CjpsMAAADbAAAADwAA AAAAAAAAAAAAAAAHAgAAZHJzL2Rvd25yZXYueG1sUEsFBgAAAAADAAMAtwAAAPcCAAAAAA== " fillcolor="white [3212]" strokecolor="#eeece1 [3214]" strokeweight="1pt">
                  <v:textbox>
                    <w:txbxContent>
                      <w:p w:rsidR="003C3EA6" w:rsidRDefault="003C3EA6">
                        <w:pPr>
                          <w:rPr>
                            <w:color w:val="000000"/>
                            <w:sz w:val="18"/>
                            <w:szCs w:val="18"/>
                          </w:rPr>
                        </w:pPr>
                        <w:r>
                          <w:rPr>
                            <w:color w:val="000000"/>
                            <w:sz w:val="18"/>
                            <w:szCs w:val="18"/>
                          </w:rPr>
                          <w:t>Pramonės skatinimas, plėtra</w:t>
                        </w:r>
                      </w:p>
                    </w:txbxContent>
                  </v:textbox>
                </v:rect>
              </v:group>
            </w:pict>
          </mc:Fallback>
        </mc:AlternateContent>
      </w: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3C3EA6">
      <w:pPr>
        <w:tabs>
          <w:tab w:val="left" w:pos="993"/>
        </w:tabs>
        <w:jc w:val="center"/>
        <w:rPr>
          <w:color w:val="000000"/>
          <w:szCs w:val="24"/>
        </w:rPr>
      </w:pPr>
      <w:r>
        <w:rPr>
          <w:color w:val="000000"/>
          <w:szCs w:val="24"/>
        </w:rPr>
        <w:t>1 paveikslas. Aplinkos oro taršos mažinimo (valdymo) aspektai, nurodyti su oro taršos valdymu susijusiose strategijos, programose, planuose</w:t>
      </w:r>
    </w:p>
    <w:p w:rsidR="000E7C4C" w:rsidRDefault="003C3EA6">
      <w:pPr>
        <w:ind w:left="720"/>
        <w:jc w:val="center"/>
        <w:rPr>
          <w:color w:val="000000"/>
          <w:szCs w:val="21"/>
        </w:rPr>
      </w:pPr>
    </w:p>
    <w:p w:rsidR="000E7C4C" w:rsidRDefault="003C3EA6">
      <w:pPr>
        <w:ind w:firstLine="567"/>
        <w:jc w:val="both"/>
        <w:rPr>
          <w:color w:val="000000"/>
          <w:szCs w:val="21"/>
        </w:rPr>
      </w:pPr>
      <w:r>
        <w:rPr>
          <w:color w:val="000000"/>
          <w:szCs w:val="21"/>
        </w:rPr>
        <w:t>33</w:t>
      </w:r>
      <w:r>
        <w:rPr>
          <w:color w:val="000000"/>
          <w:szCs w:val="21"/>
        </w:rPr>
        <w:t>. Išanalizuotų dokumentų įgyvendinimo laikotarpis (žr. 14 lent.) smarkiai varijuoja. Vienų įgyvendinimas bus užbaigtas 2020 m., kitų – 2021–2030 m. laikotarpyje, dar kituose numatyti ilgalaikiai tikslai iki 2050 m. Iki 2020 m. numatytuose įgyvendinti dokumentuose numatytų priemonių poveikis sunkiai įvertinamas, analizuojant iš 2020–2029 ir 2030 m. perspektyvos. Be to, šie dokumentai gali būti pakeisti ir numatytos kitos priemonės.</w:t>
      </w:r>
    </w:p>
    <w:p w:rsidR="000E7C4C" w:rsidRDefault="000E7C4C">
      <w:pPr>
        <w:spacing w:line="360" w:lineRule="atLeast"/>
        <w:ind w:left="720"/>
        <w:jc w:val="both"/>
        <w:rPr>
          <w:color w:val="000000"/>
          <w:szCs w:val="21"/>
        </w:rPr>
      </w:pPr>
    </w:p>
    <w:p w:rsidR="000E7C4C" w:rsidRDefault="003C3EA6">
      <w:pPr>
        <w:jc w:val="both"/>
        <w:rPr>
          <w:color w:val="000000"/>
          <w:szCs w:val="24"/>
        </w:rPr>
      </w:pPr>
      <w:r>
        <w:rPr>
          <w:color w:val="000000"/>
          <w:szCs w:val="24"/>
        </w:rPr>
        <w:t>14 lentelė. Strateginiai dokumentai, jų įgyvendinimo laikotarpis ir apibendrintos juose numatytos priemonės</w:t>
      </w:r>
    </w:p>
    <w:tbl>
      <w:tblPr>
        <w:tblW w:w="967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016"/>
        <w:gridCol w:w="1276"/>
        <w:gridCol w:w="6378"/>
      </w:tblGrid>
      <w:tr w:rsidR="000E7C4C">
        <w:trPr>
          <w:tblHeader/>
        </w:trPr>
        <w:tc>
          <w:tcPr>
            <w:tcW w:w="2016"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color w:val="FFFFFF"/>
                <w:kern w:val="24"/>
                <w:sz w:val="20"/>
                <w:lang w:eastAsia="lt-LT"/>
              </w:rPr>
              <w:t>Strateginio dokumento pavadinimas</w:t>
            </w:r>
          </w:p>
        </w:tc>
        <w:tc>
          <w:tcPr>
            <w:tcW w:w="1276"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color w:val="FFFFFF"/>
                <w:kern w:val="24"/>
                <w:sz w:val="20"/>
                <w:lang w:eastAsia="lt-LT"/>
              </w:rPr>
              <w:t>Laikotarpis</w:t>
            </w:r>
          </w:p>
        </w:tc>
        <w:tc>
          <w:tcPr>
            <w:tcW w:w="6378"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color w:val="FFFFFF"/>
                <w:kern w:val="24"/>
                <w:sz w:val="20"/>
                <w:lang w:eastAsia="lt-LT"/>
              </w:rPr>
              <w:t>Apibendrintos numatytos priemonės</w:t>
            </w:r>
          </w:p>
        </w:tc>
      </w:tr>
      <w:tr w:rsidR="000E7C4C">
        <w:tc>
          <w:tcPr>
            <w:tcW w:w="201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lang w:eastAsia="lt-LT"/>
              </w:rPr>
              <w:t>Vyriausybės programa</w:t>
            </w:r>
          </w:p>
        </w:tc>
        <w:tc>
          <w:tcPr>
            <w:tcW w:w="127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kern w:val="24"/>
                <w:sz w:val="20"/>
                <w:lang w:eastAsia="lt-LT"/>
              </w:rPr>
            </w:pPr>
            <w:r>
              <w:rPr>
                <w:color w:val="000000"/>
                <w:kern w:val="24"/>
                <w:sz w:val="20"/>
                <w:lang w:eastAsia="lt-LT"/>
              </w:rPr>
              <w:t>2017-2020</w:t>
            </w:r>
          </w:p>
        </w:tc>
        <w:tc>
          <w:tcPr>
            <w:tcW w:w="637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kern w:val="24"/>
                <w:sz w:val="20"/>
                <w:lang w:eastAsia="lt-LT"/>
              </w:rPr>
            </w:pPr>
            <w:r>
              <w:rPr>
                <w:color w:val="000000"/>
                <w:kern w:val="24"/>
                <w:sz w:val="20"/>
                <w:lang w:eastAsia="lt-LT"/>
              </w:rPr>
              <w:t>Plėtoti darnaus transporto politiką, taršos iš mažųjų deginimo įrenginių, tobulinti aplinkos oro išmetimų apskaitą, nustatyti kuro kokybės reikalavimus, plėtoti CŠT, atnaujinti gerosios žemės ūkio praktikos kodeksą, keisti kuro rūšį, renovuoti  daugiabučius, skatinti efektyvų energijos naudojimą</w:t>
            </w:r>
          </w:p>
        </w:tc>
      </w:tr>
      <w:tr w:rsidR="000E7C4C">
        <w:tc>
          <w:tcPr>
            <w:tcW w:w="201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lang w:eastAsia="lt-LT"/>
              </w:rPr>
              <w:t xml:space="preserve">Bendrasis planas </w:t>
            </w:r>
          </w:p>
        </w:tc>
        <w:tc>
          <w:tcPr>
            <w:tcW w:w="127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kern w:val="24"/>
                <w:sz w:val="20"/>
                <w:lang w:eastAsia="lt-LT"/>
              </w:rPr>
            </w:pPr>
            <w:r>
              <w:rPr>
                <w:color w:val="000000"/>
                <w:kern w:val="24"/>
                <w:sz w:val="20"/>
                <w:lang w:eastAsia="lt-LT"/>
              </w:rPr>
              <w:t>Iki 2020</w:t>
            </w:r>
          </w:p>
        </w:tc>
        <w:tc>
          <w:tcPr>
            <w:tcW w:w="637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kern w:val="24"/>
                <w:sz w:val="20"/>
                <w:lang w:eastAsia="lt-LT"/>
              </w:rPr>
            </w:pPr>
            <w:r>
              <w:rPr>
                <w:color w:val="000000"/>
                <w:kern w:val="24"/>
                <w:sz w:val="20"/>
                <w:lang w:eastAsia="lt-LT"/>
              </w:rPr>
              <w:t xml:space="preserve">Įgyvendinti principą „teršėjas moka“, gerinti oro kokybę labiausiai užterštose teritorijose, įgyvendinti </w:t>
            </w:r>
            <w:r>
              <w:rPr>
                <w:color w:val="000000"/>
                <w:sz w:val="20"/>
              </w:rPr>
              <w:t>kompleksinę planavimo, reglamentavimo bei inžinerinių technologinių priemonių sistemą</w:t>
            </w:r>
          </w:p>
        </w:tc>
      </w:tr>
      <w:tr w:rsidR="000E7C4C">
        <w:tc>
          <w:tcPr>
            <w:tcW w:w="201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lang w:eastAsia="lt-LT"/>
              </w:rPr>
              <w:t xml:space="preserve">Valstybės pažangos strategija </w:t>
            </w:r>
          </w:p>
        </w:tc>
        <w:tc>
          <w:tcPr>
            <w:tcW w:w="127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kern w:val="24"/>
                <w:sz w:val="20"/>
                <w:lang w:eastAsia="lt-LT"/>
              </w:rPr>
            </w:pPr>
            <w:r>
              <w:rPr>
                <w:color w:val="000000"/>
                <w:kern w:val="24"/>
                <w:sz w:val="20"/>
                <w:lang w:eastAsia="lt-LT"/>
              </w:rPr>
              <w:t>Iki 2030</w:t>
            </w:r>
          </w:p>
        </w:tc>
        <w:tc>
          <w:tcPr>
            <w:tcW w:w="637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kern w:val="24"/>
                <w:sz w:val="20"/>
                <w:lang w:eastAsia="lt-LT"/>
              </w:rPr>
            </w:pPr>
            <w:r>
              <w:rPr>
                <w:color w:val="000000"/>
                <w:kern w:val="24"/>
                <w:sz w:val="20"/>
                <w:lang w:eastAsia="lt-LT"/>
              </w:rPr>
              <w:t>Ugdyti aplinkai draugišką verslo kultūrą, skatinti verslą investuoti į „žaliąsias“ technologijas, diegti pažangias technologijas transporto, energetikos ir pramonės sektoriuose</w:t>
            </w:r>
          </w:p>
        </w:tc>
      </w:tr>
      <w:tr w:rsidR="000E7C4C">
        <w:tc>
          <w:tcPr>
            <w:tcW w:w="201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 xml:space="preserve">Nacionalinė darnaus vystymosi strategija </w:t>
            </w:r>
          </w:p>
        </w:tc>
        <w:tc>
          <w:tcPr>
            <w:tcW w:w="127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kern w:val="24"/>
                <w:sz w:val="20"/>
                <w:lang w:eastAsia="lt-LT"/>
              </w:rPr>
            </w:pPr>
            <w:r>
              <w:rPr>
                <w:color w:val="000000"/>
                <w:kern w:val="24"/>
                <w:sz w:val="20"/>
                <w:lang w:eastAsia="lt-LT"/>
              </w:rPr>
              <w:t>Iki 2020</w:t>
            </w:r>
          </w:p>
        </w:tc>
        <w:tc>
          <w:tcPr>
            <w:tcW w:w="637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 xml:space="preserve">Tobulinti valdymą, atnaujinti programas, remti </w:t>
            </w:r>
            <w:proofErr w:type="spellStart"/>
            <w:r>
              <w:rPr>
                <w:color w:val="000000"/>
                <w:kern w:val="24"/>
                <w:sz w:val="20"/>
                <w:lang w:eastAsia="lt-LT"/>
              </w:rPr>
              <w:t>inovatyvių</w:t>
            </w:r>
            <w:proofErr w:type="spellEnd"/>
            <w:r>
              <w:rPr>
                <w:color w:val="000000"/>
                <w:kern w:val="24"/>
                <w:sz w:val="20"/>
                <w:lang w:eastAsia="lt-LT"/>
              </w:rPr>
              <w:t xml:space="preserve"> technologijų diegimą, plėtoti visuomeninį transportą</w:t>
            </w:r>
          </w:p>
        </w:tc>
      </w:tr>
      <w:tr w:rsidR="000E7C4C">
        <w:tc>
          <w:tcPr>
            <w:tcW w:w="201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Valstybės ilgalaikės raidos strategija</w:t>
            </w:r>
          </w:p>
        </w:tc>
        <w:tc>
          <w:tcPr>
            <w:tcW w:w="127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kern w:val="24"/>
                <w:sz w:val="20"/>
                <w:lang w:eastAsia="lt-LT"/>
              </w:rPr>
            </w:pPr>
            <w:r>
              <w:rPr>
                <w:color w:val="000000"/>
                <w:kern w:val="24"/>
                <w:sz w:val="20"/>
                <w:lang w:eastAsia="lt-LT"/>
              </w:rPr>
              <w:t>Iki 2020</w:t>
            </w:r>
          </w:p>
        </w:tc>
        <w:tc>
          <w:tcPr>
            <w:tcW w:w="637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 xml:space="preserve">Optimizuoti mokesčius už aplinkos teršimą , skatinti racionaliai naudoti atliekas, plėtoti AEI, skatinti termofikacinių elektrinių plėtrą, skatinti keisti taršų kurą į mažiau taršų, plėsti priemones, mažinančias teršalų </w:t>
            </w:r>
            <w:proofErr w:type="spellStart"/>
            <w:r>
              <w:rPr>
                <w:color w:val="000000"/>
                <w:kern w:val="24"/>
                <w:sz w:val="20"/>
                <w:lang w:eastAsia="lt-LT"/>
              </w:rPr>
              <w:t>išmetimus</w:t>
            </w:r>
            <w:proofErr w:type="spellEnd"/>
          </w:p>
        </w:tc>
      </w:tr>
      <w:tr w:rsidR="000E7C4C">
        <w:tc>
          <w:tcPr>
            <w:tcW w:w="201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2014-2020 metų nacionalinės pažangos programa</w:t>
            </w:r>
          </w:p>
        </w:tc>
        <w:tc>
          <w:tcPr>
            <w:tcW w:w="127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kern w:val="24"/>
                <w:sz w:val="20"/>
                <w:lang w:eastAsia="lt-LT"/>
              </w:rPr>
            </w:pPr>
            <w:r>
              <w:rPr>
                <w:color w:val="000000"/>
                <w:kern w:val="24"/>
                <w:sz w:val="20"/>
                <w:lang w:eastAsia="lt-LT"/>
              </w:rPr>
              <w:t>2014-2020</w:t>
            </w:r>
          </w:p>
        </w:tc>
        <w:tc>
          <w:tcPr>
            <w:tcW w:w="637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Plėtoti transporto infrastruktūrą, stiprinti teritorijų planavimo ir urbanistinės plėtros valdymo, monitoringo, vertinimo ir kontrolės sistemą, skatinti ekologišką transportą, AEI naudojimą, didinti energijos gamybos ir naudojimo efektyvumą</w:t>
            </w:r>
          </w:p>
        </w:tc>
      </w:tr>
      <w:tr w:rsidR="000E7C4C">
        <w:tc>
          <w:tcPr>
            <w:tcW w:w="201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Nacionalinė energetinės nepriklausomybės strategija</w:t>
            </w:r>
          </w:p>
        </w:tc>
        <w:tc>
          <w:tcPr>
            <w:tcW w:w="127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kern w:val="24"/>
                <w:sz w:val="20"/>
                <w:lang w:eastAsia="lt-LT"/>
              </w:rPr>
            </w:pPr>
            <w:r>
              <w:rPr>
                <w:color w:val="000000"/>
                <w:kern w:val="24"/>
                <w:sz w:val="20"/>
                <w:lang w:eastAsia="lt-LT"/>
              </w:rPr>
              <w:t>Iki 2050</w:t>
            </w:r>
          </w:p>
        </w:tc>
        <w:tc>
          <w:tcPr>
            <w:tcW w:w="637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Plėtoti AEI, skatinti pastatų atnaujinimą, didinti energijos vartojimo efektyvumą, skatinti biokuro ir biodegalų vartojimą, skatinti didinti transporto priemonių ekologiškumą, atnaujinant parką ar keičiant kuro rūšį</w:t>
            </w:r>
          </w:p>
        </w:tc>
      </w:tr>
      <w:tr w:rsidR="000E7C4C">
        <w:tc>
          <w:tcPr>
            <w:tcW w:w="201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Nacionalinė atsinaujinančių energijos išteklių plėtros strategija</w:t>
            </w:r>
          </w:p>
        </w:tc>
        <w:tc>
          <w:tcPr>
            <w:tcW w:w="127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kern w:val="24"/>
                <w:sz w:val="20"/>
                <w:lang w:eastAsia="lt-LT"/>
              </w:rPr>
            </w:pPr>
            <w:r>
              <w:rPr>
                <w:color w:val="000000"/>
                <w:kern w:val="24"/>
                <w:sz w:val="20"/>
                <w:lang w:eastAsia="lt-LT"/>
              </w:rPr>
              <w:t>Iki 2020</w:t>
            </w:r>
          </w:p>
        </w:tc>
        <w:tc>
          <w:tcPr>
            <w:tcW w:w="637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Didinti biomasės naudojimą, didinti AEI ir elektros energijos naudojimą transporto sektoriuje</w:t>
            </w:r>
          </w:p>
        </w:tc>
      </w:tr>
      <w:tr w:rsidR="000E7C4C">
        <w:tc>
          <w:tcPr>
            <w:tcW w:w="201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Nacionalinė šilumos ūkio plėtros 2015-2021 metų programa</w:t>
            </w:r>
          </w:p>
        </w:tc>
        <w:tc>
          <w:tcPr>
            <w:tcW w:w="127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kern w:val="24"/>
                <w:sz w:val="20"/>
                <w:lang w:eastAsia="lt-LT"/>
              </w:rPr>
            </w:pPr>
            <w:r>
              <w:rPr>
                <w:color w:val="000000"/>
                <w:kern w:val="24"/>
                <w:sz w:val="20"/>
                <w:lang w:eastAsia="lt-LT"/>
              </w:rPr>
              <w:t>2015-2021</w:t>
            </w:r>
          </w:p>
        </w:tc>
        <w:tc>
          <w:tcPr>
            <w:tcW w:w="637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Atnaujinti įrenginius, naudojančius AEI, plėtoti AEI gamintojų ir tiekėjų rinką</w:t>
            </w:r>
          </w:p>
        </w:tc>
      </w:tr>
      <w:tr w:rsidR="000E7C4C">
        <w:tc>
          <w:tcPr>
            <w:tcW w:w="201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Nacionalinė susisiekimo plėtros 2014-2022 metų programa</w:t>
            </w:r>
          </w:p>
        </w:tc>
        <w:tc>
          <w:tcPr>
            <w:tcW w:w="127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kern w:val="24"/>
                <w:sz w:val="20"/>
                <w:lang w:eastAsia="lt-LT"/>
              </w:rPr>
            </w:pPr>
            <w:r>
              <w:rPr>
                <w:color w:val="000000"/>
                <w:kern w:val="24"/>
                <w:sz w:val="20"/>
                <w:lang w:eastAsia="lt-LT"/>
              </w:rPr>
              <w:t>2014-2022</w:t>
            </w:r>
          </w:p>
        </w:tc>
        <w:tc>
          <w:tcPr>
            <w:tcW w:w="637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Atnaujinti geležinkelių infrastruktūrą, skatinti naudotis viešuoju transportu, didinti energijos vartojimo efektyvumą, atnaujinti transporto parką</w:t>
            </w:r>
          </w:p>
        </w:tc>
      </w:tr>
      <w:tr w:rsidR="000E7C4C">
        <w:tc>
          <w:tcPr>
            <w:tcW w:w="201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Lietuvos kaimo plėtros 2014-2020 m. programa</w:t>
            </w:r>
          </w:p>
        </w:tc>
        <w:tc>
          <w:tcPr>
            <w:tcW w:w="127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kern w:val="24"/>
                <w:sz w:val="20"/>
                <w:lang w:eastAsia="lt-LT"/>
              </w:rPr>
            </w:pPr>
            <w:r>
              <w:rPr>
                <w:color w:val="000000"/>
                <w:kern w:val="24"/>
                <w:sz w:val="20"/>
                <w:lang w:eastAsia="lt-LT"/>
              </w:rPr>
              <w:t>2014-2020</w:t>
            </w:r>
          </w:p>
        </w:tc>
        <w:tc>
          <w:tcPr>
            <w:tcW w:w="637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 xml:space="preserve">Perduoti žinias ir konsultuoti, mažinti amoniako </w:t>
            </w:r>
            <w:proofErr w:type="spellStart"/>
            <w:r>
              <w:rPr>
                <w:color w:val="000000"/>
                <w:kern w:val="24"/>
                <w:sz w:val="20"/>
                <w:lang w:eastAsia="lt-LT"/>
              </w:rPr>
              <w:t>išmetimus</w:t>
            </w:r>
            <w:proofErr w:type="spellEnd"/>
          </w:p>
        </w:tc>
      </w:tr>
      <w:tr w:rsidR="000E7C4C">
        <w:tc>
          <w:tcPr>
            <w:tcW w:w="201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Lietuvos sveikatos 2014-2025 metų strategija</w:t>
            </w:r>
          </w:p>
        </w:tc>
        <w:tc>
          <w:tcPr>
            <w:tcW w:w="127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kern w:val="24"/>
                <w:sz w:val="20"/>
                <w:lang w:eastAsia="lt-LT"/>
              </w:rPr>
            </w:pPr>
            <w:r>
              <w:rPr>
                <w:color w:val="000000"/>
                <w:kern w:val="24"/>
                <w:sz w:val="20"/>
                <w:lang w:eastAsia="lt-LT"/>
              </w:rPr>
              <w:t>2014-2025</w:t>
            </w:r>
          </w:p>
        </w:tc>
        <w:tc>
          <w:tcPr>
            <w:tcW w:w="637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Mažinti oro, vandens ir dirvožemio užterštumą</w:t>
            </w:r>
          </w:p>
        </w:tc>
      </w:tr>
      <w:tr w:rsidR="000E7C4C">
        <w:tc>
          <w:tcPr>
            <w:tcW w:w="201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Nacionalinė visuomenės sveikatos priežiūros 2016-2030 metų plėtros programa</w:t>
            </w:r>
          </w:p>
        </w:tc>
        <w:tc>
          <w:tcPr>
            <w:tcW w:w="127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kern w:val="24"/>
                <w:sz w:val="20"/>
                <w:lang w:eastAsia="lt-LT"/>
              </w:rPr>
            </w:pPr>
            <w:r>
              <w:rPr>
                <w:color w:val="000000"/>
                <w:kern w:val="24"/>
                <w:sz w:val="20"/>
                <w:lang w:eastAsia="lt-LT"/>
              </w:rPr>
              <w:t>2016-2030</w:t>
            </w:r>
          </w:p>
        </w:tc>
        <w:tc>
          <w:tcPr>
            <w:tcW w:w="637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 xml:space="preserve">Skatinti naudoti AEI </w:t>
            </w:r>
          </w:p>
        </w:tc>
      </w:tr>
      <w:tr w:rsidR="000E7C4C">
        <w:tc>
          <w:tcPr>
            <w:tcW w:w="201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Valstybinis atliekų tvarkymo 2014-2020 metų planas</w:t>
            </w:r>
          </w:p>
        </w:tc>
        <w:tc>
          <w:tcPr>
            <w:tcW w:w="127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kern w:val="24"/>
                <w:sz w:val="20"/>
                <w:lang w:eastAsia="lt-LT"/>
              </w:rPr>
            </w:pPr>
            <w:r>
              <w:rPr>
                <w:color w:val="000000"/>
                <w:kern w:val="24"/>
                <w:sz w:val="20"/>
                <w:lang w:eastAsia="lt-LT"/>
              </w:rPr>
              <w:t>2014-2020</w:t>
            </w:r>
          </w:p>
        </w:tc>
        <w:tc>
          <w:tcPr>
            <w:tcW w:w="637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kern w:val="24"/>
                <w:sz w:val="20"/>
                <w:lang w:eastAsia="lt-LT"/>
              </w:rPr>
            </w:pPr>
            <w:r>
              <w:rPr>
                <w:color w:val="000000"/>
                <w:kern w:val="24"/>
                <w:sz w:val="20"/>
                <w:lang w:eastAsia="lt-LT"/>
              </w:rPr>
              <w:t>Nustatyti veiklos ir energijos sąlygas atliekas deginantiems ūkio subjektams, didinti dumblo valdymo efektyvumą</w:t>
            </w:r>
          </w:p>
        </w:tc>
      </w:tr>
      <w:tr w:rsidR="000E7C4C">
        <w:tc>
          <w:tcPr>
            <w:tcW w:w="201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Investicijų skatinimo ir pramonės plėtros 2014-2020 metų programa</w:t>
            </w:r>
          </w:p>
        </w:tc>
        <w:tc>
          <w:tcPr>
            <w:tcW w:w="127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kern w:val="24"/>
                <w:sz w:val="20"/>
                <w:lang w:eastAsia="lt-LT"/>
              </w:rPr>
            </w:pPr>
            <w:r>
              <w:rPr>
                <w:color w:val="000000"/>
                <w:kern w:val="24"/>
                <w:sz w:val="20"/>
                <w:lang w:eastAsia="lt-LT"/>
              </w:rPr>
              <w:t>2014-2020</w:t>
            </w:r>
          </w:p>
        </w:tc>
        <w:tc>
          <w:tcPr>
            <w:tcW w:w="6378"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kern w:val="24"/>
                <w:sz w:val="20"/>
                <w:lang w:eastAsia="lt-LT"/>
              </w:rPr>
            </w:pPr>
            <w:r>
              <w:rPr>
                <w:color w:val="000000"/>
                <w:kern w:val="24"/>
                <w:sz w:val="20"/>
                <w:lang w:eastAsia="lt-LT"/>
              </w:rPr>
              <w:t>Didinti energijos suvartojimo intensyvumą gamybos įmonėse ir perdirbti ar kitaip panaudoti daugiau atliekų</w:t>
            </w:r>
          </w:p>
        </w:tc>
      </w:tr>
      <w:tr w:rsidR="000E7C4C">
        <w:tc>
          <w:tcPr>
            <w:tcW w:w="201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 xml:space="preserve">Vandenų srities plėtros 2017-2023 metų programa </w:t>
            </w:r>
          </w:p>
        </w:tc>
        <w:tc>
          <w:tcPr>
            <w:tcW w:w="127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kern w:val="24"/>
                <w:sz w:val="20"/>
                <w:lang w:eastAsia="lt-LT"/>
              </w:rPr>
            </w:pPr>
            <w:r>
              <w:rPr>
                <w:color w:val="000000"/>
                <w:kern w:val="24"/>
                <w:sz w:val="20"/>
                <w:lang w:eastAsia="lt-LT"/>
              </w:rPr>
              <w:t>2017-2023</w:t>
            </w:r>
          </w:p>
        </w:tc>
        <w:tc>
          <w:tcPr>
            <w:tcW w:w="6378"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kern w:val="24"/>
                <w:sz w:val="20"/>
                <w:lang w:eastAsia="lt-LT"/>
              </w:rPr>
            </w:pPr>
            <w:r>
              <w:rPr>
                <w:color w:val="000000"/>
                <w:kern w:val="24"/>
                <w:sz w:val="20"/>
                <w:lang w:eastAsia="lt-LT"/>
              </w:rPr>
              <w:t>Plėtoti ir renovuoti nuotekų surinkimo infrastruktūrą, mažinti individualiai valdomų nuotekų neigiamą poveikį aplinkai</w:t>
            </w:r>
          </w:p>
        </w:tc>
      </w:tr>
      <w:tr w:rsidR="000E7C4C">
        <w:tc>
          <w:tcPr>
            <w:tcW w:w="201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Nacionalinė klimato kaitos valdymo politikos strategija</w:t>
            </w:r>
          </w:p>
        </w:tc>
        <w:tc>
          <w:tcPr>
            <w:tcW w:w="127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kern w:val="24"/>
                <w:sz w:val="20"/>
                <w:lang w:eastAsia="lt-LT"/>
              </w:rPr>
            </w:pPr>
            <w:r>
              <w:rPr>
                <w:color w:val="000000"/>
                <w:kern w:val="24"/>
                <w:sz w:val="20"/>
                <w:lang w:eastAsia="lt-LT"/>
              </w:rPr>
              <w:t>Iki 2050</w:t>
            </w:r>
          </w:p>
        </w:tc>
        <w:tc>
          <w:tcPr>
            <w:tcW w:w="637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kern w:val="24"/>
                <w:sz w:val="20"/>
                <w:lang w:eastAsia="lt-LT"/>
              </w:rPr>
              <w:t>Didinti AEI naudojimą, mažinti energijos vartojimą, didinti finansavimą, skirtą taršai mažinti</w:t>
            </w:r>
          </w:p>
        </w:tc>
      </w:tr>
    </w:tbl>
    <w:p w:rsidR="000E7C4C" w:rsidRDefault="003C3EA6">
      <w:pPr>
        <w:spacing w:line="360" w:lineRule="atLeast"/>
        <w:ind w:left="720"/>
        <w:jc w:val="both"/>
        <w:rPr>
          <w:color w:val="000000"/>
          <w:szCs w:val="21"/>
        </w:rPr>
      </w:pPr>
    </w:p>
    <w:p w:rsidR="000E7C4C" w:rsidRDefault="003C3EA6">
      <w:pPr>
        <w:ind w:firstLine="567"/>
        <w:jc w:val="both"/>
        <w:rPr>
          <w:color w:val="000000"/>
          <w:szCs w:val="21"/>
          <w:lang w:val="en-US"/>
        </w:rPr>
      </w:pPr>
      <w:r>
        <w:rPr>
          <w:color w:val="000000"/>
          <w:szCs w:val="21"/>
        </w:rPr>
        <w:t>34</w:t>
      </w:r>
      <w:r>
        <w:rPr>
          <w:color w:val="000000"/>
          <w:szCs w:val="21"/>
        </w:rPr>
        <w:t>. Atlikus oro taršos mažinimo ir oro kokybės gerinimo politikos ir susijusių politikos sričių analizę, nustatyta, kad šiuo metu nėra vieno horizontalaus, t. y. visus oro taršos mažinimo ir oro kokybės gerinimo aspektus apimančio dokumento. Analizė atskleidė, kad siūlomos oro taršos mažinimo ir su juo susijusios priemonės skirtingų sektorių plėtrą apibūdinančiuose dokumentuose nėra tarpusavyje susietos. Kitas svarbus dalykas – dokumentai parengti skirtingiems laikotarpiams, daugiau nei pusės dokumentų įgyvendinimas numatytas iki 2020 m., neaišku, ar numatytų priemonių įgyvendinimas bus tęsiamas (nustatyti jų įgyvendinimo naudą oro taršos mažinimo ir oro taršos mažinimo tikslų įgyvendinimo aspektu yra labai sudėtinga) ir galės tinkamai neprisidėti prie ilgalaikių (iki 2030 m.) oro taršos mažinimo tikslų įgyvendinimo. Kita išryškėjusi problema – maža priemonių įvairovė. Analizuotuose dokumentuose dominuoja kelias sritis apimančios priemonės, pavyzdžiui, AEI naudojimo skatinimas, visuomeninio transporto plėtra. Tai lemia, jog išnaudojamos ne visos galimybės kartu mažinti ir oro taršą, nes dėmesys sutelkiamas tik į kelias sritis, praleidžiant kitas svarbias. Priemonės dažnai nepagrįstos oro taršos apskaitos duomenimis (labiau pagrįstos bendromis sektorių vystymosi tendencijomis). Dėl to ne tik ES reikalavimai, bet ir identifikuotos problemos oro taršos mažinimo (valdymo) politikos srityje lemia poreikį parengti horizontalų oro taršos mažinimui skirtą dokumentą, kuris apimtų įvairiuose sektoriuose taikytinas priemones, pagrindžiant jų pasirinkimą esamos oro taršos ir oro kokybės vertinimo rezultatais ir sąnaudų–naudos analizės principais, kai vertinama priemonių nauda visumai, o ne sudėtinei daliai, t. y. oro taršos mažinimui ir oro kokybės gerinimui, o ne taršos iš vieno šaltinio mažinimui.</w:t>
      </w:r>
    </w:p>
    <w:p w:rsidR="000E7C4C" w:rsidRDefault="003C3EA6">
      <w:pPr>
        <w:jc w:val="both"/>
        <w:rPr>
          <w:color w:val="000000"/>
          <w:szCs w:val="21"/>
          <w:lang w:val="en-US"/>
        </w:rPr>
      </w:pPr>
    </w:p>
    <w:p w:rsidR="000E7C4C" w:rsidRDefault="003C3EA6">
      <w:pPr>
        <w:jc w:val="center"/>
        <w:rPr>
          <w:color w:val="000000"/>
          <w:szCs w:val="21"/>
          <w:lang w:val="en-US"/>
        </w:rPr>
      </w:pPr>
      <w:r>
        <w:rPr>
          <w:color w:val="000000"/>
          <w:szCs w:val="21"/>
          <w:lang w:val="en-US"/>
        </w:rPr>
        <w:t>______________________</w:t>
      </w:r>
    </w:p>
    <w:p w:rsidR="000E7C4C" w:rsidRDefault="000E7C4C">
      <w:pPr>
        <w:tabs>
          <w:tab w:val="left" w:pos="540"/>
          <w:tab w:val="left" w:pos="1296"/>
        </w:tabs>
        <w:rPr>
          <w:szCs w:val="24"/>
        </w:rPr>
      </w:pPr>
    </w:p>
    <w:p w:rsidR="000E7C4C" w:rsidRDefault="003C3EA6">
      <w:pPr>
        <w:tabs>
          <w:tab w:val="center" w:pos="4819"/>
          <w:tab w:val="right" w:pos="9638"/>
        </w:tabs>
        <w:jc w:val="both"/>
        <w:rPr>
          <w:color w:val="000000"/>
          <w:szCs w:val="21"/>
          <w:lang w:val="en-US"/>
        </w:rPr>
      </w:pPr>
    </w:p>
    <w:p w:rsidR="003C3EA6" w:rsidRDefault="003C3EA6">
      <w:pPr>
        <w:ind w:left="7088"/>
        <w:sectPr w:rsidR="003C3EA6" w:rsidSect="003C3EA6">
          <w:pgSz w:w="11906" w:h="16838"/>
          <w:pgMar w:top="1134" w:right="567" w:bottom="1134" w:left="1134" w:header="567" w:footer="567" w:gutter="0"/>
          <w:pgNumType w:start="1"/>
          <w:cols w:space="1296"/>
          <w:titlePg/>
          <w:docGrid w:linePitch="326"/>
        </w:sectPr>
      </w:pPr>
    </w:p>
    <w:p w:rsidR="000E7C4C" w:rsidRDefault="003C3EA6">
      <w:pPr>
        <w:ind w:left="7088"/>
        <w:rPr>
          <w:color w:val="000000"/>
          <w:szCs w:val="24"/>
        </w:rPr>
      </w:pPr>
      <w:r>
        <w:rPr>
          <w:color w:val="000000"/>
          <w:szCs w:val="24"/>
        </w:rPr>
        <w:t xml:space="preserve">Nacionalinio oro taršos </w:t>
      </w:r>
    </w:p>
    <w:p w:rsidR="000E7C4C" w:rsidRDefault="003C3EA6">
      <w:pPr>
        <w:ind w:left="7088"/>
        <w:rPr>
          <w:color w:val="000000"/>
          <w:szCs w:val="24"/>
        </w:rPr>
      </w:pPr>
      <w:r>
        <w:rPr>
          <w:color w:val="000000"/>
          <w:szCs w:val="24"/>
        </w:rPr>
        <w:t>mažinimo plano</w:t>
      </w:r>
    </w:p>
    <w:p w:rsidR="000E7C4C" w:rsidRDefault="003C3EA6">
      <w:pPr>
        <w:ind w:left="7088"/>
        <w:rPr>
          <w:color w:val="000000"/>
          <w:szCs w:val="24"/>
        </w:rPr>
      </w:pPr>
      <w:r>
        <w:rPr>
          <w:color w:val="000000"/>
          <w:szCs w:val="24"/>
        </w:rPr>
        <w:t>5</w:t>
      </w:r>
      <w:r>
        <w:rPr>
          <w:color w:val="000000"/>
          <w:szCs w:val="24"/>
        </w:rPr>
        <w:t xml:space="preserve"> priedas</w:t>
      </w:r>
    </w:p>
    <w:p w:rsidR="000E7C4C" w:rsidRDefault="000E7C4C">
      <w:pPr>
        <w:jc w:val="right"/>
        <w:rPr>
          <w:color w:val="000000"/>
          <w:sz w:val="20"/>
          <w:szCs w:val="21"/>
        </w:rPr>
      </w:pPr>
    </w:p>
    <w:p w:rsidR="000E7C4C" w:rsidRDefault="000E7C4C">
      <w:pPr>
        <w:rPr>
          <w:sz w:val="18"/>
          <w:szCs w:val="18"/>
        </w:rPr>
      </w:pPr>
    </w:p>
    <w:p w:rsidR="000E7C4C" w:rsidRDefault="003C3EA6">
      <w:pPr>
        <w:keepNext/>
        <w:keepLines/>
        <w:jc w:val="center"/>
        <w:outlineLvl w:val="3"/>
        <w:rPr>
          <w:b/>
          <w:bCs/>
          <w:iCs/>
          <w:color w:val="000000"/>
          <w:szCs w:val="24"/>
        </w:rPr>
      </w:pPr>
      <w:r>
        <w:rPr>
          <w:b/>
          <w:bCs/>
          <w:iCs/>
          <w:color w:val="000000"/>
          <w:szCs w:val="24"/>
        </w:rPr>
        <w:t>ORO TARŠOS VALDYMAS SAVYVALDYBIŲ LYGMENIU</w:t>
      </w:r>
    </w:p>
    <w:p w:rsidR="000E7C4C" w:rsidRDefault="000E7C4C">
      <w:pPr>
        <w:spacing w:line="360" w:lineRule="atLeast"/>
        <w:jc w:val="both"/>
        <w:rPr>
          <w:color w:val="000000"/>
          <w:szCs w:val="21"/>
        </w:rPr>
      </w:pPr>
    </w:p>
    <w:p w:rsidR="000E7C4C" w:rsidRDefault="003C3EA6">
      <w:pPr>
        <w:jc w:val="center"/>
        <w:rPr>
          <w:b/>
          <w:color w:val="000000"/>
          <w:szCs w:val="21"/>
        </w:rPr>
      </w:pPr>
      <w:r>
        <w:rPr>
          <w:b/>
          <w:color w:val="000000"/>
          <w:szCs w:val="21"/>
        </w:rPr>
        <w:t>I</w:t>
      </w:r>
      <w:r>
        <w:rPr>
          <w:b/>
          <w:color w:val="000000"/>
          <w:szCs w:val="21"/>
        </w:rPr>
        <w:t xml:space="preserve"> SKYRIUS</w:t>
      </w:r>
    </w:p>
    <w:p w:rsidR="000E7C4C" w:rsidRDefault="003C3EA6">
      <w:pPr>
        <w:jc w:val="center"/>
        <w:rPr>
          <w:b/>
          <w:color w:val="000000"/>
          <w:szCs w:val="21"/>
        </w:rPr>
      </w:pPr>
      <w:r>
        <w:rPr>
          <w:b/>
          <w:color w:val="000000"/>
          <w:szCs w:val="21"/>
        </w:rPr>
        <w:t>ORO TARŠA SAVIVALDYBĖSE</w:t>
      </w:r>
    </w:p>
    <w:p w:rsidR="000E7C4C" w:rsidRDefault="000E7C4C">
      <w:pPr>
        <w:jc w:val="both"/>
        <w:rPr>
          <w:color w:val="000000"/>
          <w:szCs w:val="21"/>
        </w:rPr>
      </w:pPr>
    </w:p>
    <w:p w:rsidR="000E7C4C" w:rsidRDefault="003C3EA6">
      <w:pPr>
        <w:tabs>
          <w:tab w:val="left" w:pos="851"/>
        </w:tabs>
        <w:ind w:firstLine="567"/>
        <w:jc w:val="both"/>
        <w:rPr>
          <w:color w:val="000000"/>
          <w:szCs w:val="21"/>
        </w:rPr>
      </w:pPr>
      <w:r>
        <w:rPr>
          <w:color w:val="000000"/>
          <w:szCs w:val="21"/>
        </w:rPr>
        <w:t>1</w:t>
      </w:r>
      <w:r>
        <w:rPr>
          <w:color w:val="000000"/>
          <w:szCs w:val="21"/>
        </w:rPr>
        <w:t>.</w:t>
      </w:r>
      <w:r>
        <w:rPr>
          <w:color w:val="000000"/>
          <w:szCs w:val="21"/>
        </w:rPr>
        <w:tab/>
        <w:t>Siekiant išanalizuoti labiausiai prie oro taršos didinimo prisidedančias savivaldybes ir pasiūlyti joms priemones, skirtas oro taršai mažinti, atlikta teršalų išmetimų savivaldybių teritorijose analizė. Remiantis analizės rezultatais, pasirinktos reikšmingiausios oro taršos mažinimo ir oro kokybės gerinimo aspektu savivaldybės.</w:t>
      </w:r>
    </w:p>
    <w:p w:rsidR="000E7C4C" w:rsidRDefault="003C3EA6">
      <w:pPr>
        <w:tabs>
          <w:tab w:val="left" w:pos="851"/>
        </w:tabs>
        <w:ind w:firstLine="567"/>
        <w:jc w:val="both"/>
        <w:rPr>
          <w:color w:val="000000"/>
          <w:szCs w:val="21"/>
        </w:rPr>
      </w:pPr>
      <w:r>
        <w:rPr>
          <w:color w:val="000000"/>
          <w:szCs w:val="21"/>
        </w:rPr>
        <w:t>2</w:t>
      </w:r>
      <w:r>
        <w:rPr>
          <w:color w:val="000000"/>
          <w:szCs w:val="21"/>
        </w:rPr>
        <w:t>.</w:t>
      </w:r>
      <w:r>
        <w:rPr>
          <w:color w:val="000000"/>
          <w:szCs w:val="21"/>
        </w:rPr>
        <w:tab/>
        <w:t>Visų pirma, išanalizuoti penki didžiausi Lietuvos miestai – Vilniaus, Kauno, Klaipėdos, Šiaulių ir Panevėžio – kaip potencialiai didžiausi teršalų skleidėjai dėl intensyvaus transporto eismo, šilumos ūkio veiklos bei pramonės įmonių veiklos miestų teritorijose (žr. 1 pav.).</w:t>
      </w:r>
    </w:p>
    <w:p w:rsidR="000E7C4C" w:rsidRDefault="003C3EA6">
      <w:pPr>
        <w:jc w:val="center"/>
        <w:rPr>
          <w:color w:val="000000"/>
          <w:szCs w:val="21"/>
        </w:rPr>
      </w:pPr>
      <w:r>
        <w:rPr>
          <w:noProof/>
          <w:color w:val="000000"/>
          <w:lang w:eastAsia="lt-LT"/>
        </w:rPr>
        <w:drawing>
          <wp:inline distT="0" distB="0" distL="0" distR="0" wp14:anchorId="52BAF525" wp14:editId="06CBA1A0">
            <wp:extent cx="4143375" cy="2266950"/>
            <wp:effectExtent l="0" t="0" r="0" b="0"/>
            <wp:docPr id="74" name="Diagrama 74"/>
            <wp:cNvGraphicFramePr/>
            <a:graphic xmlns:a="http://schemas.openxmlformats.org/drawingml/2006/main">
              <a:graphicData uri="http://schemas.openxmlformats.org/drawingml/2006/chart">
                <c:chart xmlns:c="http://schemas.openxmlformats.org/drawingml/2006/chart" r:id="rId15"/>
              </a:graphicData>
            </a:graphic>
          </wp:inline>
        </w:drawing>
      </w:r>
    </w:p>
    <w:p w:rsidR="000E7C4C" w:rsidRDefault="003C3EA6">
      <w:pPr>
        <w:tabs>
          <w:tab w:val="left" w:pos="993"/>
        </w:tabs>
        <w:jc w:val="center"/>
        <w:rPr>
          <w:color w:val="000000"/>
        </w:rPr>
      </w:pPr>
      <w:r>
        <w:rPr>
          <w:color w:val="000000"/>
        </w:rPr>
        <w:t>1 paveikslas. Teršalų išmetimas į orą didžiausiose Lietuvos miestuose 2016 m.</w:t>
      </w:r>
    </w:p>
    <w:p w:rsidR="000E7C4C" w:rsidRDefault="003C3EA6">
      <w:pPr>
        <w:jc w:val="center"/>
        <w:rPr>
          <w:color w:val="000000"/>
          <w:sz w:val="20"/>
        </w:rPr>
      </w:pPr>
      <w:r>
        <w:rPr>
          <w:color w:val="000000"/>
          <w:sz w:val="20"/>
        </w:rPr>
        <w:t>(Šaltinis: Aplinkos apsaugos agentūros (toliau – AAA) duomenys)</w:t>
      </w:r>
    </w:p>
    <w:p w:rsidR="000E7C4C" w:rsidRDefault="003C3EA6">
      <w:pPr>
        <w:ind w:left="720"/>
        <w:jc w:val="both"/>
        <w:rPr>
          <w:color w:val="000000"/>
          <w:szCs w:val="21"/>
        </w:rPr>
      </w:pPr>
    </w:p>
    <w:p w:rsidR="000E7C4C" w:rsidRDefault="003C3EA6">
      <w:pPr>
        <w:tabs>
          <w:tab w:val="left" w:pos="851"/>
        </w:tabs>
        <w:ind w:firstLine="567"/>
        <w:jc w:val="both"/>
        <w:rPr>
          <w:color w:val="000000"/>
          <w:szCs w:val="21"/>
        </w:rPr>
      </w:pPr>
      <w:r>
        <w:rPr>
          <w:color w:val="000000"/>
          <w:szCs w:val="21"/>
        </w:rPr>
        <w:t>3</w:t>
      </w:r>
      <w:r>
        <w:rPr>
          <w:color w:val="000000"/>
          <w:szCs w:val="21"/>
        </w:rPr>
        <w:t>.</w:t>
      </w:r>
      <w:r>
        <w:rPr>
          <w:color w:val="000000"/>
          <w:szCs w:val="21"/>
        </w:rPr>
        <w:tab/>
        <w:t>Remiantis AAA duomenimis apie teršalų, išmestų į aplinkos orą iš stacionarių taršos šaltinių, kiekį savivaldybėse 2016 m., išskirtos savivaldybės (išskyrus penkis didžiausius Lietuvos miestus), kurios generuoja didžiausią taršą. Kaip matyti 2 paveiksle, tarp didžiausią taršą generuojančių savivaldybių išsiskiria Mažeikių rajono savivaldybė, kurioje išmestų oro teršalų kiekis beveik du kartus didesnis nei kitose paveiksle parodytose savivaldybėse. Tarp kitų savivaldybių išskirtinos tos, kuriose aktyviai vykdoma pramoninė veikla ir energetikos veikla.</w:t>
      </w:r>
    </w:p>
    <w:p w:rsidR="000E7C4C" w:rsidRDefault="003C3EA6">
      <w:pPr>
        <w:jc w:val="center"/>
        <w:rPr>
          <w:color w:val="000000"/>
          <w:szCs w:val="21"/>
        </w:rPr>
      </w:pPr>
      <w:r>
        <w:rPr>
          <w:noProof/>
          <w:color w:val="000000"/>
          <w:lang w:eastAsia="lt-LT"/>
        </w:rPr>
        <w:drawing>
          <wp:inline distT="0" distB="0" distL="0" distR="0" wp14:anchorId="695B71AB" wp14:editId="2B418AFB">
            <wp:extent cx="4086225" cy="2000250"/>
            <wp:effectExtent l="0" t="0" r="0" b="0"/>
            <wp:docPr id="73" name="Diagrama 73"/>
            <wp:cNvGraphicFramePr/>
            <a:graphic xmlns:a="http://schemas.openxmlformats.org/drawingml/2006/main">
              <a:graphicData uri="http://schemas.openxmlformats.org/drawingml/2006/chart">
                <c:chart xmlns:c="http://schemas.openxmlformats.org/drawingml/2006/chart" r:id="rId16"/>
              </a:graphicData>
            </a:graphic>
          </wp:inline>
        </w:drawing>
      </w:r>
    </w:p>
    <w:p w:rsidR="000E7C4C" w:rsidRDefault="003C3EA6">
      <w:pPr>
        <w:tabs>
          <w:tab w:val="left" w:pos="993"/>
        </w:tabs>
        <w:jc w:val="center"/>
        <w:rPr>
          <w:color w:val="000000"/>
        </w:rPr>
      </w:pPr>
      <w:r>
        <w:rPr>
          <w:color w:val="000000"/>
        </w:rPr>
        <w:t>2 paveikslas. Teršalų išmetimas į orą didžiausiose Lietuvos miestuose</w:t>
      </w:r>
    </w:p>
    <w:p w:rsidR="000E7C4C" w:rsidRDefault="003C3EA6">
      <w:pPr>
        <w:ind w:left="720"/>
        <w:jc w:val="center"/>
        <w:rPr>
          <w:color w:val="000000"/>
          <w:sz w:val="20"/>
        </w:rPr>
      </w:pPr>
      <w:r>
        <w:rPr>
          <w:color w:val="000000"/>
          <w:sz w:val="20"/>
        </w:rPr>
        <w:t>(Šaltinis: AAA duomenys)</w:t>
      </w:r>
    </w:p>
    <w:p w:rsidR="000E7C4C" w:rsidRDefault="003C3EA6">
      <w:pPr>
        <w:ind w:left="720"/>
        <w:jc w:val="center"/>
        <w:rPr>
          <w:color w:val="000000"/>
          <w:szCs w:val="21"/>
        </w:rPr>
      </w:pPr>
    </w:p>
    <w:p w:rsidR="000E7C4C" w:rsidRDefault="003C3EA6">
      <w:pPr>
        <w:tabs>
          <w:tab w:val="left" w:pos="851"/>
        </w:tabs>
        <w:ind w:firstLine="567"/>
        <w:jc w:val="both"/>
        <w:rPr>
          <w:color w:val="000000"/>
          <w:szCs w:val="21"/>
        </w:rPr>
      </w:pPr>
      <w:r>
        <w:rPr>
          <w:color w:val="000000"/>
          <w:szCs w:val="21"/>
        </w:rPr>
        <w:t>4</w:t>
      </w:r>
      <w:r>
        <w:rPr>
          <w:color w:val="000000"/>
          <w:szCs w:val="21"/>
        </w:rPr>
        <w:t>.</w:t>
      </w:r>
      <w:r>
        <w:rPr>
          <w:color w:val="000000"/>
          <w:szCs w:val="21"/>
        </w:rPr>
        <w:tab/>
        <w:t>Remiantis AAA pateikiamais Lietuvos oro taršos duomenimis apie reikšmingiausius 2015 m. teršėjus – ūkio subjektus ir nustačius kiekvieno jų veiklos sritį, nustatyta, kad reikšmingiausi teršėjai–ūkio subjektai, priskiriami naftos pramonei, mineralinių medžiagų apdirbimo pramonei, chemijos pramonei ir viešajai energijos gamybai (žr. 3 pav.).</w:t>
      </w:r>
    </w:p>
    <w:p w:rsidR="000E7C4C" w:rsidRDefault="000E7C4C">
      <w:pPr>
        <w:ind w:left="720"/>
        <w:jc w:val="both"/>
        <w:rPr>
          <w:color w:val="000000"/>
          <w:szCs w:val="21"/>
        </w:rPr>
      </w:pPr>
    </w:p>
    <w:p w:rsidR="000E7C4C" w:rsidRDefault="003C3EA6">
      <w:pPr>
        <w:jc w:val="center"/>
        <w:rPr>
          <w:color w:val="000000"/>
          <w:szCs w:val="21"/>
        </w:rPr>
      </w:pPr>
      <w:r>
        <w:rPr>
          <w:noProof/>
          <w:color w:val="000000"/>
          <w:szCs w:val="21"/>
          <w:lang w:eastAsia="lt-LT"/>
        </w:rPr>
        <w:drawing>
          <wp:inline distT="0" distB="0" distL="0" distR="0" wp14:anchorId="7424962B" wp14:editId="29E4DE90">
            <wp:extent cx="4543425" cy="2686050"/>
            <wp:effectExtent l="0" t="0" r="0" b="0"/>
            <wp:docPr id="72" name="Diagrama 72"/>
            <wp:cNvGraphicFramePr/>
            <a:graphic xmlns:a="http://schemas.openxmlformats.org/drawingml/2006/main">
              <a:graphicData uri="http://schemas.openxmlformats.org/drawingml/2006/chart">
                <c:chart xmlns:c="http://schemas.openxmlformats.org/drawingml/2006/chart" r:id="rId17"/>
              </a:graphicData>
            </a:graphic>
          </wp:inline>
        </w:drawing>
      </w:r>
    </w:p>
    <w:p w:rsidR="000E7C4C" w:rsidRDefault="003C3EA6">
      <w:pPr>
        <w:tabs>
          <w:tab w:val="left" w:pos="993"/>
        </w:tabs>
        <w:jc w:val="center"/>
        <w:rPr>
          <w:color w:val="000000"/>
        </w:rPr>
      </w:pPr>
      <w:r>
        <w:rPr>
          <w:color w:val="000000"/>
        </w:rPr>
        <w:t>3 paveikslas. Teršalų išmetimas į orą iš stacionarių taršos šaltinių</w:t>
      </w:r>
    </w:p>
    <w:p w:rsidR="000E7C4C" w:rsidRDefault="003C3EA6">
      <w:pPr>
        <w:ind w:left="720"/>
        <w:jc w:val="center"/>
        <w:rPr>
          <w:color w:val="000000"/>
          <w:szCs w:val="21"/>
        </w:rPr>
      </w:pPr>
      <w:r>
        <w:rPr>
          <w:color w:val="000000"/>
          <w:sz w:val="20"/>
        </w:rPr>
        <w:t>(Šaltinis: AAA duomenys)</w:t>
      </w:r>
    </w:p>
    <w:p w:rsidR="000E7C4C" w:rsidRDefault="000E7C4C">
      <w:pPr>
        <w:ind w:left="360"/>
        <w:jc w:val="both"/>
        <w:rPr>
          <w:color w:val="000000"/>
          <w:sz w:val="18"/>
          <w:szCs w:val="18"/>
        </w:rPr>
      </w:pPr>
    </w:p>
    <w:p w:rsidR="000E7C4C" w:rsidRDefault="003C3EA6">
      <w:pPr>
        <w:ind w:left="720"/>
        <w:jc w:val="both"/>
        <w:rPr>
          <w:color w:val="000000"/>
          <w:szCs w:val="21"/>
        </w:rPr>
      </w:pPr>
    </w:p>
    <w:p w:rsidR="000E7C4C" w:rsidRDefault="003C3EA6">
      <w:pPr>
        <w:tabs>
          <w:tab w:val="left" w:pos="851"/>
        </w:tabs>
        <w:ind w:firstLine="567"/>
        <w:jc w:val="both"/>
        <w:rPr>
          <w:color w:val="000000"/>
          <w:szCs w:val="21"/>
        </w:rPr>
      </w:pPr>
      <w:r>
        <w:rPr>
          <w:color w:val="000000"/>
          <w:szCs w:val="21"/>
        </w:rPr>
        <w:t>5</w:t>
      </w:r>
      <w:r>
        <w:rPr>
          <w:color w:val="000000"/>
          <w:szCs w:val="21"/>
        </w:rPr>
        <w:t>.</w:t>
      </w:r>
      <w:r>
        <w:rPr>
          <w:color w:val="000000"/>
          <w:szCs w:val="21"/>
        </w:rPr>
        <w:tab/>
        <w:t xml:space="preserve">Išnagrinėjus teršalų išmetimą didžiausiuose Lietuvos miestuose ir kitose Lietuvos savivaldybėse, taip pat išanalizavus didžiausius teršalų </w:t>
      </w:r>
      <w:proofErr w:type="spellStart"/>
      <w:r>
        <w:rPr>
          <w:color w:val="000000"/>
          <w:szCs w:val="21"/>
        </w:rPr>
        <w:t>išmetimus</w:t>
      </w:r>
      <w:proofErr w:type="spellEnd"/>
      <w:r>
        <w:rPr>
          <w:color w:val="000000"/>
          <w:szCs w:val="21"/>
        </w:rPr>
        <w:t xml:space="preserve"> pagal ūkio subjektus, savivaldybių priemonių analizei atlikti pasirinktos tokios savivaldybės: Vilniaus miesto savivaldybė, Klaipėdos miesto savivaldybė, Kauno miesto savivaldybė, Panevėžio miesto savivaldybė, Šiaulių miesto savivaldybė, Mažeikių rajono savivaldybė, Jonavos rajono savivaldybė, Akmenės rajono savivaldybė, Kėdainių rajono savivaldybė, Elektrėnų savivaldybė.</w:t>
      </w:r>
    </w:p>
    <w:p w:rsidR="000E7C4C" w:rsidRDefault="003C3EA6">
      <w:pPr>
        <w:tabs>
          <w:tab w:val="left" w:pos="851"/>
        </w:tabs>
        <w:ind w:firstLine="567"/>
        <w:jc w:val="both"/>
        <w:rPr>
          <w:color w:val="000000"/>
          <w:szCs w:val="21"/>
        </w:rPr>
      </w:pPr>
      <w:r>
        <w:rPr>
          <w:color w:val="000000"/>
          <w:szCs w:val="21"/>
        </w:rPr>
        <w:t>6</w:t>
      </w:r>
      <w:r>
        <w:rPr>
          <w:color w:val="000000"/>
          <w:szCs w:val="21"/>
        </w:rPr>
        <w:t>.</w:t>
      </w:r>
      <w:r>
        <w:rPr>
          <w:color w:val="000000"/>
          <w:szCs w:val="21"/>
        </w:rPr>
        <w:tab/>
        <w:t>Analizuoti tokie dokumentai: strateginiai plėtros planai, strateginiai veiklos planai, oro kokybės valdymo programos, atsinaujinančių energijos išteklių plėtros programos, šilumos ūkio plėtros specialieji planai. Analizuotos minėtuose dokumentuose numatytos, tačiau dar neįgyvendintos priemonės.</w:t>
      </w:r>
    </w:p>
    <w:p w:rsidR="000E7C4C" w:rsidRDefault="003C3EA6">
      <w:pPr>
        <w:keepNext/>
        <w:keepLines/>
        <w:jc w:val="center"/>
        <w:outlineLvl w:val="6"/>
        <w:rPr>
          <w:b/>
          <w:iCs/>
          <w:color w:val="000000"/>
          <w:szCs w:val="21"/>
        </w:rPr>
      </w:pPr>
    </w:p>
    <w:p w:rsidR="000E7C4C" w:rsidRDefault="003C3EA6">
      <w:pPr>
        <w:keepNext/>
        <w:keepLines/>
        <w:jc w:val="center"/>
        <w:outlineLvl w:val="6"/>
        <w:rPr>
          <w:b/>
          <w:iCs/>
          <w:color w:val="000000"/>
          <w:szCs w:val="21"/>
        </w:rPr>
      </w:pPr>
      <w:r>
        <w:rPr>
          <w:b/>
          <w:iCs/>
          <w:color w:val="000000"/>
          <w:szCs w:val="21"/>
        </w:rPr>
        <w:t>PIRMASIS</w:t>
      </w:r>
      <w:r>
        <w:rPr>
          <w:b/>
          <w:iCs/>
          <w:color w:val="000000"/>
          <w:szCs w:val="21"/>
        </w:rPr>
        <w:t xml:space="preserve"> SKIRSNIS</w:t>
      </w:r>
    </w:p>
    <w:p w:rsidR="000E7C4C" w:rsidRDefault="003C3EA6">
      <w:pPr>
        <w:keepNext/>
        <w:keepLines/>
        <w:jc w:val="center"/>
        <w:outlineLvl w:val="6"/>
        <w:rPr>
          <w:b/>
          <w:iCs/>
          <w:color w:val="000000"/>
          <w:szCs w:val="21"/>
        </w:rPr>
      </w:pPr>
      <w:r>
        <w:rPr>
          <w:b/>
          <w:iCs/>
          <w:color w:val="000000"/>
          <w:szCs w:val="21"/>
        </w:rPr>
        <w:t xml:space="preserve">ORO TARŠOS MAŽINIMO PRIEMONĖS VILNIAUS MIESTO SAVIVALDYBĖJE </w:t>
      </w:r>
    </w:p>
    <w:p w:rsidR="000E7C4C" w:rsidRDefault="000E7C4C">
      <w:pPr>
        <w:ind w:left="720"/>
        <w:jc w:val="both"/>
        <w:rPr>
          <w:color w:val="000000"/>
          <w:szCs w:val="21"/>
        </w:rPr>
      </w:pPr>
    </w:p>
    <w:p w:rsidR="000E7C4C" w:rsidRDefault="003C3EA6">
      <w:pPr>
        <w:tabs>
          <w:tab w:val="left" w:pos="851"/>
        </w:tabs>
        <w:ind w:firstLine="567"/>
        <w:jc w:val="both"/>
        <w:rPr>
          <w:color w:val="000000"/>
          <w:szCs w:val="21"/>
        </w:rPr>
      </w:pPr>
      <w:r>
        <w:rPr>
          <w:color w:val="000000"/>
          <w:szCs w:val="21"/>
        </w:rPr>
        <w:t>7</w:t>
      </w:r>
      <w:r>
        <w:rPr>
          <w:color w:val="000000"/>
          <w:szCs w:val="21"/>
        </w:rPr>
        <w:t>.</w:t>
      </w:r>
      <w:r>
        <w:rPr>
          <w:color w:val="000000"/>
          <w:szCs w:val="21"/>
        </w:rPr>
        <w:tab/>
      </w:r>
      <w:r>
        <w:rPr>
          <w:b/>
          <w:color w:val="000000"/>
          <w:szCs w:val="21"/>
        </w:rPr>
        <w:t>Vilniaus miesto 2010–2020 metų strateginiame plėtros plane</w:t>
      </w:r>
      <w:r>
        <w:rPr>
          <w:color w:val="000000"/>
          <w:szCs w:val="21"/>
        </w:rPr>
        <w:t>, patvirtintame Vilniaus miesto savivaldybės tarybos 2017 m. spalio 25 d. sprendimu Nr.1-1204 „Dėl Vilniaus miesto 2010–2020 metų strateginio plėtros plano atnaujinimo“,</w:t>
      </w:r>
      <w:r>
        <w:rPr>
          <w:b/>
          <w:color w:val="000000"/>
          <w:szCs w:val="21"/>
        </w:rPr>
        <w:t xml:space="preserve"> </w:t>
      </w:r>
      <w:r>
        <w:rPr>
          <w:color w:val="000000"/>
          <w:szCs w:val="21"/>
        </w:rPr>
        <w:t>numatyti tikslai, prisidedantys prie oro taršos mažinimo, gyvenamojo būsto aplinkos, miesto inžinerinio aprūpinimo sistemos, susisiekimo sistemos plėtros ir aplinkos apsaugos ir efektyvaus atliekų tvarkymo srityse.</w:t>
      </w:r>
      <w:r>
        <w:rPr>
          <w:b/>
          <w:color w:val="000000"/>
          <w:szCs w:val="21"/>
        </w:rPr>
        <w:t xml:space="preserve"> </w:t>
      </w:r>
      <w:r>
        <w:rPr>
          <w:color w:val="000000"/>
          <w:szCs w:val="21"/>
        </w:rPr>
        <w:t>Siekiant kokybiškos ir patogios gyvenamojo būsto aplinkos iškeltas uždavinys skatinti gyvenamojo būsto ir jo aplinkos atnaujinimą bei efektyvų valdymą, kuris įgyvendinamas tokia, oro taršos mažinimui įtakos turinčia priemone – vykdyti gyvenamojo būsto modernizavimą. Siekiant įgyvendinti uždavinį – modernizuoti ir plėtoti energetikos sistemas, numatyta modernizuoti Vilniaus elektrinę ir rajonines (vietines) katilines, modernizuojant Vilniaus elektrinę (VE–2 ir VE–3), įrengiant azoto oksidų (</w:t>
      </w:r>
      <w:proofErr w:type="spellStart"/>
      <w:r>
        <w:rPr>
          <w:color w:val="000000"/>
          <w:szCs w:val="21"/>
        </w:rPr>
        <w:t>NO</w:t>
      </w:r>
      <w:r>
        <w:rPr>
          <w:color w:val="000000"/>
          <w:szCs w:val="21"/>
          <w:vertAlign w:val="subscript"/>
        </w:rPr>
        <w:t>x</w:t>
      </w:r>
      <w:proofErr w:type="spellEnd"/>
      <w:r>
        <w:rPr>
          <w:color w:val="000000"/>
          <w:szCs w:val="21"/>
        </w:rPr>
        <w:t xml:space="preserve">) mažinimo priemones, rekonstruojant katilus biokuro deginimui. Siekiant darnios susisiekimo sistemos plėtros, nustatytas uždavinys didinti gyventojų mobilumą visuomeniniu ir </w:t>
      </w:r>
      <w:proofErr w:type="spellStart"/>
      <w:r>
        <w:rPr>
          <w:color w:val="000000"/>
          <w:szCs w:val="21"/>
        </w:rPr>
        <w:t>bevarikliu</w:t>
      </w:r>
      <w:proofErr w:type="spellEnd"/>
      <w:r>
        <w:rPr>
          <w:color w:val="000000"/>
          <w:szCs w:val="21"/>
        </w:rPr>
        <w:t xml:space="preserve"> transportu. Prie šio uždavinio įgyvendinimo prisideda tokios priemonės įgyvendinimas kaip miesto visuomeninio transporto maršrutinio tinklo plėtros ir modernizavimo optimizavimas ir užtikrinimas, kuris apima (be kitų veiksmų)  visuomeninio transporto parkų atnaujinimą ekologiškomis transporto priemonėmis. Kitas uždavinys šiam tikslui pasiekti – skatinti elektromobilių ir kitų netaršių bei efektyviai energiją naudojančių transporto priemonių įsigijimą ir naudojimą. Be to, siekiama mažinti neigiamas transporto eismo pasekmes aplinkos orui pasitelkiant tokią priemonę: mažinti oro užterštumo ir triukšmo nuo transporto eismo poveikį, taikant lanksčius transporto eismo apribojimus laibiausiai užterštose miesto vietose pagal oro taršos žemėlapius, informuojant visuomenę apie užterštumo lygį Vilniaus miesto rajonuose ir įsigyjant modernią gatvių dangų valymo techniką. Siekiant užtikrinti aplinkos apsaugą ir efektyvų atliekų tvarkymą, iškeltas uždavinys gerinti oro ir geriamojo vandens kokybę, mažinti triukšmą. Tarp oro gerinimo priemonių išvardintinos: operatyviai vertinti ir prognozuoti oro užterštumo lygius ir pavojus, projektuoti triukšmo, oro užterštumo mažinimo ir geriamojo vandens kokybės gerinimo priemones ir organizuoti jų įgyvendinimą.</w:t>
      </w:r>
    </w:p>
    <w:p w:rsidR="000E7C4C" w:rsidRDefault="003C3EA6">
      <w:pPr>
        <w:tabs>
          <w:tab w:val="left" w:pos="851"/>
        </w:tabs>
        <w:ind w:firstLine="567"/>
        <w:jc w:val="both"/>
        <w:rPr>
          <w:color w:val="000000"/>
          <w:szCs w:val="21"/>
        </w:rPr>
      </w:pPr>
      <w:r>
        <w:rPr>
          <w:color w:val="000000"/>
          <w:szCs w:val="21"/>
        </w:rPr>
        <w:t>8</w:t>
      </w:r>
      <w:r>
        <w:rPr>
          <w:color w:val="000000"/>
          <w:szCs w:val="21"/>
        </w:rPr>
        <w:t>.</w:t>
      </w:r>
      <w:r>
        <w:rPr>
          <w:color w:val="000000"/>
          <w:szCs w:val="21"/>
        </w:rPr>
        <w:tab/>
      </w:r>
      <w:r>
        <w:rPr>
          <w:b/>
          <w:color w:val="000000"/>
          <w:szCs w:val="21"/>
        </w:rPr>
        <w:t>Vilniaus miesto savivaldybės</w:t>
      </w:r>
      <w:r>
        <w:rPr>
          <w:color w:val="000000"/>
          <w:szCs w:val="21"/>
        </w:rPr>
        <w:t xml:space="preserve"> </w:t>
      </w:r>
      <w:r>
        <w:rPr>
          <w:b/>
          <w:color w:val="000000"/>
          <w:szCs w:val="21"/>
        </w:rPr>
        <w:t>oro taršos mažinimo programoje</w:t>
      </w:r>
      <w:r>
        <w:rPr>
          <w:color w:val="000000"/>
          <w:szCs w:val="21"/>
        </w:rPr>
        <w:t xml:space="preserve">  nustatytas tikslas ir kiti programos tikslai bei jiems įgyvendinti pasiūlytos priemonės yra skirtos kietųjų dalelių ir azoto oksidų koncentracijoms mažinti. </w:t>
      </w:r>
      <w:r>
        <w:rPr>
          <w:bCs/>
          <w:color w:val="000000"/>
          <w:szCs w:val="21"/>
        </w:rPr>
        <w:t>Programos tikslas, susijęs su oro kokybe, yra s</w:t>
      </w:r>
      <w:r>
        <w:rPr>
          <w:color w:val="000000"/>
          <w:szCs w:val="21"/>
        </w:rPr>
        <w:t>ukurti miesto atmosferos pažemio oro užterštumo teritorinės sklaidos, emisijų valdymo, prevencinių priemonių planavimo bei trumpalaikės užterštumo prognozės, operatyviai informuojant gyventojus apie pavojus ir prognozavimo sistemas.</w:t>
      </w:r>
    </w:p>
    <w:p w:rsidR="000E7C4C" w:rsidRDefault="003C3EA6">
      <w:pPr>
        <w:tabs>
          <w:tab w:val="left" w:pos="851"/>
        </w:tabs>
        <w:ind w:firstLine="567"/>
        <w:jc w:val="both"/>
        <w:rPr>
          <w:color w:val="000000"/>
          <w:szCs w:val="24"/>
        </w:rPr>
      </w:pPr>
      <w:r>
        <w:rPr>
          <w:color w:val="000000"/>
          <w:szCs w:val="24"/>
        </w:rPr>
        <w:t>9</w:t>
      </w:r>
      <w:r>
        <w:rPr>
          <w:color w:val="000000"/>
          <w:szCs w:val="24"/>
        </w:rPr>
        <w:t>.</w:t>
      </w:r>
      <w:r>
        <w:rPr>
          <w:color w:val="000000"/>
          <w:szCs w:val="24"/>
        </w:rPr>
        <w:tab/>
      </w:r>
      <w:r>
        <w:rPr>
          <w:color w:val="000000"/>
          <w:szCs w:val="21"/>
        </w:rPr>
        <w:t>Vilniaus miesto aplinkos oro kokybės valdymo 2015–2018 metų programoje ir jos įgyvendinimo priemonių plane numatytos tokios pagrindinės priemonės:</w:t>
      </w:r>
    </w:p>
    <w:p w:rsidR="000E7C4C" w:rsidRDefault="003C3EA6">
      <w:pPr>
        <w:tabs>
          <w:tab w:val="left" w:pos="851"/>
        </w:tabs>
        <w:ind w:firstLine="567"/>
        <w:jc w:val="both"/>
        <w:rPr>
          <w:color w:val="000000"/>
          <w:szCs w:val="21"/>
        </w:rPr>
      </w:pPr>
      <w:r>
        <w:rPr>
          <w:bCs/>
          <w:color w:val="000000"/>
          <w:szCs w:val="21"/>
        </w:rPr>
        <w:t>9.1</w:t>
      </w:r>
      <w:r>
        <w:rPr>
          <w:bCs/>
          <w:color w:val="000000"/>
          <w:szCs w:val="21"/>
        </w:rPr>
        <w:t>. viešojo transporto ir jo infrastruktūros plėtra;</w:t>
      </w:r>
    </w:p>
    <w:p w:rsidR="000E7C4C" w:rsidRDefault="003C3EA6">
      <w:pPr>
        <w:tabs>
          <w:tab w:val="left" w:pos="851"/>
        </w:tabs>
        <w:ind w:firstLine="567"/>
        <w:jc w:val="both"/>
        <w:rPr>
          <w:color w:val="000000"/>
          <w:szCs w:val="21"/>
        </w:rPr>
      </w:pPr>
      <w:r>
        <w:rPr>
          <w:color w:val="000000"/>
          <w:szCs w:val="21"/>
        </w:rPr>
        <w:t>9.2</w:t>
      </w:r>
      <w:r>
        <w:rPr>
          <w:color w:val="000000"/>
          <w:szCs w:val="21"/>
        </w:rPr>
        <w:t>. autotransporto srautų optimizavimas, patrauklumo automobiliu važiuoti į miesto centrą mažinimas;</w:t>
      </w:r>
    </w:p>
    <w:p w:rsidR="000E7C4C" w:rsidRDefault="003C3EA6">
      <w:pPr>
        <w:tabs>
          <w:tab w:val="left" w:pos="851"/>
        </w:tabs>
        <w:ind w:firstLine="567"/>
        <w:jc w:val="both"/>
        <w:rPr>
          <w:color w:val="000000"/>
          <w:szCs w:val="21"/>
        </w:rPr>
      </w:pPr>
      <w:r>
        <w:rPr>
          <w:color w:val="000000"/>
          <w:szCs w:val="21"/>
        </w:rPr>
        <w:t>9.3</w:t>
      </w:r>
      <w:r>
        <w:rPr>
          <w:color w:val="000000"/>
          <w:szCs w:val="21"/>
        </w:rPr>
        <w:t>. darnaus susisiekimo skatinimas, dviračių ir pėsčiųjų takų plėtra;</w:t>
      </w:r>
    </w:p>
    <w:p w:rsidR="000E7C4C" w:rsidRDefault="003C3EA6">
      <w:pPr>
        <w:tabs>
          <w:tab w:val="left" w:pos="851"/>
        </w:tabs>
        <w:ind w:firstLine="567"/>
        <w:jc w:val="both"/>
        <w:rPr>
          <w:color w:val="000000"/>
          <w:szCs w:val="21"/>
        </w:rPr>
      </w:pPr>
      <w:r>
        <w:rPr>
          <w:color w:val="000000"/>
          <w:szCs w:val="21"/>
        </w:rPr>
        <w:t>9.4</w:t>
      </w:r>
      <w:r>
        <w:rPr>
          <w:color w:val="000000"/>
          <w:szCs w:val="21"/>
        </w:rPr>
        <w:t>. gatvių, kiemų ir kitų dangų valymo gerinimas;</w:t>
      </w:r>
    </w:p>
    <w:p w:rsidR="000E7C4C" w:rsidRDefault="003C3EA6">
      <w:pPr>
        <w:tabs>
          <w:tab w:val="left" w:pos="851"/>
        </w:tabs>
        <w:ind w:firstLine="567"/>
        <w:jc w:val="both"/>
        <w:rPr>
          <w:color w:val="000000"/>
          <w:szCs w:val="21"/>
        </w:rPr>
      </w:pPr>
      <w:r>
        <w:rPr>
          <w:color w:val="000000"/>
          <w:szCs w:val="21"/>
        </w:rPr>
        <w:t>9.5</w:t>
      </w:r>
      <w:r>
        <w:rPr>
          <w:color w:val="000000"/>
          <w:szCs w:val="21"/>
        </w:rPr>
        <w:t>. miesto gatvių, aikštelių, privažiavimų dangų remontavimas, asfaltavimas;</w:t>
      </w:r>
    </w:p>
    <w:p w:rsidR="000E7C4C" w:rsidRDefault="003C3EA6">
      <w:pPr>
        <w:tabs>
          <w:tab w:val="left" w:pos="851"/>
        </w:tabs>
        <w:ind w:firstLine="567"/>
        <w:jc w:val="both"/>
        <w:rPr>
          <w:color w:val="000000"/>
          <w:szCs w:val="21"/>
        </w:rPr>
      </w:pPr>
      <w:r>
        <w:rPr>
          <w:color w:val="000000"/>
          <w:szCs w:val="21"/>
        </w:rPr>
        <w:t>9.6</w:t>
      </w:r>
      <w:r>
        <w:rPr>
          <w:color w:val="000000"/>
          <w:szCs w:val="21"/>
        </w:rPr>
        <w:t xml:space="preserve">. esamų stacionarių taršos šaltinių </w:t>
      </w:r>
      <w:proofErr w:type="spellStart"/>
      <w:r>
        <w:rPr>
          <w:color w:val="000000"/>
          <w:szCs w:val="21"/>
        </w:rPr>
        <w:t>taršumo</w:t>
      </w:r>
      <w:proofErr w:type="spellEnd"/>
      <w:r>
        <w:rPr>
          <w:color w:val="000000"/>
          <w:szCs w:val="21"/>
        </w:rPr>
        <w:t xml:space="preserve"> mažinimas;</w:t>
      </w:r>
    </w:p>
    <w:p w:rsidR="000E7C4C" w:rsidRDefault="003C3EA6">
      <w:pPr>
        <w:tabs>
          <w:tab w:val="left" w:pos="851"/>
        </w:tabs>
        <w:ind w:firstLine="567"/>
        <w:jc w:val="both"/>
        <w:rPr>
          <w:color w:val="000000"/>
          <w:szCs w:val="21"/>
        </w:rPr>
      </w:pPr>
      <w:r>
        <w:rPr>
          <w:color w:val="000000"/>
          <w:szCs w:val="21"/>
        </w:rPr>
        <w:t>9.7</w:t>
      </w:r>
      <w:r>
        <w:rPr>
          <w:color w:val="000000"/>
          <w:szCs w:val="21"/>
        </w:rPr>
        <w:t>. sustiprinti oro taršos prevencijos administravimą, rengiant projektavimo sąlygas, vykdant statybos darbus bei pripažįstant objektus tinkamais naudoti, būtų laikomasi aplinkosaugos reikalavimų;</w:t>
      </w:r>
    </w:p>
    <w:p w:rsidR="000E7C4C" w:rsidRDefault="003C3EA6">
      <w:pPr>
        <w:tabs>
          <w:tab w:val="left" w:pos="851"/>
        </w:tabs>
        <w:ind w:firstLine="567"/>
        <w:jc w:val="both"/>
        <w:rPr>
          <w:color w:val="000000"/>
          <w:szCs w:val="21"/>
        </w:rPr>
      </w:pPr>
      <w:r>
        <w:rPr>
          <w:color w:val="000000"/>
          <w:szCs w:val="21"/>
        </w:rPr>
        <w:t>9.8</w:t>
      </w:r>
      <w:r>
        <w:rPr>
          <w:color w:val="000000"/>
          <w:szCs w:val="21"/>
        </w:rPr>
        <w:t>. oro kokybės stebėsena, taršos šaltinių vertinimas, modeliavimas,</w:t>
      </w:r>
      <w:r>
        <w:rPr>
          <w:bCs/>
          <w:color w:val="000000"/>
          <w:szCs w:val="21"/>
        </w:rPr>
        <w:t xml:space="preserve"> oro taršos žemėlapių rengimas;</w:t>
      </w:r>
    </w:p>
    <w:p w:rsidR="000E7C4C" w:rsidRDefault="003C3EA6">
      <w:pPr>
        <w:tabs>
          <w:tab w:val="left" w:pos="851"/>
        </w:tabs>
        <w:ind w:firstLine="567"/>
        <w:jc w:val="both"/>
        <w:rPr>
          <w:color w:val="000000"/>
          <w:szCs w:val="21"/>
        </w:rPr>
      </w:pPr>
      <w:r>
        <w:rPr>
          <w:bCs/>
          <w:color w:val="000000"/>
          <w:szCs w:val="21"/>
        </w:rPr>
        <w:t>9.9</w:t>
      </w:r>
      <w:r>
        <w:rPr>
          <w:bCs/>
          <w:color w:val="000000"/>
          <w:szCs w:val="21"/>
        </w:rPr>
        <w:t>. visuomenės informavimas apie aplinkos oro užterštumą.</w:t>
      </w:r>
    </w:p>
    <w:p w:rsidR="000E7C4C" w:rsidRDefault="003C3EA6">
      <w:pPr>
        <w:ind w:firstLine="567"/>
        <w:jc w:val="both"/>
        <w:rPr>
          <w:color w:val="000000"/>
          <w:szCs w:val="21"/>
        </w:rPr>
      </w:pPr>
      <w:r>
        <w:rPr>
          <w:color w:val="000000"/>
          <w:szCs w:val="21"/>
        </w:rPr>
        <w:t>10</w:t>
      </w:r>
      <w:r>
        <w:rPr>
          <w:color w:val="000000"/>
          <w:szCs w:val="21"/>
        </w:rPr>
        <w:t xml:space="preserve">. Siekiant padidinti atsinaujinančių išteklių energijos dalį bendrajame galutiniame energijos  vartojime, </w:t>
      </w:r>
      <w:r>
        <w:rPr>
          <w:b/>
          <w:color w:val="000000"/>
          <w:szCs w:val="21"/>
        </w:rPr>
        <w:t>Vilniaus miesto savivaldybės atsinaujinančių išteklių energijos naudojimo plėtros veiksmų plane</w:t>
      </w:r>
      <w:r>
        <w:rPr>
          <w:color w:val="000000"/>
          <w:szCs w:val="21"/>
        </w:rPr>
        <w:t xml:space="preserve">, </w:t>
      </w:r>
      <w:r>
        <w:rPr>
          <w:bCs/>
          <w:color w:val="000000"/>
          <w:szCs w:val="21"/>
        </w:rPr>
        <w:t>patvirtintame Vilniaus miesto savivaldybės tarybos 2015 m. kovo 4 d. sprendimu Nr. 1-2242 „Dėl Vilniaus miesto savivaldybės atsinaujinančių išteklių energijos naudojimo plėtros veiksmų plano tvirtinimo“ (toliau – Vilniaus miesto savivaldybės atsinaujinančių išteklių energijos naudojimo plėtros veiksmų planas),</w:t>
      </w:r>
      <w:r>
        <w:rPr>
          <w:color w:val="000000"/>
          <w:szCs w:val="21"/>
        </w:rPr>
        <w:t xml:space="preserve"> numatyti tikslai: sumažinti kuro ir energijos poreikius didinant jos vartojimo efektyvumą; plėtoti atsinaujinančių energijos išteklių (toliau – AEI) naudojimą; rinkti AEI gamybos ir naudojimo duomenis; šviesti visuomenę apie AEI plėtros naudą. Numatytos priemonės kiekvienam Vilniaus miesto savivaldybės atsinaujinančių išteklių energijos naudojimo plėtros veiksmų plane numatytam tikslui pasiekti:</w:t>
      </w:r>
    </w:p>
    <w:p w:rsidR="000E7C4C" w:rsidRDefault="003C3EA6">
      <w:pPr>
        <w:tabs>
          <w:tab w:val="left" w:pos="851"/>
        </w:tabs>
        <w:ind w:firstLine="567"/>
        <w:jc w:val="both"/>
        <w:rPr>
          <w:color w:val="000000"/>
          <w:szCs w:val="21"/>
        </w:rPr>
      </w:pPr>
      <w:r>
        <w:rPr>
          <w:color w:val="000000"/>
          <w:szCs w:val="21"/>
        </w:rPr>
        <w:t>10.1</w:t>
      </w:r>
      <w:r>
        <w:rPr>
          <w:color w:val="000000"/>
          <w:szCs w:val="21"/>
        </w:rPr>
        <w:t>. vykdyti daugiabučių namų modernizaciją;</w:t>
      </w:r>
    </w:p>
    <w:p w:rsidR="000E7C4C" w:rsidRDefault="003C3EA6">
      <w:pPr>
        <w:tabs>
          <w:tab w:val="left" w:pos="851"/>
        </w:tabs>
        <w:ind w:firstLine="567"/>
        <w:jc w:val="both"/>
        <w:rPr>
          <w:color w:val="000000"/>
          <w:szCs w:val="21"/>
        </w:rPr>
      </w:pPr>
      <w:r>
        <w:rPr>
          <w:color w:val="000000"/>
          <w:szCs w:val="21"/>
        </w:rPr>
        <w:t>10.2</w:t>
      </w:r>
      <w:r>
        <w:rPr>
          <w:color w:val="000000"/>
          <w:szCs w:val="21"/>
        </w:rPr>
        <w:t>. modernizuoti visuomeninės paskirties pastatus;</w:t>
      </w:r>
    </w:p>
    <w:p w:rsidR="000E7C4C" w:rsidRDefault="003C3EA6">
      <w:pPr>
        <w:tabs>
          <w:tab w:val="left" w:pos="851"/>
        </w:tabs>
        <w:ind w:firstLine="567"/>
        <w:jc w:val="both"/>
        <w:rPr>
          <w:color w:val="000000"/>
          <w:szCs w:val="21"/>
        </w:rPr>
      </w:pPr>
      <w:r>
        <w:rPr>
          <w:color w:val="000000"/>
          <w:szCs w:val="21"/>
        </w:rPr>
        <w:t>10.3</w:t>
      </w:r>
      <w:r>
        <w:rPr>
          <w:color w:val="000000"/>
          <w:szCs w:val="21"/>
        </w:rPr>
        <w:t>. įvesti naują elektra varomą viešojo transporto priemonę į Vilniaus miesto savivaldybės viešojo transporto susisiekimo sistemą;</w:t>
      </w:r>
    </w:p>
    <w:p w:rsidR="000E7C4C" w:rsidRDefault="003C3EA6">
      <w:pPr>
        <w:tabs>
          <w:tab w:val="left" w:pos="851"/>
        </w:tabs>
        <w:ind w:firstLine="567"/>
        <w:jc w:val="both"/>
        <w:rPr>
          <w:color w:val="000000"/>
          <w:szCs w:val="21"/>
        </w:rPr>
      </w:pPr>
      <w:r>
        <w:rPr>
          <w:color w:val="000000"/>
          <w:szCs w:val="21"/>
        </w:rPr>
        <w:t>10.4</w:t>
      </w:r>
      <w:r>
        <w:rPr>
          <w:color w:val="000000"/>
          <w:szCs w:val="21"/>
        </w:rPr>
        <w:t>. organizuoti ekologiško vairavimo mokymus naujesnes nei 10 metų amžiaus transporto priemones eksploatuojantiems vairuotojams (600 vairuotojų);</w:t>
      </w:r>
    </w:p>
    <w:p w:rsidR="000E7C4C" w:rsidRDefault="003C3EA6">
      <w:pPr>
        <w:tabs>
          <w:tab w:val="left" w:pos="851"/>
        </w:tabs>
        <w:ind w:firstLine="567"/>
        <w:jc w:val="both"/>
        <w:rPr>
          <w:color w:val="000000"/>
          <w:szCs w:val="21"/>
        </w:rPr>
      </w:pPr>
      <w:r>
        <w:rPr>
          <w:color w:val="000000"/>
          <w:szCs w:val="21"/>
        </w:rPr>
        <w:t>10.5</w:t>
      </w:r>
      <w:r>
        <w:rPr>
          <w:color w:val="000000"/>
          <w:szCs w:val="21"/>
        </w:rPr>
        <w:t>. pakeisti savivaldybės ir jos valdomų įmonių turimas transporto priemones naujomis, kurioms eksploatuoti reikalingos mažesnės kuro sąnaudos ir kurios atitinka Euro5 ir Euro6 standartų reikalavimus;</w:t>
      </w:r>
    </w:p>
    <w:p w:rsidR="000E7C4C" w:rsidRDefault="003C3EA6">
      <w:pPr>
        <w:tabs>
          <w:tab w:val="left" w:pos="851"/>
        </w:tabs>
        <w:ind w:firstLine="567"/>
        <w:jc w:val="both"/>
        <w:rPr>
          <w:color w:val="000000"/>
          <w:szCs w:val="21"/>
        </w:rPr>
      </w:pPr>
      <w:r>
        <w:rPr>
          <w:color w:val="000000"/>
          <w:szCs w:val="21"/>
        </w:rPr>
        <w:t>10.6</w:t>
      </w:r>
      <w:r>
        <w:rPr>
          <w:color w:val="000000"/>
          <w:szCs w:val="21"/>
        </w:rPr>
        <w:t>. taikyti energinio efektyvumo reikalavimus su energijos vartojimu susijusioms prekėms ir paslaugoms viešuosiuose pirkimuose;</w:t>
      </w:r>
    </w:p>
    <w:p w:rsidR="000E7C4C" w:rsidRDefault="003C3EA6">
      <w:pPr>
        <w:tabs>
          <w:tab w:val="left" w:pos="851"/>
        </w:tabs>
        <w:ind w:firstLine="567"/>
        <w:jc w:val="both"/>
        <w:rPr>
          <w:color w:val="000000"/>
          <w:szCs w:val="21"/>
        </w:rPr>
      </w:pPr>
      <w:r>
        <w:rPr>
          <w:color w:val="000000"/>
          <w:szCs w:val="21"/>
        </w:rPr>
        <w:t>10.7</w:t>
      </w:r>
      <w:r>
        <w:rPr>
          <w:color w:val="000000"/>
          <w:szCs w:val="21"/>
        </w:rPr>
        <w:t>. senų nusidėvėjusių elektros prietaisų pakeitimas naujais, taupiai energiją vartojančiais įrenginiais;</w:t>
      </w:r>
    </w:p>
    <w:p w:rsidR="000E7C4C" w:rsidRDefault="003C3EA6">
      <w:pPr>
        <w:tabs>
          <w:tab w:val="left" w:pos="851"/>
          <w:tab w:val="left" w:pos="5812"/>
        </w:tabs>
        <w:ind w:firstLine="567"/>
        <w:jc w:val="both"/>
        <w:rPr>
          <w:color w:val="000000"/>
          <w:szCs w:val="21"/>
        </w:rPr>
      </w:pPr>
      <w:r>
        <w:rPr>
          <w:color w:val="000000"/>
          <w:szCs w:val="21"/>
        </w:rPr>
        <w:t>10.8</w:t>
      </w:r>
      <w:r>
        <w:rPr>
          <w:color w:val="000000"/>
          <w:szCs w:val="21"/>
        </w:rPr>
        <w:t>. judesiui jautrių šviesos jungiklių koridoriuose ir neintensyviai naudojamose patalpose įrengimas visuomeninės paskirties pastatuose;</w:t>
      </w:r>
    </w:p>
    <w:p w:rsidR="000E7C4C" w:rsidRDefault="003C3EA6">
      <w:pPr>
        <w:tabs>
          <w:tab w:val="left" w:pos="851"/>
          <w:tab w:val="left" w:pos="5812"/>
        </w:tabs>
        <w:ind w:firstLine="567"/>
        <w:jc w:val="both"/>
        <w:rPr>
          <w:color w:val="000000"/>
          <w:szCs w:val="21"/>
        </w:rPr>
      </w:pPr>
      <w:r>
        <w:rPr>
          <w:color w:val="000000"/>
          <w:szCs w:val="21"/>
        </w:rPr>
        <w:t>10.9</w:t>
      </w:r>
      <w:r>
        <w:rPr>
          <w:color w:val="000000"/>
          <w:szCs w:val="21"/>
        </w:rPr>
        <w:t>. senų, susidėvėjusių šviestuvų pakeitimas naujais šviesą spinduliuojančių diodų (LED) technologiją naudojančiais šviestuvais;</w:t>
      </w:r>
    </w:p>
    <w:p w:rsidR="000E7C4C" w:rsidRDefault="003C3EA6">
      <w:pPr>
        <w:tabs>
          <w:tab w:val="left" w:pos="851"/>
        </w:tabs>
        <w:ind w:firstLine="567"/>
        <w:jc w:val="both"/>
        <w:rPr>
          <w:color w:val="000000"/>
          <w:szCs w:val="21"/>
        </w:rPr>
      </w:pPr>
      <w:r>
        <w:rPr>
          <w:color w:val="000000"/>
          <w:szCs w:val="21"/>
        </w:rPr>
        <w:t>10.10</w:t>
      </w:r>
      <w:r>
        <w:rPr>
          <w:color w:val="000000"/>
          <w:szCs w:val="21"/>
        </w:rPr>
        <w:t>. parengti ir patvirtinti savivaldybės tarybos sprendimus dėl AEI plėtros veiksmų plano patvirtinimo, atsakingų institucijų, asmenų paskyrimo, priemones įgyvendinančių projektų inicijavimo ir rengimo;</w:t>
      </w:r>
    </w:p>
    <w:p w:rsidR="000E7C4C" w:rsidRDefault="003C3EA6">
      <w:pPr>
        <w:tabs>
          <w:tab w:val="left" w:pos="851"/>
        </w:tabs>
        <w:ind w:firstLine="567"/>
        <w:jc w:val="both"/>
        <w:rPr>
          <w:color w:val="000000"/>
          <w:szCs w:val="21"/>
        </w:rPr>
      </w:pPr>
      <w:r>
        <w:rPr>
          <w:color w:val="000000"/>
          <w:szCs w:val="21"/>
        </w:rPr>
        <w:t>10.11</w:t>
      </w:r>
      <w:r>
        <w:rPr>
          <w:color w:val="000000"/>
          <w:szCs w:val="21"/>
        </w:rPr>
        <w:t>. parengti ir patvirtinti savivaldybės AEI naudojimo plėtros finansavimo programą ir jų lėšų panaudojimo tvarkos aprašą;</w:t>
      </w:r>
    </w:p>
    <w:p w:rsidR="000E7C4C" w:rsidRDefault="003C3EA6">
      <w:pPr>
        <w:tabs>
          <w:tab w:val="left" w:pos="851"/>
        </w:tabs>
        <w:ind w:firstLine="567"/>
        <w:jc w:val="both"/>
        <w:rPr>
          <w:color w:val="000000"/>
          <w:szCs w:val="21"/>
        </w:rPr>
      </w:pPr>
      <w:r>
        <w:rPr>
          <w:color w:val="000000"/>
          <w:szCs w:val="21"/>
        </w:rPr>
        <w:t>10.12</w:t>
      </w:r>
      <w:r>
        <w:rPr>
          <w:color w:val="000000"/>
          <w:szCs w:val="21"/>
        </w:rPr>
        <w:t>. įgyvendinti kompleksinių transporto sistemos organizavimo sprendimus (</w:t>
      </w:r>
      <w:proofErr w:type="spellStart"/>
      <w:r>
        <w:rPr>
          <w:color w:val="000000"/>
          <w:szCs w:val="21"/>
        </w:rPr>
        <w:t>Park</w:t>
      </w:r>
      <w:proofErr w:type="spellEnd"/>
      <w:r>
        <w:rPr>
          <w:color w:val="000000"/>
          <w:szCs w:val="21"/>
        </w:rPr>
        <w:t xml:space="preserve"> + </w:t>
      </w:r>
      <w:proofErr w:type="spellStart"/>
      <w:r>
        <w:rPr>
          <w:color w:val="000000"/>
          <w:szCs w:val="21"/>
        </w:rPr>
        <w:t>Ride</w:t>
      </w:r>
      <w:proofErr w:type="spellEnd"/>
      <w:r>
        <w:rPr>
          <w:color w:val="000000"/>
          <w:szCs w:val="21"/>
        </w:rPr>
        <w:t xml:space="preserve">, </w:t>
      </w:r>
      <w:proofErr w:type="spellStart"/>
      <w:r>
        <w:rPr>
          <w:color w:val="000000"/>
          <w:szCs w:val="21"/>
        </w:rPr>
        <w:t>Bike</w:t>
      </w:r>
      <w:proofErr w:type="spellEnd"/>
      <w:r>
        <w:rPr>
          <w:color w:val="000000"/>
          <w:szCs w:val="21"/>
        </w:rPr>
        <w:t xml:space="preserve"> + </w:t>
      </w:r>
      <w:proofErr w:type="spellStart"/>
      <w:r>
        <w:rPr>
          <w:color w:val="000000"/>
          <w:szCs w:val="21"/>
        </w:rPr>
        <w:t>Ride</w:t>
      </w:r>
      <w:proofErr w:type="spellEnd"/>
      <w:r>
        <w:rPr>
          <w:color w:val="000000"/>
          <w:szCs w:val="21"/>
        </w:rPr>
        <w:t xml:space="preserve"> ir kt.)‘</w:t>
      </w:r>
    </w:p>
    <w:p w:rsidR="000E7C4C" w:rsidRDefault="003C3EA6">
      <w:pPr>
        <w:tabs>
          <w:tab w:val="left" w:pos="851"/>
        </w:tabs>
        <w:ind w:firstLine="567"/>
        <w:jc w:val="both"/>
        <w:rPr>
          <w:color w:val="000000"/>
          <w:szCs w:val="21"/>
        </w:rPr>
      </w:pPr>
      <w:r>
        <w:rPr>
          <w:color w:val="000000"/>
          <w:szCs w:val="21"/>
        </w:rPr>
        <w:t>10.13</w:t>
      </w:r>
      <w:r>
        <w:rPr>
          <w:color w:val="000000"/>
          <w:szCs w:val="21"/>
        </w:rPr>
        <w:t>. planuoti aukšto ir žemo intensyvumo transporto ir pėsčiųjų zonas, riboti sunkiųjų transporto priemonių srautus ir pan.;</w:t>
      </w:r>
    </w:p>
    <w:p w:rsidR="000E7C4C" w:rsidRDefault="003C3EA6">
      <w:pPr>
        <w:tabs>
          <w:tab w:val="left" w:pos="851"/>
        </w:tabs>
        <w:ind w:firstLine="567"/>
        <w:jc w:val="both"/>
        <w:rPr>
          <w:color w:val="000000"/>
          <w:szCs w:val="21"/>
        </w:rPr>
      </w:pPr>
      <w:r>
        <w:rPr>
          <w:color w:val="000000"/>
          <w:szCs w:val="21"/>
        </w:rPr>
        <w:t>10.14</w:t>
      </w:r>
      <w:r>
        <w:rPr>
          <w:color w:val="000000"/>
          <w:szCs w:val="21"/>
        </w:rPr>
        <w:t xml:space="preserve">. planuoti teritorijas, atsižvelgiant į gyventojų poreikius, </w:t>
      </w:r>
      <w:proofErr w:type="spellStart"/>
      <w:r>
        <w:rPr>
          <w:color w:val="000000"/>
          <w:szCs w:val="21"/>
        </w:rPr>
        <w:t>t.y</w:t>
      </w:r>
      <w:proofErr w:type="spellEnd"/>
      <w:r>
        <w:rPr>
          <w:color w:val="000000"/>
          <w:szCs w:val="21"/>
        </w:rPr>
        <w:t>. kad prekių/paslaugų teikėjai būtų kuo arčiau prekių/paslaugų gavėjų;</w:t>
      </w:r>
    </w:p>
    <w:p w:rsidR="000E7C4C" w:rsidRDefault="003C3EA6">
      <w:pPr>
        <w:tabs>
          <w:tab w:val="left" w:pos="851"/>
        </w:tabs>
        <w:ind w:firstLine="567"/>
        <w:jc w:val="both"/>
        <w:rPr>
          <w:color w:val="000000"/>
          <w:szCs w:val="21"/>
        </w:rPr>
      </w:pPr>
      <w:r>
        <w:rPr>
          <w:color w:val="000000"/>
          <w:szCs w:val="21"/>
        </w:rPr>
        <w:t>10.15</w:t>
      </w:r>
      <w:r>
        <w:rPr>
          <w:color w:val="000000"/>
          <w:szCs w:val="21"/>
        </w:rPr>
        <w:t>. plėsti įstaigų teikiamų elektroninių paslaugų spektrą, siekiant sumažinti gyventojų kelionių poreikį;</w:t>
      </w:r>
    </w:p>
    <w:p w:rsidR="000E7C4C" w:rsidRDefault="003C3EA6">
      <w:pPr>
        <w:tabs>
          <w:tab w:val="left" w:pos="851"/>
        </w:tabs>
        <w:ind w:firstLine="567"/>
        <w:jc w:val="both"/>
        <w:rPr>
          <w:color w:val="000000"/>
          <w:szCs w:val="21"/>
        </w:rPr>
      </w:pPr>
      <w:r>
        <w:rPr>
          <w:color w:val="000000"/>
          <w:szCs w:val="21"/>
        </w:rPr>
        <w:t>10.16</w:t>
      </w:r>
      <w:r>
        <w:rPr>
          <w:color w:val="000000"/>
          <w:szCs w:val="21"/>
        </w:rPr>
        <w:t>. sudaryti sąlygas ekologiško transporto – dviračių, elektromobilių – naudojimui, t. y. projektuoti ir statyti dviračių takus, organizuoti elektromobilių krovimo stotelių atsiradimą;</w:t>
      </w:r>
    </w:p>
    <w:p w:rsidR="000E7C4C" w:rsidRDefault="003C3EA6">
      <w:pPr>
        <w:tabs>
          <w:tab w:val="left" w:pos="851"/>
        </w:tabs>
        <w:ind w:firstLine="567"/>
        <w:jc w:val="both"/>
        <w:rPr>
          <w:color w:val="000000"/>
          <w:szCs w:val="21"/>
        </w:rPr>
      </w:pPr>
      <w:r>
        <w:rPr>
          <w:color w:val="000000"/>
          <w:szCs w:val="21"/>
        </w:rPr>
        <w:t>10.17</w:t>
      </w:r>
      <w:r>
        <w:rPr>
          <w:color w:val="000000"/>
          <w:szCs w:val="21"/>
        </w:rPr>
        <w:t>. optimizuoti visuomeninio transporto maršrutus;</w:t>
      </w:r>
    </w:p>
    <w:p w:rsidR="000E7C4C" w:rsidRDefault="003C3EA6">
      <w:pPr>
        <w:tabs>
          <w:tab w:val="left" w:pos="851"/>
        </w:tabs>
        <w:ind w:firstLine="567"/>
        <w:jc w:val="both"/>
        <w:rPr>
          <w:color w:val="000000"/>
          <w:szCs w:val="21"/>
        </w:rPr>
      </w:pPr>
      <w:r>
        <w:rPr>
          <w:color w:val="000000"/>
          <w:szCs w:val="21"/>
        </w:rPr>
        <w:t>10.18</w:t>
      </w:r>
      <w:r>
        <w:rPr>
          <w:color w:val="000000"/>
          <w:szCs w:val="21"/>
        </w:rPr>
        <w:t>. Vilniaus miesto savivaldybės kelių ir gatvių būklės gerinimas ir priežiūros užtikrinimas;</w:t>
      </w:r>
    </w:p>
    <w:p w:rsidR="000E7C4C" w:rsidRDefault="003C3EA6">
      <w:pPr>
        <w:tabs>
          <w:tab w:val="left" w:pos="851"/>
        </w:tabs>
        <w:ind w:firstLine="567"/>
        <w:jc w:val="both"/>
        <w:rPr>
          <w:color w:val="000000"/>
          <w:szCs w:val="21"/>
        </w:rPr>
      </w:pPr>
      <w:r>
        <w:rPr>
          <w:color w:val="000000"/>
          <w:szCs w:val="21"/>
        </w:rPr>
        <w:t>10.19</w:t>
      </w:r>
      <w:r>
        <w:rPr>
          <w:color w:val="000000"/>
          <w:szCs w:val="21"/>
        </w:rPr>
        <w:t>. įgyvendinti Nacionalinį šilumos ūkio plėtros planą;</w:t>
      </w:r>
    </w:p>
    <w:p w:rsidR="000E7C4C" w:rsidRDefault="003C3EA6">
      <w:pPr>
        <w:tabs>
          <w:tab w:val="left" w:pos="851"/>
        </w:tabs>
        <w:ind w:firstLine="567"/>
        <w:jc w:val="both"/>
        <w:rPr>
          <w:color w:val="000000"/>
          <w:szCs w:val="21"/>
        </w:rPr>
      </w:pPr>
      <w:r>
        <w:rPr>
          <w:color w:val="000000"/>
          <w:szCs w:val="21"/>
        </w:rPr>
        <w:t>10.20</w:t>
      </w:r>
      <w:r>
        <w:rPr>
          <w:color w:val="000000"/>
          <w:szCs w:val="21"/>
        </w:rPr>
        <w:t>. skatinti projektus, užtikrinančius pramonės vartotojų aprūpinimą šilumos energija maksimaliai panaudojant AEI;</w:t>
      </w:r>
    </w:p>
    <w:p w:rsidR="000E7C4C" w:rsidRDefault="003C3EA6">
      <w:pPr>
        <w:tabs>
          <w:tab w:val="left" w:pos="851"/>
        </w:tabs>
        <w:ind w:firstLine="567"/>
        <w:jc w:val="both"/>
        <w:rPr>
          <w:color w:val="000000"/>
          <w:szCs w:val="21"/>
        </w:rPr>
      </w:pPr>
      <w:r>
        <w:rPr>
          <w:color w:val="000000"/>
          <w:szCs w:val="21"/>
        </w:rPr>
        <w:t>10.21</w:t>
      </w:r>
      <w:r>
        <w:rPr>
          <w:color w:val="000000"/>
          <w:szCs w:val="21"/>
        </w:rPr>
        <w:t>. skatinti projektus, kuriais būtų didinamas AEI naudojimas ne centralizuoto šilumos tiekimo (toliau – CŠT) sektoriuje (15,48 MW šilumos siurblių, 10 080 m</w:t>
      </w:r>
      <w:r>
        <w:rPr>
          <w:color w:val="000000"/>
          <w:szCs w:val="21"/>
          <w:vertAlign w:val="superscript"/>
        </w:rPr>
        <w:t>2</w:t>
      </w:r>
      <w:r>
        <w:rPr>
          <w:color w:val="000000"/>
          <w:szCs w:val="21"/>
        </w:rPr>
        <w:t xml:space="preserve"> saulės kolektorių);</w:t>
      </w:r>
    </w:p>
    <w:p w:rsidR="000E7C4C" w:rsidRDefault="003C3EA6">
      <w:pPr>
        <w:tabs>
          <w:tab w:val="left" w:pos="851"/>
        </w:tabs>
        <w:ind w:firstLine="567"/>
        <w:jc w:val="both"/>
        <w:rPr>
          <w:color w:val="000000"/>
          <w:szCs w:val="21"/>
        </w:rPr>
      </w:pPr>
      <w:r>
        <w:rPr>
          <w:color w:val="000000"/>
          <w:szCs w:val="21"/>
        </w:rPr>
        <w:t>10.22</w:t>
      </w:r>
      <w:r>
        <w:rPr>
          <w:color w:val="000000"/>
          <w:szCs w:val="21"/>
        </w:rPr>
        <w:t>. įdiegti 700 kW saulės fotovoltinių jėgainių viešosios paskirties pastatuose;</w:t>
      </w:r>
    </w:p>
    <w:p w:rsidR="000E7C4C" w:rsidRDefault="003C3EA6">
      <w:pPr>
        <w:tabs>
          <w:tab w:val="left" w:pos="851"/>
        </w:tabs>
        <w:ind w:firstLine="567"/>
        <w:jc w:val="both"/>
        <w:rPr>
          <w:color w:val="000000"/>
          <w:szCs w:val="21"/>
        </w:rPr>
      </w:pPr>
      <w:r>
        <w:rPr>
          <w:color w:val="000000"/>
          <w:szCs w:val="21"/>
        </w:rPr>
        <w:t>10.23</w:t>
      </w:r>
      <w:r>
        <w:rPr>
          <w:color w:val="000000"/>
          <w:szCs w:val="21"/>
        </w:rPr>
        <w:t>. išnagrinėti galimybes duomenų, susijusių su AEI gamyba ir vartojimu, rinkimo ir apdorojimo sistemai sukurti;</w:t>
      </w:r>
    </w:p>
    <w:p w:rsidR="000E7C4C" w:rsidRDefault="003C3EA6">
      <w:pPr>
        <w:tabs>
          <w:tab w:val="left" w:pos="851"/>
        </w:tabs>
        <w:ind w:firstLine="567"/>
        <w:jc w:val="both"/>
        <w:rPr>
          <w:color w:val="000000"/>
          <w:szCs w:val="21"/>
        </w:rPr>
      </w:pPr>
      <w:r>
        <w:rPr>
          <w:color w:val="000000"/>
          <w:szCs w:val="21"/>
        </w:rPr>
        <w:t>10.24</w:t>
      </w:r>
      <w:r>
        <w:rPr>
          <w:color w:val="000000"/>
          <w:szCs w:val="21"/>
        </w:rPr>
        <w:t>. sukurti duomenų, susijusių su AEI gamyba ir vartojimu, rinkimo ir apdorojimo sistemą.</w:t>
      </w:r>
    </w:p>
    <w:p w:rsidR="000E7C4C" w:rsidRDefault="003C3EA6">
      <w:pPr>
        <w:tabs>
          <w:tab w:val="left" w:pos="851"/>
        </w:tabs>
        <w:ind w:firstLine="567"/>
        <w:jc w:val="both"/>
        <w:rPr>
          <w:color w:val="000000"/>
          <w:szCs w:val="21"/>
        </w:rPr>
      </w:pPr>
      <w:r>
        <w:rPr>
          <w:color w:val="000000"/>
          <w:szCs w:val="21"/>
        </w:rPr>
        <w:t>10.25</w:t>
      </w:r>
      <w:r>
        <w:rPr>
          <w:color w:val="000000"/>
          <w:szCs w:val="21"/>
        </w:rPr>
        <w:t>. dalyvauti tarptautinėse programose ir projektuose;</w:t>
      </w:r>
    </w:p>
    <w:p w:rsidR="000E7C4C" w:rsidRDefault="003C3EA6">
      <w:pPr>
        <w:tabs>
          <w:tab w:val="left" w:pos="851"/>
        </w:tabs>
        <w:ind w:firstLine="567"/>
        <w:jc w:val="both"/>
        <w:rPr>
          <w:color w:val="000000"/>
          <w:szCs w:val="21"/>
        </w:rPr>
      </w:pPr>
      <w:r>
        <w:rPr>
          <w:color w:val="000000"/>
          <w:szCs w:val="21"/>
        </w:rPr>
        <w:t>10.26</w:t>
      </w:r>
      <w:r>
        <w:rPr>
          <w:color w:val="000000"/>
          <w:szCs w:val="21"/>
        </w:rPr>
        <w:t>. skelbti informaciją apie AEI naudojimo plėtros veiksmų plano tikslus, uždavinius ir priemones, jų įgyvendinimą periodiniuose leidiniuose, savivaldybės internetinėje svetainėje, leidžiant kitus informacinius leidinius;</w:t>
      </w:r>
    </w:p>
    <w:p w:rsidR="000E7C4C" w:rsidRDefault="003C3EA6">
      <w:pPr>
        <w:tabs>
          <w:tab w:val="left" w:pos="851"/>
        </w:tabs>
        <w:ind w:firstLine="567"/>
        <w:jc w:val="both"/>
        <w:rPr>
          <w:color w:val="000000"/>
          <w:szCs w:val="21"/>
        </w:rPr>
      </w:pPr>
      <w:r>
        <w:rPr>
          <w:color w:val="000000"/>
          <w:szCs w:val="21"/>
        </w:rPr>
        <w:t>10.27</w:t>
      </w:r>
      <w:r>
        <w:rPr>
          <w:color w:val="000000"/>
          <w:szCs w:val="21"/>
        </w:rPr>
        <w:t>. skelbti informaciją apie AEI naudojimo plėtros paramos schemas, finansavimo galimybes;</w:t>
      </w:r>
    </w:p>
    <w:p w:rsidR="000E7C4C" w:rsidRDefault="003C3EA6">
      <w:pPr>
        <w:tabs>
          <w:tab w:val="left" w:pos="851"/>
        </w:tabs>
        <w:ind w:firstLine="567"/>
        <w:jc w:val="both"/>
        <w:rPr>
          <w:color w:val="000000"/>
          <w:szCs w:val="21"/>
        </w:rPr>
      </w:pPr>
      <w:r>
        <w:rPr>
          <w:color w:val="000000"/>
          <w:szCs w:val="21"/>
        </w:rPr>
        <w:t>10.28</w:t>
      </w:r>
      <w:r>
        <w:rPr>
          <w:color w:val="000000"/>
          <w:szCs w:val="21"/>
        </w:rPr>
        <w:t>. įgyvendinti parodomuosius projektus ir viešinti informaciją apie šių projektų įgyvendinimo eigą, rezultatus;</w:t>
      </w:r>
    </w:p>
    <w:p w:rsidR="000E7C4C" w:rsidRDefault="003C3EA6">
      <w:pPr>
        <w:tabs>
          <w:tab w:val="left" w:pos="851"/>
        </w:tabs>
        <w:ind w:firstLine="567"/>
        <w:jc w:val="both"/>
        <w:rPr>
          <w:b/>
          <w:color w:val="000000"/>
          <w:szCs w:val="21"/>
        </w:rPr>
      </w:pPr>
      <w:r>
        <w:rPr>
          <w:color w:val="000000"/>
          <w:szCs w:val="21"/>
        </w:rPr>
        <w:t>10.29</w:t>
      </w:r>
      <w:r>
        <w:rPr>
          <w:color w:val="000000"/>
          <w:szCs w:val="21"/>
        </w:rPr>
        <w:t>. organizuoti kampanijas, renginius, skirtas darnios energetikos propagavimui.</w:t>
      </w:r>
    </w:p>
    <w:p w:rsidR="000E7C4C" w:rsidRDefault="003C3EA6">
      <w:pPr>
        <w:ind w:firstLine="567"/>
        <w:jc w:val="both"/>
        <w:rPr>
          <w:color w:val="000000"/>
          <w:szCs w:val="21"/>
        </w:rPr>
      </w:pPr>
      <w:r>
        <w:rPr>
          <w:color w:val="000000"/>
          <w:szCs w:val="21"/>
        </w:rPr>
        <w:t>11</w:t>
      </w:r>
      <w:r>
        <w:rPr>
          <w:color w:val="000000"/>
          <w:szCs w:val="21"/>
        </w:rPr>
        <w:t>.</w:t>
      </w:r>
      <w:r>
        <w:rPr>
          <w:b/>
          <w:color w:val="000000"/>
          <w:szCs w:val="21"/>
        </w:rPr>
        <w:t xml:space="preserve"> Vilniaus miesto savivaldybės</w:t>
      </w:r>
      <w:r>
        <w:rPr>
          <w:color w:val="000000"/>
          <w:szCs w:val="21"/>
        </w:rPr>
        <w:t xml:space="preserve"> </w:t>
      </w:r>
      <w:r>
        <w:rPr>
          <w:b/>
          <w:color w:val="000000"/>
          <w:szCs w:val="21"/>
        </w:rPr>
        <w:t>šilumos ūkio specialiajame plane,</w:t>
      </w:r>
      <w:r>
        <w:rPr>
          <w:color w:val="000000"/>
          <w:szCs w:val="21"/>
        </w:rPr>
        <w:t xml:space="preserve"> patvirtintame Vilniaus miesto savivaldybės tarybos 2013 m. gegužės 8 d. sprendimu Nr. 1-1200 „Dėl Vilniaus miesto savivaldybės šilumos ūkio specialiajame plano patvirtinimo“, numatyta, kad CŠT zonoje naujai statomiems, rekonstruojamiems arba </w:t>
      </w:r>
      <w:proofErr w:type="spellStart"/>
      <w:r>
        <w:rPr>
          <w:color w:val="000000"/>
          <w:szCs w:val="21"/>
        </w:rPr>
        <w:t>kapitaliai</w:t>
      </w:r>
      <w:proofErr w:type="spellEnd"/>
      <w:r>
        <w:rPr>
          <w:color w:val="000000"/>
          <w:szCs w:val="21"/>
        </w:rPr>
        <w:t xml:space="preserve"> pertvarkomiems pastatams šilumos tiekimą numatyti iš CŠT; statiniams, kurių šilumos poreikiai iki 0,01 MW, numatyti šildymą naudojant elektrą; </w:t>
      </w:r>
      <w:r>
        <w:rPr>
          <w:b/>
          <w:i/>
          <w:color w:val="000000"/>
          <w:szCs w:val="21"/>
        </w:rPr>
        <w:t>neleidžiama</w:t>
      </w:r>
      <w:r>
        <w:rPr>
          <w:color w:val="000000"/>
          <w:szCs w:val="21"/>
        </w:rPr>
        <w:t xml:space="preserve"> statyti, įrengti lokalių kietojo, skystojo ir dujinio kuro katilinių, dujinį kurą deginančių prietaisų, naudojamų patalpų šildymui ir karštam vandeniui ruošti. Konkurencinėje zonoje (mažas CŠT išvystymas) nauji vartotojai patys pasirenka labiausiai jiems tinkamą aprūpinimo šiluma būdą, bet </w:t>
      </w:r>
      <w:r>
        <w:rPr>
          <w:b/>
          <w:i/>
          <w:color w:val="000000"/>
          <w:szCs w:val="21"/>
        </w:rPr>
        <w:t>neleidžiama</w:t>
      </w:r>
      <w:r>
        <w:rPr>
          <w:color w:val="000000"/>
          <w:szCs w:val="21"/>
        </w:rPr>
        <w:t xml:space="preserve"> statyti, įrengti kietojo ir skystojo kuro katilinių. Šildymo deginant gamtines dujas zonoje, rengiant konkrečių objektų projektus, naujai statomiems, rekonstruojamiems arba </w:t>
      </w:r>
      <w:proofErr w:type="spellStart"/>
      <w:r>
        <w:rPr>
          <w:color w:val="000000"/>
          <w:szCs w:val="21"/>
        </w:rPr>
        <w:t>kapitaliai</w:t>
      </w:r>
      <w:proofErr w:type="spellEnd"/>
      <w:r>
        <w:rPr>
          <w:color w:val="000000"/>
          <w:szCs w:val="21"/>
        </w:rPr>
        <w:t xml:space="preserve"> pertvarkomiems pastatams aprūpinimą šiluma numatyti iš individualių gamtinėmis dujomis kūrenamų katilinių; </w:t>
      </w:r>
      <w:r>
        <w:rPr>
          <w:b/>
          <w:i/>
          <w:color w:val="000000"/>
          <w:szCs w:val="21"/>
        </w:rPr>
        <w:t xml:space="preserve">neleistina </w:t>
      </w:r>
      <w:r>
        <w:rPr>
          <w:color w:val="000000"/>
          <w:szCs w:val="21"/>
        </w:rPr>
        <w:t>statyti, įrengti kietojo ir skystojo kuro katilinių, išskyrus atvejus, kai šilumos gamybai planuojama panaudoti AEI. Tuo metu nesuformuotų šilumos tiekimo aspektu teritorijų zonoje aprūpinimo šiluma būdas nereglamentuojamas.</w:t>
      </w:r>
    </w:p>
    <w:p w:rsidR="000E7C4C" w:rsidRDefault="003C3EA6">
      <w:pPr>
        <w:ind w:left="720"/>
        <w:jc w:val="both"/>
        <w:rPr>
          <w:color w:val="000000"/>
          <w:szCs w:val="21"/>
        </w:rPr>
      </w:pPr>
    </w:p>
    <w:p w:rsidR="000E7C4C" w:rsidRDefault="003C3EA6">
      <w:pPr>
        <w:keepNext/>
        <w:keepLines/>
        <w:jc w:val="center"/>
        <w:outlineLvl w:val="6"/>
        <w:rPr>
          <w:b/>
          <w:iCs/>
          <w:color w:val="000000"/>
          <w:szCs w:val="21"/>
        </w:rPr>
      </w:pPr>
      <w:r>
        <w:rPr>
          <w:b/>
          <w:iCs/>
          <w:color w:val="000000"/>
          <w:szCs w:val="21"/>
        </w:rPr>
        <w:t>ANTRASIS</w:t>
      </w:r>
      <w:r>
        <w:rPr>
          <w:b/>
          <w:iCs/>
          <w:color w:val="000000"/>
          <w:szCs w:val="21"/>
        </w:rPr>
        <w:t xml:space="preserve"> SKIRSNIS</w:t>
      </w:r>
    </w:p>
    <w:p w:rsidR="000E7C4C" w:rsidRDefault="003C3EA6">
      <w:pPr>
        <w:keepNext/>
        <w:keepLines/>
        <w:jc w:val="center"/>
        <w:outlineLvl w:val="6"/>
        <w:rPr>
          <w:b/>
          <w:iCs/>
          <w:color w:val="000000"/>
          <w:szCs w:val="21"/>
        </w:rPr>
      </w:pPr>
      <w:r>
        <w:rPr>
          <w:b/>
          <w:iCs/>
          <w:color w:val="000000"/>
          <w:szCs w:val="21"/>
        </w:rPr>
        <w:t>ORO TARŠOS MAŽINIMO PRIEMONĖS KAUNO MIESTO SAVIVALDYBĖJE</w:t>
      </w:r>
    </w:p>
    <w:p w:rsidR="000E7C4C" w:rsidRDefault="000E7C4C">
      <w:pPr>
        <w:ind w:left="720"/>
        <w:jc w:val="both"/>
        <w:rPr>
          <w:color w:val="000000"/>
          <w:szCs w:val="21"/>
        </w:rPr>
      </w:pPr>
    </w:p>
    <w:p w:rsidR="000E7C4C" w:rsidRDefault="003C3EA6">
      <w:pPr>
        <w:ind w:firstLine="567"/>
        <w:jc w:val="both"/>
        <w:rPr>
          <w:color w:val="000000"/>
          <w:szCs w:val="21"/>
        </w:rPr>
      </w:pPr>
      <w:r>
        <w:rPr>
          <w:color w:val="000000"/>
          <w:szCs w:val="21"/>
        </w:rPr>
        <w:t>12</w:t>
      </w:r>
      <w:r>
        <w:rPr>
          <w:color w:val="000000"/>
          <w:szCs w:val="21"/>
        </w:rPr>
        <w:t>.</w:t>
      </w:r>
      <w:r>
        <w:rPr>
          <w:b/>
          <w:color w:val="000000"/>
          <w:szCs w:val="21"/>
        </w:rPr>
        <w:t xml:space="preserve"> Kauno miesto strateginiame plėtros plane iki 2022 metų</w:t>
      </w:r>
      <w:r>
        <w:rPr>
          <w:color w:val="000000"/>
          <w:szCs w:val="21"/>
        </w:rPr>
        <w:t xml:space="preserve">, patvirtintame Kauno miesto savivaldybės tarybos 2015 m. balandžio 2 d. sprendimu Nr. T-127 „Dėl Kauno miesto strateginiame plėtros plane iki 2022 metų patvirtinimo“, yra numatyti uždaviniai, prisidėsiantys prie oro taršos mažinimo, ir jų įgyvendinimui numatytos priemonės (žr. 1 lent.). Kaip matyti 1 lentelėje, pagrindiniai prie oro taršos mažinimo prisidedantys uždaviniai apima energijos vartojimo efektyvumo, susisiekimo infrastruktūros, visuomeninio transporto plėtros, aplinkos tausojimo aspektus. </w:t>
      </w:r>
      <w:r>
        <w:rPr>
          <w:b/>
          <w:color w:val="000000"/>
          <w:szCs w:val="21"/>
        </w:rPr>
        <w:t>Kauno miesto savivaldybės 2017-2019 metų strateginiame veiklos plane,</w:t>
      </w:r>
      <w:r>
        <w:rPr>
          <w:color w:val="000000"/>
          <w:szCs w:val="21"/>
        </w:rPr>
        <w:t xml:space="preserve"> patvirtintame Kauno miesto savivaldybės tarybos 2017 m. vasario 7 d. sprendimu Nr. T-12 „Dėl Kauno miesto savivaldybės 2017-2019 metų strateginiame veiklos plano patvirtinimo“, 1 lentelėje išvardintiems uždaviniams yra nustatyti vertinimo kriterijai 2017-2019 metams.</w:t>
      </w:r>
    </w:p>
    <w:p w:rsidR="000E7C4C" w:rsidRDefault="000E7C4C">
      <w:pPr>
        <w:jc w:val="center"/>
        <w:rPr>
          <w:color w:val="000000"/>
        </w:rPr>
      </w:pPr>
    </w:p>
    <w:p w:rsidR="000E7C4C" w:rsidRDefault="003C3EA6">
      <w:pPr>
        <w:jc w:val="both"/>
        <w:rPr>
          <w:color w:val="000000"/>
          <w:szCs w:val="24"/>
        </w:rPr>
      </w:pPr>
      <w:r>
        <w:rPr>
          <w:color w:val="000000"/>
          <w:szCs w:val="24"/>
        </w:rPr>
        <w:t>1 lentelė. Kauno miesto strateginiame plėtros plane iki 2022 metų numatyti su oro taršos mažinimu susiję uždaviniai ir priemonės</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425"/>
        <w:gridCol w:w="7242"/>
      </w:tblGrid>
      <w:tr w:rsidR="000E7C4C">
        <w:trPr>
          <w:tblHeader/>
          <w:jc w:val="center"/>
        </w:trPr>
        <w:tc>
          <w:tcPr>
            <w:tcW w:w="2425"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color w:val="FFFFFF"/>
                <w:sz w:val="20"/>
              </w:rPr>
              <w:t>Uždaviniai</w:t>
            </w:r>
          </w:p>
        </w:tc>
        <w:tc>
          <w:tcPr>
            <w:tcW w:w="7242"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color w:val="FFFFFF"/>
                <w:sz w:val="20"/>
              </w:rPr>
              <w:t>Numatytos priemonės, skirtos oro taršai mažinti</w:t>
            </w:r>
          </w:p>
        </w:tc>
      </w:tr>
      <w:tr w:rsidR="000E7C4C">
        <w:trPr>
          <w:jc w:val="center"/>
        </w:trPr>
        <w:tc>
          <w:tcPr>
            <w:tcW w:w="2425"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Didinti energetikos sistemų ir energijos suvartojimo efektyvumą</w:t>
            </w:r>
          </w:p>
        </w:tc>
        <w:tc>
          <w:tcPr>
            <w:tcW w:w="7242"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rPr>
            </w:pPr>
            <w:r>
              <w:rPr>
                <w:color w:val="000000"/>
                <w:sz w:val="20"/>
              </w:rPr>
              <w:t>Daugiabučių namų atnaujinimas (modernizavimas) įgyvendinant energinio efektyvumo didinimo programą</w:t>
            </w:r>
          </w:p>
          <w:p w:rsidR="000E7C4C" w:rsidRDefault="003C3EA6">
            <w:pPr>
              <w:jc w:val="both"/>
              <w:rPr>
                <w:color w:val="000000"/>
                <w:sz w:val="20"/>
              </w:rPr>
            </w:pPr>
            <w:r>
              <w:rPr>
                <w:color w:val="000000"/>
                <w:sz w:val="20"/>
              </w:rPr>
              <w:t>Šilumos gamybos efektyvumo didinimas ir plėtra</w:t>
            </w:r>
          </w:p>
        </w:tc>
      </w:tr>
      <w:tr w:rsidR="000E7C4C">
        <w:trPr>
          <w:jc w:val="center"/>
        </w:trPr>
        <w:tc>
          <w:tcPr>
            <w:tcW w:w="2425"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Užtikrinti kokybišką susisiekimo infrastruktūrą</w:t>
            </w:r>
          </w:p>
        </w:tc>
        <w:tc>
          <w:tcPr>
            <w:tcW w:w="7242" w:type="dxa"/>
            <w:tcBorders>
              <w:top w:val="single" w:sz="4" w:space="0" w:color="auto"/>
              <w:left w:val="single" w:sz="4" w:space="0" w:color="auto"/>
              <w:bottom w:val="single" w:sz="4" w:space="0" w:color="auto"/>
              <w:right w:val="single" w:sz="4" w:space="0" w:color="auto"/>
            </w:tcBorders>
          </w:tcPr>
          <w:p w:rsidR="000E7C4C" w:rsidRDefault="003C3EA6">
            <w:pPr>
              <w:jc w:val="both"/>
              <w:rPr>
                <w:color w:val="000000"/>
                <w:sz w:val="20"/>
              </w:rPr>
            </w:pPr>
            <w:r>
              <w:rPr>
                <w:color w:val="000000"/>
                <w:sz w:val="20"/>
              </w:rPr>
              <w:t>Tranzitinio eismo srautų minimizavimas tiesiant aplinkkelius</w:t>
            </w:r>
          </w:p>
          <w:p w:rsidR="000E7C4C" w:rsidRDefault="000E7C4C">
            <w:pPr>
              <w:jc w:val="both"/>
              <w:rPr>
                <w:color w:val="000000"/>
                <w:sz w:val="20"/>
              </w:rPr>
            </w:pPr>
          </w:p>
        </w:tc>
      </w:tr>
      <w:tr w:rsidR="000E7C4C">
        <w:trPr>
          <w:jc w:val="center"/>
        </w:trPr>
        <w:tc>
          <w:tcPr>
            <w:tcW w:w="2425"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Plėtoti visuomeninio ir </w:t>
            </w:r>
            <w:proofErr w:type="spellStart"/>
            <w:r>
              <w:rPr>
                <w:color w:val="000000"/>
                <w:sz w:val="20"/>
                <w:lang w:eastAsia="lt-LT"/>
              </w:rPr>
              <w:t>bevariklio</w:t>
            </w:r>
            <w:proofErr w:type="spellEnd"/>
            <w:r>
              <w:rPr>
                <w:color w:val="000000"/>
                <w:sz w:val="20"/>
                <w:lang w:eastAsia="lt-LT"/>
              </w:rPr>
              <w:t xml:space="preserve"> transporto sistemas</w:t>
            </w:r>
          </w:p>
        </w:tc>
        <w:tc>
          <w:tcPr>
            <w:tcW w:w="7242"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rPr>
            </w:pPr>
            <w:r>
              <w:rPr>
                <w:color w:val="000000"/>
                <w:sz w:val="20"/>
              </w:rPr>
              <w:t>Aplinkos neteršiančio transporto plėtra</w:t>
            </w:r>
          </w:p>
          <w:p w:rsidR="000E7C4C" w:rsidRDefault="003C3EA6">
            <w:pPr>
              <w:jc w:val="both"/>
              <w:rPr>
                <w:color w:val="000000"/>
                <w:sz w:val="20"/>
              </w:rPr>
            </w:pPr>
            <w:r>
              <w:rPr>
                <w:color w:val="000000"/>
                <w:sz w:val="20"/>
              </w:rPr>
              <w:t>Viešojo transporto infrastruktūros įrengimas ir atnaujinimas (tarp kitų priemonių – troleibusų infrastruktūros plėtra)</w:t>
            </w:r>
          </w:p>
        </w:tc>
      </w:tr>
      <w:tr w:rsidR="000E7C4C">
        <w:trPr>
          <w:jc w:val="center"/>
        </w:trPr>
        <w:tc>
          <w:tcPr>
            <w:tcW w:w="2425"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Saugoti ir tausoti aplinką, plėtoti efektyvų komunalinių atliekų tvarkymą</w:t>
            </w:r>
          </w:p>
        </w:tc>
        <w:tc>
          <w:tcPr>
            <w:tcW w:w="7242"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rPr>
            </w:pPr>
            <w:r>
              <w:rPr>
                <w:color w:val="000000"/>
                <w:sz w:val="20"/>
              </w:rPr>
              <w:t>Aplinkos kokybės gerinimo programų rengimas ir įgyvendinimas</w:t>
            </w:r>
          </w:p>
          <w:p w:rsidR="000E7C4C" w:rsidRDefault="003C3EA6">
            <w:pPr>
              <w:jc w:val="both"/>
              <w:rPr>
                <w:color w:val="000000"/>
                <w:sz w:val="20"/>
              </w:rPr>
            </w:pPr>
            <w:r>
              <w:rPr>
                <w:color w:val="000000"/>
                <w:sz w:val="20"/>
              </w:rPr>
              <w:t>Kauno miesto aplinkos oro kokybės programos rengimas ir įgyvendinimas</w:t>
            </w:r>
          </w:p>
          <w:p w:rsidR="000E7C4C" w:rsidRDefault="003C3EA6">
            <w:pPr>
              <w:jc w:val="both"/>
              <w:rPr>
                <w:color w:val="000000"/>
                <w:sz w:val="20"/>
              </w:rPr>
            </w:pPr>
            <w:r>
              <w:rPr>
                <w:color w:val="000000"/>
                <w:sz w:val="20"/>
              </w:rPr>
              <w:t>Visuomenės švietimas aplinkos apsaugos bei atliekų tvarkymo srityse</w:t>
            </w:r>
          </w:p>
        </w:tc>
      </w:tr>
    </w:tbl>
    <w:p w:rsidR="000E7C4C" w:rsidRDefault="000E7C4C"/>
    <w:p w:rsidR="000E7C4C" w:rsidRDefault="003C3EA6">
      <w:pPr>
        <w:jc w:val="center"/>
        <w:rPr>
          <w:color w:val="000000"/>
          <w:sz w:val="20"/>
        </w:rPr>
      </w:pPr>
      <w:r>
        <w:rPr>
          <w:color w:val="000000"/>
          <w:sz w:val="20"/>
        </w:rPr>
        <w:t>(Šaltinis: Kauno miesto strateginis plėtros planas iki 2022 metų)</w:t>
      </w:r>
    </w:p>
    <w:p w:rsidR="000E7C4C" w:rsidRDefault="003C3EA6">
      <w:pPr>
        <w:ind w:left="720"/>
        <w:jc w:val="both"/>
        <w:rPr>
          <w:color w:val="000000"/>
          <w:szCs w:val="21"/>
        </w:rPr>
      </w:pPr>
    </w:p>
    <w:p w:rsidR="000E7C4C" w:rsidRDefault="003C3EA6">
      <w:pPr>
        <w:ind w:firstLine="567"/>
        <w:jc w:val="both"/>
        <w:rPr>
          <w:color w:val="000000"/>
          <w:szCs w:val="21"/>
        </w:rPr>
      </w:pPr>
      <w:r>
        <w:rPr>
          <w:color w:val="000000"/>
          <w:szCs w:val="21"/>
        </w:rPr>
        <w:t>13</w:t>
      </w:r>
      <w:r>
        <w:rPr>
          <w:color w:val="000000"/>
          <w:szCs w:val="21"/>
        </w:rPr>
        <w:t xml:space="preserve">. Remiantis atnaujintu </w:t>
      </w:r>
      <w:r>
        <w:rPr>
          <w:b/>
          <w:color w:val="000000"/>
          <w:szCs w:val="21"/>
        </w:rPr>
        <w:t>Kauno miesto mikrorajonų šilumos tiekimo specialiuoju planu</w:t>
      </w:r>
      <w:r>
        <w:rPr>
          <w:color w:val="000000"/>
          <w:szCs w:val="21"/>
        </w:rPr>
        <w:t xml:space="preserve">, patvirtintu Kauno miesto savivaldybės tarybos 2016 m. gegužės 3 d. sprendimu Nr. T-203 „Dėl Kauno miesto mikrorajonų šilumos tiekimo specialiojo plano atnaujinimo patvirtinimo“, CŠT zonoje statant ar rekonstruojant pastatus numatomas aprūpinimas šiluma iš CŠT sistemos. Šioje zonoje statomą ar rekonstruojamą pastatą gali būti numatyta aprūpinti šiluma iš vietinių šilumos šaltinių, taikant prioritetą gamtinių dujų kurui, tačiau tik nustatytais plane atvejais. Mišrioje zonoje, kurioje šiluma aprūpinama naudojant gamtines dujas, statant naujus pastatus, statytojo pasirinkimu galimas aprūpinimas šiluma iš CŠT sistemos arba iš vietinių (individualių) katilinių, kūrenamų gamtinėmis dujomis. Pasirinkus individualų šildymo būdą, poveikis aplinkai neturi viršyti leistinų normų. Ne CŠT zonoje esami ir nauji vartotojai aprūpinami šiluma iš vietinių šilumos šaltinių, o prioritetiniu kuru laikomos gamtinės dujos, </w:t>
      </w:r>
      <w:r>
        <w:rPr>
          <w:b/>
          <w:i/>
          <w:color w:val="000000"/>
          <w:szCs w:val="21"/>
        </w:rPr>
        <w:t>nerekomenduojamas</w:t>
      </w:r>
      <w:r>
        <w:rPr>
          <w:color w:val="000000"/>
          <w:szCs w:val="21"/>
        </w:rPr>
        <w:t xml:space="preserve"> kietojo kuro deginimas. Pabrėžtina, kad elektros, geoterminės energijos ir kiti ekologiškai švarūs šilumos šaltiniai galimi visoje savivaldybės teritorijoje. Gyvenamieji vieno ir dviejų butų pastatai gali būti aprūpinami šiluma iš vietinių šilumos šaltinių visoje Kauno miesto savivaldybės teritorijoje. Tai reiškia, jog vieno ar dviejų butų namų ūkiai nėra įpareigoti prisidėti prie oro taršos mažinimo pasirenkant mažiau taršias kuro rūšis.</w:t>
      </w:r>
    </w:p>
    <w:p w:rsidR="000E7C4C" w:rsidRDefault="003C3EA6">
      <w:pPr>
        <w:ind w:firstLine="567"/>
        <w:jc w:val="both"/>
        <w:rPr>
          <w:color w:val="000000"/>
          <w:szCs w:val="21"/>
        </w:rPr>
      </w:pPr>
      <w:r>
        <w:rPr>
          <w:color w:val="000000"/>
          <w:szCs w:val="21"/>
        </w:rPr>
        <w:t>14</w:t>
      </w:r>
      <w:r>
        <w:rPr>
          <w:color w:val="000000"/>
          <w:szCs w:val="21"/>
        </w:rPr>
        <w:t>.</w:t>
      </w:r>
      <w:r>
        <w:rPr>
          <w:b/>
          <w:color w:val="000000"/>
          <w:szCs w:val="21"/>
        </w:rPr>
        <w:t xml:space="preserve"> Kauno miesto atsinaujinančių išteklių energijos naudojimo plėtros veiksmų plane, </w:t>
      </w:r>
      <w:r>
        <w:rPr>
          <w:color w:val="000000"/>
          <w:szCs w:val="21"/>
        </w:rPr>
        <w:t xml:space="preserve"> patvirtintame Kauno miesto savivaldybės tarybos 2015 m. rugsėjo 8 d. sprendimu Nr. T-475 „Dėl Kauno miesto atsinaujinančių išteklių energijos naudojimo plėtros veiksmų plano patvirtinimo“, numatytos priemonės, skatinančios AEI naudojimą. Šios priemonės yra skirtos saulės energijos, geoterminės energijos naudojimo skatinimui, žmonių informavimui, AEI naudojimo savivaldybės ir jai pavaldžių įmonių pastatuose valdymo aspektams tobulinti, elektromobilių įkrovimo stotelių plėtrai.</w:t>
      </w:r>
    </w:p>
    <w:p w:rsidR="000E7C4C" w:rsidRDefault="003C3EA6">
      <w:pPr>
        <w:keepNext/>
        <w:keepLines/>
        <w:jc w:val="center"/>
        <w:outlineLvl w:val="6"/>
        <w:rPr>
          <w:b/>
          <w:iCs/>
          <w:color w:val="000000"/>
          <w:szCs w:val="21"/>
        </w:rPr>
      </w:pPr>
    </w:p>
    <w:p w:rsidR="000E7C4C" w:rsidRDefault="003C3EA6">
      <w:pPr>
        <w:keepNext/>
        <w:keepLines/>
        <w:jc w:val="center"/>
        <w:outlineLvl w:val="6"/>
        <w:rPr>
          <w:b/>
          <w:iCs/>
          <w:color w:val="000000"/>
          <w:szCs w:val="21"/>
        </w:rPr>
      </w:pPr>
      <w:r>
        <w:rPr>
          <w:b/>
          <w:iCs/>
          <w:color w:val="000000"/>
          <w:szCs w:val="21"/>
        </w:rPr>
        <w:t>TREČIASIS</w:t>
      </w:r>
      <w:r>
        <w:rPr>
          <w:b/>
          <w:iCs/>
          <w:color w:val="000000"/>
          <w:szCs w:val="21"/>
        </w:rPr>
        <w:t xml:space="preserve"> SKIRSNIS</w:t>
      </w:r>
    </w:p>
    <w:p w:rsidR="000E7C4C" w:rsidRDefault="003C3EA6">
      <w:pPr>
        <w:keepNext/>
        <w:keepLines/>
        <w:jc w:val="center"/>
        <w:outlineLvl w:val="6"/>
        <w:rPr>
          <w:b/>
          <w:iCs/>
          <w:color w:val="000000"/>
          <w:szCs w:val="21"/>
        </w:rPr>
      </w:pPr>
      <w:r>
        <w:rPr>
          <w:b/>
          <w:iCs/>
          <w:color w:val="000000"/>
          <w:szCs w:val="21"/>
        </w:rPr>
        <w:t>ORO TARŠOS MAŽINIMO PRIEMONĖS KLAIPĖDOS MIESTO SAVIVALDYBĖJE</w:t>
      </w:r>
    </w:p>
    <w:p w:rsidR="000E7C4C" w:rsidRDefault="000E7C4C">
      <w:pPr>
        <w:ind w:left="720"/>
        <w:jc w:val="both"/>
        <w:rPr>
          <w:color w:val="000000"/>
          <w:szCs w:val="21"/>
        </w:rPr>
      </w:pPr>
    </w:p>
    <w:p w:rsidR="000E7C4C" w:rsidRDefault="003C3EA6">
      <w:pPr>
        <w:ind w:firstLine="567"/>
        <w:jc w:val="both"/>
        <w:rPr>
          <w:color w:val="000000"/>
          <w:szCs w:val="21"/>
        </w:rPr>
      </w:pPr>
      <w:r>
        <w:rPr>
          <w:color w:val="000000"/>
          <w:szCs w:val="21"/>
        </w:rPr>
        <w:t>15</w:t>
      </w:r>
      <w:r>
        <w:rPr>
          <w:color w:val="000000"/>
          <w:szCs w:val="21"/>
        </w:rPr>
        <w:t>.</w:t>
      </w:r>
      <w:r>
        <w:rPr>
          <w:b/>
          <w:color w:val="000000"/>
          <w:szCs w:val="21"/>
        </w:rPr>
        <w:t xml:space="preserve"> Klaipėdos miesto savivaldybės 2013–2020 metų strateginiame plėtros plane,</w:t>
      </w:r>
      <w:r>
        <w:rPr>
          <w:color w:val="000000"/>
          <w:szCs w:val="21"/>
        </w:rPr>
        <w:t xml:space="preserve"> patvirtintame  Klaipėdos miesto savivaldybės tarybos 2013 m. balandžio 26 d. sprendimu Nr. T2-79 „Dėl Klaipėdos miesto savivaldybės 2013–2020 metų strateginio plėtros plano patirtinimo“, yra numatytas tikslas racionaliai vystyti miesto infrastruktūrą, Šiam tikslui pasiekti tarp kitų uždavinių, išskirtini su oro taršos mažinimu susiję uždaviniai ir jiems įgyvendinti skirtos priemonės (žr. 2 lent.). Pažymėtina, kad uždaviniai yra skirti darnaus </w:t>
      </w:r>
      <w:proofErr w:type="spellStart"/>
      <w:r>
        <w:rPr>
          <w:color w:val="000000"/>
          <w:szCs w:val="21"/>
        </w:rPr>
        <w:t>judumo</w:t>
      </w:r>
      <w:proofErr w:type="spellEnd"/>
      <w:r>
        <w:rPr>
          <w:color w:val="000000"/>
          <w:szCs w:val="21"/>
        </w:rPr>
        <w:t>, inžinerinės infrastruktūros, energijos taupymo ir AEI naudojimo ir taršos prevencinėms sritims. Tarp priemonių išskirtinos priemonės, susijusios su transporto priemonių parko vystymu, nuotekų sistemos tobulinimu, viešųjų pastatų energijos taupymu ir visuomenės informavimu.</w:t>
      </w:r>
    </w:p>
    <w:p w:rsidR="000E7C4C" w:rsidRDefault="000E7C4C">
      <w:pPr>
        <w:ind w:left="720"/>
        <w:jc w:val="both"/>
        <w:rPr>
          <w:color w:val="000000"/>
          <w:szCs w:val="21"/>
        </w:rPr>
      </w:pPr>
    </w:p>
    <w:p w:rsidR="000E7C4C" w:rsidRDefault="003C3EA6">
      <w:pPr>
        <w:jc w:val="both"/>
        <w:rPr>
          <w:color w:val="000000"/>
          <w:szCs w:val="24"/>
        </w:rPr>
      </w:pPr>
      <w:r>
        <w:rPr>
          <w:color w:val="000000"/>
          <w:szCs w:val="24"/>
        </w:rPr>
        <w:t>2 lentelė. Klaipėdos miesto savivaldybės 2013–2020 metų strateginiame plėtros plane numatyti su oro taršos mažinimu susiję uždaviniai ir numatytos priemonės</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000"/>
        <w:gridCol w:w="7667"/>
      </w:tblGrid>
      <w:tr w:rsidR="000E7C4C">
        <w:trPr>
          <w:jc w:val="center"/>
        </w:trPr>
        <w:tc>
          <w:tcPr>
            <w:tcW w:w="2000"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color w:val="FFFFFF"/>
                <w:sz w:val="20"/>
              </w:rPr>
              <w:t>Uždaviniai</w:t>
            </w:r>
          </w:p>
        </w:tc>
        <w:tc>
          <w:tcPr>
            <w:tcW w:w="7667"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color w:val="FFFFFF"/>
                <w:sz w:val="20"/>
              </w:rPr>
              <w:t>Numatytos priemonės, skirtos oro taršai mažinti</w:t>
            </w:r>
          </w:p>
        </w:tc>
      </w:tr>
      <w:tr w:rsidR="000E7C4C">
        <w:trPr>
          <w:jc w:val="center"/>
        </w:trPr>
        <w:tc>
          <w:tcPr>
            <w:tcW w:w="200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rPr>
              <w:t xml:space="preserve">Įdiegti darnaus </w:t>
            </w:r>
            <w:proofErr w:type="spellStart"/>
            <w:r>
              <w:rPr>
                <w:color w:val="000000"/>
                <w:sz w:val="20"/>
              </w:rPr>
              <w:t>judumo</w:t>
            </w:r>
            <w:proofErr w:type="spellEnd"/>
            <w:r>
              <w:rPr>
                <w:color w:val="000000"/>
                <w:sz w:val="20"/>
              </w:rPr>
              <w:t xml:space="preserve"> principus susisiekimo sistemoje</w:t>
            </w:r>
          </w:p>
        </w:tc>
        <w:tc>
          <w:tcPr>
            <w:tcW w:w="7667"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rPr>
            </w:pPr>
            <w:r>
              <w:rPr>
                <w:color w:val="000000"/>
                <w:sz w:val="20"/>
              </w:rPr>
              <w:t>Sudaryti sąlygas naujų ekologiškų viešojo transporto rūšių atsiradimui</w:t>
            </w:r>
          </w:p>
          <w:p w:rsidR="000E7C4C" w:rsidRDefault="003C3EA6">
            <w:pPr>
              <w:jc w:val="both"/>
              <w:rPr>
                <w:color w:val="000000"/>
                <w:sz w:val="20"/>
              </w:rPr>
            </w:pPr>
            <w:r>
              <w:rPr>
                <w:color w:val="000000"/>
                <w:sz w:val="20"/>
              </w:rPr>
              <w:t>Skatinti ekologiško individualaus transporto plėtrą įrengiant elektromobilių zonas</w:t>
            </w:r>
          </w:p>
        </w:tc>
      </w:tr>
      <w:tr w:rsidR="000E7C4C">
        <w:trPr>
          <w:jc w:val="center"/>
        </w:trPr>
        <w:tc>
          <w:tcPr>
            <w:tcW w:w="200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rPr>
              <w:t>Diegti energijos taupymo ir atsinaujinančių energijos išteklių sistemas</w:t>
            </w:r>
          </w:p>
        </w:tc>
        <w:tc>
          <w:tcPr>
            <w:tcW w:w="7667"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rPr>
            </w:pPr>
            <w:r>
              <w:rPr>
                <w:color w:val="000000"/>
                <w:sz w:val="20"/>
              </w:rPr>
              <w:t>Parengti ir įgyvendinti atsinaujinančių energijos šaltinių panaudojimo plėtros planą</w:t>
            </w:r>
          </w:p>
          <w:p w:rsidR="000E7C4C" w:rsidRDefault="003C3EA6">
            <w:pPr>
              <w:jc w:val="both"/>
              <w:rPr>
                <w:color w:val="000000"/>
                <w:sz w:val="20"/>
              </w:rPr>
            </w:pPr>
            <w:r>
              <w:rPr>
                <w:color w:val="000000"/>
                <w:sz w:val="20"/>
              </w:rPr>
              <w:t>Skatinti diegti energijos taupymo ir atsinaujinančių energijos išteklių sprendimus statant naujus viešosios paskirties pastatus</w:t>
            </w:r>
          </w:p>
          <w:p w:rsidR="000E7C4C" w:rsidRDefault="003C3EA6">
            <w:pPr>
              <w:jc w:val="both"/>
              <w:rPr>
                <w:color w:val="000000"/>
                <w:sz w:val="20"/>
              </w:rPr>
            </w:pPr>
            <w:r>
              <w:rPr>
                <w:color w:val="000000"/>
                <w:sz w:val="20"/>
              </w:rPr>
              <w:t>Renovuoti viešosios paskirties pastatus didinant energijos vartojimo efektyvumą</w:t>
            </w:r>
          </w:p>
          <w:p w:rsidR="000E7C4C" w:rsidRDefault="003C3EA6">
            <w:pPr>
              <w:jc w:val="both"/>
              <w:rPr>
                <w:color w:val="000000"/>
                <w:sz w:val="20"/>
              </w:rPr>
            </w:pPr>
            <w:r>
              <w:rPr>
                <w:color w:val="000000"/>
                <w:sz w:val="20"/>
              </w:rPr>
              <w:t xml:space="preserve">Rekonstruoti AB „Klaipėdos energija“ Klaipėdos rajoninę katilinę, įrengiant naują biokuro katilą su kondensaciniu </w:t>
            </w:r>
            <w:proofErr w:type="spellStart"/>
            <w:r>
              <w:rPr>
                <w:color w:val="000000"/>
                <w:sz w:val="20"/>
              </w:rPr>
              <w:t>ekonomaizeriu</w:t>
            </w:r>
            <w:proofErr w:type="spellEnd"/>
          </w:p>
          <w:p w:rsidR="000E7C4C" w:rsidRDefault="003C3EA6">
            <w:pPr>
              <w:jc w:val="both"/>
              <w:rPr>
                <w:color w:val="000000"/>
                <w:sz w:val="20"/>
              </w:rPr>
            </w:pPr>
            <w:r>
              <w:rPr>
                <w:color w:val="000000"/>
                <w:sz w:val="20"/>
              </w:rPr>
              <w:t xml:space="preserve">Parengti viešojo transporto – </w:t>
            </w:r>
            <w:proofErr w:type="spellStart"/>
            <w:r>
              <w:rPr>
                <w:color w:val="000000"/>
                <w:sz w:val="20"/>
              </w:rPr>
              <w:t>elektrobusų</w:t>
            </w:r>
            <w:proofErr w:type="spellEnd"/>
            <w:r>
              <w:rPr>
                <w:color w:val="000000"/>
                <w:sz w:val="20"/>
              </w:rPr>
              <w:t xml:space="preserve"> plėtros Klaipėdos mieste programą</w:t>
            </w:r>
          </w:p>
          <w:p w:rsidR="000E7C4C" w:rsidRDefault="003C3EA6">
            <w:pPr>
              <w:jc w:val="both"/>
              <w:rPr>
                <w:color w:val="000000"/>
                <w:sz w:val="20"/>
              </w:rPr>
            </w:pPr>
            <w:r>
              <w:rPr>
                <w:color w:val="000000"/>
                <w:sz w:val="20"/>
              </w:rPr>
              <w:t>Didinti ekologiško kuro naudojimą miesto viešajame transporte</w:t>
            </w:r>
          </w:p>
        </w:tc>
      </w:tr>
      <w:tr w:rsidR="000E7C4C">
        <w:trPr>
          <w:jc w:val="center"/>
        </w:trPr>
        <w:tc>
          <w:tcPr>
            <w:tcW w:w="200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Vykdyti prevencines aplinkosaugos priemones</w:t>
            </w:r>
          </w:p>
        </w:tc>
        <w:tc>
          <w:tcPr>
            <w:tcW w:w="7667"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rPr>
            </w:pPr>
            <w:r>
              <w:rPr>
                <w:color w:val="000000"/>
                <w:sz w:val="20"/>
              </w:rPr>
              <w:t>Vykdyti prevencines priemones, siekiant neviršyti leistinų oro taršos kietosiomis dalelėmis (KD10) normatyvų</w:t>
            </w:r>
          </w:p>
          <w:p w:rsidR="000E7C4C" w:rsidRDefault="003C3EA6">
            <w:pPr>
              <w:jc w:val="both"/>
              <w:rPr>
                <w:color w:val="000000"/>
                <w:sz w:val="20"/>
              </w:rPr>
            </w:pPr>
            <w:r>
              <w:rPr>
                <w:color w:val="000000"/>
                <w:sz w:val="20"/>
              </w:rPr>
              <w:t>Vykdyti visuomenės aplinkosauginį švietimą</w:t>
            </w:r>
          </w:p>
        </w:tc>
      </w:tr>
    </w:tbl>
    <w:p w:rsidR="000E7C4C" w:rsidRDefault="003C3EA6">
      <w:pPr>
        <w:jc w:val="center"/>
        <w:rPr>
          <w:color w:val="000000"/>
          <w:sz w:val="20"/>
        </w:rPr>
      </w:pPr>
      <w:r>
        <w:rPr>
          <w:color w:val="000000"/>
          <w:sz w:val="20"/>
        </w:rPr>
        <w:t>(Šaltinis: Klaipėdos miesto savivaldybės 2013–2020 metų strateginis plėtros planas)</w:t>
      </w:r>
    </w:p>
    <w:p w:rsidR="000E7C4C" w:rsidRDefault="003C3EA6">
      <w:pPr>
        <w:ind w:left="720"/>
        <w:jc w:val="both"/>
        <w:rPr>
          <w:color w:val="000000"/>
          <w:szCs w:val="21"/>
        </w:rPr>
      </w:pPr>
    </w:p>
    <w:p w:rsidR="000E7C4C" w:rsidRDefault="003C3EA6">
      <w:pPr>
        <w:ind w:firstLine="567"/>
        <w:jc w:val="both"/>
        <w:rPr>
          <w:color w:val="000000"/>
          <w:szCs w:val="21"/>
          <w:shd w:val="clear" w:color="auto" w:fill="FFFFFF"/>
        </w:rPr>
      </w:pPr>
      <w:r>
        <w:rPr>
          <w:color w:val="000000"/>
          <w:szCs w:val="21"/>
        </w:rPr>
        <w:t>16</w:t>
      </w:r>
      <w:r>
        <w:rPr>
          <w:color w:val="000000"/>
          <w:szCs w:val="21"/>
        </w:rPr>
        <w:t>.</w:t>
      </w:r>
      <w:r>
        <w:rPr>
          <w:b/>
          <w:color w:val="000000"/>
          <w:szCs w:val="21"/>
        </w:rPr>
        <w:t xml:space="preserve"> Klaipėdos miesto savivaldybės 2017–2019 metų strateginiame veiklos plane,</w:t>
      </w:r>
      <w:r>
        <w:rPr>
          <w:color w:val="000000"/>
          <w:szCs w:val="21"/>
        </w:rPr>
        <w:t xml:space="preserve"> patvirtintame Klaipėdos miesto savivaldybės tarybos 2016 m. gruodžio 22 d. sprendimu Nr. T2-290 „Dėl Klaipėdos miesto savivaldybės 2017–2019 metų strateginio veiklos plano patvirtinimo“, numatyta, kad siekiant geresnės oro kokybės, „</w:t>
      </w:r>
      <w:r>
        <w:rPr>
          <w:color w:val="000000"/>
          <w:szCs w:val="21"/>
          <w:shd w:val="clear" w:color="auto" w:fill="FFFFFF"/>
        </w:rPr>
        <w:t>reikia mažinti eismo srautus, todėl labai svarbu išvystyti susiekimo viešuoju transportu infrastruktūrą bei maršrutus, propaguoti naudojimąsi ne individualiu automobiliu, o viešuoju transportu, pėsčiomis, dviračiu”,  „</w:t>
      </w:r>
      <w:r>
        <w:rPr>
          <w:color w:val="000000"/>
          <w:szCs w:val="21"/>
        </w:rPr>
        <w:t>labai svarbu pritaikyti susisiekimo infrastruktūrą pėstiesiems, dviratininkams ir sudaryti saugias eismo sąlygas visiems eismo dalyviams“</w:t>
      </w:r>
      <w:r>
        <w:rPr>
          <w:color w:val="000000"/>
          <w:szCs w:val="21"/>
          <w:shd w:val="clear" w:color="auto" w:fill="FFFFFF"/>
        </w:rPr>
        <w:t>.</w:t>
      </w:r>
    </w:p>
    <w:p w:rsidR="000E7C4C" w:rsidRDefault="003C3EA6">
      <w:pPr>
        <w:ind w:firstLine="567"/>
        <w:jc w:val="both"/>
        <w:rPr>
          <w:b/>
          <w:color w:val="000000"/>
          <w:szCs w:val="21"/>
          <w:shd w:val="clear" w:color="auto" w:fill="FFFFFF"/>
        </w:rPr>
      </w:pPr>
      <w:r>
        <w:rPr>
          <w:color w:val="000000"/>
          <w:szCs w:val="21"/>
          <w:shd w:val="clear" w:color="auto" w:fill="FFFFFF"/>
        </w:rPr>
        <w:t>17</w:t>
      </w:r>
      <w:r>
        <w:rPr>
          <w:color w:val="000000"/>
          <w:szCs w:val="21"/>
          <w:shd w:val="clear" w:color="auto" w:fill="FFFFFF"/>
        </w:rPr>
        <w:t>.</w:t>
      </w:r>
      <w:r>
        <w:rPr>
          <w:b/>
          <w:color w:val="000000"/>
          <w:szCs w:val="21"/>
          <w:shd w:val="clear" w:color="auto" w:fill="FFFFFF"/>
        </w:rPr>
        <w:t xml:space="preserve"> Klaipėdos miesto savivaldybės aplinkos monitoringo 2017–2021 m. programoje</w:t>
      </w:r>
      <w:r>
        <w:rPr>
          <w:color w:val="000000"/>
          <w:szCs w:val="21"/>
          <w:shd w:val="clear" w:color="auto" w:fill="FFFFFF"/>
        </w:rPr>
        <w:t>, patvirtintoje Klaipėdos miesto savivaldybės tarybos 2016 m. gruodžio 22 d. sprendimu Nr. T2-291 „Dėl Klaipėdos miesto savivaldybės aplinkos monitoringo 2017–2021 m. programos patvirtinimo“, vienu iš Klaipėdos miesto savivaldybės teritorijoje tiriamų komponentų yra aplinkos oras.</w:t>
      </w:r>
    </w:p>
    <w:p w:rsidR="000E7C4C" w:rsidRDefault="003C3EA6">
      <w:pPr>
        <w:ind w:firstLine="567"/>
        <w:jc w:val="both"/>
        <w:rPr>
          <w:color w:val="000000"/>
          <w:szCs w:val="21"/>
        </w:rPr>
      </w:pPr>
      <w:r>
        <w:rPr>
          <w:color w:val="000000"/>
          <w:szCs w:val="21"/>
          <w:shd w:val="clear" w:color="auto" w:fill="FFFFFF"/>
        </w:rPr>
        <w:t>18</w:t>
      </w:r>
      <w:r>
        <w:rPr>
          <w:color w:val="000000"/>
          <w:szCs w:val="21"/>
          <w:shd w:val="clear" w:color="auto" w:fill="FFFFFF"/>
        </w:rPr>
        <w:t xml:space="preserve">. Pagal Klaipėdos miesto savivaldybės pateiktą informaciją, Klaipėdos miesto savivaldybė nerengia </w:t>
      </w:r>
      <w:r>
        <w:rPr>
          <w:b/>
          <w:color w:val="000000"/>
          <w:szCs w:val="21"/>
          <w:shd w:val="clear" w:color="auto" w:fill="FFFFFF"/>
        </w:rPr>
        <w:t>Klaipėdos miesto savivaldybės oro taršos mažinimo programos</w:t>
      </w:r>
      <w:r>
        <w:rPr>
          <w:color w:val="000000"/>
          <w:szCs w:val="21"/>
          <w:shd w:val="clear" w:color="auto" w:fill="FFFFFF"/>
        </w:rPr>
        <w:t>, kadangi jau kelerius metus neviršija teršalų koncentracijų aplinkos ore ribinių verčių.</w:t>
      </w:r>
    </w:p>
    <w:p w:rsidR="000E7C4C" w:rsidRDefault="003C3EA6">
      <w:pPr>
        <w:jc w:val="both"/>
        <w:rPr>
          <w:color w:val="000000"/>
          <w:szCs w:val="21"/>
        </w:rPr>
      </w:pPr>
    </w:p>
    <w:p w:rsidR="000E7C4C" w:rsidRDefault="003C3EA6">
      <w:pPr>
        <w:keepNext/>
        <w:keepLines/>
        <w:jc w:val="center"/>
        <w:outlineLvl w:val="6"/>
        <w:rPr>
          <w:b/>
          <w:iCs/>
          <w:color w:val="000000"/>
          <w:szCs w:val="21"/>
        </w:rPr>
      </w:pPr>
      <w:r>
        <w:rPr>
          <w:b/>
          <w:iCs/>
          <w:color w:val="000000"/>
          <w:szCs w:val="21"/>
        </w:rPr>
        <w:t>KETVIRTASIS</w:t>
      </w:r>
      <w:r>
        <w:rPr>
          <w:b/>
          <w:iCs/>
          <w:color w:val="000000"/>
          <w:szCs w:val="21"/>
        </w:rPr>
        <w:t xml:space="preserve"> SKIRSNIS</w:t>
      </w:r>
    </w:p>
    <w:p w:rsidR="000E7C4C" w:rsidRDefault="003C3EA6">
      <w:pPr>
        <w:keepNext/>
        <w:keepLines/>
        <w:jc w:val="center"/>
        <w:outlineLvl w:val="6"/>
        <w:rPr>
          <w:b/>
          <w:iCs/>
          <w:color w:val="000000"/>
          <w:szCs w:val="21"/>
        </w:rPr>
      </w:pPr>
      <w:r>
        <w:rPr>
          <w:b/>
          <w:iCs/>
          <w:color w:val="000000"/>
          <w:szCs w:val="21"/>
        </w:rPr>
        <w:t>ORO TARŠOS MAŽINIMO PRIEMONĖS ŠIAULIŲ MIESTO SAVIVALDYBĖJE</w:t>
      </w:r>
    </w:p>
    <w:p w:rsidR="000E7C4C" w:rsidRDefault="000E7C4C">
      <w:pPr>
        <w:ind w:left="720"/>
        <w:jc w:val="both"/>
        <w:rPr>
          <w:color w:val="000000"/>
          <w:szCs w:val="21"/>
        </w:rPr>
      </w:pPr>
    </w:p>
    <w:p w:rsidR="000E7C4C" w:rsidRDefault="003C3EA6">
      <w:pPr>
        <w:ind w:firstLine="567"/>
        <w:jc w:val="both"/>
        <w:rPr>
          <w:color w:val="000000"/>
          <w:szCs w:val="21"/>
        </w:rPr>
      </w:pPr>
      <w:r>
        <w:rPr>
          <w:color w:val="000000"/>
          <w:szCs w:val="21"/>
        </w:rPr>
        <w:t>19</w:t>
      </w:r>
      <w:r>
        <w:rPr>
          <w:color w:val="000000"/>
          <w:szCs w:val="21"/>
        </w:rPr>
        <w:t>.</w:t>
      </w:r>
      <w:r>
        <w:rPr>
          <w:b/>
          <w:color w:val="000000"/>
          <w:szCs w:val="21"/>
        </w:rPr>
        <w:t xml:space="preserve"> 2015–2024 metų Šiaulių miesto strateginio plėtros plane,</w:t>
      </w:r>
      <w:r>
        <w:rPr>
          <w:color w:val="000000"/>
          <w:szCs w:val="21"/>
        </w:rPr>
        <w:t xml:space="preserve"> patvirtintame 2016 m. rugpjūčio 25 d. sprendimu Nr. T-325 „Dėl 2015–2024 metų Šiaulių miesto strateginio plėtros plano patvirtinimo“, yra numatytas prioritetas kurti saugų miestą, t. y. „kurti draugišką gamtai kokybišką gyvenamąją aplinką“. Analizuojant iškeltus tikslus oro taršos mažinimo kontekste, išskirtinas siekis vystyti ir puoselėti gyvenamąją ir viešąją aplinką, patrauklią gyventi, dirbti, tobulėti, kuris pasiekiamas įgyvendinant tokius uždavinius, susijusius su oro taršos mažinimu:</w:t>
      </w:r>
    </w:p>
    <w:p w:rsidR="000E7C4C" w:rsidRDefault="003C3EA6">
      <w:pPr>
        <w:tabs>
          <w:tab w:val="left" w:pos="851"/>
        </w:tabs>
        <w:ind w:firstLine="567"/>
        <w:jc w:val="both"/>
        <w:rPr>
          <w:color w:val="000000"/>
          <w:szCs w:val="21"/>
        </w:rPr>
      </w:pPr>
      <w:r>
        <w:rPr>
          <w:color w:val="000000"/>
          <w:szCs w:val="21"/>
        </w:rPr>
        <w:t>19.1</w:t>
      </w:r>
      <w:r>
        <w:rPr>
          <w:color w:val="000000"/>
          <w:szCs w:val="21"/>
        </w:rPr>
        <w:t>. skatinti patogaus ir energetiškai efektyvaus būsto plėtrą, kuri apima būsto renovavimą;</w:t>
      </w:r>
    </w:p>
    <w:p w:rsidR="000E7C4C" w:rsidRDefault="003C3EA6">
      <w:pPr>
        <w:tabs>
          <w:tab w:val="left" w:pos="851"/>
        </w:tabs>
        <w:ind w:firstLine="567"/>
        <w:jc w:val="both"/>
        <w:rPr>
          <w:color w:val="000000"/>
          <w:szCs w:val="21"/>
        </w:rPr>
      </w:pPr>
      <w:r>
        <w:rPr>
          <w:color w:val="000000"/>
          <w:szCs w:val="21"/>
        </w:rPr>
        <w:t>19.2</w:t>
      </w:r>
      <w:r>
        <w:rPr>
          <w:color w:val="000000"/>
          <w:szCs w:val="21"/>
        </w:rPr>
        <w:t>. atnaujinti ir plėsti sporto objektų infrastruktūrą mieste, mažinant šilumos energijos sunaudojimą sporto įstaigose;</w:t>
      </w:r>
    </w:p>
    <w:p w:rsidR="000E7C4C" w:rsidRDefault="003C3EA6">
      <w:pPr>
        <w:tabs>
          <w:tab w:val="left" w:pos="851"/>
        </w:tabs>
        <w:ind w:firstLine="567"/>
        <w:jc w:val="both"/>
        <w:rPr>
          <w:color w:val="000000"/>
          <w:szCs w:val="21"/>
        </w:rPr>
      </w:pPr>
      <w:r>
        <w:rPr>
          <w:color w:val="000000"/>
          <w:szCs w:val="21"/>
        </w:rPr>
        <w:t>19.3</w:t>
      </w:r>
      <w:r>
        <w:rPr>
          <w:color w:val="000000"/>
          <w:szCs w:val="21"/>
        </w:rPr>
        <w:t>. atnaujinti socialinių paslaugų įstaigų pastatus ir plėsti socialinio būsto fondą, mažinant šilumos energijos sunaudojimą socialinių paslaugų įstaigose;</w:t>
      </w:r>
    </w:p>
    <w:p w:rsidR="000E7C4C" w:rsidRDefault="003C3EA6">
      <w:pPr>
        <w:tabs>
          <w:tab w:val="left" w:pos="851"/>
        </w:tabs>
        <w:ind w:firstLine="567"/>
        <w:jc w:val="both"/>
        <w:rPr>
          <w:color w:val="000000"/>
          <w:szCs w:val="21"/>
        </w:rPr>
      </w:pPr>
      <w:r>
        <w:rPr>
          <w:color w:val="000000"/>
          <w:szCs w:val="21"/>
        </w:rPr>
        <w:t>19.4</w:t>
      </w:r>
      <w:r>
        <w:rPr>
          <w:color w:val="000000"/>
          <w:szCs w:val="21"/>
        </w:rPr>
        <w:t>. gerinti sveikatos įstaigų infrastruktūrą ir didinti pastatų energetinį efektyvumą, mažinant šilumos energijos sunaudojimą sveikatos įstaigose;</w:t>
      </w:r>
    </w:p>
    <w:p w:rsidR="000E7C4C" w:rsidRDefault="003C3EA6">
      <w:pPr>
        <w:tabs>
          <w:tab w:val="left" w:pos="851"/>
        </w:tabs>
        <w:ind w:firstLine="567"/>
        <w:jc w:val="both"/>
        <w:rPr>
          <w:color w:val="000000"/>
          <w:szCs w:val="21"/>
        </w:rPr>
      </w:pPr>
      <w:r>
        <w:rPr>
          <w:color w:val="000000"/>
          <w:szCs w:val="21"/>
        </w:rPr>
        <w:t>19.5</w:t>
      </w:r>
      <w:r>
        <w:rPr>
          <w:color w:val="000000"/>
          <w:szCs w:val="21"/>
        </w:rPr>
        <w:t>. didinti švietimo įstaigų pastatų energetinį efektyvumą, mažinant šilumos energijos sunaudojimą švietimo įstaigose;</w:t>
      </w:r>
    </w:p>
    <w:p w:rsidR="000E7C4C" w:rsidRDefault="003C3EA6">
      <w:pPr>
        <w:tabs>
          <w:tab w:val="left" w:pos="851"/>
        </w:tabs>
        <w:ind w:firstLine="567"/>
        <w:jc w:val="both"/>
        <w:rPr>
          <w:color w:val="000000"/>
          <w:szCs w:val="21"/>
        </w:rPr>
      </w:pPr>
      <w:r>
        <w:rPr>
          <w:color w:val="000000"/>
          <w:szCs w:val="21"/>
        </w:rPr>
        <w:t>19.6</w:t>
      </w:r>
      <w:r>
        <w:rPr>
          <w:color w:val="000000"/>
          <w:szCs w:val="21"/>
        </w:rPr>
        <w:t>. didinti kultūros įstaigų pastatų energetinį efektyvumą, mažinant šilumos energijos sunaudojimą kultūros įstaigose.</w:t>
      </w:r>
    </w:p>
    <w:p w:rsidR="000E7C4C" w:rsidRDefault="003C3EA6">
      <w:pPr>
        <w:ind w:firstLine="567"/>
        <w:jc w:val="both"/>
        <w:rPr>
          <w:color w:val="000000"/>
          <w:szCs w:val="21"/>
        </w:rPr>
      </w:pPr>
      <w:r>
        <w:rPr>
          <w:color w:val="000000"/>
          <w:szCs w:val="21"/>
        </w:rPr>
        <w:t>20</w:t>
      </w:r>
      <w:r>
        <w:rPr>
          <w:color w:val="000000"/>
          <w:szCs w:val="21"/>
        </w:rPr>
        <w:t>. Kitas tikslas, iškeltas 2015–2024 metų Šiaulių miesto strateginiame plėtros plane, yra sukurti ir išlaikyti patogią, draugišką aplinkai, visiems prieinamą ir saugią susisiekimo sistemą, įgyvendinant tokį uždavinį – mažinti transporto neigiamą poveikį aplinkai, kuriant tinkamą infrastruktūrą, mažinant automobilių spūstis miesto centre, dengiant gatves asfaltu.</w:t>
      </w:r>
    </w:p>
    <w:p w:rsidR="000E7C4C" w:rsidRDefault="003C3EA6">
      <w:pPr>
        <w:ind w:firstLine="567"/>
        <w:jc w:val="both"/>
        <w:rPr>
          <w:color w:val="000000"/>
          <w:szCs w:val="21"/>
        </w:rPr>
      </w:pPr>
      <w:r>
        <w:rPr>
          <w:color w:val="000000"/>
          <w:szCs w:val="21"/>
        </w:rPr>
        <w:t>21</w:t>
      </w:r>
      <w:r>
        <w:rPr>
          <w:color w:val="000000"/>
          <w:szCs w:val="21"/>
        </w:rPr>
        <w:t>.</w:t>
      </w:r>
      <w:r>
        <w:rPr>
          <w:b/>
          <w:color w:val="000000"/>
          <w:szCs w:val="21"/>
        </w:rPr>
        <w:t xml:space="preserve"> Šiaulių miesto strateginiame veiklos plane 2017–2019 metams</w:t>
      </w:r>
      <w:r>
        <w:rPr>
          <w:color w:val="000000"/>
          <w:szCs w:val="21"/>
        </w:rPr>
        <w:t>, patvirtintame Šiaulių miesto savivaldybės tarybos 2017 m. vasario 2 d. sprendimu Nr. T-4 „Dėl Šiaulių miesto strateginio veiklos plano 2017–2019 metams patvirtinimo“, nurodoma, kad siekiant užtikrinti efektyvią rajono viešąją bei energetinę infrastruktūrą, bus atliekami jos modernizavimo darbai, efektyvinant šilumos energijos suvartojimą, skatinant alternatyvių ir atsinaujinančių energijos išteklių naudojimą, gamybą ir skirstymą Šiaulių rajone, įgyvendinant kitas veiklas, kurios prisidėtų prie tausaus energijos vartojimo.</w:t>
      </w:r>
    </w:p>
    <w:p w:rsidR="000E7C4C" w:rsidRDefault="003C3EA6">
      <w:pPr>
        <w:tabs>
          <w:tab w:val="left" w:pos="851"/>
        </w:tabs>
        <w:ind w:firstLine="567"/>
        <w:jc w:val="both"/>
        <w:rPr>
          <w:color w:val="000000"/>
          <w:szCs w:val="21"/>
        </w:rPr>
      </w:pPr>
      <w:r>
        <w:rPr>
          <w:color w:val="000000"/>
          <w:szCs w:val="21"/>
        </w:rPr>
        <w:t>22</w:t>
      </w:r>
      <w:r>
        <w:rPr>
          <w:color w:val="000000"/>
          <w:szCs w:val="21"/>
        </w:rPr>
        <w:t>.</w:t>
      </w:r>
      <w:r>
        <w:rPr>
          <w:b/>
          <w:color w:val="000000"/>
          <w:szCs w:val="21"/>
        </w:rPr>
        <w:t xml:space="preserve"> Patikslintoje aplinkos oro kokybės valdymo Šiaulių mieste programoje</w:t>
      </w:r>
      <w:r>
        <w:rPr>
          <w:color w:val="000000"/>
          <w:szCs w:val="21"/>
        </w:rPr>
        <w:t xml:space="preserve"> ir jos įgyvendinimo priemonių plane, patvirtintame Šiaulių miesto savivaldybės tarybos 2014 m. gruodžio 18 d. sprendimu Nr. T-384 „Dėl patikslintos aplinkos oro kokybės valdymo Šiaulių mieste programos ir jos įgyvendinimo priemonių plano patvirtinimo“,</w:t>
      </w:r>
      <w:r>
        <w:rPr>
          <w:b/>
          <w:color w:val="000000"/>
          <w:szCs w:val="21"/>
        </w:rPr>
        <w:t xml:space="preserve"> </w:t>
      </w:r>
      <w:r>
        <w:rPr>
          <w:color w:val="000000"/>
          <w:szCs w:val="21"/>
        </w:rPr>
        <w:t>iki 2020 m. yra numatytos dviejų tipų priemonės: techninės ir organizacinės. Techninės priemonės apima priemones, skirtas gatvių priežiūrai, oro kokybės stebėsenai, įsigyjant reikiamus įrenginius, parengiant būtinus planus. Organizacinės priemonės apima priemones, skirtas visuomenei informuoti ir šviesti, taip pat stebėsenai ir kontrolei (žr. 3 lent.).</w:t>
      </w:r>
    </w:p>
    <w:p w:rsidR="000E7C4C" w:rsidRDefault="000E7C4C">
      <w:pPr>
        <w:jc w:val="both"/>
        <w:rPr>
          <w:color w:val="000000"/>
          <w:szCs w:val="21"/>
        </w:rPr>
      </w:pPr>
    </w:p>
    <w:p w:rsidR="000E7C4C" w:rsidRDefault="003C3EA6">
      <w:pPr>
        <w:jc w:val="both"/>
        <w:rPr>
          <w:color w:val="000000"/>
          <w:szCs w:val="24"/>
        </w:rPr>
      </w:pPr>
      <w:r>
        <w:rPr>
          <w:color w:val="000000"/>
          <w:szCs w:val="24"/>
        </w:rPr>
        <w:t>3 lentelė. Patikslintoje aplinkos oro kokybės valdymo Šiaulių mieste programoje ir jos įgyvendinimo priemonių plane numatytos priemonės</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729"/>
        <w:gridCol w:w="7938"/>
      </w:tblGrid>
      <w:tr w:rsidR="000E7C4C">
        <w:trPr>
          <w:tblHeader/>
          <w:jc w:val="center"/>
        </w:trPr>
        <w:tc>
          <w:tcPr>
            <w:tcW w:w="1729"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color w:val="FFFFFF"/>
                <w:sz w:val="20"/>
              </w:rPr>
              <w:t>Priemonių tipas</w:t>
            </w:r>
          </w:p>
        </w:tc>
        <w:tc>
          <w:tcPr>
            <w:tcW w:w="7938"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color w:val="FFFFFF"/>
                <w:sz w:val="20"/>
              </w:rPr>
              <w:t>Numatytos priemonės, skirtos oro taršai mažinti</w:t>
            </w:r>
          </w:p>
        </w:tc>
      </w:tr>
      <w:tr w:rsidR="000E7C4C">
        <w:trPr>
          <w:jc w:val="center"/>
        </w:trPr>
        <w:tc>
          <w:tcPr>
            <w:tcW w:w="1729"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Techninės</w:t>
            </w:r>
          </w:p>
        </w:tc>
        <w:tc>
          <w:tcPr>
            <w:tcW w:w="7938"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rPr>
            </w:pPr>
            <w:r>
              <w:rPr>
                <w:color w:val="000000"/>
                <w:sz w:val="20"/>
              </w:rPr>
              <w:t xml:space="preserve">Įgyvendinant ES lėšomis finansuojamą priemonę „Aplinkos oro kokybės gerinimas“, įsigyti </w:t>
            </w:r>
            <w:proofErr w:type="spellStart"/>
            <w:r>
              <w:rPr>
                <w:color w:val="000000"/>
                <w:sz w:val="20"/>
              </w:rPr>
              <w:t>inovatyvių</w:t>
            </w:r>
            <w:proofErr w:type="spellEnd"/>
            <w:r>
              <w:rPr>
                <w:color w:val="000000"/>
                <w:sz w:val="20"/>
              </w:rPr>
              <w:t xml:space="preserve"> technologijų gatvių/šaligatvių valymo mašinas</w:t>
            </w:r>
          </w:p>
          <w:p w:rsidR="000E7C4C" w:rsidRDefault="003C3EA6">
            <w:pPr>
              <w:jc w:val="both"/>
              <w:rPr>
                <w:color w:val="000000"/>
                <w:sz w:val="20"/>
              </w:rPr>
            </w:pPr>
            <w:r>
              <w:rPr>
                <w:color w:val="000000"/>
                <w:sz w:val="20"/>
              </w:rPr>
              <w:t>Įgyvendinant ES lėšomis finansuojamą priemonę „Aplinkos oro kokybės gerinimas“, atnaujinti Šiaulių miesto aplinkos oro kokybės stebėsenos įrangą</w:t>
            </w:r>
          </w:p>
          <w:p w:rsidR="000E7C4C" w:rsidRDefault="003C3EA6">
            <w:pPr>
              <w:jc w:val="both"/>
              <w:rPr>
                <w:color w:val="000000"/>
                <w:sz w:val="20"/>
              </w:rPr>
            </w:pPr>
            <w:r>
              <w:rPr>
                <w:color w:val="000000"/>
                <w:sz w:val="20"/>
              </w:rPr>
              <w:t>Pavasarinio purvo valymo metu statyti stovėjimą draudžiančius ženklus porinėmis/neporinėmis dienomis</w:t>
            </w:r>
          </w:p>
          <w:p w:rsidR="000E7C4C" w:rsidRDefault="003C3EA6">
            <w:pPr>
              <w:jc w:val="both"/>
              <w:rPr>
                <w:color w:val="000000"/>
                <w:sz w:val="20"/>
              </w:rPr>
            </w:pPr>
            <w:r>
              <w:rPr>
                <w:color w:val="000000"/>
                <w:sz w:val="20"/>
              </w:rPr>
              <w:t>Vykdyti intensyvesnį gatvių plovimą</w:t>
            </w:r>
          </w:p>
          <w:p w:rsidR="000E7C4C" w:rsidRDefault="003C3EA6">
            <w:pPr>
              <w:jc w:val="both"/>
              <w:rPr>
                <w:color w:val="000000"/>
                <w:sz w:val="20"/>
              </w:rPr>
            </w:pPr>
            <w:r>
              <w:rPr>
                <w:color w:val="000000"/>
                <w:sz w:val="20"/>
              </w:rPr>
              <w:t>Parengti eismo organizavimo planą oro taršos mažinimo aspektu ir jį įgyvendinti</w:t>
            </w:r>
          </w:p>
          <w:p w:rsidR="000E7C4C" w:rsidRDefault="003C3EA6">
            <w:pPr>
              <w:jc w:val="both"/>
              <w:rPr>
                <w:color w:val="000000"/>
                <w:sz w:val="20"/>
              </w:rPr>
            </w:pPr>
            <w:r>
              <w:rPr>
                <w:color w:val="000000"/>
                <w:sz w:val="20"/>
              </w:rPr>
              <w:t xml:space="preserve">Parengti </w:t>
            </w:r>
            <w:proofErr w:type="spellStart"/>
            <w:r>
              <w:rPr>
                <w:color w:val="000000"/>
                <w:sz w:val="20"/>
              </w:rPr>
              <w:t>Judumo</w:t>
            </w:r>
            <w:proofErr w:type="spellEnd"/>
            <w:r>
              <w:rPr>
                <w:color w:val="000000"/>
                <w:sz w:val="20"/>
              </w:rPr>
              <w:t xml:space="preserve"> planą ir jį įgyvendinti</w:t>
            </w:r>
          </w:p>
          <w:p w:rsidR="000E7C4C" w:rsidRDefault="003C3EA6">
            <w:pPr>
              <w:jc w:val="both"/>
              <w:rPr>
                <w:color w:val="000000"/>
                <w:sz w:val="20"/>
              </w:rPr>
            </w:pPr>
            <w:r>
              <w:rPr>
                <w:color w:val="000000"/>
                <w:sz w:val="20"/>
              </w:rPr>
              <w:t>Prie gatvių sodinti želdinius</w:t>
            </w:r>
          </w:p>
        </w:tc>
      </w:tr>
      <w:tr w:rsidR="000E7C4C">
        <w:trPr>
          <w:jc w:val="center"/>
        </w:trPr>
        <w:tc>
          <w:tcPr>
            <w:tcW w:w="1729"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Organizacinės</w:t>
            </w:r>
          </w:p>
        </w:tc>
        <w:tc>
          <w:tcPr>
            <w:tcW w:w="7938"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rPr>
            </w:pPr>
            <w:r>
              <w:rPr>
                <w:color w:val="000000"/>
                <w:sz w:val="20"/>
              </w:rPr>
              <w:t>Įgyvendinant ES lėšomis finansuojamą priemonę „Aplinkos oro kokybės gerinimas“, vykdyti visuomenės švietimo ir informavimo priemones</w:t>
            </w:r>
          </w:p>
          <w:p w:rsidR="000E7C4C" w:rsidRDefault="003C3EA6">
            <w:pPr>
              <w:jc w:val="both"/>
              <w:rPr>
                <w:color w:val="000000"/>
                <w:sz w:val="20"/>
              </w:rPr>
            </w:pPr>
            <w:r>
              <w:rPr>
                <w:color w:val="000000"/>
                <w:sz w:val="20"/>
              </w:rPr>
              <w:t xml:space="preserve">Įgyvendinant ES lėšomis finansuojamą priemonę „Aplinkos oro kokybės gerinimas“, parengti aplinkos oro kokybės gerinimo programą </w:t>
            </w:r>
          </w:p>
          <w:p w:rsidR="000E7C4C" w:rsidRDefault="003C3EA6">
            <w:pPr>
              <w:jc w:val="both"/>
              <w:rPr>
                <w:color w:val="000000"/>
                <w:sz w:val="20"/>
              </w:rPr>
            </w:pPr>
            <w:r>
              <w:rPr>
                <w:color w:val="000000"/>
                <w:sz w:val="20"/>
              </w:rPr>
              <w:t>Įgyvendinant ES lėšomis finansuojamą priemonę „Aplinkos oro kokybės gerinimas“, atlikti Šiaulių miesto individualių namų inventorizaciją</w:t>
            </w:r>
          </w:p>
          <w:p w:rsidR="000E7C4C" w:rsidRDefault="003C3EA6">
            <w:pPr>
              <w:jc w:val="both"/>
              <w:rPr>
                <w:color w:val="000000"/>
                <w:sz w:val="20"/>
              </w:rPr>
            </w:pPr>
            <w:r>
              <w:rPr>
                <w:color w:val="000000"/>
                <w:sz w:val="20"/>
              </w:rPr>
              <w:t xml:space="preserve">Dalyvauti  Šiaulių apskrities priešgaisrinės gelbėjimo valdybos organizuojamuose reiduose </w:t>
            </w:r>
          </w:p>
          <w:p w:rsidR="000E7C4C" w:rsidRDefault="003C3EA6">
            <w:pPr>
              <w:jc w:val="both"/>
              <w:rPr>
                <w:color w:val="000000"/>
                <w:sz w:val="20"/>
              </w:rPr>
            </w:pPr>
            <w:r>
              <w:rPr>
                <w:color w:val="000000"/>
                <w:sz w:val="20"/>
              </w:rPr>
              <w:t>Teikti individualių namų gyventojams palyginamąją informaciją ekonominiu, aplinkosauginiu, sveikatos požiūriu apie skirtingų kuro rūšių (dujų, malkų, anglių, elektros ir t.t.) naudojimą</w:t>
            </w:r>
          </w:p>
          <w:p w:rsidR="000E7C4C" w:rsidRDefault="003C3EA6">
            <w:pPr>
              <w:jc w:val="both"/>
              <w:rPr>
                <w:color w:val="000000"/>
                <w:sz w:val="20"/>
              </w:rPr>
            </w:pPr>
            <w:r>
              <w:rPr>
                <w:color w:val="000000"/>
                <w:sz w:val="20"/>
              </w:rPr>
              <w:t>Internetinėje svetainėje skelbti aplinkos oro taršos indeksą, teikiant informaciją apie užteršto oro pavojus, prevenciją</w:t>
            </w:r>
          </w:p>
        </w:tc>
      </w:tr>
    </w:tbl>
    <w:p w:rsidR="000E7C4C" w:rsidRDefault="003C3EA6">
      <w:pPr>
        <w:jc w:val="center"/>
        <w:rPr>
          <w:color w:val="000000"/>
          <w:sz w:val="20"/>
        </w:rPr>
      </w:pPr>
      <w:r>
        <w:rPr>
          <w:color w:val="000000"/>
          <w:sz w:val="20"/>
        </w:rPr>
        <w:t>(Šaltinis: Patikslinta aplinkos oro kokybės valdymo Šiaulių mieste programa ir jos įgyvendinimo priemonių planas)</w:t>
      </w:r>
    </w:p>
    <w:p w:rsidR="000E7C4C" w:rsidRDefault="003C3EA6">
      <w:pPr>
        <w:ind w:left="720"/>
        <w:jc w:val="both"/>
        <w:rPr>
          <w:color w:val="000000"/>
          <w:szCs w:val="21"/>
        </w:rPr>
      </w:pPr>
    </w:p>
    <w:p w:rsidR="000E7C4C" w:rsidRDefault="003C3EA6">
      <w:pPr>
        <w:ind w:firstLine="567"/>
        <w:jc w:val="both"/>
        <w:rPr>
          <w:color w:val="000000"/>
          <w:szCs w:val="21"/>
        </w:rPr>
      </w:pPr>
      <w:r>
        <w:rPr>
          <w:color w:val="000000"/>
          <w:szCs w:val="21"/>
        </w:rPr>
        <w:t>23</w:t>
      </w:r>
      <w:r>
        <w:rPr>
          <w:color w:val="000000"/>
          <w:szCs w:val="21"/>
        </w:rPr>
        <w:t>. Pažymėtina, kad Šiaulių miesto savivaldybė nėra parengusi atsinaujinančių išteklių energijos plėtros programos, kadangi vertinant programos rengimo reikalavimus ir nustatytus pasiekti tikslus, buvo konstatuota, kad Šiaulių mieste šie tikslai bus pasiekti esant dabartinei išvystymo būklei šioje srityje.</w:t>
      </w:r>
    </w:p>
    <w:p w:rsidR="000E7C4C" w:rsidRDefault="003C3EA6">
      <w:pPr>
        <w:ind w:firstLine="567"/>
        <w:jc w:val="both"/>
        <w:rPr>
          <w:color w:val="000000"/>
          <w:szCs w:val="21"/>
        </w:rPr>
      </w:pPr>
      <w:r>
        <w:rPr>
          <w:color w:val="000000"/>
          <w:szCs w:val="21"/>
        </w:rPr>
        <w:t>24</w:t>
      </w:r>
      <w:r>
        <w:rPr>
          <w:color w:val="000000"/>
          <w:szCs w:val="21"/>
        </w:rPr>
        <w:t>.</w:t>
      </w:r>
      <w:r>
        <w:rPr>
          <w:b/>
          <w:color w:val="000000"/>
          <w:szCs w:val="21"/>
        </w:rPr>
        <w:t xml:space="preserve"> Energijos rūšies parinkimo ir panaudojimo Šiaulių mieste specialiajame plane</w:t>
      </w:r>
      <w:r>
        <w:rPr>
          <w:color w:val="000000"/>
          <w:szCs w:val="21"/>
        </w:rPr>
        <w:t xml:space="preserve">, patvirtintame Šiaulių miesto savivaldybės tarybos 2015 m. birželio 25 d. sprendimu Nr. T-198 „Dėl Energijos rūšies parinkimo ir panaudojimo Šiaulių mieste specialiojo plano ir reglamento koregavimo patvirtinimo“  numatyti tam tikri apribojimai dėl kuro pasirinkimo, sąlygoti oro teršalų koncentracijų. Dalyje CŠT zonos teritorijos </w:t>
      </w:r>
      <w:r>
        <w:rPr>
          <w:b/>
          <w:i/>
          <w:color w:val="000000"/>
          <w:szCs w:val="21"/>
        </w:rPr>
        <w:t xml:space="preserve">neleistina </w:t>
      </w:r>
      <w:r>
        <w:rPr>
          <w:color w:val="000000"/>
          <w:szCs w:val="21"/>
        </w:rPr>
        <w:t xml:space="preserve">įrengti kietojo, skystojo ir dujinio kuro katilinių, nes šioje zonoje jau šiuo metu aplinkos oro užterštumas tiek kietosiomis dalelėmis, tiek azoto dioksidu viršija nustatytas ribines aplinkos oro užterštumo vertes arba yra artimas joms. Kitoje CŠT zonos teritorijos dalyje dėl padidintos kietųjų dalelių koncentracijos, kuri viršija paros ribinę vertę, </w:t>
      </w:r>
      <w:r>
        <w:rPr>
          <w:b/>
          <w:i/>
          <w:color w:val="000000"/>
          <w:szCs w:val="21"/>
        </w:rPr>
        <w:t>neleistina</w:t>
      </w:r>
      <w:r>
        <w:rPr>
          <w:color w:val="000000"/>
          <w:szCs w:val="21"/>
        </w:rPr>
        <w:t xml:space="preserve"> įrengti kieto kuro (tame tarpe ir biokuro) katilinių. Tuo metu didžiojoje teritorijos dalyje nagrinėjant ne CŠT aprūpinimo šiluma būdą suteikiama pirmenybė ekologiškai švariems energijos šaltiniams (išskyrus kietąjį biokurą) bei gamtinių dujų kurui. Planuojant šiose zonose įrengti kietojo biokuro katilines, būtina papildomai įrengti ne mažesnio 85 proc. efektyvumo dūmų valymo nuo kietųjų dalelių įrenginius. Konkurencinės zonos teritorijose, kuriose vidutinė metinė kietųjų dalelių koncentracija viršija ribinę aplinkos oro užterštumo vertę, </w:t>
      </w:r>
      <w:r>
        <w:rPr>
          <w:b/>
          <w:i/>
          <w:color w:val="000000"/>
          <w:szCs w:val="21"/>
        </w:rPr>
        <w:t xml:space="preserve">neleistina </w:t>
      </w:r>
      <w:r>
        <w:rPr>
          <w:color w:val="000000"/>
          <w:szCs w:val="21"/>
        </w:rPr>
        <w:t>įrengti kieto kuro (tarp jų biokuro) katilinių. Tuo metu teritorijose, kuriose vidutinė metinė kietųjų dalelių (KD</w:t>
      </w:r>
      <w:r>
        <w:rPr>
          <w:color w:val="000000"/>
          <w:szCs w:val="21"/>
          <w:vertAlign w:val="subscript"/>
        </w:rPr>
        <w:t>10</w:t>
      </w:r>
      <w:r>
        <w:rPr>
          <w:color w:val="000000"/>
          <w:szCs w:val="21"/>
        </w:rPr>
        <w:t>) koncentracija ribinių aplinkos oro užterštumo verčių neviršija, nagrinėjant ne CŠT aprūpinimo šiluma būdą, suteikiama pirmenybė ekologiškai švariems energijos šaltiniams (išskyrus kietąjį biokurą) bei gamtinių dujų kurui. Planuojant šiose zonose įrengti kietojo kuro (tame tarpe ir biokuro) katilines, būtina papildomai įrengti ne mažesnio 85 proc. efektyvumo dūmų valymo nuo kietųjų dalelių įrenginius. Tokie pat apribojimai taikomi šilumos gamybos naudojant gamtines dujas zonose. Ne CŠT aprūpinimo šiluma zonoje esami ir nauji vartotojai aprūpinami šiluma iš vietinių ir individualių šilumos šaltinių, nenustatant jokių papildomų reikalavimų.</w:t>
      </w:r>
    </w:p>
    <w:p w:rsidR="000E7C4C" w:rsidRDefault="003C3EA6">
      <w:pPr>
        <w:jc w:val="both"/>
        <w:rPr>
          <w:color w:val="000000"/>
          <w:szCs w:val="21"/>
        </w:rPr>
      </w:pPr>
    </w:p>
    <w:p w:rsidR="000E7C4C" w:rsidRDefault="003C3EA6">
      <w:pPr>
        <w:keepNext/>
        <w:keepLines/>
        <w:jc w:val="center"/>
        <w:outlineLvl w:val="6"/>
        <w:rPr>
          <w:b/>
          <w:iCs/>
          <w:color w:val="000000"/>
          <w:szCs w:val="21"/>
        </w:rPr>
      </w:pPr>
      <w:r>
        <w:rPr>
          <w:b/>
          <w:iCs/>
          <w:color w:val="000000"/>
          <w:szCs w:val="21"/>
        </w:rPr>
        <w:t>PENKTASIS</w:t>
      </w:r>
      <w:r>
        <w:rPr>
          <w:b/>
          <w:iCs/>
          <w:color w:val="000000"/>
          <w:szCs w:val="21"/>
        </w:rPr>
        <w:t xml:space="preserve"> SKIRSNIS</w:t>
      </w:r>
    </w:p>
    <w:p w:rsidR="000E7C4C" w:rsidRDefault="003C3EA6">
      <w:pPr>
        <w:keepNext/>
        <w:keepLines/>
        <w:jc w:val="center"/>
        <w:outlineLvl w:val="6"/>
        <w:rPr>
          <w:b/>
          <w:iCs/>
          <w:color w:val="000000"/>
          <w:szCs w:val="21"/>
        </w:rPr>
      </w:pPr>
      <w:r>
        <w:rPr>
          <w:b/>
          <w:iCs/>
          <w:color w:val="000000"/>
          <w:szCs w:val="21"/>
        </w:rPr>
        <w:t>ORO TARŠOS MAŽINIMO PRIEMONĖS PANEVĖŽIO MIESTO SAVIVALDYBĖJE</w:t>
      </w:r>
    </w:p>
    <w:p w:rsidR="000E7C4C" w:rsidRDefault="000E7C4C">
      <w:pPr>
        <w:ind w:left="720"/>
        <w:jc w:val="both"/>
        <w:rPr>
          <w:color w:val="000000"/>
          <w:szCs w:val="21"/>
        </w:rPr>
      </w:pPr>
    </w:p>
    <w:p w:rsidR="000E7C4C" w:rsidRDefault="003C3EA6">
      <w:pPr>
        <w:ind w:firstLine="567"/>
        <w:jc w:val="both"/>
        <w:rPr>
          <w:color w:val="000000"/>
          <w:szCs w:val="21"/>
        </w:rPr>
      </w:pPr>
      <w:r>
        <w:rPr>
          <w:color w:val="000000"/>
          <w:szCs w:val="21"/>
        </w:rPr>
        <w:t>25</w:t>
      </w:r>
      <w:r>
        <w:rPr>
          <w:color w:val="000000"/>
          <w:szCs w:val="21"/>
        </w:rPr>
        <w:t>.</w:t>
      </w:r>
      <w:r>
        <w:rPr>
          <w:b/>
          <w:color w:val="000000"/>
          <w:szCs w:val="21"/>
        </w:rPr>
        <w:t xml:space="preserve"> Panevėžio miesto plėtros 2014–2020 metų strateginiame plane</w:t>
      </w:r>
      <w:r>
        <w:rPr>
          <w:color w:val="000000"/>
          <w:szCs w:val="21"/>
        </w:rPr>
        <w:t xml:space="preserve">, patvirtintame Panevėžio miesto savivaldybės tarybos 2013 m. spalio 10 d. sprendimu Nr. 1-280 „Dėl </w:t>
      </w:r>
      <w:r>
        <w:rPr>
          <w:color w:val="000000"/>
          <w:szCs w:val="24"/>
        </w:rPr>
        <w:t>Panevėžio miesto plėtros 2014–2020 metų strateginio plano patvirtinimo”</w:t>
      </w:r>
      <w:r>
        <w:rPr>
          <w:color w:val="000000"/>
          <w:szCs w:val="21"/>
        </w:rPr>
        <w:t>, yra numatytas prioritetas, kurio įgyvendinimui numatyti tikslai, uždaviniai ir priemonės prisidės prie oro taršos mažinimo – darni miesto teritorijų ir infrastruktūros plėtra. Pažymėtina, kad nustatyti tikslai apima miesto inžinerinės infrastruktūros plėtros ir aplinkos kokybės išsaugojimo ir gerinimo siekius (žr. 4 lent.).</w:t>
      </w:r>
    </w:p>
    <w:p w:rsidR="000E7C4C" w:rsidRDefault="000E7C4C">
      <w:pPr>
        <w:ind w:left="720"/>
        <w:jc w:val="both"/>
        <w:rPr>
          <w:color w:val="000000"/>
          <w:szCs w:val="21"/>
        </w:rPr>
      </w:pPr>
    </w:p>
    <w:p w:rsidR="000E7C4C" w:rsidRDefault="003C3EA6">
      <w:pPr>
        <w:jc w:val="both"/>
        <w:rPr>
          <w:color w:val="000000"/>
        </w:rPr>
      </w:pPr>
      <w:r>
        <w:rPr>
          <w:color w:val="000000"/>
        </w:rPr>
        <w:t>4 lentelė. Panevėžio miesto plėtros 2014–2020 metų strateginiame plane numatyti uždaviniai ir priemonės</w:t>
      </w: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687"/>
        <w:gridCol w:w="1771"/>
        <w:gridCol w:w="6281"/>
      </w:tblGrid>
      <w:tr w:rsidR="000E7C4C">
        <w:trPr>
          <w:jc w:val="center"/>
        </w:trPr>
        <w:tc>
          <w:tcPr>
            <w:tcW w:w="1687"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color w:val="FFFFFF"/>
                <w:sz w:val="20"/>
              </w:rPr>
              <w:t>Tikslai</w:t>
            </w:r>
          </w:p>
        </w:tc>
        <w:tc>
          <w:tcPr>
            <w:tcW w:w="1771"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color w:val="FFFFFF"/>
                <w:sz w:val="20"/>
              </w:rPr>
              <w:t>Uždaviniai</w:t>
            </w:r>
          </w:p>
        </w:tc>
        <w:tc>
          <w:tcPr>
            <w:tcW w:w="6281"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color w:val="FFFFFF"/>
                <w:sz w:val="20"/>
              </w:rPr>
              <w:t>Numatytos priemonės, prisidedančios prie oro taršai mažinimo</w:t>
            </w:r>
          </w:p>
        </w:tc>
      </w:tr>
      <w:tr w:rsidR="000E7C4C">
        <w:trPr>
          <w:jc w:val="center"/>
        </w:trPr>
        <w:tc>
          <w:tcPr>
            <w:tcW w:w="1687"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Modernizuoti ir plėsti miesto inžinerinę infrastruktūrą</w:t>
            </w:r>
          </w:p>
        </w:tc>
        <w:tc>
          <w:tcPr>
            <w:tcW w:w="17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Atnaujinti ir plėsti energetikos infrastruktūrą</w:t>
            </w:r>
          </w:p>
        </w:tc>
        <w:tc>
          <w:tcPr>
            <w:tcW w:w="6281"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rPr>
            </w:pPr>
            <w:r>
              <w:rPr>
                <w:color w:val="000000"/>
                <w:sz w:val="20"/>
              </w:rPr>
              <w:t>Panevėžio miesto rajoninės katilinės RK-1 modernizavimas, įvedant į eksploataciją pirmą 12 MW šiluminės galios biokuro katilą</w:t>
            </w:r>
          </w:p>
          <w:p w:rsidR="000E7C4C" w:rsidRDefault="003C3EA6">
            <w:pPr>
              <w:jc w:val="both"/>
              <w:rPr>
                <w:color w:val="000000"/>
                <w:sz w:val="20"/>
              </w:rPr>
            </w:pPr>
            <w:r>
              <w:rPr>
                <w:color w:val="000000"/>
                <w:sz w:val="20"/>
              </w:rPr>
              <w:t>Panevėžio miesto rajoninės katilinės RK-1 modernizavimas, įvedant į eksploataciją antrą 12 MW šiluminės galios biokuro katilą</w:t>
            </w:r>
          </w:p>
          <w:p w:rsidR="000E7C4C" w:rsidRDefault="003C3EA6">
            <w:pPr>
              <w:jc w:val="both"/>
              <w:rPr>
                <w:color w:val="000000"/>
                <w:sz w:val="20"/>
              </w:rPr>
            </w:pPr>
            <w:r>
              <w:rPr>
                <w:color w:val="000000"/>
                <w:sz w:val="20"/>
              </w:rPr>
              <w:t>Miesto apšvietimo sistemų efektyvumo didinimas</w:t>
            </w:r>
          </w:p>
          <w:p w:rsidR="000E7C4C" w:rsidRDefault="003C3EA6">
            <w:pPr>
              <w:jc w:val="both"/>
              <w:rPr>
                <w:color w:val="000000"/>
                <w:sz w:val="20"/>
              </w:rPr>
            </w:pPr>
            <w:r>
              <w:rPr>
                <w:color w:val="000000"/>
                <w:sz w:val="20"/>
              </w:rPr>
              <w:t>Miesto daugiabučių renovacija</w:t>
            </w:r>
          </w:p>
          <w:p w:rsidR="000E7C4C" w:rsidRDefault="003C3EA6">
            <w:pPr>
              <w:jc w:val="both"/>
              <w:rPr>
                <w:color w:val="000000"/>
                <w:sz w:val="20"/>
              </w:rPr>
            </w:pPr>
            <w:r>
              <w:rPr>
                <w:color w:val="000000"/>
                <w:sz w:val="20"/>
              </w:rPr>
              <w:t>Remti atsinaujinančių energijos išteklių naudojimo, energijos vartojimo efektyvumo didinimo priemones viešuosiuose pastatuose ir daugiabučiuose namuose</w:t>
            </w:r>
          </w:p>
        </w:tc>
      </w:tr>
      <w:tr w:rsidR="000E7C4C">
        <w:trPr>
          <w:jc w:val="center"/>
        </w:trPr>
        <w:tc>
          <w:tcPr>
            <w:tcW w:w="1687"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Išsaugoti ir gerinti aplinkos kokybę</w:t>
            </w:r>
          </w:p>
        </w:tc>
        <w:tc>
          <w:tcPr>
            <w:tcW w:w="17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Numatyti ir vykdyti aplinką tausojančias priemones</w:t>
            </w:r>
          </w:p>
        </w:tc>
        <w:tc>
          <w:tcPr>
            <w:tcW w:w="6281"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rPr>
            </w:pPr>
            <w:r>
              <w:rPr>
                <w:color w:val="000000"/>
                <w:sz w:val="20"/>
              </w:rPr>
              <w:t>Vykdyti aplinkos taršos mažinimo priemones</w:t>
            </w:r>
          </w:p>
          <w:p w:rsidR="000E7C4C" w:rsidRDefault="003C3EA6">
            <w:pPr>
              <w:jc w:val="both"/>
              <w:rPr>
                <w:color w:val="000000"/>
                <w:sz w:val="20"/>
              </w:rPr>
            </w:pPr>
            <w:r>
              <w:rPr>
                <w:color w:val="000000"/>
                <w:sz w:val="20"/>
              </w:rPr>
              <w:t>Vykdyti Panevėžio miesto aplinkos monitoringą pagal parengtą ir patvirtintą programą</w:t>
            </w:r>
          </w:p>
          <w:p w:rsidR="000E7C4C" w:rsidRDefault="003C3EA6">
            <w:pPr>
              <w:jc w:val="both"/>
              <w:rPr>
                <w:color w:val="000000"/>
                <w:sz w:val="20"/>
              </w:rPr>
            </w:pPr>
            <w:r>
              <w:rPr>
                <w:color w:val="000000"/>
                <w:sz w:val="20"/>
              </w:rPr>
              <w:t>Gatvių valymo technologijų gerinimas Panevėžio mieste</w:t>
            </w:r>
          </w:p>
          <w:p w:rsidR="000E7C4C" w:rsidRDefault="003C3EA6">
            <w:pPr>
              <w:jc w:val="both"/>
              <w:rPr>
                <w:color w:val="000000"/>
                <w:sz w:val="20"/>
              </w:rPr>
            </w:pPr>
            <w:r>
              <w:rPr>
                <w:color w:val="000000"/>
                <w:sz w:val="20"/>
              </w:rPr>
              <w:t>Panevėžio miesto savivaldybės aplinkos oro kokybės valdymo programos parengimas ir priemonių įgyvendinimas</w:t>
            </w:r>
          </w:p>
        </w:tc>
      </w:tr>
      <w:tr w:rsidR="000E7C4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000000"/>
                <w:sz w:val="20"/>
              </w:rPr>
            </w:pPr>
          </w:p>
        </w:tc>
        <w:tc>
          <w:tcPr>
            <w:tcW w:w="17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Sudaryti prielaidas ekologinio transporto plėtrai</w:t>
            </w:r>
          </w:p>
        </w:tc>
        <w:tc>
          <w:tcPr>
            <w:tcW w:w="6281"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rPr>
            </w:pPr>
            <w:r>
              <w:rPr>
                <w:color w:val="000000"/>
                <w:sz w:val="20"/>
              </w:rPr>
              <w:t xml:space="preserve">Įrengti elektromobilių įkrovimo infrastruktūrą, skatinant ekologiško transporto naudojimą </w:t>
            </w:r>
          </w:p>
          <w:p w:rsidR="000E7C4C" w:rsidRDefault="003C3EA6">
            <w:pPr>
              <w:jc w:val="both"/>
              <w:rPr>
                <w:color w:val="000000"/>
                <w:sz w:val="20"/>
              </w:rPr>
            </w:pPr>
            <w:r>
              <w:rPr>
                <w:color w:val="000000"/>
                <w:sz w:val="20"/>
              </w:rPr>
              <w:t>Atnaujinti ekologiško viešojo transporto priemones</w:t>
            </w:r>
          </w:p>
        </w:tc>
      </w:tr>
    </w:tbl>
    <w:p w:rsidR="000E7C4C" w:rsidRDefault="003C3EA6">
      <w:pPr>
        <w:jc w:val="center"/>
        <w:rPr>
          <w:color w:val="000000"/>
          <w:sz w:val="20"/>
        </w:rPr>
      </w:pPr>
      <w:r>
        <w:rPr>
          <w:color w:val="000000"/>
          <w:sz w:val="20"/>
        </w:rPr>
        <w:t>(Šaltinis: Panevėžio miesto plėtros 2014-2020 metų strateginis planas)</w:t>
      </w:r>
    </w:p>
    <w:p w:rsidR="000E7C4C" w:rsidRDefault="003C3EA6">
      <w:pPr>
        <w:ind w:left="720"/>
        <w:jc w:val="both"/>
        <w:rPr>
          <w:color w:val="000000"/>
          <w:szCs w:val="21"/>
        </w:rPr>
      </w:pPr>
    </w:p>
    <w:p w:rsidR="000E7C4C" w:rsidRDefault="003C3EA6">
      <w:pPr>
        <w:ind w:firstLine="567"/>
        <w:jc w:val="both"/>
        <w:rPr>
          <w:color w:val="000000"/>
          <w:szCs w:val="21"/>
          <w:shd w:val="clear" w:color="auto" w:fill="FFFFFF"/>
        </w:rPr>
      </w:pPr>
      <w:r>
        <w:rPr>
          <w:color w:val="000000"/>
          <w:szCs w:val="21"/>
        </w:rPr>
        <w:t>26</w:t>
      </w:r>
      <w:r>
        <w:rPr>
          <w:color w:val="000000"/>
          <w:szCs w:val="21"/>
        </w:rPr>
        <w:t>.</w:t>
      </w:r>
      <w:r>
        <w:rPr>
          <w:b/>
          <w:color w:val="000000"/>
          <w:szCs w:val="21"/>
        </w:rPr>
        <w:t xml:space="preserve"> Panevėžio miesto savivaldybės 2017–2019 metų veiklos plane</w:t>
      </w:r>
      <w:r>
        <w:rPr>
          <w:color w:val="000000"/>
          <w:szCs w:val="21"/>
        </w:rPr>
        <w:t>, patvirtintame Panevėžio miesto savivaldybės tarybos 2017 m. vasario 23 d. sprendimu Nr. 1-30 „Dėl Panevėžio miesto savivaldybės 2017–2019 metų veiklos plano patvirtinimo“,</w:t>
      </w:r>
      <w:r>
        <w:rPr>
          <w:b/>
          <w:color w:val="000000"/>
          <w:szCs w:val="21"/>
        </w:rPr>
        <w:t xml:space="preserve"> </w:t>
      </w:r>
      <w:r>
        <w:rPr>
          <w:color w:val="000000"/>
          <w:szCs w:val="21"/>
        </w:rPr>
        <w:t xml:space="preserve"> s</w:t>
      </w:r>
      <w:r>
        <w:rPr>
          <w:color w:val="000000"/>
          <w:szCs w:val="21"/>
          <w:shd w:val="clear" w:color="auto" w:fill="FFFFFF"/>
        </w:rPr>
        <w:t xml:space="preserve">iekiant užtikrinti švaresnį orą mieste, </w:t>
      </w:r>
      <w:r>
        <w:rPr>
          <w:color w:val="000000"/>
          <w:szCs w:val="21"/>
        </w:rPr>
        <w:t>numatyta</w:t>
      </w:r>
      <w:r>
        <w:rPr>
          <w:color w:val="000000"/>
          <w:szCs w:val="21"/>
          <w:shd w:val="clear" w:color="auto" w:fill="FFFFFF"/>
        </w:rPr>
        <w:t>: rengti ir vykdyti aplinkos oro kokybės valdymo priemonių planą, atlikti detalius oro kokybės tyrimus, surinkti gatvių valymo atliekas, informuoti gyventojus apie galimybes prisidėti prie aplinkos oro taršos mažinimo, atnaujinti gatvių valymo automobilius.</w:t>
      </w:r>
    </w:p>
    <w:p w:rsidR="000E7C4C" w:rsidRDefault="003C3EA6">
      <w:pPr>
        <w:ind w:firstLine="567"/>
        <w:jc w:val="both"/>
        <w:rPr>
          <w:color w:val="000000"/>
          <w:szCs w:val="21"/>
        </w:rPr>
      </w:pPr>
      <w:r>
        <w:rPr>
          <w:color w:val="000000"/>
          <w:szCs w:val="21"/>
        </w:rPr>
        <w:t>27</w:t>
      </w:r>
      <w:r>
        <w:rPr>
          <w:color w:val="000000"/>
          <w:szCs w:val="21"/>
        </w:rPr>
        <w:t>.</w:t>
      </w:r>
      <w:r>
        <w:rPr>
          <w:b/>
          <w:color w:val="000000"/>
          <w:szCs w:val="21"/>
        </w:rPr>
        <w:t xml:space="preserve"> Panevėžio miesto savivaldybės aplinkos monitoringo 2015–2019 m. programoje</w:t>
      </w:r>
      <w:r>
        <w:rPr>
          <w:color w:val="000000"/>
          <w:szCs w:val="21"/>
        </w:rPr>
        <w:t xml:space="preserve">, patvirtintoje Panevėžio miesto savivaldybės tarybos 2015 m. sausio 29 d. sprendimu Nr. 1-12 „Dėl Panevėžio miesto savivaldybės aplinkos monitoringo 2015–2019 m. programos patvirtinimo“, yra iškeltas uždavinys – vykdyti Panevėžio miesto savivaldybės oro būklės monitoringą. Panevėžio miesto savivaldybėje nėra šiuo metu galiojančios oro kokybės valdymo programos. Siekiant sumažinti išmetamų teršalų kiekius į aplinką, numatyti priemones, kad nebūtų viršijamos nustatytos aplinkos oro kokybės normos, užtikrinti švaresnį orą mieste, bus atliekami aplinkos oro užterštumo lygio Panevėžio mieste detalūs tyrimai ir parengtas </w:t>
      </w:r>
      <w:r>
        <w:rPr>
          <w:b/>
          <w:color w:val="000000"/>
          <w:szCs w:val="21"/>
        </w:rPr>
        <w:t>Panevėžio miesto aplinkos oro kokybės valdymo programa bei įgyvendinimo priemonių 2019–2024 metų planas</w:t>
      </w:r>
      <w:r>
        <w:rPr>
          <w:color w:val="000000"/>
          <w:szCs w:val="21"/>
        </w:rPr>
        <w:t>.</w:t>
      </w:r>
    </w:p>
    <w:p w:rsidR="000E7C4C" w:rsidRDefault="003C3EA6">
      <w:pPr>
        <w:ind w:firstLine="567"/>
        <w:jc w:val="both"/>
        <w:rPr>
          <w:color w:val="000000"/>
          <w:szCs w:val="21"/>
        </w:rPr>
      </w:pPr>
      <w:r>
        <w:rPr>
          <w:color w:val="000000"/>
          <w:szCs w:val="21"/>
        </w:rPr>
        <w:t>28</w:t>
      </w:r>
      <w:r>
        <w:rPr>
          <w:color w:val="000000"/>
          <w:szCs w:val="21"/>
        </w:rPr>
        <w:t>.</w:t>
      </w:r>
      <w:r>
        <w:rPr>
          <w:b/>
          <w:color w:val="000000"/>
          <w:szCs w:val="21"/>
        </w:rPr>
        <w:t xml:space="preserve"> Panevėžio miesto šilumos ūkio specialiojo plano</w:t>
      </w:r>
      <w:r>
        <w:rPr>
          <w:color w:val="000000"/>
          <w:szCs w:val="21"/>
        </w:rPr>
        <w:t xml:space="preserve"> </w:t>
      </w:r>
      <w:r>
        <w:rPr>
          <w:b/>
          <w:color w:val="000000"/>
          <w:szCs w:val="21"/>
        </w:rPr>
        <w:t>aiškinamajame rašte</w:t>
      </w:r>
      <w:r>
        <w:rPr>
          <w:color w:val="000000"/>
          <w:szCs w:val="21"/>
        </w:rPr>
        <w:t>, patvirtintame Panevėžio miesto savivaldybės tarybos 2003 m. rugsėjo 25 d. sprendimu Nr. 1-7-9 „Dėl Panevėžio miesto šilumos ūkio specialiojo plano aiškinamojo rašto patvirtinimo“, numatyta, kad Panevėžio miesto savivaldybei, atstovaujančiai tiek vartotojus, tiek šilumos tiekimo įmonę, apsimoka visose nustatytose zonose išlaikyti dabartinį šilumos tiekimo būdą – CŠT. Dėl šios priežasties esminėmis šilumos ūkyje taikomomis priemonėmis turėtų būti laikomos priemonės, skirtos oro taršai iš CŠT ūkio (tiksliau katilinių) mažinti.</w:t>
      </w:r>
    </w:p>
    <w:p w:rsidR="000E7C4C" w:rsidRDefault="003C3EA6">
      <w:pPr>
        <w:ind w:firstLine="567"/>
        <w:jc w:val="both"/>
        <w:rPr>
          <w:color w:val="000000"/>
          <w:szCs w:val="21"/>
        </w:rPr>
      </w:pPr>
      <w:r>
        <w:rPr>
          <w:color w:val="000000"/>
          <w:szCs w:val="21"/>
        </w:rPr>
        <w:t>29</w:t>
      </w:r>
      <w:r>
        <w:rPr>
          <w:color w:val="000000"/>
          <w:szCs w:val="21"/>
        </w:rPr>
        <w:t xml:space="preserve">. Siekiant didinti AEI dalį bendrame energijos suvartojime ir tokiu būdu prisidėti prie oro taršos mažinimo, </w:t>
      </w:r>
      <w:r>
        <w:rPr>
          <w:b/>
          <w:color w:val="000000"/>
          <w:szCs w:val="21"/>
        </w:rPr>
        <w:t>Panevėžio miesto savivaldybės atsinaujinančių išteklių energijos naudojimo, plėtros ir aplinkos apsaugos galimybių studijoje</w:t>
      </w:r>
      <w:r>
        <w:rPr>
          <w:color w:val="000000"/>
          <w:szCs w:val="21"/>
        </w:rPr>
        <w:t>, atliktoje 2013 m. Panevėžio miesto savivaldybės administracijos užsakymu, yra siūlomos tokios priemonės, susijusios su  oro taršos mažinimu ir oro kokybės gerinimu:</w:t>
      </w:r>
    </w:p>
    <w:p w:rsidR="000E7C4C" w:rsidRDefault="003C3EA6">
      <w:pPr>
        <w:tabs>
          <w:tab w:val="left" w:pos="851"/>
        </w:tabs>
        <w:ind w:firstLine="567"/>
        <w:jc w:val="both"/>
        <w:rPr>
          <w:color w:val="000000"/>
          <w:szCs w:val="21"/>
        </w:rPr>
      </w:pPr>
      <w:r>
        <w:rPr>
          <w:color w:val="000000"/>
          <w:szCs w:val="21"/>
        </w:rPr>
        <w:t>29.1</w:t>
      </w:r>
      <w:r>
        <w:rPr>
          <w:color w:val="000000"/>
          <w:szCs w:val="21"/>
        </w:rPr>
        <w:t>. daugiabučių renovacija, mažinant šiluminės energijos sąnaudas;</w:t>
      </w:r>
    </w:p>
    <w:p w:rsidR="000E7C4C" w:rsidRDefault="003C3EA6">
      <w:pPr>
        <w:tabs>
          <w:tab w:val="left" w:pos="851"/>
        </w:tabs>
        <w:ind w:firstLine="567"/>
        <w:jc w:val="both"/>
        <w:rPr>
          <w:color w:val="000000"/>
          <w:szCs w:val="21"/>
        </w:rPr>
      </w:pPr>
      <w:r>
        <w:rPr>
          <w:color w:val="000000"/>
          <w:szCs w:val="21"/>
        </w:rPr>
        <w:t>29.2</w:t>
      </w:r>
      <w:r>
        <w:rPr>
          <w:color w:val="000000"/>
          <w:szCs w:val="21"/>
        </w:rPr>
        <w:t>. visuomeninių pastatų renovacija, mažinant pastatuose suvartojamos energijos sąnaudas;</w:t>
      </w:r>
    </w:p>
    <w:p w:rsidR="000E7C4C" w:rsidRDefault="003C3EA6">
      <w:pPr>
        <w:tabs>
          <w:tab w:val="left" w:pos="851"/>
        </w:tabs>
        <w:ind w:firstLine="567"/>
        <w:jc w:val="both"/>
        <w:rPr>
          <w:color w:val="000000"/>
          <w:szCs w:val="21"/>
        </w:rPr>
      </w:pPr>
      <w:r>
        <w:rPr>
          <w:color w:val="000000"/>
          <w:szCs w:val="21"/>
        </w:rPr>
        <w:t>29.3</w:t>
      </w:r>
      <w:r>
        <w:rPr>
          <w:color w:val="000000"/>
          <w:szCs w:val="21"/>
        </w:rPr>
        <w:t>. gatvių ir viešųjų erdvių apšvietimo lempučių keitimas bei miesto apšvietimo sistemos automatinio reguliavimo sistemos diegimas;</w:t>
      </w:r>
    </w:p>
    <w:p w:rsidR="000E7C4C" w:rsidRDefault="003C3EA6">
      <w:pPr>
        <w:tabs>
          <w:tab w:val="left" w:pos="851"/>
        </w:tabs>
        <w:ind w:firstLine="567"/>
        <w:jc w:val="both"/>
        <w:rPr>
          <w:color w:val="000000"/>
          <w:szCs w:val="21"/>
        </w:rPr>
      </w:pPr>
      <w:r>
        <w:rPr>
          <w:color w:val="000000"/>
          <w:szCs w:val="21"/>
        </w:rPr>
        <w:t>29.4</w:t>
      </w:r>
      <w:r>
        <w:rPr>
          <w:color w:val="000000"/>
          <w:szCs w:val="21"/>
        </w:rPr>
        <w:t>. į judesį reaguojančių apšvietimo reguliavimo sistemų visuomeniniuose pastatuose įrengimas;</w:t>
      </w:r>
    </w:p>
    <w:p w:rsidR="000E7C4C" w:rsidRDefault="003C3EA6">
      <w:pPr>
        <w:tabs>
          <w:tab w:val="left" w:pos="851"/>
        </w:tabs>
        <w:ind w:firstLine="567"/>
        <w:jc w:val="both"/>
        <w:rPr>
          <w:color w:val="000000"/>
          <w:szCs w:val="21"/>
        </w:rPr>
      </w:pPr>
      <w:r>
        <w:rPr>
          <w:color w:val="000000"/>
          <w:szCs w:val="21"/>
        </w:rPr>
        <w:t>29.5</w:t>
      </w:r>
      <w:r>
        <w:rPr>
          <w:color w:val="000000"/>
          <w:szCs w:val="21"/>
        </w:rPr>
        <w:t>. Panevėžio miesto įmonių informavimo apie esančias galimybes, elektros energijos iš AEI gamyboje, projektas;</w:t>
      </w:r>
    </w:p>
    <w:p w:rsidR="000E7C4C" w:rsidRDefault="003C3EA6">
      <w:pPr>
        <w:tabs>
          <w:tab w:val="left" w:pos="851"/>
        </w:tabs>
        <w:ind w:firstLine="567"/>
        <w:jc w:val="both"/>
        <w:rPr>
          <w:color w:val="000000"/>
          <w:szCs w:val="21"/>
        </w:rPr>
      </w:pPr>
      <w:r>
        <w:rPr>
          <w:color w:val="000000"/>
          <w:szCs w:val="21"/>
        </w:rPr>
        <w:t>29.6</w:t>
      </w:r>
      <w:r>
        <w:rPr>
          <w:color w:val="000000"/>
          <w:szCs w:val="21"/>
        </w:rPr>
        <w:t>. elektromobilių krovimo infrastruktūros įrengimas;</w:t>
      </w:r>
    </w:p>
    <w:p w:rsidR="000E7C4C" w:rsidRDefault="003C3EA6">
      <w:pPr>
        <w:tabs>
          <w:tab w:val="left" w:pos="851"/>
        </w:tabs>
        <w:ind w:firstLine="567"/>
        <w:jc w:val="both"/>
        <w:rPr>
          <w:color w:val="000000"/>
          <w:szCs w:val="21"/>
        </w:rPr>
      </w:pPr>
      <w:r>
        <w:rPr>
          <w:color w:val="000000"/>
          <w:szCs w:val="21"/>
        </w:rPr>
        <w:t>29.7</w:t>
      </w:r>
      <w:r>
        <w:rPr>
          <w:color w:val="000000"/>
          <w:szCs w:val="21"/>
        </w:rPr>
        <w:t>. ekologiškų viešojo transporto priemonių skaičiaus didinimas;</w:t>
      </w:r>
    </w:p>
    <w:p w:rsidR="000E7C4C" w:rsidRDefault="003C3EA6">
      <w:pPr>
        <w:tabs>
          <w:tab w:val="left" w:pos="851"/>
        </w:tabs>
        <w:ind w:firstLine="567"/>
        <w:jc w:val="both"/>
        <w:rPr>
          <w:color w:val="000000"/>
          <w:szCs w:val="21"/>
        </w:rPr>
      </w:pPr>
      <w:r>
        <w:rPr>
          <w:color w:val="000000"/>
          <w:szCs w:val="21"/>
        </w:rPr>
        <w:t>29.8</w:t>
      </w:r>
      <w:r>
        <w:rPr>
          <w:color w:val="000000"/>
          <w:szCs w:val="21"/>
        </w:rPr>
        <w:t>. dviračių naudojimo skatinimas ir infrastruktūros plėtra;</w:t>
      </w:r>
    </w:p>
    <w:p w:rsidR="000E7C4C" w:rsidRDefault="003C3EA6">
      <w:pPr>
        <w:tabs>
          <w:tab w:val="left" w:pos="851"/>
        </w:tabs>
        <w:ind w:firstLine="567"/>
        <w:jc w:val="both"/>
        <w:rPr>
          <w:color w:val="000000"/>
          <w:szCs w:val="21"/>
        </w:rPr>
      </w:pPr>
      <w:r>
        <w:rPr>
          <w:color w:val="000000"/>
          <w:szCs w:val="21"/>
        </w:rPr>
        <w:t>29.9</w:t>
      </w:r>
      <w:r>
        <w:rPr>
          <w:color w:val="000000"/>
          <w:szCs w:val="21"/>
        </w:rPr>
        <w:t>. žaliųjų zonų plėtra ir esamų atnaujinimas;</w:t>
      </w:r>
    </w:p>
    <w:p w:rsidR="000E7C4C" w:rsidRDefault="003C3EA6">
      <w:pPr>
        <w:tabs>
          <w:tab w:val="left" w:pos="851"/>
          <w:tab w:val="left" w:pos="1418"/>
        </w:tabs>
        <w:ind w:firstLine="567"/>
        <w:jc w:val="both"/>
        <w:rPr>
          <w:color w:val="000000"/>
          <w:szCs w:val="21"/>
        </w:rPr>
      </w:pPr>
      <w:r>
        <w:rPr>
          <w:color w:val="000000"/>
          <w:szCs w:val="21"/>
        </w:rPr>
        <w:t>29.10</w:t>
      </w:r>
      <w:r>
        <w:rPr>
          <w:color w:val="000000"/>
          <w:szCs w:val="21"/>
        </w:rPr>
        <w:t>. papildomų oro taršos matavimo stotelių įrengimas;</w:t>
      </w:r>
    </w:p>
    <w:p w:rsidR="000E7C4C" w:rsidRDefault="003C3EA6">
      <w:pPr>
        <w:tabs>
          <w:tab w:val="left" w:pos="851"/>
          <w:tab w:val="left" w:pos="1418"/>
        </w:tabs>
        <w:ind w:firstLine="567"/>
        <w:jc w:val="both"/>
        <w:rPr>
          <w:color w:val="000000"/>
          <w:szCs w:val="21"/>
        </w:rPr>
      </w:pPr>
      <w:r>
        <w:rPr>
          <w:color w:val="000000"/>
          <w:szCs w:val="21"/>
        </w:rPr>
        <w:t>29.11</w:t>
      </w:r>
      <w:r>
        <w:rPr>
          <w:color w:val="000000"/>
          <w:szCs w:val="21"/>
        </w:rPr>
        <w:t>. visuomenės informavimo priemonių parengimas ir įgyvendinimas.</w:t>
      </w:r>
    </w:p>
    <w:p w:rsidR="000E7C4C" w:rsidRDefault="003C3EA6">
      <w:pPr>
        <w:jc w:val="both"/>
        <w:rPr>
          <w:color w:val="000000"/>
          <w:szCs w:val="21"/>
        </w:rPr>
      </w:pPr>
    </w:p>
    <w:p w:rsidR="000E7C4C" w:rsidRDefault="003C3EA6">
      <w:pPr>
        <w:keepNext/>
        <w:keepLines/>
        <w:jc w:val="center"/>
        <w:outlineLvl w:val="6"/>
        <w:rPr>
          <w:b/>
          <w:iCs/>
          <w:color w:val="000000"/>
          <w:szCs w:val="21"/>
        </w:rPr>
      </w:pPr>
      <w:r>
        <w:rPr>
          <w:b/>
          <w:iCs/>
          <w:color w:val="000000"/>
          <w:szCs w:val="21"/>
        </w:rPr>
        <w:t>ŠEŠTASIS</w:t>
      </w:r>
      <w:r>
        <w:rPr>
          <w:b/>
          <w:iCs/>
          <w:color w:val="000000"/>
          <w:szCs w:val="21"/>
        </w:rPr>
        <w:t xml:space="preserve"> SKIRSNIS</w:t>
      </w:r>
    </w:p>
    <w:p w:rsidR="000E7C4C" w:rsidRDefault="003C3EA6">
      <w:pPr>
        <w:keepNext/>
        <w:keepLines/>
        <w:jc w:val="center"/>
        <w:outlineLvl w:val="6"/>
        <w:rPr>
          <w:b/>
          <w:iCs/>
          <w:color w:val="000000"/>
          <w:szCs w:val="21"/>
        </w:rPr>
      </w:pPr>
      <w:r>
        <w:rPr>
          <w:b/>
          <w:iCs/>
          <w:color w:val="000000"/>
          <w:szCs w:val="21"/>
        </w:rPr>
        <w:t>ORO TARŠOS MAŽINIMO PRIEMONĖS JONAVOS RAJONO SAVIVALDYBĖJE</w:t>
      </w:r>
    </w:p>
    <w:p w:rsidR="000E7C4C" w:rsidRDefault="000E7C4C">
      <w:pPr>
        <w:ind w:left="720"/>
        <w:jc w:val="both"/>
        <w:rPr>
          <w:color w:val="000000"/>
          <w:szCs w:val="21"/>
        </w:rPr>
      </w:pPr>
    </w:p>
    <w:p w:rsidR="000E7C4C" w:rsidRDefault="003C3EA6">
      <w:pPr>
        <w:ind w:firstLine="567"/>
        <w:jc w:val="both"/>
        <w:rPr>
          <w:color w:val="000000"/>
          <w:szCs w:val="21"/>
        </w:rPr>
      </w:pPr>
      <w:r>
        <w:rPr>
          <w:color w:val="000000"/>
          <w:szCs w:val="21"/>
        </w:rPr>
        <w:t>30</w:t>
      </w:r>
      <w:r>
        <w:rPr>
          <w:color w:val="000000"/>
          <w:szCs w:val="21"/>
        </w:rPr>
        <w:t>.</w:t>
      </w:r>
      <w:r>
        <w:rPr>
          <w:b/>
          <w:color w:val="000000"/>
          <w:szCs w:val="21"/>
        </w:rPr>
        <w:t xml:space="preserve"> Jonavos rajono ilgalaikiame strateginiame plėtros plane iki 2021 m.</w:t>
      </w:r>
      <w:r>
        <w:rPr>
          <w:color w:val="000000"/>
          <w:szCs w:val="21"/>
        </w:rPr>
        <w:t>, patvirtintame Jonavos rajono savivaldybės tarybos 2011 m. gegužės 26 d. sprendimu Nr. 1 TS – 186 „Dėl Jonavos rajono ilgalaikio strateginio plėtros plano iki 2021 m. patvirtinimo“,</w:t>
      </w:r>
      <w:r>
        <w:rPr>
          <w:b/>
          <w:color w:val="000000"/>
          <w:szCs w:val="21"/>
        </w:rPr>
        <w:t xml:space="preserve"> </w:t>
      </w:r>
      <w:r>
        <w:rPr>
          <w:color w:val="000000"/>
          <w:szCs w:val="21"/>
        </w:rPr>
        <w:t>yra numatyti prioritetai, tikslai ir uždaviniai, susiję su aplinkos oro kokybe (žr. 5 lent.). Oro kokybės gerinimo siekiama per dviejų prioritetų prizmę – progresyvios ir konkurencingos ekonomikos ir darnios aplinkos ir gamtos išteklių priežiūros. Pirmasis iš išvardintų prioritetas aplinkos oro kokybės kontekste apibūdinamas tokiu tikslu – susisiekimo infrastruktūros priežiūra ir modernizavimas. Antrasis iš išvardintų prioritetas aplinkos oro kokybės kontekste apibūdinamas tokiais tikslais: subalansuotos ir sveikos aplinkos Jonavos rajono savivaldybės teritorijoje siekimas ir energetikos ir šilumos ūkio modernizavimas. Siekiant gerinti oro kokybę Jonavos rajone, dėmesys sutelkiamas į susisiekimą, energetiką ir numatytų programų įgyvendinimą.</w:t>
      </w:r>
    </w:p>
    <w:p w:rsidR="000E7C4C" w:rsidRDefault="000E7C4C">
      <w:pPr>
        <w:jc w:val="both"/>
        <w:rPr>
          <w:color w:val="000000"/>
          <w:szCs w:val="21"/>
        </w:rPr>
      </w:pPr>
    </w:p>
    <w:p w:rsidR="000E7C4C" w:rsidRDefault="003C3EA6">
      <w:pPr>
        <w:rPr>
          <w:color w:val="000000"/>
        </w:rPr>
      </w:pPr>
      <w:r>
        <w:rPr>
          <w:color w:val="000000"/>
        </w:rPr>
        <w:t>5 lentelė. Jonavos rajono ilgalaikiame strateginiame plėtros plane iki 2021 m. numatyti su oro taršos mažinimu susiję uždaviniai ir numatytos priemonės</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96"/>
        <w:gridCol w:w="7371"/>
      </w:tblGrid>
      <w:tr w:rsidR="000E7C4C">
        <w:trPr>
          <w:tblHeader/>
          <w:jc w:val="center"/>
        </w:trPr>
        <w:tc>
          <w:tcPr>
            <w:tcW w:w="2296"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color w:val="FFFFFF"/>
                <w:sz w:val="20"/>
              </w:rPr>
              <w:t>Uždaviniai</w:t>
            </w:r>
          </w:p>
        </w:tc>
        <w:tc>
          <w:tcPr>
            <w:tcW w:w="7371"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color w:val="FFFFFF"/>
                <w:sz w:val="20"/>
              </w:rPr>
              <w:t>Numatytos priemonės, skirtos oro taršai mažinti</w:t>
            </w:r>
          </w:p>
        </w:tc>
      </w:tr>
      <w:tr w:rsidR="000E7C4C">
        <w:trPr>
          <w:jc w:val="center"/>
        </w:trPr>
        <w:tc>
          <w:tcPr>
            <w:tcW w:w="229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Gerinti ir plėtoti viešųjų erdvių infrastruktūrą</w:t>
            </w:r>
          </w:p>
        </w:tc>
        <w:tc>
          <w:tcPr>
            <w:tcW w:w="7371" w:type="dxa"/>
            <w:tcBorders>
              <w:top w:val="single" w:sz="4" w:space="0" w:color="auto"/>
              <w:left w:val="single" w:sz="4" w:space="0" w:color="auto"/>
              <w:bottom w:val="single" w:sz="4" w:space="0" w:color="auto"/>
              <w:right w:val="single" w:sz="4" w:space="0" w:color="auto"/>
            </w:tcBorders>
          </w:tcPr>
          <w:p w:rsidR="000E7C4C" w:rsidRDefault="003C3EA6">
            <w:pPr>
              <w:jc w:val="both"/>
              <w:rPr>
                <w:color w:val="000000"/>
                <w:sz w:val="20"/>
              </w:rPr>
            </w:pPr>
            <w:r>
              <w:rPr>
                <w:color w:val="000000"/>
                <w:sz w:val="20"/>
              </w:rPr>
              <w:t>Įrengti ir atnaujinti pėsčiųjų ir dviračių takus Jonavos rajono savivaldybėje</w:t>
            </w:r>
          </w:p>
          <w:p w:rsidR="000E7C4C" w:rsidRDefault="003C3EA6">
            <w:pPr>
              <w:jc w:val="both"/>
              <w:rPr>
                <w:color w:val="000000"/>
                <w:sz w:val="20"/>
              </w:rPr>
            </w:pPr>
            <w:r>
              <w:rPr>
                <w:color w:val="000000"/>
                <w:sz w:val="20"/>
              </w:rPr>
              <w:t>Įrengti riedučių ir bėgimo trasas ir modernizuoti jų infrastruktūrą</w:t>
            </w:r>
          </w:p>
          <w:p w:rsidR="000E7C4C" w:rsidRDefault="000E7C4C">
            <w:pPr>
              <w:jc w:val="both"/>
              <w:rPr>
                <w:color w:val="000000"/>
                <w:sz w:val="20"/>
              </w:rPr>
            </w:pPr>
          </w:p>
        </w:tc>
      </w:tr>
      <w:tr w:rsidR="000E7C4C">
        <w:trPr>
          <w:jc w:val="center"/>
        </w:trPr>
        <w:tc>
          <w:tcPr>
            <w:tcW w:w="229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Plėtoti ir modernizuoti susisiekimo infrastruktūrą</w:t>
            </w:r>
          </w:p>
        </w:tc>
        <w:tc>
          <w:tcPr>
            <w:tcW w:w="7371"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rPr>
            </w:pPr>
            <w:r>
              <w:rPr>
                <w:color w:val="000000"/>
                <w:sz w:val="20"/>
              </w:rPr>
              <w:t>Atnaujinti Jonavos autobusų parką</w:t>
            </w:r>
          </w:p>
          <w:p w:rsidR="000E7C4C" w:rsidRDefault="003C3EA6">
            <w:pPr>
              <w:jc w:val="both"/>
              <w:rPr>
                <w:color w:val="000000"/>
                <w:sz w:val="20"/>
              </w:rPr>
            </w:pPr>
            <w:r>
              <w:rPr>
                <w:color w:val="000000"/>
                <w:sz w:val="20"/>
              </w:rPr>
              <w:t>Rekonstruoti Jonavos rajono miestų, miestelių ir kaimų gatves, tiesti naujas gatves, taip pat įrengti apšvietimą ir lietaus kanalizaciją</w:t>
            </w:r>
          </w:p>
          <w:p w:rsidR="000E7C4C" w:rsidRDefault="003C3EA6">
            <w:pPr>
              <w:jc w:val="both"/>
              <w:rPr>
                <w:color w:val="000000"/>
                <w:sz w:val="20"/>
              </w:rPr>
            </w:pPr>
            <w:r>
              <w:rPr>
                <w:color w:val="000000"/>
                <w:sz w:val="20"/>
              </w:rPr>
              <w:t>Rekonstruoti Jonavos rajono miestų, miestelių ir kaimų gatvių sankryžas</w:t>
            </w:r>
          </w:p>
          <w:p w:rsidR="000E7C4C" w:rsidRDefault="003C3EA6">
            <w:pPr>
              <w:jc w:val="both"/>
              <w:rPr>
                <w:color w:val="000000"/>
                <w:sz w:val="20"/>
              </w:rPr>
            </w:pPr>
            <w:r>
              <w:rPr>
                <w:color w:val="000000"/>
                <w:sz w:val="20"/>
              </w:rPr>
              <w:t>Tobulinti Jonavos rajono savivaldybės žvyrkelių dangas, dalį gruntinių kelių rekonstruoti į žvyrkelius</w:t>
            </w:r>
          </w:p>
          <w:p w:rsidR="000E7C4C" w:rsidRDefault="003C3EA6">
            <w:pPr>
              <w:jc w:val="both"/>
              <w:rPr>
                <w:color w:val="000000"/>
                <w:sz w:val="20"/>
              </w:rPr>
            </w:pPr>
            <w:r>
              <w:rPr>
                <w:color w:val="000000"/>
                <w:sz w:val="20"/>
              </w:rPr>
              <w:t>Asfaltuoti Jonavos rajono savivaldybės žvyrkelius bei gatves su žvyro ir grunto danga</w:t>
            </w:r>
          </w:p>
          <w:p w:rsidR="000E7C4C" w:rsidRDefault="003C3EA6">
            <w:pPr>
              <w:jc w:val="both"/>
              <w:rPr>
                <w:color w:val="000000"/>
                <w:sz w:val="20"/>
              </w:rPr>
            </w:pPr>
            <w:r>
              <w:rPr>
                <w:color w:val="000000"/>
                <w:sz w:val="20"/>
              </w:rPr>
              <w:t>Atnaujinti automobilių stovėjimo aikštelių infrastruktūrą, įrengti naujas automobilių stovėjimo aikšteles</w:t>
            </w:r>
          </w:p>
        </w:tc>
      </w:tr>
      <w:tr w:rsidR="000E7C4C">
        <w:trPr>
          <w:jc w:val="center"/>
        </w:trPr>
        <w:tc>
          <w:tcPr>
            <w:tcW w:w="229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Mažinti taršos poveikį aplinkai (tyrimai, projektavimas, įgyvendinimas)</w:t>
            </w:r>
          </w:p>
        </w:tc>
        <w:tc>
          <w:tcPr>
            <w:tcW w:w="7371"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rPr>
            </w:pPr>
            <w:r>
              <w:rPr>
                <w:color w:val="000000"/>
                <w:sz w:val="20"/>
              </w:rPr>
              <w:t>Įgyvendinti aplinkos oro valdymo programas</w:t>
            </w:r>
          </w:p>
        </w:tc>
      </w:tr>
      <w:tr w:rsidR="000E7C4C">
        <w:trPr>
          <w:jc w:val="center"/>
        </w:trPr>
        <w:tc>
          <w:tcPr>
            <w:tcW w:w="229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Didinti visuomenės informavimą ir ugdyti ekologiškai mąstančią visuomenę</w:t>
            </w:r>
          </w:p>
        </w:tc>
        <w:tc>
          <w:tcPr>
            <w:tcW w:w="7371"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rPr>
            </w:pPr>
            <w:r>
              <w:rPr>
                <w:color w:val="000000"/>
                <w:sz w:val="20"/>
              </w:rPr>
              <w:t>Įgyvendinti aplinkos monitoringo programas</w:t>
            </w:r>
          </w:p>
          <w:p w:rsidR="000E7C4C" w:rsidRDefault="003C3EA6">
            <w:pPr>
              <w:jc w:val="both"/>
              <w:rPr>
                <w:color w:val="000000"/>
                <w:sz w:val="20"/>
              </w:rPr>
            </w:pPr>
            <w:r>
              <w:rPr>
                <w:color w:val="000000"/>
                <w:sz w:val="20"/>
              </w:rPr>
              <w:t>Įgyvendinti aplinkosauginės visuomenės švietimo programas</w:t>
            </w:r>
          </w:p>
          <w:p w:rsidR="000E7C4C" w:rsidRDefault="003C3EA6">
            <w:pPr>
              <w:jc w:val="both"/>
              <w:rPr>
                <w:color w:val="000000"/>
                <w:sz w:val="20"/>
              </w:rPr>
            </w:pPr>
            <w:r>
              <w:rPr>
                <w:color w:val="000000"/>
                <w:sz w:val="20"/>
              </w:rPr>
              <w:t>Organizuoti aplinkosauginius renginius</w:t>
            </w:r>
          </w:p>
          <w:p w:rsidR="000E7C4C" w:rsidRDefault="003C3EA6">
            <w:pPr>
              <w:jc w:val="both"/>
              <w:rPr>
                <w:color w:val="000000"/>
                <w:sz w:val="20"/>
              </w:rPr>
            </w:pPr>
            <w:r>
              <w:rPr>
                <w:color w:val="000000"/>
                <w:sz w:val="20"/>
              </w:rPr>
              <w:t>Prenumeruoti aplinkosauginius leidinius rajono švietimo ir ugdymo įstaigoms</w:t>
            </w:r>
          </w:p>
        </w:tc>
      </w:tr>
      <w:tr w:rsidR="000E7C4C">
        <w:trPr>
          <w:jc w:val="center"/>
        </w:trPr>
        <w:tc>
          <w:tcPr>
            <w:tcW w:w="229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Atstatyti gamtinius išteklius</w:t>
            </w:r>
          </w:p>
        </w:tc>
        <w:tc>
          <w:tcPr>
            <w:tcW w:w="7371"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rPr>
            </w:pPr>
            <w:r>
              <w:rPr>
                <w:color w:val="000000"/>
                <w:sz w:val="20"/>
              </w:rPr>
              <w:t>Įgyvendinti Jonavos rajono Aplinkos apsaugos strategijos priemones</w:t>
            </w:r>
          </w:p>
        </w:tc>
      </w:tr>
      <w:tr w:rsidR="000E7C4C">
        <w:trPr>
          <w:jc w:val="center"/>
        </w:trPr>
        <w:tc>
          <w:tcPr>
            <w:tcW w:w="229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Modernizuoti katilines ir šilumos tiekimo tinklus.</w:t>
            </w:r>
          </w:p>
        </w:tc>
        <w:tc>
          <w:tcPr>
            <w:tcW w:w="7371" w:type="dxa"/>
            <w:tcBorders>
              <w:top w:val="single" w:sz="4" w:space="0" w:color="auto"/>
              <w:left w:val="single" w:sz="4" w:space="0" w:color="auto"/>
              <w:bottom w:val="single" w:sz="4" w:space="0" w:color="auto"/>
              <w:right w:val="single" w:sz="4" w:space="0" w:color="auto"/>
            </w:tcBorders>
          </w:tcPr>
          <w:p w:rsidR="000E7C4C" w:rsidRDefault="003C3EA6">
            <w:pPr>
              <w:jc w:val="both"/>
              <w:rPr>
                <w:color w:val="000000"/>
                <w:sz w:val="20"/>
              </w:rPr>
            </w:pPr>
            <w:r>
              <w:rPr>
                <w:color w:val="000000"/>
                <w:sz w:val="20"/>
              </w:rPr>
              <w:t>Įrengti 20 MW biokuro vandens šildymo katilą</w:t>
            </w:r>
          </w:p>
          <w:p w:rsidR="000E7C4C" w:rsidRDefault="000E7C4C">
            <w:pPr>
              <w:jc w:val="both"/>
              <w:rPr>
                <w:color w:val="000000"/>
                <w:sz w:val="20"/>
              </w:rPr>
            </w:pPr>
          </w:p>
        </w:tc>
      </w:tr>
    </w:tbl>
    <w:p w:rsidR="000E7C4C" w:rsidRDefault="003C3EA6">
      <w:pPr>
        <w:jc w:val="center"/>
        <w:rPr>
          <w:color w:val="000000"/>
          <w:sz w:val="20"/>
        </w:rPr>
      </w:pPr>
      <w:r>
        <w:rPr>
          <w:color w:val="000000"/>
          <w:sz w:val="20"/>
        </w:rPr>
        <w:t>(Šaltinis: Jonavos rajono ilgalaikis strateginis plėtros planas iki 2021 m.)</w:t>
      </w:r>
    </w:p>
    <w:p w:rsidR="000E7C4C" w:rsidRDefault="003C3EA6">
      <w:pPr>
        <w:ind w:left="720"/>
        <w:jc w:val="both"/>
        <w:rPr>
          <w:color w:val="000000"/>
          <w:szCs w:val="21"/>
        </w:rPr>
      </w:pPr>
    </w:p>
    <w:p w:rsidR="000E7C4C" w:rsidRDefault="003C3EA6">
      <w:pPr>
        <w:tabs>
          <w:tab w:val="left" w:pos="851"/>
        </w:tabs>
        <w:ind w:firstLine="567"/>
        <w:jc w:val="both"/>
        <w:rPr>
          <w:color w:val="000000"/>
          <w:szCs w:val="21"/>
        </w:rPr>
      </w:pPr>
      <w:r>
        <w:rPr>
          <w:color w:val="000000"/>
          <w:szCs w:val="21"/>
        </w:rPr>
        <w:t>31</w:t>
      </w:r>
      <w:r>
        <w:rPr>
          <w:color w:val="000000"/>
          <w:szCs w:val="21"/>
        </w:rPr>
        <w:t>. Kaip nurodyta</w:t>
      </w:r>
      <w:r>
        <w:rPr>
          <w:b/>
          <w:color w:val="000000"/>
          <w:szCs w:val="21"/>
        </w:rPr>
        <w:t xml:space="preserve"> Jonavos rajono savivaldybės aplinkos oro kokybės valdymo programoje 2017–2021 m.</w:t>
      </w:r>
      <w:r>
        <w:rPr>
          <w:color w:val="000000"/>
          <w:szCs w:val="21"/>
        </w:rPr>
        <w:t>, patvirtintoje 2016 m. gruodžio 22 d. sprendimu Nr. 1TS-324 „Dėl Jonavos rajono savivaldybės aplinkos oro kokybės valdymo programos 2017–2021 m. patvirtinimo“, jos paskirtis – numatyti priemones, ribojančias aplinkos oro taršą bei mažinančias jos neigiamą poveikį žmonių sveikatai ir aplinkai, jų vykdytojus bei lėšų poreikį. Programos tikslas yra užtikrinti švaresnį Jonavos rajono savivaldybės aplinkos orą, vykdyti aplinkos oro taršos prevenciją ir sukurti sveikesnes žmonių gyvenimo sąlygas rajone. Šioje programoje numatytos priemonės:</w:t>
      </w:r>
    </w:p>
    <w:p w:rsidR="000E7C4C" w:rsidRDefault="003C3EA6">
      <w:pPr>
        <w:tabs>
          <w:tab w:val="left" w:pos="851"/>
        </w:tabs>
        <w:ind w:firstLine="567"/>
        <w:jc w:val="both"/>
        <w:rPr>
          <w:vanish/>
          <w:color w:val="000000"/>
          <w:szCs w:val="21"/>
        </w:rPr>
      </w:pPr>
      <w:r>
        <w:rPr>
          <w:color w:val="000000"/>
          <w:szCs w:val="21"/>
        </w:rPr>
        <w:t>31.1</w:t>
      </w:r>
      <w:r>
        <w:rPr>
          <w:color w:val="000000"/>
          <w:szCs w:val="21"/>
        </w:rPr>
        <w:t xml:space="preserve">. </w:t>
      </w:r>
    </w:p>
    <w:p w:rsidR="000E7C4C" w:rsidRDefault="003C3EA6">
      <w:pPr>
        <w:tabs>
          <w:tab w:val="left" w:pos="851"/>
          <w:tab w:val="left" w:pos="1418"/>
        </w:tabs>
        <w:ind w:firstLine="567"/>
        <w:rPr>
          <w:color w:val="000000"/>
          <w:szCs w:val="21"/>
        </w:rPr>
      </w:pPr>
      <w:r>
        <w:rPr>
          <w:rFonts w:ascii="Symbol" w:hAnsi="Symbol"/>
          <w:color w:val="000000"/>
          <w:szCs w:val="21"/>
        </w:rPr>
        <w:t></w:t>
      </w:r>
      <w:r>
        <w:rPr>
          <w:rFonts w:ascii="Symbol" w:hAnsi="Symbol"/>
          <w:color w:val="000000"/>
          <w:szCs w:val="21"/>
        </w:rPr>
        <w:tab/>
      </w:r>
      <w:r>
        <w:rPr>
          <w:color w:val="000000"/>
          <w:szCs w:val="21"/>
        </w:rPr>
        <w:t xml:space="preserve">gyventojų apklausa, skirta įvertinti kvapus, kylančius iš ūkinėje komercinėje veikloje naudojamų stacionarių taršos kvapais šaltinių gyvenamosios aplinkos ore: </w:t>
      </w:r>
    </w:p>
    <w:p w:rsidR="000E7C4C" w:rsidRDefault="003C3EA6">
      <w:pPr>
        <w:tabs>
          <w:tab w:val="left" w:pos="851"/>
          <w:tab w:val="left" w:pos="1418"/>
        </w:tabs>
        <w:ind w:firstLine="567"/>
        <w:rPr>
          <w:color w:val="000000"/>
          <w:szCs w:val="21"/>
        </w:rPr>
      </w:pPr>
      <w:r>
        <w:rPr>
          <w:color w:val="000000"/>
          <w:szCs w:val="21"/>
        </w:rPr>
        <w:t>31.2</w:t>
      </w:r>
      <w:r>
        <w:rPr>
          <w:color w:val="000000"/>
          <w:szCs w:val="21"/>
        </w:rPr>
        <w:t xml:space="preserve">. parengti apklausos metodiką bei apklausos anketą, apklausti 10 proc. Šilų ir </w:t>
      </w:r>
      <w:proofErr w:type="spellStart"/>
      <w:r>
        <w:rPr>
          <w:color w:val="000000"/>
          <w:szCs w:val="21"/>
        </w:rPr>
        <w:t>Juškonių</w:t>
      </w:r>
      <w:proofErr w:type="spellEnd"/>
      <w:r>
        <w:rPr>
          <w:color w:val="000000"/>
          <w:szCs w:val="21"/>
        </w:rPr>
        <w:t xml:space="preserve"> gyvenviečių gyventojų. Priemonės įvykdymo Laikotarpis 2018-2019 m.;</w:t>
      </w:r>
    </w:p>
    <w:p w:rsidR="000E7C4C" w:rsidRDefault="003C3EA6">
      <w:pPr>
        <w:tabs>
          <w:tab w:val="left" w:pos="851"/>
          <w:tab w:val="left" w:pos="1418"/>
        </w:tabs>
        <w:ind w:firstLine="567"/>
        <w:rPr>
          <w:color w:val="000000"/>
          <w:szCs w:val="21"/>
        </w:rPr>
      </w:pPr>
      <w:r>
        <w:rPr>
          <w:color w:val="000000"/>
          <w:szCs w:val="21"/>
        </w:rPr>
        <w:t>31.3</w:t>
      </w:r>
      <w:r>
        <w:rPr>
          <w:color w:val="000000"/>
          <w:szCs w:val="21"/>
        </w:rPr>
        <w:t>. informuoti visuomenę ir suinteresuotas institucijas apie aplinkos oro taršos lygį, įvykdymo laikotarpis – vykdoma nuolat.</w:t>
      </w:r>
    </w:p>
    <w:p w:rsidR="000E7C4C" w:rsidRDefault="003C3EA6">
      <w:pPr>
        <w:ind w:firstLine="567"/>
        <w:jc w:val="both"/>
        <w:rPr>
          <w:color w:val="000000"/>
          <w:szCs w:val="21"/>
        </w:rPr>
      </w:pPr>
      <w:r>
        <w:rPr>
          <w:color w:val="000000"/>
          <w:szCs w:val="21"/>
        </w:rPr>
        <w:t>Detalesnis priemonių sąrašas pateiktas 6 lentelėje. Jonavos rajono savivaldybėje yra nuolat tiriama oro kokybė, gyventojai informuojami apie oro kokybę Jonavos rajono savivaldybės tinklapyje.</w:t>
      </w:r>
    </w:p>
    <w:p w:rsidR="000E7C4C" w:rsidRDefault="000E7C4C">
      <w:pPr>
        <w:ind w:left="720"/>
        <w:jc w:val="both"/>
        <w:rPr>
          <w:color w:val="000000"/>
          <w:szCs w:val="21"/>
        </w:rPr>
      </w:pPr>
    </w:p>
    <w:p w:rsidR="000E7C4C" w:rsidRDefault="003C3EA6">
      <w:pPr>
        <w:jc w:val="both"/>
        <w:rPr>
          <w:color w:val="000000"/>
        </w:rPr>
      </w:pPr>
      <w:r>
        <w:rPr>
          <w:color w:val="000000"/>
        </w:rPr>
        <w:t>6 lentelė. Jonavos rajono savivaldybės aplinkos oro kokybės valdymo programoje 2017–2021 m. numatytos priemonės</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729"/>
        <w:gridCol w:w="7938"/>
      </w:tblGrid>
      <w:tr w:rsidR="000E7C4C">
        <w:trPr>
          <w:tblHeader/>
          <w:jc w:val="center"/>
        </w:trPr>
        <w:tc>
          <w:tcPr>
            <w:tcW w:w="1729"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color w:val="FFFFFF"/>
                <w:sz w:val="20"/>
              </w:rPr>
              <w:t>Priemonių pobūdis</w:t>
            </w:r>
          </w:p>
        </w:tc>
        <w:tc>
          <w:tcPr>
            <w:tcW w:w="7938"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color w:val="FFFFFF"/>
                <w:sz w:val="20"/>
              </w:rPr>
              <w:t>Priemonės</w:t>
            </w:r>
          </w:p>
        </w:tc>
      </w:tr>
      <w:tr w:rsidR="000E7C4C">
        <w:trPr>
          <w:jc w:val="center"/>
        </w:trPr>
        <w:tc>
          <w:tcPr>
            <w:tcW w:w="1729"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Techninės </w:t>
            </w:r>
          </w:p>
        </w:tc>
        <w:tc>
          <w:tcPr>
            <w:tcW w:w="7938"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rPr>
            </w:pPr>
            <w:r>
              <w:rPr>
                <w:color w:val="000000"/>
                <w:sz w:val="20"/>
              </w:rPr>
              <w:t>Apriboti stacionarių taršos šaltinių veiklą (esant nepalankioms teršalų išsisklaidymo sąlygoms ar iškilus grėsmei, kad gali būti viršijamos ribinės vertės);</w:t>
            </w:r>
          </w:p>
          <w:p w:rsidR="000E7C4C" w:rsidRDefault="003C3EA6">
            <w:pPr>
              <w:jc w:val="both"/>
              <w:rPr>
                <w:color w:val="000000"/>
                <w:sz w:val="20"/>
              </w:rPr>
            </w:pPr>
            <w:r>
              <w:rPr>
                <w:color w:val="000000"/>
                <w:sz w:val="20"/>
              </w:rPr>
              <w:t>Asfaltuoti kelius ir gatves;</w:t>
            </w:r>
          </w:p>
          <w:p w:rsidR="000E7C4C" w:rsidRDefault="003C3EA6">
            <w:pPr>
              <w:jc w:val="both"/>
              <w:rPr>
                <w:color w:val="000000"/>
                <w:sz w:val="20"/>
              </w:rPr>
            </w:pPr>
            <w:r>
              <w:rPr>
                <w:color w:val="000000"/>
                <w:sz w:val="20"/>
              </w:rPr>
              <w:t>Nuolat ir kokybiškai valyti gatves (po žiemos sezono valyti nuo kelkraščių susikaupusias žemes);</w:t>
            </w:r>
          </w:p>
          <w:p w:rsidR="000E7C4C" w:rsidRDefault="003C3EA6">
            <w:pPr>
              <w:jc w:val="both"/>
              <w:rPr>
                <w:color w:val="000000"/>
                <w:sz w:val="20"/>
              </w:rPr>
            </w:pPr>
            <w:r>
              <w:rPr>
                <w:color w:val="000000"/>
                <w:sz w:val="20"/>
              </w:rPr>
              <w:t>Laistyti žvyrkelius (esant sausiems orams ir kai kietųjų dalelių koncentracija aplinkos ore viršija viršutinę vertinimo ribą);</w:t>
            </w:r>
          </w:p>
          <w:p w:rsidR="000E7C4C" w:rsidRDefault="003C3EA6">
            <w:pPr>
              <w:jc w:val="both"/>
              <w:rPr>
                <w:color w:val="000000"/>
                <w:sz w:val="20"/>
              </w:rPr>
            </w:pPr>
            <w:r>
              <w:rPr>
                <w:color w:val="000000"/>
                <w:sz w:val="20"/>
              </w:rPr>
              <w:t>Statybos vietose, įsirengus laikiną ratų plovimo įrenginį, prižiūrėti statybos aikšteles, kelius ir greta statybos objektų esančias gatves ir šaligatvius;</w:t>
            </w:r>
          </w:p>
          <w:p w:rsidR="000E7C4C" w:rsidRDefault="003C3EA6">
            <w:pPr>
              <w:jc w:val="both"/>
              <w:rPr>
                <w:color w:val="000000"/>
                <w:sz w:val="20"/>
              </w:rPr>
            </w:pPr>
            <w:r>
              <w:rPr>
                <w:color w:val="000000"/>
                <w:sz w:val="20"/>
              </w:rPr>
              <w:t>Laikinai apriboti transporto eismą (išskyrus visuomeninį ir spec. transportą) tam tikroje savivaldybės teritorijoje (kai susidaro nepalankios teršalų išsisklaidymo sąlygos arba kai viršijamos ribinės užterštumo vertės 7 dienas iš eilės);</w:t>
            </w:r>
          </w:p>
          <w:p w:rsidR="000E7C4C" w:rsidRDefault="003C3EA6">
            <w:pPr>
              <w:jc w:val="both"/>
              <w:rPr>
                <w:color w:val="000000"/>
                <w:sz w:val="20"/>
              </w:rPr>
            </w:pPr>
            <w:r>
              <w:rPr>
                <w:color w:val="000000"/>
                <w:sz w:val="20"/>
              </w:rPr>
              <w:t xml:space="preserve">Kontroliuoti autobusų su dyzeliniais varikliais išmetamųjų dujų </w:t>
            </w:r>
            <w:proofErr w:type="spellStart"/>
            <w:r>
              <w:rPr>
                <w:color w:val="000000"/>
                <w:sz w:val="20"/>
              </w:rPr>
              <w:t>dūmingumą</w:t>
            </w:r>
            <w:proofErr w:type="spellEnd"/>
            <w:r>
              <w:rPr>
                <w:color w:val="000000"/>
                <w:sz w:val="20"/>
              </w:rPr>
              <w:t xml:space="preserve"> ir neišleisti važiuoti autobusų, viršijančių </w:t>
            </w:r>
            <w:proofErr w:type="spellStart"/>
            <w:r>
              <w:rPr>
                <w:color w:val="000000"/>
                <w:sz w:val="20"/>
              </w:rPr>
              <w:t>dūmingumo</w:t>
            </w:r>
            <w:proofErr w:type="spellEnd"/>
            <w:r>
              <w:rPr>
                <w:color w:val="000000"/>
                <w:sz w:val="20"/>
              </w:rPr>
              <w:t xml:space="preserve"> ribas pagal LAND 15:2000 numatytus reikalavimus;</w:t>
            </w:r>
          </w:p>
          <w:p w:rsidR="000E7C4C" w:rsidRDefault="003C3EA6">
            <w:pPr>
              <w:jc w:val="both"/>
              <w:rPr>
                <w:color w:val="000000"/>
                <w:sz w:val="20"/>
              </w:rPr>
            </w:pPr>
            <w:r>
              <w:rPr>
                <w:color w:val="000000"/>
                <w:sz w:val="20"/>
              </w:rPr>
              <w:t>Apželdinti sanitarines zonas tarp pramonės teritorijų ir gyvenamųjų kvartalų taip mažinant išsklaidytąją taršą (remiantis teritorijos bendrojo plano sprendiniais);</w:t>
            </w:r>
          </w:p>
          <w:p w:rsidR="000E7C4C" w:rsidRDefault="003C3EA6">
            <w:pPr>
              <w:jc w:val="both"/>
              <w:rPr>
                <w:color w:val="000000"/>
                <w:sz w:val="20"/>
              </w:rPr>
            </w:pPr>
            <w:r>
              <w:rPr>
                <w:color w:val="000000"/>
                <w:sz w:val="20"/>
              </w:rPr>
              <w:t>Atsižvelgiant į keleivių srautus, optimizuoti viešojo transporto maršrutus ir grafikus, racionaliai parinkti keleivių vežimo transporto priemones (remiantis teritorijos bendrojo plano sprendiniais);</w:t>
            </w:r>
          </w:p>
          <w:p w:rsidR="000E7C4C" w:rsidRDefault="003C3EA6">
            <w:pPr>
              <w:jc w:val="both"/>
              <w:rPr>
                <w:color w:val="000000"/>
                <w:sz w:val="20"/>
              </w:rPr>
            </w:pPr>
            <w:r>
              <w:rPr>
                <w:color w:val="000000"/>
                <w:sz w:val="20"/>
              </w:rPr>
              <w:t>Plėtoti visuomeninio transporto maršrutinį tinklą su stotelių ir galutinių punktų įrengimu naujai užstatomose teritorijose, jį optimizuoti reguliarių (ne rečiau kaip kartą per trejus metus) keleivių srautų tyrimo pagrindu;</w:t>
            </w:r>
          </w:p>
          <w:p w:rsidR="000E7C4C" w:rsidRDefault="003C3EA6">
            <w:pPr>
              <w:jc w:val="both"/>
              <w:rPr>
                <w:color w:val="000000"/>
                <w:sz w:val="20"/>
              </w:rPr>
            </w:pPr>
            <w:r>
              <w:rPr>
                <w:color w:val="000000"/>
                <w:sz w:val="20"/>
              </w:rPr>
              <w:t>Siekiant sumažinti tranzitinio automobilių transporto srautus per miesto centrą ir tokiu būdu pagerinti oro kokybę įrengti aplinkkelį;</w:t>
            </w:r>
          </w:p>
          <w:p w:rsidR="000E7C4C" w:rsidRDefault="003C3EA6">
            <w:pPr>
              <w:jc w:val="both"/>
              <w:rPr>
                <w:color w:val="000000"/>
                <w:sz w:val="20"/>
              </w:rPr>
            </w:pPr>
            <w:r>
              <w:rPr>
                <w:color w:val="000000"/>
                <w:sz w:val="20"/>
              </w:rPr>
              <w:t>Atnaujinti viešojo transporto priemones (kasmet atnaujinant bent po du autobusų parko autobusus), juos keičiant naujais arba važinėtais autobusais (po 10 metų eksploatavimo);</w:t>
            </w:r>
          </w:p>
          <w:p w:rsidR="000E7C4C" w:rsidRDefault="003C3EA6">
            <w:pPr>
              <w:jc w:val="both"/>
              <w:rPr>
                <w:color w:val="000000"/>
                <w:sz w:val="20"/>
              </w:rPr>
            </w:pPr>
            <w:r>
              <w:rPr>
                <w:color w:val="000000"/>
                <w:sz w:val="20"/>
              </w:rPr>
              <w:t>Įrengti pėsčiųjų ir dviračių takus;</w:t>
            </w:r>
          </w:p>
          <w:p w:rsidR="000E7C4C" w:rsidRDefault="003C3EA6">
            <w:pPr>
              <w:jc w:val="both"/>
              <w:rPr>
                <w:color w:val="000000"/>
                <w:sz w:val="20"/>
              </w:rPr>
            </w:pPr>
            <w:r>
              <w:rPr>
                <w:color w:val="000000"/>
                <w:sz w:val="20"/>
              </w:rPr>
              <w:t xml:space="preserve">Apšiltinti gyvenamuosius ir ūkinės veiklos pastatus (siekiant šildymo sezono metu sumažinti iš centralizuotų šilumos tinklų ir individualių gyvenamųjų namų šildymo sistemų </w:t>
            </w:r>
            <w:proofErr w:type="spellStart"/>
            <w:r>
              <w:rPr>
                <w:color w:val="000000"/>
                <w:sz w:val="20"/>
              </w:rPr>
              <w:t>išmetimus</w:t>
            </w:r>
            <w:proofErr w:type="spellEnd"/>
            <w:r>
              <w:rPr>
                <w:color w:val="000000"/>
                <w:sz w:val="20"/>
              </w:rPr>
              <w:t xml:space="preserve"> (azoto oksidai, anglies </w:t>
            </w:r>
            <w:proofErr w:type="spellStart"/>
            <w:r>
              <w:rPr>
                <w:color w:val="000000"/>
                <w:sz w:val="20"/>
              </w:rPr>
              <w:t>monoksidai</w:t>
            </w:r>
            <w:proofErr w:type="spellEnd"/>
            <w:r>
              <w:rPr>
                <w:color w:val="000000"/>
                <w:sz w:val="20"/>
              </w:rPr>
              <w:t>, kietosios dalelės));</w:t>
            </w:r>
          </w:p>
        </w:tc>
      </w:tr>
      <w:tr w:rsidR="000E7C4C">
        <w:trPr>
          <w:jc w:val="center"/>
        </w:trPr>
        <w:tc>
          <w:tcPr>
            <w:tcW w:w="1729"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Organizacinės</w:t>
            </w:r>
          </w:p>
        </w:tc>
        <w:tc>
          <w:tcPr>
            <w:tcW w:w="7938"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rPr>
            </w:pPr>
            <w:r>
              <w:rPr>
                <w:color w:val="000000"/>
                <w:sz w:val="20"/>
              </w:rPr>
              <w:t>Visuomenės informavimas (apie aplinkos oro kokybę ir nepalankias meteorologines sąlygas, sąlygojančias taršos koncentravimą);</w:t>
            </w:r>
          </w:p>
          <w:p w:rsidR="000E7C4C" w:rsidRDefault="003C3EA6">
            <w:pPr>
              <w:jc w:val="both"/>
              <w:rPr>
                <w:color w:val="000000"/>
                <w:sz w:val="20"/>
              </w:rPr>
            </w:pPr>
            <w:r>
              <w:rPr>
                <w:color w:val="000000"/>
                <w:sz w:val="20"/>
              </w:rPr>
              <w:t>Pareikalauti iš įmonių, turinčių didžiausios įtakos teršalų koncentracijos didėjimui, kad parengtų oro taršos kietosiomis dalelėmis mažinimo priemonių planus ir kontroliuoti jų įgyvendinimą;</w:t>
            </w:r>
          </w:p>
          <w:p w:rsidR="000E7C4C" w:rsidRDefault="003C3EA6">
            <w:pPr>
              <w:jc w:val="both"/>
              <w:rPr>
                <w:color w:val="000000"/>
                <w:sz w:val="20"/>
              </w:rPr>
            </w:pPr>
            <w:r>
              <w:rPr>
                <w:color w:val="000000"/>
                <w:sz w:val="20"/>
              </w:rPr>
              <w:t>Žolės deginimo ir gaisrų prevencija;</w:t>
            </w:r>
          </w:p>
          <w:p w:rsidR="000E7C4C" w:rsidRDefault="003C3EA6">
            <w:pPr>
              <w:jc w:val="both"/>
              <w:rPr>
                <w:color w:val="000000"/>
                <w:sz w:val="20"/>
              </w:rPr>
            </w:pPr>
            <w:r>
              <w:rPr>
                <w:color w:val="000000"/>
                <w:sz w:val="20"/>
              </w:rPr>
              <w:t xml:space="preserve">Savivaldybės aplinkos oro kokybės stebėsenos vykdymas, atliekant </w:t>
            </w:r>
            <w:proofErr w:type="spellStart"/>
            <w:r>
              <w:rPr>
                <w:color w:val="000000"/>
                <w:sz w:val="20"/>
              </w:rPr>
              <w:t>matavimus</w:t>
            </w:r>
            <w:proofErr w:type="spellEnd"/>
            <w:r>
              <w:rPr>
                <w:color w:val="000000"/>
                <w:sz w:val="20"/>
              </w:rPr>
              <w:t>;</w:t>
            </w:r>
          </w:p>
          <w:p w:rsidR="000E7C4C" w:rsidRDefault="003C3EA6">
            <w:pPr>
              <w:jc w:val="both"/>
              <w:rPr>
                <w:color w:val="000000"/>
                <w:sz w:val="20"/>
              </w:rPr>
            </w:pPr>
            <w:r>
              <w:rPr>
                <w:color w:val="000000"/>
                <w:sz w:val="20"/>
              </w:rPr>
              <w:t>Informacijos apie oro kokybės stebėsenos rezultatus teikimas Jonavos rajono savivaldybės internetinėje svetainėje, pateikiant informaciją visuomenei lengvai suprantamais būdais;</w:t>
            </w:r>
          </w:p>
          <w:p w:rsidR="000E7C4C" w:rsidRDefault="003C3EA6">
            <w:pPr>
              <w:jc w:val="both"/>
              <w:rPr>
                <w:color w:val="000000"/>
                <w:sz w:val="20"/>
              </w:rPr>
            </w:pPr>
            <w:r>
              <w:rPr>
                <w:color w:val="000000"/>
                <w:sz w:val="20"/>
              </w:rPr>
              <w:t>Susitikimų su visuomenės atstovais organizavimas, pristatant aplinkosauginių programų, projektų įgyvendinimo rezultatus;</w:t>
            </w:r>
          </w:p>
          <w:p w:rsidR="000E7C4C" w:rsidRDefault="003C3EA6">
            <w:pPr>
              <w:jc w:val="both"/>
              <w:rPr>
                <w:color w:val="000000"/>
                <w:sz w:val="20"/>
              </w:rPr>
            </w:pPr>
            <w:r>
              <w:rPr>
                <w:color w:val="000000"/>
                <w:sz w:val="20"/>
              </w:rPr>
              <w:t>Gyventojų informavimas namų šilumos sistemų, apšiltinimo, buitinių atliekų deginimo namų katiluose žalos temomis (siekiant sumažinti individualių namų šildymo ir su tuo susijusios oro taršos dalį, tai gali būti atliekama skelbiant informaciją internete, rengiant aplinkosaugos straipsnius laikraščiuose, organizuojant seminarus ir kt. renginius);</w:t>
            </w:r>
          </w:p>
          <w:p w:rsidR="000E7C4C" w:rsidRDefault="003C3EA6">
            <w:pPr>
              <w:jc w:val="both"/>
              <w:rPr>
                <w:color w:val="000000"/>
                <w:sz w:val="20"/>
              </w:rPr>
            </w:pPr>
            <w:r>
              <w:rPr>
                <w:color w:val="000000"/>
                <w:sz w:val="20"/>
              </w:rPr>
              <w:t>Dalyvavimas naujai planuojamų veiklų poveikio aplinkai vertinime.</w:t>
            </w:r>
          </w:p>
        </w:tc>
      </w:tr>
    </w:tbl>
    <w:p w:rsidR="000E7C4C" w:rsidRDefault="003C3EA6">
      <w:pPr>
        <w:jc w:val="center"/>
        <w:rPr>
          <w:color w:val="000000"/>
          <w:sz w:val="20"/>
        </w:rPr>
      </w:pPr>
      <w:r>
        <w:rPr>
          <w:color w:val="000000"/>
          <w:sz w:val="20"/>
        </w:rPr>
        <w:t>(Šaltinis: Jonavos rajono savivaldybės aplinkos oro kokybės valdymo programa 2017-2021 m.)</w:t>
      </w:r>
    </w:p>
    <w:p w:rsidR="000E7C4C" w:rsidRDefault="003C3EA6">
      <w:pPr>
        <w:ind w:left="720"/>
        <w:jc w:val="both"/>
        <w:rPr>
          <w:color w:val="000000"/>
          <w:szCs w:val="21"/>
        </w:rPr>
      </w:pPr>
    </w:p>
    <w:p w:rsidR="000E7C4C" w:rsidRDefault="003C3EA6">
      <w:pPr>
        <w:ind w:firstLine="567"/>
        <w:jc w:val="both"/>
        <w:rPr>
          <w:color w:val="000000"/>
          <w:szCs w:val="21"/>
        </w:rPr>
      </w:pPr>
      <w:r>
        <w:rPr>
          <w:color w:val="000000"/>
          <w:szCs w:val="21"/>
        </w:rPr>
        <w:t>32</w:t>
      </w:r>
      <w:r>
        <w:rPr>
          <w:color w:val="000000"/>
          <w:szCs w:val="21"/>
        </w:rPr>
        <w:t>.</w:t>
      </w:r>
      <w:r>
        <w:rPr>
          <w:b/>
          <w:color w:val="000000"/>
          <w:szCs w:val="21"/>
        </w:rPr>
        <w:t xml:space="preserve"> Jonavos rajono savivaldybės aplinkos oro kokybės valdymo programoje 2017–2021 m.</w:t>
      </w:r>
      <w:r>
        <w:rPr>
          <w:color w:val="000000"/>
          <w:szCs w:val="21"/>
        </w:rPr>
        <w:t>, patvirtintoje 2016 m. gruodžio 22 d. sprendimu Nr. 1TS-324 „Dėl Jonavos rajono savivaldybės aplinkos oro kokybės valdymo programos 2017–2021 m. patvirtinimo“, nurodyta, kad didžiausią oro taršą iš stacionarių taršos šaltinių Jonavos rajone generavo viešosios elektros energijos ir šilumos gamybos, chemijos ir naftos pramonės įmonės. Didžiausia tarša iš stacionarių taršos šaltinių yra stebima centrinėje rajono dalyje – Jonavos mieste, kur išsidėsčiusi didžioji dalis teršiančių objektų.</w:t>
      </w:r>
    </w:p>
    <w:p w:rsidR="000E7C4C" w:rsidRDefault="003C3EA6">
      <w:pPr>
        <w:ind w:firstLine="567"/>
        <w:jc w:val="both"/>
        <w:rPr>
          <w:b/>
          <w:color w:val="000000"/>
          <w:szCs w:val="21"/>
        </w:rPr>
      </w:pPr>
      <w:r>
        <w:rPr>
          <w:color w:val="000000"/>
          <w:szCs w:val="21"/>
        </w:rPr>
        <w:t>33</w:t>
      </w:r>
      <w:r>
        <w:rPr>
          <w:color w:val="000000"/>
          <w:szCs w:val="21"/>
        </w:rPr>
        <w:t>.</w:t>
      </w:r>
      <w:r>
        <w:rPr>
          <w:b/>
          <w:color w:val="000000"/>
          <w:szCs w:val="21"/>
        </w:rPr>
        <w:t xml:space="preserve"> Atsinaujinančių energijos išteklių naudojimo plėtros Jonavos rajono savivaldybės teritorijoje specialiajame plane</w:t>
      </w:r>
      <w:r>
        <w:rPr>
          <w:color w:val="000000"/>
          <w:szCs w:val="21"/>
        </w:rPr>
        <w:t>,  patvirtintame 2013 m. spalio 31 d. sprendimu Nr. 1TS-322 „Dėl Atsinaujinančių energijos išteklių naudojimo plėtros Jonavos rajono savivaldybės teritorijos specialiojo plano patvirtinimo“,</w:t>
      </w:r>
      <w:r>
        <w:rPr>
          <w:b/>
          <w:color w:val="000000"/>
          <w:szCs w:val="21"/>
        </w:rPr>
        <w:t xml:space="preserve"> </w:t>
      </w:r>
      <w:r>
        <w:rPr>
          <w:color w:val="000000"/>
          <w:szCs w:val="21"/>
        </w:rPr>
        <w:t xml:space="preserve">yra siūlomi dviejų tipų sprendiniai: saulės ir vėjo jėgainių plėtra ir biokuro, biodujų, biodegalų ir </w:t>
      </w:r>
      <w:proofErr w:type="spellStart"/>
      <w:r>
        <w:rPr>
          <w:color w:val="000000"/>
          <w:szCs w:val="21"/>
        </w:rPr>
        <w:t>bioalyvų</w:t>
      </w:r>
      <w:proofErr w:type="spellEnd"/>
      <w:r>
        <w:rPr>
          <w:color w:val="000000"/>
          <w:szCs w:val="21"/>
        </w:rPr>
        <w:t xml:space="preserve"> gamybos bei panaudojimo plėtra. Saulės ir vėjo jėgainių (elektrinių) plėtros teritorijos rengiamame specialiajame plane diferencijuotos į tris grupes:</w:t>
      </w:r>
    </w:p>
    <w:p w:rsidR="000E7C4C" w:rsidRDefault="003C3EA6">
      <w:pPr>
        <w:tabs>
          <w:tab w:val="left" w:pos="851"/>
          <w:tab w:val="left" w:pos="1276"/>
        </w:tabs>
        <w:ind w:firstLine="567"/>
        <w:jc w:val="both"/>
        <w:rPr>
          <w:color w:val="000000"/>
          <w:szCs w:val="21"/>
        </w:rPr>
      </w:pPr>
      <w:r>
        <w:rPr>
          <w:color w:val="000000"/>
          <w:szCs w:val="21"/>
        </w:rPr>
        <w:t>33.1</w:t>
      </w:r>
      <w:r>
        <w:rPr>
          <w:color w:val="000000"/>
          <w:szCs w:val="21"/>
        </w:rPr>
        <w:t>. I-</w:t>
      </w:r>
      <w:proofErr w:type="spellStart"/>
      <w:r>
        <w:rPr>
          <w:color w:val="000000"/>
          <w:szCs w:val="21"/>
        </w:rPr>
        <w:t>oji</w:t>
      </w:r>
      <w:proofErr w:type="spellEnd"/>
      <w:r>
        <w:rPr>
          <w:color w:val="000000"/>
          <w:szCs w:val="21"/>
        </w:rPr>
        <w:t xml:space="preserve"> – saulės ir vėjo jėgainių parkų plėtra, kai bendras elektros energiją generuojančių įrengimų galingumas 6 MW ir daugiau;</w:t>
      </w:r>
    </w:p>
    <w:p w:rsidR="000E7C4C" w:rsidRDefault="003C3EA6">
      <w:pPr>
        <w:tabs>
          <w:tab w:val="left" w:pos="851"/>
          <w:tab w:val="left" w:pos="1134"/>
        </w:tabs>
        <w:ind w:firstLine="567"/>
        <w:jc w:val="both"/>
        <w:rPr>
          <w:color w:val="000000"/>
          <w:szCs w:val="21"/>
        </w:rPr>
      </w:pPr>
      <w:r>
        <w:rPr>
          <w:color w:val="000000"/>
          <w:szCs w:val="21"/>
        </w:rPr>
        <w:t>33.2</w:t>
      </w:r>
      <w:r>
        <w:rPr>
          <w:color w:val="000000"/>
          <w:szCs w:val="21"/>
        </w:rPr>
        <w:t>. II-</w:t>
      </w:r>
      <w:proofErr w:type="spellStart"/>
      <w:r>
        <w:rPr>
          <w:color w:val="000000"/>
          <w:szCs w:val="21"/>
        </w:rPr>
        <w:t>oji</w:t>
      </w:r>
      <w:proofErr w:type="spellEnd"/>
      <w:r>
        <w:rPr>
          <w:color w:val="000000"/>
          <w:szCs w:val="21"/>
        </w:rPr>
        <w:t xml:space="preserve"> – saulės ir vėjo jėgainių parkų bei pavienių įrengimų plėtra, kai bendras elektros energiją generuojančių įrengimų galingumas iki 6 MW; </w:t>
      </w:r>
    </w:p>
    <w:p w:rsidR="000E7C4C" w:rsidRDefault="003C3EA6">
      <w:pPr>
        <w:tabs>
          <w:tab w:val="left" w:pos="851"/>
          <w:tab w:val="left" w:pos="1276"/>
        </w:tabs>
        <w:ind w:firstLine="567"/>
        <w:jc w:val="both"/>
        <w:rPr>
          <w:color w:val="000000"/>
          <w:szCs w:val="21"/>
        </w:rPr>
      </w:pPr>
      <w:r>
        <w:rPr>
          <w:color w:val="000000"/>
          <w:szCs w:val="21"/>
        </w:rPr>
        <w:t>33.3</w:t>
      </w:r>
      <w:r>
        <w:rPr>
          <w:color w:val="000000"/>
          <w:szCs w:val="21"/>
        </w:rPr>
        <w:t>. III-</w:t>
      </w:r>
      <w:proofErr w:type="spellStart"/>
      <w:r>
        <w:rPr>
          <w:color w:val="000000"/>
          <w:szCs w:val="21"/>
        </w:rPr>
        <w:t>ioji</w:t>
      </w:r>
      <w:proofErr w:type="spellEnd"/>
      <w:r>
        <w:rPr>
          <w:color w:val="000000"/>
          <w:szCs w:val="21"/>
        </w:rPr>
        <w:t xml:space="preserve"> – pavienių įrengimų iki 350 kW plėtros zonos.</w:t>
      </w:r>
    </w:p>
    <w:p w:rsidR="000E7C4C" w:rsidRDefault="003C3EA6">
      <w:pPr>
        <w:ind w:firstLine="567"/>
        <w:jc w:val="both"/>
        <w:rPr>
          <w:color w:val="000000"/>
          <w:szCs w:val="21"/>
        </w:rPr>
      </w:pPr>
      <w:r>
        <w:rPr>
          <w:color w:val="000000"/>
          <w:szCs w:val="21"/>
        </w:rPr>
        <w:t>34</w:t>
      </w:r>
      <w:r>
        <w:rPr>
          <w:color w:val="000000"/>
          <w:szCs w:val="21"/>
        </w:rPr>
        <w:t>. Biodujų jėgainių plėtra siūloma prie esamų gyvulininkystės įmonių bei šiuo metu nebeveikiančių fermų, įvertinant galimybę jas atkurti dėl patogios vietos bei dalinio teritorijos bei statinių paruošimo, esant galimybei, nebeveikiančias fermas panaudojant biokuro gamybos cechams (šiaudų granulėms ar kitam kurui gaminti, sandėliuoti).</w:t>
      </w:r>
    </w:p>
    <w:p w:rsidR="000E7C4C" w:rsidRDefault="003C3EA6">
      <w:pPr>
        <w:ind w:firstLine="567"/>
        <w:jc w:val="both"/>
        <w:rPr>
          <w:color w:val="000000"/>
          <w:szCs w:val="21"/>
        </w:rPr>
      </w:pPr>
      <w:r>
        <w:rPr>
          <w:color w:val="000000"/>
          <w:szCs w:val="21"/>
        </w:rPr>
        <w:t>35</w:t>
      </w:r>
      <w:r>
        <w:rPr>
          <w:color w:val="000000"/>
          <w:szCs w:val="21"/>
        </w:rPr>
        <w:t xml:space="preserve">. Jonavos miesto bei Jonavos rajono didesnių miestelių CŠT sektoriaus plėtros galimybės ir poreikis išanalizuoti </w:t>
      </w:r>
      <w:r>
        <w:rPr>
          <w:b/>
          <w:color w:val="000000"/>
          <w:szCs w:val="21"/>
        </w:rPr>
        <w:t xml:space="preserve">Jonavos rajono šilumos ūkio specialiajame plane ir Jonavos miesto šilumos tiekimo specialiojo plano ir šilumos šaltinių naudojimo reglamento atnaujinimo projekte </w:t>
      </w:r>
      <w:r>
        <w:rPr>
          <w:color w:val="000000"/>
          <w:szCs w:val="21"/>
        </w:rPr>
        <w:t xml:space="preserve">(2010 m.). Remiantis minėtais dokumentais, šiame projekte pažymėtos esamos Jonavos miesto katilinės, naudojančios atsinaujinantį gamtinės kilmės kurą. Be to, Jonavos miesto teritorijoje katilinių plėtra nenumatoma, tačiau rekonstruojant esamas bei ateityje planuojant naujas katilines, siūloma įrengti AEI naudojančius katilus, naudoti pagal naujausias technologijas pagamintus </w:t>
      </w:r>
      <w:proofErr w:type="spellStart"/>
      <w:r>
        <w:rPr>
          <w:color w:val="000000"/>
          <w:szCs w:val="21"/>
        </w:rPr>
        <w:t>kogeneracinius</w:t>
      </w:r>
      <w:proofErr w:type="spellEnd"/>
      <w:r>
        <w:rPr>
          <w:color w:val="000000"/>
          <w:szCs w:val="21"/>
        </w:rPr>
        <w:t xml:space="preserve"> įrenginius.</w:t>
      </w:r>
    </w:p>
    <w:p w:rsidR="000E7C4C" w:rsidRDefault="003C3EA6">
      <w:pPr>
        <w:ind w:left="720"/>
        <w:jc w:val="both"/>
        <w:rPr>
          <w:color w:val="000000"/>
          <w:szCs w:val="21"/>
        </w:rPr>
      </w:pPr>
    </w:p>
    <w:p w:rsidR="000E7C4C" w:rsidRDefault="003C3EA6">
      <w:pPr>
        <w:keepNext/>
        <w:keepLines/>
        <w:jc w:val="center"/>
        <w:outlineLvl w:val="6"/>
        <w:rPr>
          <w:b/>
          <w:iCs/>
          <w:color w:val="000000"/>
          <w:szCs w:val="21"/>
        </w:rPr>
      </w:pPr>
      <w:r>
        <w:rPr>
          <w:b/>
          <w:iCs/>
          <w:color w:val="000000"/>
          <w:szCs w:val="21"/>
        </w:rPr>
        <w:t>SEPTINTASIS</w:t>
      </w:r>
      <w:r>
        <w:rPr>
          <w:b/>
          <w:iCs/>
          <w:color w:val="000000"/>
          <w:szCs w:val="21"/>
        </w:rPr>
        <w:t xml:space="preserve"> SKIRSNIS</w:t>
      </w:r>
    </w:p>
    <w:p w:rsidR="000E7C4C" w:rsidRDefault="003C3EA6">
      <w:pPr>
        <w:keepNext/>
        <w:keepLines/>
        <w:jc w:val="center"/>
        <w:outlineLvl w:val="6"/>
        <w:rPr>
          <w:b/>
          <w:iCs/>
          <w:color w:val="000000"/>
          <w:szCs w:val="21"/>
        </w:rPr>
      </w:pPr>
      <w:r>
        <w:rPr>
          <w:b/>
          <w:iCs/>
          <w:color w:val="000000"/>
          <w:szCs w:val="21"/>
        </w:rPr>
        <w:t>ORO TARŠOS MAŽINIMO PRIEMONĖS MAŽEIKIŲ RAJONO SAVIVALDYBĖJE</w:t>
      </w:r>
    </w:p>
    <w:p w:rsidR="000E7C4C" w:rsidRDefault="000E7C4C">
      <w:pPr>
        <w:ind w:left="720"/>
        <w:jc w:val="both"/>
        <w:rPr>
          <w:color w:val="000000"/>
          <w:szCs w:val="21"/>
        </w:rPr>
      </w:pPr>
    </w:p>
    <w:p w:rsidR="000E7C4C" w:rsidRDefault="003C3EA6">
      <w:pPr>
        <w:ind w:firstLine="567"/>
        <w:jc w:val="both"/>
        <w:rPr>
          <w:color w:val="000000"/>
          <w:szCs w:val="21"/>
        </w:rPr>
      </w:pPr>
      <w:r>
        <w:rPr>
          <w:color w:val="000000"/>
          <w:szCs w:val="21"/>
          <w:lang w:eastAsia="lt-LT"/>
        </w:rPr>
        <w:t>36</w:t>
      </w:r>
      <w:r>
        <w:rPr>
          <w:color w:val="000000"/>
          <w:szCs w:val="21"/>
          <w:lang w:eastAsia="lt-LT"/>
        </w:rPr>
        <w:t>.</w:t>
      </w:r>
      <w:r>
        <w:rPr>
          <w:b/>
          <w:color w:val="000000"/>
          <w:szCs w:val="21"/>
          <w:lang w:eastAsia="lt-LT"/>
        </w:rPr>
        <w:t xml:space="preserve"> Mažeikių rajono savivaldybės ilgalaikiame strateginiame plėtros plane 2014–2020 m.</w:t>
      </w:r>
      <w:r>
        <w:rPr>
          <w:color w:val="000000"/>
          <w:szCs w:val="21"/>
          <w:lang w:eastAsia="lt-LT"/>
        </w:rPr>
        <w:t xml:space="preserve">, patvirtintame Mažeikių rajono savivaldybės 2013 m. liepos 26 d. sprendimu Nr. T1-219 „Dėl Mažeikių rajono savivaldybės ilgalaikio strateginio plėtros plano 2014–2020 m. patvirtinimo“, nurodyta, jog aplinkos oro kokybės gerėjimas sietinas su viešojo ir ekologiško transporto skatinimu, optimaliu transporto srautų valdymu, viešųjų paslaugų pasiekiamumo nuotoliniu būdu plėtra. Svarbus aspektas – pramonės ir energetikos į aplinkos orą išmetamų teršalų kiekio mažinimas bei taršos prevencijos priemonių diegimas, atsinaujinančių energijos šaltinių galimybių panaudojimo skatinimas ir rėmimas, efektyvesnis elektros ir šilumos energijos vartojimas. </w:t>
      </w:r>
      <w:r>
        <w:rPr>
          <w:color w:val="000000"/>
          <w:szCs w:val="21"/>
        </w:rPr>
        <w:t>Didžiausias išmestų teršalų kiekis rajone priklauso nuo stambiausio oro teršėjo rajone – naftos perdirbimo pramonės.</w:t>
      </w:r>
    </w:p>
    <w:p w:rsidR="000E7C4C" w:rsidRDefault="003C3EA6">
      <w:pPr>
        <w:ind w:firstLine="567"/>
        <w:jc w:val="both"/>
        <w:rPr>
          <w:color w:val="000000"/>
          <w:szCs w:val="21"/>
        </w:rPr>
      </w:pPr>
      <w:r>
        <w:rPr>
          <w:color w:val="000000"/>
          <w:szCs w:val="21"/>
        </w:rPr>
        <w:t>37</w:t>
      </w:r>
      <w:r>
        <w:rPr>
          <w:color w:val="000000"/>
          <w:szCs w:val="21"/>
        </w:rPr>
        <w:t xml:space="preserve">. Priemonės oro kokybei Mažeikių rajone gerinti numatytos ir integruotos </w:t>
      </w:r>
      <w:r>
        <w:rPr>
          <w:b/>
          <w:color w:val="000000"/>
          <w:szCs w:val="21"/>
        </w:rPr>
        <w:t>Mažeikių rajono savivaldybės 2017–2019 metų strateginio veiklos plano</w:t>
      </w:r>
      <w:r>
        <w:rPr>
          <w:color w:val="000000"/>
          <w:szCs w:val="21"/>
        </w:rPr>
        <w:t xml:space="preserve">, patvirtinto Mažeikių rajono savivaldybės tarybos 2016 m. gruodžio 23 d. sprendimu Nr. T1-326 „Dėl Mažeikių rajono savivaldybės 2017–2019 metų strateginio veiklos plano patvirtinimo“,  programose (Mažeikių miesto darnaus </w:t>
      </w:r>
      <w:proofErr w:type="spellStart"/>
      <w:r>
        <w:rPr>
          <w:color w:val="000000"/>
          <w:szCs w:val="21"/>
        </w:rPr>
        <w:t>judumo</w:t>
      </w:r>
      <w:proofErr w:type="spellEnd"/>
      <w:r>
        <w:rPr>
          <w:color w:val="000000"/>
          <w:szCs w:val="21"/>
        </w:rPr>
        <w:t xml:space="preserve"> plano parengimas, pėsčiųjų ir dviračių takų įrengimas, viaduko virš geležinkelio Mažeikių m., Algirdo g., įrengimas, gatvių važiuojamųjų dalių rekonstrukcija, eismo srautų automatizavimas, viešojo transporto priemonių atnaujinimas (naujų ekologiškų viešojo transporto priemonių įsigijimas), viešojo transporto maršrutų optimizavimas, pastatų renovacija, visuomenės informavimas). Mažeikių rajono savivaldybėje nėra galiojančios oro taršos mažinimo programos.</w:t>
      </w:r>
    </w:p>
    <w:p w:rsidR="000E7C4C" w:rsidRDefault="003C3EA6">
      <w:pPr>
        <w:keepNext/>
        <w:keepLines/>
        <w:jc w:val="center"/>
        <w:outlineLvl w:val="6"/>
        <w:rPr>
          <w:b/>
          <w:iCs/>
          <w:color w:val="000000"/>
          <w:szCs w:val="21"/>
        </w:rPr>
      </w:pPr>
    </w:p>
    <w:p w:rsidR="000E7C4C" w:rsidRDefault="003C3EA6">
      <w:pPr>
        <w:keepNext/>
        <w:keepLines/>
        <w:jc w:val="center"/>
        <w:outlineLvl w:val="6"/>
        <w:rPr>
          <w:b/>
          <w:iCs/>
          <w:color w:val="000000"/>
          <w:szCs w:val="21"/>
        </w:rPr>
      </w:pPr>
      <w:r>
        <w:rPr>
          <w:b/>
          <w:iCs/>
          <w:color w:val="000000"/>
          <w:szCs w:val="21"/>
        </w:rPr>
        <w:t>AŠTUNTASIS</w:t>
      </w:r>
      <w:r>
        <w:rPr>
          <w:b/>
          <w:iCs/>
          <w:color w:val="000000"/>
          <w:szCs w:val="21"/>
        </w:rPr>
        <w:t xml:space="preserve"> SKIRSNIS</w:t>
      </w:r>
    </w:p>
    <w:p w:rsidR="000E7C4C" w:rsidRDefault="003C3EA6">
      <w:pPr>
        <w:keepNext/>
        <w:keepLines/>
        <w:jc w:val="center"/>
        <w:outlineLvl w:val="6"/>
        <w:rPr>
          <w:b/>
          <w:iCs/>
          <w:color w:val="000000"/>
          <w:szCs w:val="21"/>
        </w:rPr>
      </w:pPr>
      <w:r>
        <w:rPr>
          <w:b/>
          <w:iCs/>
          <w:color w:val="000000"/>
          <w:szCs w:val="21"/>
        </w:rPr>
        <w:t xml:space="preserve">ORO TARŠOS MAŽINIMO PRIEMONĖS AKMENĖS RAJONO SAVIVALDYBĖJE </w:t>
      </w:r>
    </w:p>
    <w:p w:rsidR="000E7C4C" w:rsidRDefault="000E7C4C">
      <w:pPr>
        <w:ind w:left="720"/>
        <w:jc w:val="both"/>
        <w:rPr>
          <w:color w:val="000000"/>
          <w:szCs w:val="21"/>
        </w:rPr>
      </w:pPr>
    </w:p>
    <w:p w:rsidR="000E7C4C" w:rsidRDefault="003C3EA6">
      <w:pPr>
        <w:ind w:firstLine="567"/>
        <w:jc w:val="both"/>
        <w:rPr>
          <w:color w:val="000000"/>
          <w:szCs w:val="21"/>
        </w:rPr>
      </w:pPr>
      <w:r>
        <w:rPr>
          <w:color w:val="000000"/>
          <w:szCs w:val="21"/>
        </w:rPr>
        <w:t>38</w:t>
      </w:r>
      <w:r>
        <w:rPr>
          <w:color w:val="000000"/>
          <w:szCs w:val="21"/>
        </w:rPr>
        <w:t>.</w:t>
      </w:r>
      <w:r>
        <w:rPr>
          <w:b/>
          <w:color w:val="000000"/>
          <w:szCs w:val="21"/>
        </w:rPr>
        <w:t xml:space="preserve"> Akmenės rajono savivaldybės 2016–2021 m. strateginiame plėtros plane</w:t>
      </w:r>
      <w:r>
        <w:rPr>
          <w:color w:val="000000"/>
          <w:szCs w:val="21"/>
        </w:rPr>
        <w:t>, patvirtintas Akmenės rajono savivaldybės tarybos 2014 m. gruodžio 29 d. sprendimu Nr. T-277 „Dėl Akmenės rajono savivaldybės 2016–2021 m. strateginio plėtros plano patvirtinimo“, suformuoti trys uždaviniai, kurių įgyvendinimo priemonės prisidėtų prie oro taršos mažinimo. Uždaviniai, susiję su susisiekimo gerinimu, viešosios ir energetinės infrastruktūros plėtra ir aplinkos kokybės gerinimu (žr. 26 lent.).</w:t>
      </w:r>
      <w:r>
        <w:rPr>
          <w:b/>
          <w:color w:val="000000"/>
          <w:szCs w:val="21"/>
        </w:rPr>
        <w:t xml:space="preserve"> </w:t>
      </w:r>
      <w:r>
        <w:rPr>
          <w:color w:val="000000"/>
          <w:szCs w:val="21"/>
        </w:rPr>
        <w:t>Plane nurodyta, kad pagrindiniai taršos šaltiniai yra pramoniniai procesai, įskaitant energijos gavybą ir gamyklinę veiklą, transportas, namų šildymas, atliekų apdorojimas ir ūkininkavimas. Didžiausią įtaką oro būklei Akmenės rajono savivaldybėje turi mineralinių medžiagų apdirbimo pramonė ir viešosios elektros energijos ir šilumos gamyba.</w:t>
      </w:r>
    </w:p>
    <w:p w:rsidR="000E7C4C" w:rsidRDefault="000E7C4C">
      <w:pPr>
        <w:jc w:val="center"/>
        <w:rPr>
          <w:color w:val="000000"/>
        </w:rPr>
      </w:pPr>
    </w:p>
    <w:p w:rsidR="000E7C4C" w:rsidRDefault="003C3EA6">
      <w:pPr>
        <w:jc w:val="both"/>
        <w:rPr>
          <w:color w:val="000000"/>
          <w:szCs w:val="24"/>
        </w:rPr>
      </w:pPr>
      <w:r>
        <w:rPr>
          <w:color w:val="000000"/>
          <w:szCs w:val="24"/>
        </w:rPr>
        <w:t>7 lentelė. Akmenės rajono savivaldybės 2016–2021 m. strateginiame plėtros plane numatyti uždaviniai ir priemonės</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438"/>
        <w:gridCol w:w="7229"/>
      </w:tblGrid>
      <w:tr w:rsidR="000E7C4C">
        <w:trPr>
          <w:tblHeader/>
          <w:jc w:val="center"/>
        </w:trPr>
        <w:tc>
          <w:tcPr>
            <w:tcW w:w="2438"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color w:val="FFFFFF"/>
                <w:sz w:val="20"/>
              </w:rPr>
              <w:t>Uždaviniai</w:t>
            </w:r>
          </w:p>
        </w:tc>
        <w:tc>
          <w:tcPr>
            <w:tcW w:w="7229"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color w:val="FFFFFF"/>
                <w:sz w:val="20"/>
              </w:rPr>
              <w:t>Priemonės</w:t>
            </w:r>
          </w:p>
        </w:tc>
      </w:tr>
      <w:tr w:rsidR="000E7C4C">
        <w:trPr>
          <w:jc w:val="center"/>
        </w:trPr>
        <w:tc>
          <w:tcPr>
            <w:tcW w:w="243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Gerinti susisiekimo infrastruktūrą ir plėtoti ekologišką transportą</w:t>
            </w:r>
          </w:p>
        </w:tc>
        <w:tc>
          <w:tcPr>
            <w:tcW w:w="7229"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rPr>
            </w:pPr>
            <w:r>
              <w:rPr>
                <w:color w:val="000000"/>
                <w:sz w:val="20"/>
              </w:rPr>
              <w:t>Akmenės rajono savivaldybės ekologinio transporto plėtra</w:t>
            </w:r>
          </w:p>
        </w:tc>
      </w:tr>
      <w:tr w:rsidR="000E7C4C">
        <w:trPr>
          <w:jc w:val="center"/>
        </w:trPr>
        <w:tc>
          <w:tcPr>
            <w:tcW w:w="243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Plėsti ir modernizuoti rajono viešąją bei energetinę infrastruktūrą</w:t>
            </w:r>
          </w:p>
        </w:tc>
        <w:tc>
          <w:tcPr>
            <w:tcW w:w="7229"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rPr>
            </w:pPr>
            <w:r>
              <w:rPr>
                <w:color w:val="000000"/>
                <w:sz w:val="20"/>
              </w:rPr>
              <w:t>Akmenės rajono savivaldybės administracinių pastatų modernizavimas, didinant jų energijos vartojimo efektyvumą</w:t>
            </w:r>
          </w:p>
          <w:p w:rsidR="000E7C4C" w:rsidRDefault="003C3EA6">
            <w:pPr>
              <w:jc w:val="both"/>
              <w:rPr>
                <w:color w:val="000000"/>
                <w:sz w:val="20"/>
              </w:rPr>
            </w:pPr>
            <w:r>
              <w:rPr>
                <w:color w:val="000000"/>
                <w:sz w:val="20"/>
              </w:rPr>
              <w:t>Akmenės rajono savivaldybės visuomeninės paskirties pastatų atnaujinimas ir modernizavimas</w:t>
            </w:r>
          </w:p>
          <w:p w:rsidR="000E7C4C" w:rsidRDefault="003C3EA6">
            <w:pPr>
              <w:jc w:val="both"/>
              <w:rPr>
                <w:color w:val="000000"/>
                <w:sz w:val="20"/>
              </w:rPr>
            </w:pPr>
            <w:r>
              <w:rPr>
                <w:color w:val="000000"/>
                <w:sz w:val="20"/>
              </w:rPr>
              <w:t>Akmenės rajono daugiabučių gyvenamųjų namų pastatų modernizavimas, didinant jų energijos vartojimo efektyvumą</w:t>
            </w:r>
          </w:p>
          <w:p w:rsidR="000E7C4C" w:rsidRDefault="003C3EA6">
            <w:pPr>
              <w:jc w:val="both"/>
              <w:rPr>
                <w:color w:val="000000"/>
                <w:sz w:val="20"/>
              </w:rPr>
            </w:pPr>
            <w:r>
              <w:rPr>
                <w:color w:val="000000"/>
                <w:sz w:val="20"/>
              </w:rPr>
              <w:t xml:space="preserve">Atsinaujinančių išteklių energijos naudojimo plėtros veiksmų plano įgyvendinimas </w:t>
            </w:r>
          </w:p>
          <w:p w:rsidR="000E7C4C" w:rsidRDefault="003C3EA6">
            <w:pPr>
              <w:jc w:val="both"/>
              <w:rPr>
                <w:color w:val="000000"/>
                <w:sz w:val="20"/>
              </w:rPr>
            </w:pPr>
            <w:r>
              <w:rPr>
                <w:color w:val="000000"/>
                <w:sz w:val="20"/>
              </w:rPr>
              <w:t xml:space="preserve">Vėjo jėgainių parko Akmenės rajono savivaldybės teritorijoje įrengimas </w:t>
            </w:r>
          </w:p>
          <w:p w:rsidR="000E7C4C" w:rsidRDefault="003C3EA6">
            <w:pPr>
              <w:jc w:val="both"/>
              <w:rPr>
                <w:color w:val="000000"/>
                <w:sz w:val="20"/>
              </w:rPr>
            </w:pPr>
            <w:r>
              <w:rPr>
                <w:color w:val="000000"/>
                <w:sz w:val="20"/>
              </w:rPr>
              <w:t>Hidroelektrinių įrangos atnaujinimas ir plėtra Akmenės rajono savivaldybės teritorijoje įrengimas</w:t>
            </w:r>
          </w:p>
          <w:p w:rsidR="000E7C4C" w:rsidRDefault="003C3EA6">
            <w:pPr>
              <w:jc w:val="both"/>
              <w:rPr>
                <w:color w:val="000000"/>
                <w:sz w:val="20"/>
              </w:rPr>
            </w:pPr>
            <w:r>
              <w:rPr>
                <w:color w:val="000000"/>
                <w:sz w:val="20"/>
              </w:rPr>
              <w:t>Akmenės rajono savivaldybės darnios energetikos veiksmų plano priemonių įgyvendinimas</w:t>
            </w:r>
          </w:p>
        </w:tc>
      </w:tr>
      <w:tr w:rsidR="000E7C4C">
        <w:trPr>
          <w:jc w:val="center"/>
        </w:trPr>
        <w:tc>
          <w:tcPr>
            <w:tcW w:w="2438"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Išsaugoti ir gerinti aplinkos kokybę</w:t>
            </w:r>
          </w:p>
        </w:tc>
        <w:tc>
          <w:tcPr>
            <w:tcW w:w="7229"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20"/>
              </w:rPr>
            </w:pPr>
            <w:r>
              <w:rPr>
                <w:color w:val="000000"/>
                <w:sz w:val="20"/>
              </w:rPr>
              <w:t>Akmenės rajono savivaldybės bešeimininkių, apleistų pastatų ir kitų aplinką neigiamai veikiančių objektų likvidavimas</w:t>
            </w:r>
          </w:p>
          <w:p w:rsidR="000E7C4C" w:rsidRDefault="003C3EA6">
            <w:pPr>
              <w:jc w:val="both"/>
              <w:rPr>
                <w:color w:val="000000"/>
                <w:sz w:val="20"/>
              </w:rPr>
            </w:pPr>
            <w:r>
              <w:rPr>
                <w:color w:val="000000"/>
                <w:sz w:val="20"/>
              </w:rPr>
              <w:t>Visuomenės švietimo aplinkosaugos klausimais Akmenės rajono savivaldybės teritorijoje vykdymas</w:t>
            </w:r>
          </w:p>
        </w:tc>
      </w:tr>
    </w:tbl>
    <w:p w:rsidR="000E7C4C" w:rsidRDefault="003C3EA6">
      <w:pPr>
        <w:jc w:val="center"/>
        <w:rPr>
          <w:color w:val="000000"/>
          <w:sz w:val="20"/>
        </w:rPr>
      </w:pPr>
      <w:r>
        <w:rPr>
          <w:color w:val="000000"/>
          <w:sz w:val="20"/>
        </w:rPr>
        <w:t>(Šaltinis: Akmenės rajono savivaldybės 2016–2021 m. strateginiame plėtros planas)</w:t>
      </w:r>
    </w:p>
    <w:p w:rsidR="000E7C4C" w:rsidRDefault="003C3EA6">
      <w:pPr>
        <w:jc w:val="center"/>
        <w:rPr>
          <w:color w:val="000000"/>
          <w:sz w:val="20"/>
        </w:rPr>
      </w:pPr>
    </w:p>
    <w:p w:rsidR="000E7C4C" w:rsidRDefault="003C3EA6">
      <w:pPr>
        <w:ind w:firstLine="567"/>
        <w:jc w:val="both"/>
        <w:rPr>
          <w:color w:val="000000"/>
          <w:szCs w:val="21"/>
        </w:rPr>
      </w:pPr>
      <w:r>
        <w:rPr>
          <w:color w:val="000000"/>
          <w:szCs w:val="21"/>
        </w:rPr>
        <w:t>39</w:t>
      </w:r>
      <w:r>
        <w:rPr>
          <w:color w:val="000000"/>
          <w:szCs w:val="21"/>
        </w:rPr>
        <w:t>.</w:t>
      </w:r>
      <w:r>
        <w:rPr>
          <w:b/>
          <w:color w:val="000000"/>
          <w:szCs w:val="21"/>
        </w:rPr>
        <w:t xml:space="preserve"> Akmenės rajono savivaldybės 2017–2019 metų strateginiame veiklos plane</w:t>
      </w:r>
      <w:r>
        <w:rPr>
          <w:color w:val="000000"/>
          <w:szCs w:val="21"/>
        </w:rPr>
        <w:t xml:space="preserve">,  patvirtintame Akmenės rajono savivaldybės tarybos 2017 m. vasario 23 d. sprendimu Nr. T-16(E) „Dėl Akmenės rajono savivaldybės 2017–2019 metų strateginio veiklos plano patvirtinimo“, išvardinti pagrindiniai aplinkos oro teršėjai, tačiau konkrečių priemonių nėra. </w:t>
      </w:r>
      <w:r>
        <w:rPr>
          <w:b/>
          <w:color w:val="000000"/>
          <w:szCs w:val="21"/>
        </w:rPr>
        <w:t>Akmenės rajono savivaldybės 2017–2019 metų strateginio veiklos plano</w:t>
      </w:r>
      <w:r>
        <w:rPr>
          <w:color w:val="000000"/>
          <w:szCs w:val="21"/>
        </w:rPr>
        <w:t xml:space="preserve"> </w:t>
      </w:r>
      <w:r>
        <w:rPr>
          <w:b/>
          <w:color w:val="000000"/>
          <w:szCs w:val="21"/>
        </w:rPr>
        <w:t>Verslo rėmimo, aplinkos apsaugos ir žemės ūkio plėtros programoje Nr. 6</w:t>
      </w:r>
      <w:r>
        <w:rPr>
          <w:color w:val="000000"/>
          <w:szCs w:val="21"/>
        </w:rPr>
        <w:t xml:space="preserve"> yra</w:t>
      </w:r>
      <w:r>
        <w:rPr>
          <w:b/>
          <w:color w:val="000000"/>
          <w:szCs w:val="21"/>
        </w:rPr>
        <w:t xml:space="preserve"> </w:t>
      </w:r>
      <w:r>
        <w:rPr>
          <w:color w:val="000000"/>
          <w:szCs w:val="21"/>
        </w:rPr>
        <w:t>numatytas Akmenės rajono savivaldybės aplinkos apsaugos rėmimo specialiosios programos įgyvendinimas.</w:t>
      </w:r>
    </w:p>
    <w:p w:rsidR="000E7C4C" w:rsidRDefault="003C3EA6">
      <w:pPr>
        <w:ind w:firstLine="567"/>
        <w:jc w:val="both"/>
        <w:rPr>
          <w:color w:val="000000"/>
          <w:szCs w:val="21"/>
        </w:rPr>
      </w:pPr>
      <w:r>
        <w:rPr>
          <w:color w:val="000000"/>
          <w:szCs w:val="21"/>
        </w:rPr>
        <w:t>40</w:t>
      </w:r>
      <w:r>
        <w:rPr>
          <w:color w:val="000000"/>
          <w:szCs w:val="21"/>
        </w:rPr>
        <w:t>.</w:t>
      </w:r>
      <w:r>
        <w:rPr>
          <w:b/>
          <w:color w:val="000000"/>
          <w:szCs w:val="21"/>
        </w:rPr>
        <w:t xml:space="preserve"> Akmenės rajono savivaldybės aplinkos apsaugos rėmimo specialiosios programos 2017 metų priemonių sąmatoje</w:t>
      </w:r>
      <w:r>
        <w:rPr>
          <w:color w:val="000000"/>
          <w:szCs w:val="21"/>
        </w:rPr>
        <w:t>, patvirtintoje Akmenės rajono savivaldybės tarybos 2017 m. vasario 23 d. sprendimu Nr. T-16(E) „Dėl Akmenės rajono savivaldybės aplinkos apsaugos rėmimo specialiosios programos 2017 metų priemonių sąmatos patvirtinimo“, numatytos išlaidos aplinkosauginiam švietimui.</w:t>
      </w:r>
    </w:p>
    <w:p w:rsidR="000E7C4C" w:rsidRDefault="003C3EA6">
      <w:pPr>
        <w:ind w:firstLine="567"/>
        <w:jc w:val="both"/>
        <w:rPr>
          <w:color w:val="000000"/>
          <w:szCs w:val="21"/>
        </w:rPr>
      </w:pPr>
      <w:r>
        <w:rPr>
          <w:color w:val="000000"/>
          <w:szCs w:val="21"/>
        </w:rPr>
        <w:t>41</w:t>
      </w:r>
      <w:r>
        <w:rPr>
          <w:color w:val="000000"/>
          <w:szCs w:val="21"/>
        </w:rPr>
        <w:t>. Šiuo metu galiojančios oro kokybės valdymo programos Akmenės rajono savivaldybėje nėra (remiantis Lietuvos Respublikos aplinkos oro apsaugos įstatymo 4 ir 7 straipsnių pakeitimo įstatymu ir Lietuvos Respublikos aplinkos oro apsaugos įstatymo Nr. VIII-1392 2, 3, 4, 10 straipsnių ir priedo pakeitimo įstatymu).</w:t>
      </w:r>
    </w:p>
    <w:p w:rsidR="000E7C4C" w:rsidRDefault="003C3EA6">
      <w:pPr>
        <w:ind w:firstLine="567"/>
        <w:jc w:val="both"/>
        <w:rPr>
          <w:color w:val="000000"/>
          <w:szCs w:val="21"/>
        </w:rPr>
      </w:pPr>
      <w:r>
        <w:rPr>
          <w:color w:val="000000"/>
          <w:szCs w:val="21"/>
        </w:rPr>
        <w:t>42</w:t>
      </w:r>
      <w:r>
        <w:rPr>
          <w:color w:val="000000"/>
          <w:szCs w:val="21"/>
        </w:rPr>
        <w:t>.</w:t>
      </w:r>
      <w:r>
        <w:rPr>
          <w:b/>
          <w:color w:val="000000"/>
          <w:szCs w:val="21"/>
        </w:rPr>
        <w:t xml:space="preserve"> Akmenės rajono savivaldybės teritorijos šilumos ūkio specialiajame plane</w:t>
      </w:r>
      <w:r>
        <w:rPr>
          <w:color w:val="000000"/>
          <w:szCs w:val="21"/>
        </w:rPr>
        <w:t xml:space="preserve">,  patvirtintame Akmenės rajono savivaldybės tarybos 2010 m. birželio 23 d. sprendimu Nr. T-148 „Dėl Akmenės rajono savivaldybės teritorijos šilumos ūkio specialaus plano patvirtinimo“ (toliau – Akmenės rajono savivaldybės teritorijos šilumos ūkio specialusis planas), nurodyta, kad Akmenės rajone didžiausias stacionarios taršos šaltinis yra mineralinių medžiagų apdirbimo pramonė. Jos išmetami teršalai turi lemiamą įtaką Naujosios Akmenės miesto oro kokybei, ypač pučiant rytų ir pietryčių vėjui. </w:t>
      </w:r>
      <w:r>
        <w:rPr>
          <w:b/>
          <w:color w:val="000000"/>
          <w:szCs w:val="21"/>
        </w:rPr>
        <w:t>Akmenės rajono savivaldybės teritorijos šilumos ūkio specialiajame plane</w:t>
      </w:r>
      <w:r>
        <w:rPr>
          <w:color w:val="000000"/>
          <w:szCs w:val="21"/>
        </w:rPr>
        <w:t xml:space="preserve"> nurodyta, kad plėtojant Akmenės rajono šilumos ūkį numatoma išlaikyti CŠT sistemas, didinti jų efektyvumą tuose urbanizacijos centruose arba zonose, kuriose ekonominiu ir aplinkosauginiu požiūriu tai naudinga, plėtoti vietinių, AIE panaudojimą CŠT sistemose ir skatinti </w:t>
      </w:r>
      <w:proofErr w:type="spellStart"/>
      <w:r>
        <w:rPr>
          <w:color w:val="000000"/>
          <w:szCs w:val="21"/>
        </w:rPr>
        <w:t>kogeneracijos</w:t>
      </w:r>
      <w:proofErr w:type="spellEnd"/>
      <w:r>
        <w:rPr>
          <w:color w:val="000000"/>
          <w:szCs w:val="21"/>
        </w:rPr>
        <w:t xml:space="preserve"> potencialo bei </w:t>
      </w:r>
      <w:proofErr w:type="spellStart"/>
      <w:r>
        <w:rPr>
          <w:color w:val="000000"/>
          <w:szCs w:val="21"/>
        </w:rPr>
        <w:t>atliekinės</w:t>
      </w:r>
      <w:proofErr w:type="spellEnd"/>
      <w:r>
        <w:rPr>
          <w:color w:val="000000"/>
          <w:szCs w:val="21"/>
        </w:rPr>
        <w:t xml:space="preserve"> šilumos panaudojimą. Akmenės rajono savivaldybės teritorijos šilumos ūkio specialiajame plane išskirtos trys zonos: centralizuoto aprūpinimo šiluma (CŠT), mišri aprūpinimo šiluma ir ne CŠT aprūpinimo šiluma zonos. CŠT zonoje aprūpinimas šiluma vyksta centralizuotu būdu, todėl neigiamo poveikio aplinkai mažinimas gali būti vykdomas tobulinant CŠT sistemą. Mišraus aprūpinimo šiluma zonoje, kurioje aprūpinimas šiluma vyksta iš CŠT sistemos arba iš vietinių (individualių) katilinių, kūrenamų gamtinėmis dujomis, neigiamas poveikis aplinkos orui gali būti mažinamas skatinant pasirinkti gamtinėmis dujomis kūrenamus katilus ir </w:t>
      </w:r>
      <w:r>
        <w:rPr>
          <w:b/>
          <w:i/>
          <w:color w:val="000000"/>
          <w:szCs w:val="21"/>
        </w:rPr>
        <w:t>ribojant</w:t>
      </w:r>
      <w:r>
        <w:rPr>
          <w:color w:val="000000"/>
          <w:szCs w:val="21"/>
        </w:rPr>
        <w:t xml:space="preserve"> kūrenimą kietuoju kuru. Tuo metu ne CŠT aprūpinimo šiluma zonoje turėtų būti siekiama skatinti vartotojus naudoti mažiausiai taršias iš prieinamų kuro rūšis.</w:t>
      </w:r>
    </w:p>
    <w:p w:rsidR="000E7C4C" w:rsidRDefault="003C3EA6">
      <w:pPr>
        <w:ind w:left="720"/>
        <w:jc w:val="both"/>
        <w:rPr>
          <w:color w:val="000000"/>
          <w:szCs w:val="21"/>
        </w:rPr>
      </w:pPr>
    </w:p>
    <w:p w:rsidR="000E7C4C" w:rsidRDefault="003C3EA6">
      <w:pPr>
        <w:keepNext/>
        <w:keepLines/>
        <w:jc w:val="center"/>
        <w:outlineLvl w:val="6"/>
        <w:rPr>
          <w:b/>
          <w:iCs/>
          <w:color w:val="000000"/>
          <w:szCs w:val="21"/>
        </w:rPr>
      </w:pPr>
      <w:r>
        <w:rPr>
          <w:b/>
          <w:iCs/>
          <w:color w:val="000000"/>
          <w:szCs w:val="21"/>
        </w:rPr>
        <w:t>DEVINTASIS</w:t>
      </w:r>
      <w:r>
        <w:rPr>
          <w:b/>
          <w:iCs/>
          <w:color w:val="000000"/>
          <w:szCs w:val="21"/>
        </w:rPr>
        <w:t xml:space="preserve"> SKIRSNIS</w:t>
      </w:r>
    </w:p>
    <w:p w:rsidR="000E7C4C" w:rsidRDefault="003C3EA6">
      <w:pPr>
        <w:keepNext/>
        <w:keepLines/>
        <w:jc w:val="center"/>
        <w:outlineLvl w:val="6"/>
        <w:rPr>
          <w:b/>
          <w:iCs/>
          <w:color w:val="000000"/>
          <w:szCs w:val="21"/>
        </w:rPr>
      </w:pPr>
      <w:r>
        <w:rPr>
          <w:b/>
          <w:iCs/>
          <w:color w:val="000000"/>
          <w:szCs w:val="21"/>
        </w:rPr>
        <w:t xml:space="preserve">ORO TARŠOS MAŽINIMO PRIEMONĖS KĖDAINIŲ RAJONO SAVIVALDYBĖJE </w:t>
      </w:r>
    </w:p>
    <w:p w:rsidR="000E7C4C" w:rsidRDefault="000E7C4C">
      <w:pPr>
        <w:ind w:left="720"/>
        <w:jc w:val="both"/>
        <w:rPr>
          <w:color w:val="000000"/>
          <w:szCs w:val="21"/>
        </w:rPr>
      </w:pPr>
    </w:p>
    <w:p w:rsidR="000E7C4C" w:rsidRDefault="003C3EA6">
      <w:pPr>
        <w:ind w:firstLine="567"/>
        <w:jc w:val="both"/>
        <w:rPr>
          <w:color w:val="000000"/>
          <w:szCs w:val="21"/>
        </w:rPr>
      </w:pPr>
      <w:r>
        <w:rPr>
          <w:color w:val="000000"/>
          <w:szCs w:val="21"/>
        </w:rPr>
        <w:t>43</w:t>
      </w:r>
      <w:r>
        <w:rPr>
          <w:color w:val="000000"/>
          <w:szCs w:val="21"/>
        </w:rPr>
        <w:t>.</w:t>
      </w:r>
      <w:r>
        <w:rPr>
          <w:b/>
          <w:color w:val="000000"/>
          <w:szCs w:val="21"/>
        </w:rPr>
        <w:t xml:space="preserve"> Kėdainių rajono strateginiame plėtros plane iki 2020 metų</w:t>
      </w:r>
      <w:r>
        <w:rPr>
          <w:color w:val="000000"/>
          <w:szCs w:val="21"/>
        </w:rPr>
        <w:t>, patvirtintame Kėdainių rajono savivaldybės tarybos 2012 m. vasario 10 d. sprendimu Nr. TS-3 „Dėl</w:t>
      </w:r>
      <w:r>
        <w:rPr>
          <w:color w:val="000000"/>
          <w:szCs w:val="21"/>
          <w:lang w:val="en-US"/>
        </w:rPr>
        <w:t xml:space="preserve"> </w:t>
      </w:r>
      <w:r>
        <w:rPr>
          <w:color w:val="000000"/>
          <w:szCs w:val="21"/>
        </w:rPr>
        <w:t xml:space="preserve">Kėdainių rajono strateginio plėtros plano iki 2020 metų patvirtinimo“,  numatytas prioritetas – darnų žmogaus ir aplinkos vystymąsi užtikrinanti infrastruktūra. Apibūdinant šį prioritetą, nurodyta, kad užtikrinant darnų žmogaus ir aplinkos vystymąsi rajone bus pasiektas aukštas aplinkos apsaugos kokybės lygis: rajone veiks modernios aplinkosaugos sistemos, rengiamos ir įgyvendinamos gyventojų aplinkosauginio švietimo bei aplinkos kokybės monitoringo programos, užtikrinta geriamojo ir paviršinio vandens išteklių apsauga, rajono gyventojai bus aprūpinami kokybišku geriamuoju vandeniu, bus įgyvendintos oro taršos prevencijos priemonės; Kėdainių rajone bus siekiama, kad pramonė ir žemės ūkis būtų plėtojami nepažeidžiant ekologinės pusiausvyros, prisidedant prie klimato kaitos bei gamtos išteklių apsaugos; bus skatinamas AEI bei aplinką tausojančių technologijų naudojimas pramonėje bei žemės ūkyje. Plane iškeltas uždavinys, prisidedantis prie oro taršos mažinimo –  „modernizuoti ir plėsti inžinerinio aprūpinimo sistemą (šilumos ūkis, nuotekos ir jų valymas, telekomunikacijos ir kt.)“, kurio bus siekiama statant Kėdainių dumblo apdorojimo įrenginius. Siekiant įgyvendinti uždavinį „plėtoti rajono transporto infrastruktūrą gerinant susisiekimą“, bus atnaujinamas autobusų parkas ir sutvarkyta techninė bazė, asfaltuotos Kėdainių miesto </w:t>
      </w:r>
      <w:proofErr w:type="spellStart"/>
      <w:r>
        <w:rPr>
          <w:color w:val="000000"/>
          <w:szCs w:val="21"/>
        </w:rPr>
        <w:t>Babėnų</w:t>
      </w:r>
      <w:proofErr w:type="spellEnd"/>
      <w:r>
        <w:rPr>
          <w:color w:val="000000"/>
          <w:szCs w:val="21"/>
        </w:rPr>
        <w:t xml:space="preserve"> kvartalo žvyruotos gatvės.</w:t>
      </w:r>
    </w:p>
    <w:p w:rsidR="000E7C4C" w:rsidRDefault="003C3EA6">
      <w:pPr>
        <w:ind w:firstLine="567"/>
        <w:jc w:val="both"/>
        <w:rPr>
          <w:color w:val="000000"/>
          <w:szCs w:val="21"/>
        </w:rPr>
      </w:pPr>
      <w:r>
        <w:rPr>
          <w:color w:val="000000"/>
          <w:szCs w:val="21"/>
        </w:rPr>
        <w:t>44</w:t>
      </w:r>
      <w:r>
        <w:rPr>
          <w:color w:val="000000"/>
          <w:szCs w:val="21"/>
        </w:rPr>
        <w:t>.</w:t>
      </w:r>
      <w:r>
        <w:rPr>
          <w:b/>
          <w:color w:val="000000"/>
          <w:szCs w:val="21"/>
        </w:rPr>
        <w:t xml:space="preserve"> 2017–2019 metų Kėdainių rajono savivaldybės strateginiame veiklos plane</w:t>
      </w:r>
      <w:r>
        <w:rPr>
          <w:color w:val="000000"/>
          <w:szCs w:val="21"/>
        </w:rPr>
        <w:t>,</w:t>
      </w:r>
      <w:r>
        <w:rPr>
          <w:b/>
          <w:color w:val="000000"/>
          <w:szCs w:val="21"/>
        </w:rPr>
        <w:t xml:space="preserve"> </w:t>
      </w:r>
      <w:r>
        <w:rPr>
          <w:color w:val="000000"/>
          <w:szCs w:val="21"/>
        </w:rPr>
        <w:t>patvirtintame  Kėdainių rajono savivaldybės tarybos 2016 m. gruodžio 30 d. sprendimu Nr. TS-272 „Dėl 2017-2019 metų Kėdainių rajono savivaldybės strateginio veiklos plano patvirtinimo“, numatyta aplinkosaugos programa, kuria siekiama sudaryti prielaidas sveikai ir švariai aplinkai, gamtos išteklių, kraštovaizdžio elementų bei kompleksų atkūrimui ir gausinimui, aplinkosauginės informacijos rengimui ir skleidimui. Tuo pačiu siekiama įgyvendinti ES keliamus aplinkosaugos reikalavimus. Dauguma programos tikslų ir  priemonių yra tęstinės, įgyvendinamos jau daug metų. Pirmasis tikslas yra įgyvendinti Aplinkos apsaugos rėmimo specialiosios programos finansuojamas priemones. Tikslui pasiekti yra numatyti du uždaviniai, susiję su oro taršos mažinimu. Pirmasis uždavinys – gerinti aplinkos kokybę ir apsaugą, įgyvendinant aplinkos kokybės gerinimo ir apsaugos priemones, aplinkos monitoringo, prevencines, aplinkos atkūrimo priemones. Antrasis uždavinys – visuomenės informavimo ir ekologinio švietimo gerinimas įgyvendinant tokias priemones kaip 2017 m. aplinkos apsaugos švietimo programos įgyvendinimas ir priemonių, susijusių su visuomenės informavimu ir ekologiniu švietimu, įsigijimas.</w:t>
      </w:r>
    </w:p>
    <w:p w:rsidR="000E7C4C" w:rsidRDefault="003C3EA6">
      <w:pPr>
        <w:ind w:firstLine="567"/>
        <w:jc w:val="both"/>
        <w:rPr>
          <w:color w:val="000000"/>
          <w:szCs w:val="21"/>
        </w:rPr>
      </w:pPr>
      <w:r>
        <w:rPr>
          <w:color w:val="000000"/>
          <w:szCs w:val="21"/>
        </w:rPr>
        <w:t>45</w:t>
      </w:r>
      <w:r>
        <w:rPr>
          <w:color w:val="000000"/>
          <w:szCs w:val="21"/>
        </w:rPr>
        <w:t xml:space="preserve">. Kėdainių rajone galiojančios oro kokybės valdymo programos nėra (vadovaujantis Lietuvos Respublikos aplinkos oro apsaugos įstatymo 4 ir 7 straipsnių pakeitimo </w:t>
      </w:r>
      <w:proofErr w:type="spellStart"/>
      <w:r>
        <w:rPr>
          <w:color w:val="000000"/>
          <w:szCs w:val="21"/>
        </w:rPr>
        <w:t>įstatymuir</w:t>
      </w:r>
      <w:proofErr w:type="spellEnd"/>
      <w:r>
        <w:rPr>
          <w:color w:val="000000"/>
          <w:szCs w:val="21"/>
        </w:rPr>
        <w:t xml:space="preserve"> Lietuvos Respublikos aplinkos oro apsaugos įstatymo Nr. VIII-1392 2, 3, 4, 10 straipsnių ir priedo pakeitimo įstatymu). Šiuo metu yra rengiamas Atsinaujinančių energijos išteklių naudojimo plėtros veiksmų planas, kuris bus patvirtintas 2018 m. Šilumos ūkio specialusis planas šiemet bus atnaujintas. Atsinaujinančių energijos išteklių plėtros programa nėra parengta.</w:t>
      </w:r>
    </w:p>
    <w:p w:rsidR="000E7C4C" w:rsidRDefault="003C3EA6">
      <w:pPr>
        <w:ind w:left="720"/>
        <w:jc w:val="both"/>
        <w:rPr>
          <w:color w:val="000000"/>
          <w:szCs w:val="21"/>
        </w:rPr>
      </w:pPr>
    </w:p>
    <w:p w:rsidR="000E7C4C" w:rsidRDefault="003C3EA6">
      <w:pPr>
        <w:keepNext/>
        <w:keepLines/>
        <w:jc w:val="center"/>
        <w:outlineLvl w:val="6"/>
        <w:rPr>
          <w:b/>
          <w:iCs/>
          <w:color w:val="000000"/>
          <w:szCs w:val="21"/>
        </w:rPr>
      </w:pPr>
      <w:r>
        <w:rPr>
          <w:b/>
          <w:iCs/>
          <w:color w:val="000000"/>
          <w:szCs w:val="21"/>
        </w:rPr>
        <w:t>DEŠIMTASIS</w:t>
      </w:r>
      <w:r>
        <w:rPr>
          <w:b/>
          <w:iCs/>
          <w:color w:val="000000"/>
          <w:szCs w:val="21"/>
        </w:rPr>
        <w:t xml:space="preserve"> SKIRSNIS</w:t>
      </w:r>
    </w:p>
    <w:p w:rsidR="000E7C4C" w:rsidRDefault="003C3EA6">
      <w:pPr>
        <w:keepNext/>
        <w:keepLines/>
        <w:jc w:val="center"/>
        <w:outlineLvl w:val="6"/>
        <w:rPr>
          <w:b/>
          <w:iCs/>
          <w:color w:val="000000"/>
          <w:szCs w:val="21"/>
        </w:rPr>
      </w:pPr>
      <w:r>
        <w:rPr>
          <w:b/>
          <w:iCs/>
          <w:color w:val="000000"/>
          <w:szCs w:val="21"/>
        </w:rPr>
        <w:t>ORO TARŠOS MAŽINIMO PRIEMONĖS ELEKTRĖNŲ SAVIVALDYBĖJE</w:t>
      </w:r>
    </w:p>
    <w:p w:rsidR="000E7C4C" w:rsidRDefault="000E7C4C">
      <w:pPr>
        <w:ind w:left="720"/>
        <w:jc w:val="both"/>
        <w:rPr>
          <w:color w:val="000000"/>
          <w:szCs w:val="21"/>
        </w:rPr>
      </w:pPr>
    </w:p>
    <w:p w:rsidR="000E7C4C" w:rsidRDefault="003C3EA6">
      <w:pPr>
        <w:ind w:firstLine="567"/>
        <w:jc w:val="both"/>
        <w:rPr>
          <w:color w:val="000000"/>
          <w:szCs w:val="21"/>
        </w:rPr>
      </w:pPr>
      <w:r>
        <w:rPr>
          <w:color w:val="000000"/>
          <w:szCs w:val="21"/>
        </w:rPr>
        <w:t>46</w:t>
      </w:r>
      <w:r>
        <w:rPr>
          <w:color w:val="000000"/>
          <w:szCs w:val="21"/>
        </w:rPr>
        <w:t>.</w:t>
      </w:r>
      <w:r>
        <w:rPr>
          <w:b/>
          <w:color w:val="000000"/>
          <w:szCs w:val="21"/>
        </w:rPr>
        <w:t xml:space="preserve"> Elektrėnų savivaldybės strateginiame plėtros plane 2014–2020 m.</w:t>
      </w:r>
      <w:r>
        <w:rPr>
          <w:color w:val="000000"/>
          <w:szCs w:val="21"/>
        </w:rPr>
        <w:t xml:space="preserve">, patvirtintame Elektrėnų savivaldybės tarybos 2013 m. balandžio 24 d. sprendimu Nr. TS–80 „Dėl Elektrėnų savivaldybės strateginio plėtros plano 2014–2020 m. patvirtinimo“, numatytas prioritetas, prisidedantis prie oro taršos mažinimo – darnus teritorijų ir teritorijų ir infrastruktūros vystymas. Tarp šio prioriteto plėtros tikslų išvardintas tikslas atnaujinti ir plėsti inžinerinio aprūpinimo sistemas. Šiam tikslui įgyvendinti vienas iš iškeltų uždavinių yra atnaujinti ir plėsti energetikos sistemas, kuris įgyvendinamas pasitelkiant tokias, su oro taršos mažinimu susijusias priemones: katilinių ir centralizuoto šilumos ir karšto vandens tiekimo (CŠT)  tinklų modernizavimas/įrengimas diegiant šiuolaikines technologijas, katilinių modernizavimas/statyba pritaikant alternatyvios energijos gamybos metodus, pasyvių pastatų statybos plėtra. Kitas šio prioriteto tikslas yra vykdyti darnią susisiekimo infrastuktūros plėtrą. Šiam tikslui pasiekti nustatytas uždavinys  plėtoti ir tobulinti susisiekimo infrastruktūrą bei viešojo transporto paslaugas. Šiam uždaviniui įgyvendinti numatytos tokios, su oro taršos mažinimu susijusios priemonės: mažai taršaus viešojo transporto plėtra, žvyruotų kelių asfaltavimas, viešojo transporto plėtra, dviračių ir kito </w:t>
      </w:r>
      <w:proofErr w:type="spellStart"/>
      <w:r>
        <w:rPr>
          <w:color w:val="000000"/>
          <w:szCs w:val="21"/>
        </w:rPr>
        <w:t>bevariklio</w:t>
      </w:r>
      <w:proofErr w:type="spellEnd"/>
      <w:r>
        <w:rPr>
          <w:color w:val="000000"/>
          <w:szCs w:val="21"/>
        </w:rPr>
        <w:t xml:space="preserve"> transporto takų, kelių ir su tuo susijusios infrastruktūros įrengimas, </w:t>
      </w:r>
      <w:r>
        <w:rPr>
          <w:color w:val="000000"/>
          <w:szCs w:val="24"/>
        </w:rPr>
        <w:t xml:space="preserve">alternatyviais degalais varomų transporto priemonių naudojimo infrastruktūros plėtra. </w:t>
      </w:r>
      <w:r>
        <w:rPr>
          <w:color w:val="000000"/>
          <w:szCs w:val="21"/>
        </w:rPr>
        <w:t xml:space="preserve">Trečiasis tikslas numato efektyvios aplinkos apsaugos ir atliekų tvarkymo sistemos kūrimą. Vienas iš šiam tikslui pasiekti iškeltų uždavinių – užtikrinti ekologišką gamtinę aplinką. Jam įgyvendinti numatytos tokios priemonės: aplinkos apsaugos </w:t>
      </w:r>
      <w:r>
        <w:rPr>
          <w:color w:val="000000"/>
          <w:szCs w:val="24"/>
        </w:rPr>
        <w:t>monitoringo programos sukūrimas ir vykdymas, a</w:t>
      </w:r>
      <w:r>
        <w:rPr>
          <w:color w:val="000000"/>
          <w:szCs w:val="24"/>
          <w:lang w:eastAsia="lt-LT"/>
        </w:rPr>
        <w:t>plinkos oro kokybės valdymo programos įgyvendinimas, g</w:t>
      </w:r>
      <w:r>
        <w:rPr>
          <w:color w:val="000000"/>
          <w:szCs w:val="24"/>
        </w:rPr>
        <w:t>atvių valymo technologijų atnaujinimas ir plėtra</w:t>
      </w:r>
      <w:r>
        <w:rPr>
          <w:color w:val="000000"/>
          <w:szCs w:val="21"/>
        </w:rPr>
        <w:t>.</w:t>
      </w:r>
    </w:p>
    <w:p w:rsidR="000E7C4C" w:rsidRDefault="003C3EA6">
      <w:pPr>
        <w:ind w:firstLine="567"/>
        <w:jc w:val="both"/>
        <w:rPr>
          <w:color w:val="000000"/>
          <w:szCs w:val="21"/>
        </w:rPr>
      </w:pPr>
      <w:r>
        <w:rPr>
          <w:color w:val="000000"/>
          <w:szCs w:val="21"/>
        </w:rPr>
        <w:t>47</w:t>
      </w:r>
      <w:r>
        <w:rPr>
          <w:color w:val="000000"/>
          <w:szCs w:val="21"/>
        </w:rPr>
        <w:t>.</w:t>
      </w:r>
      <w:r>
        <w:rPr>
          <w:b/>
          <w:color w:val="000000"/>
          <w:szCs w:val="21"/>
        </w:rPr>
        <w:t xml:space="preserve"> Elektrėnų savivaldybės 2017–2019 metų strateginiame veiklos plane</w:t>
      </w:r>
      <w:r>
        <w:rPr>
          <w:color w:val="000000"/>
          <w:szCs w:val="21"/>
        </w:rPr>
        <w:t>, patvirtintame Elektrėnų savivaldybės tarybos 2017 m. sausio 25 d. sprendimu Nr. V.TS-1 „Dėl Elektrėnų savivaldybės 2017–2019 metų strateginio veiklos plano patvirtinimo“,</w:t>
      </w:r>
      <w:r>
        <w:rPr>
          <w:b/>
          <w:color w:val="000000"/>
          <w:szCs w:val="21"/>
        </w:rPr>
        <w:t xml:space="preserve"> </w:t>
      </w:r>
      <w:r>
        <w:rPr>
          <w:color w:val="000000"/>
          <w:szCs w:val="21"/>
        </w:rPr>
        <w:t>yra numatyta „Sveikos, švarios ir saugios gyvenamosios aplinkos kūrimo“ programa, kuria siekiama sumažinti aplinkos užterštumą, gerinti aplinkos būklę ir kokybę, savivaldybėje pagerinti kelių ir gatvių dangas, padidinti eismo saugumą ir sumažinti eismo nelaimių skaičių, rekonstruoti esamas automobilių stovėjimo aikšteles, įrengti naujas, rekonstruoti ir atnaujinti transporto ir pėsčiųjų tiltus, įrengti naujus ir atnaujinti esamus kelio ženklus bei eismo valdymo priemones. Siekiant įgyvendinti programos tikslą saugoti ir puoselėti natūralią gamtą, numatytas uždavinys projektuoti, statyti, rekonstruoti ir eksploatuoti gamtosauginius objektus. Šiam uždaviniui įgyvendinti numatytos  tokia su oro tarša susijusi priemonė – Elektrėnų savivaldybės aplinkos oro kokybės monitoringas.</w:t>
      </w:r>
    </w:p>
    <w:p w:rsidR="000E7C4C" w:rsidRDefault="003C3EA6">
      <w:pPr>
        <w:ind w:firstLine="567"/>
        <w:jc w:val="both"/>
        <w:rPr>
          <w:color w:val="000000"/>
          <w:szCs w:val="21"/>
        </w:rPr>
      </w:pPr>
      <w:r>
        <w:rPr>
          <w:color w:val="000000"/>
          <w:szCs w:val="21"/>
        </w:rPr>
        <w:t>48</w:t>
      </w:r>
      <w:r>
        <w:rPr>
          <w:color w:val="000000"/>
          <w:szCs w:val="21"/>
        </w:rPr>
        <w:t>.</w:t>
      </w:r>
      <w:r>
        <w:rPr>
          <w:b/>
          <w:color w:val="000000"/>
          <w:szCs w:val="21"/>
        </w:rPr>
        <w:t xml:space="preserve"> Elektrėnų savivaldybės aplinkos oro kokybės valdymo 2011–2020 metų programos</w:t>
      </w:r>
      <w:r>
        <w:rPr>
          <w:color w:val="000000"/>
          <w:szCs w:val="21"/>
        </w:rPr>
        <w:t>, patvirtintos Elektrėnų savivaldybės tarybos 2011 m. spalio 26 d. sprendimu Nr. TS - 258 „Dėl Elektrėnų savivaldybės aplinkos oro kokybės valdymo 2011–2020 metų programos patvirtinimo“,</w:t>
      </w:r>
      <w:r>
        <w:rPr>
          <w:b/>
          <w:color w:val="000000"/>
          <w:szCs w:val="21"/>
        </w:rPr>
        <w:t xml:space="preserve"> </w:t>
      </w:r>
      <w:r>
        <w:rPr>
          <w:color w:val="000000"/>
          <w:szCs w:val="21"/>
        </w:rPr>
        <w:t>tikslas – imtis reikiamų priemonių, kad ribinės ar kitos Normose nurodytos užterštumo vertės ir pavojaus slenksčiai nebūtų viršyti, palaikyti ir toliau gerinti tinkamą aplinkos oro kokybę. Programos uždaviniai: suformuoti aplinkos oro kokybės stebėsenos (monitoringo) ir valdymo Elektrėnų savivaldybėje sistemą, užtikrinti veiksmų bei priemonių, kad būtų sumažintas pavojus žmonių sveikatai ir aplinkai, kai aplinkos oro užterštumo lygis viršija pavojaus slenkstį, bei priemonių, skirtų gerinti aplinkos oro kokybę Elektrėnų savivaldybėje, įgyvendinimą, suformuoti informacijos apie aplinkos oro kokybę Elektrėnų savivaldybėje teikimo visuomenei sistemą ir informuoti visuomenę. Programos įgyvendinimas numatytas dviem etapais. Antrasis įgyvendinimo etapas – 2016–2020 metai. Jo metu tobulinama aplinkos oro kokybės stebėsenos (monitoringo) sistema, renkama informacija apie aplinkos oro taršą, įgyvendinamos aplinkos oro kokybės gerinimo priemonės, visuomenė informuojama apie aplinkos oro kokybę. Pastebėtina, kad antrajam etapui nėra parengtas priemonių įgyvendinimo planas.</w:t>
      </w:r>
    </w:p>
    <w:p w:rsidR="000E7C4C" w:rsidRDefault="003C3EA6">
      <w:pPr>
        <w:ind w:firstLine="720"/>
        <w:jc w:val="both"/>
        <w:rPr>
          <w:color w:val="000000"/>
          <w:szCs w:val="21"/>
        </w:rPr>
      </w:pPr>
    </w:p>
    <w:p w:rsidR="000E7C4C" w:rsidRDefault="003C3EA6">
      <w:pPr>
        <w:keepNext/>
        <w:keepLines/>
        <w:jc w:val="center"/>
        <w:outlineLvl w:val="2"/>
        <w:rPr>
          <w:b/>
          <w:bCs/>
          <w:color w:val="000000"/>
          <w:szCs w:val="28"/>
        </w:rPr>
      </w:pPr>
      <w:r>
        <w:rPr>
          <w:b/>
          <w:bCs/>
          <w:color w:val="000000"/>
          <w:szCs w:val="28"/>
        </w:rPr>
        <w:t>II</w:t>
      </w:r>
      <w:r>
        <w:rPr>
          <w:b/>
          <w:bCs/>
          <w:color w:val="000000"/>
          <w:szCs w:val="28"/>
        </w:rPr>
        <w:t xml:space="preserve"> SKYRIUS</w:t>
      </w:r>
    </w:p>
    <w:p w:rsidR="000E7C4C" w:rsidRDefault="003C3EA6">
      <w:pPr>
        <w:keepNext/>
        <w:keepLines/>
        <w:jc w:val="center"/>
        <w:outlineLvl w:val="2"/>
        <w:rPr>
          <w:b/>
          <w:bCs/>
          <w:caps/>
          <w:color w:val="000000"/>
          <w:szCs w:val="28"/>
        </w:rPr>
      </w:pPr>
      <w:r>
        <w:rPr>
          <w:b/>
          <w:bCs/>
          <w:color w:val="000000"/>
          <w:szCs w:val="28"/>
        </w:rPr>
        <w:t>SAVIVALDYBĖSE TAIKOMŲ PRIEMONIŲ ANALIZĖS APIBENDRINIMAS</w:t>
      </w:r>
    </w:p>
    <w:p w:rsidR="000E7C4C" w:rsidRDefault="000E7C4C">
      <w:pPr>
        <w:ind w:left="720"/>
        <w:jc w:val="both"/>
        <w:rPr>
          <w:color w:val="000000"/>
          <w:szCs w:val="21"/>
        </w:rPr>
      </w:pPr>
    </w:p>
    <w:p w:rsidR="000E7C4C" w:rsidRDefault="003C3EA6">
      <w:pPr>
        <w:ind w:firstLine="567"/>
        <w:jc w:val="both"/>
        <w:rPr>
          <w:color w:val="000000"/>
          <w:szCs w:val="21"/>
        </w:rPr>
      </w:pPr>
      <w:r>
        <w:rPr>
          <w:color w:val="000000"/>
          <w:szCs w:val="21"/>
        </w:rPr>
        <w:t>49</w:t>
      </w:r>
      <w:r>
        <w:rPr>
          <w:color w:val="000000"/>
          <w:szCs w:val="21"/>
        </w:rPr>
        <w:t>. Apibendrinta savivaldybėse suplanuotų priemonių, skirtų oro taršos mažinimui arba prisidedančių prie oro taršos mažinimo, analizė pateikta 8 lentelėje. Priemonės suskirstytos į kelias grupes: energetinės ir viešosios infrastruktūros, susisiekimo infrastruktūros, oro taršos ir oro kokybės valdymo, namų ūkiams skirtos priemonės.</w:t>
      </w:r>
    </w:p>
    <w:p w:rsidR="000E7C4C" w:rsidRDefault="000E7C4C">
      <w:pPr>
        <w:jc w:val="both"/>
        <w:rPr>
          <w:color w:val="000000"/>
          <w:szCs w:val="21"/>
        </w:rPr>
      </w:pPr>
    </w:p>
    <w:p w:rsidR="000E7C4C" w:rsidRDefault="003C3EA6">
      <w:pPr>
        <w:jc w:val="both"/>
        <w:rPr>
          <w:color w:val="000000"/>
          <w:szCs w:val="24"/>
        </w:rPr>
      </w:pPr>
      <w:r>
        <w:rPr>
          <w:color w:val="000000"/>
          <w:szCs w:val="24"/>
        </w:rPr>
        <w:t>8 lentelė. Savivaldybėse numatytos priemonės, susijusios su oro taršos mažinimu</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706"/>
        <w:gridCol w:w="407"/>
        <w:gridCol w:w="425"/>
        <w:gridCol w:w="425"/>
        <w:gridCol w:w="426"/>
        <w:gridCol w:w="425"/>
        <w:gridCol w:w="425"/>
        <w:gridCol w:w="425"/>
        <w:gridCol w:w="426"/>
        <w:gridCol w:w="425"/>
        <w:gridCol w:w="1294"/>
      </w:tblGrid>
      <w:tr w:rsidR="000E7C4C">
        <w:trPr>
          <w:cantSplit/>
          <w:trHeight w:val="1219"/>
          <w:tblHeader/>
          <w:jc w:val="center"/>
        </w:trPr>
        <w:tc>
          <w:tcPr>
            <w:tcW w:w="4706" w:type="dxa"/>
            <w:tcBorders>
              <w:top w:val="single" w:sz="4" w:space="0" w:color="auto"/>
              <w:left w:val="single" w:sz="4" w:space="0" w:color="auto"/>
              <w:bottom w:val="single" w:sz="4" w:space="0" w:color="auto"/>
              <w:right w:val="single" w:sz="4" w:space="0" w:color="auto"/>
            </w:tcBorders>
            <w:shd w:val="clear" w:color="auto" w:fill="002060"/>
            <w:vAlign w:val="bottom"/>
          </w:tcPr>
          <w:p w:rsidR="000E7C4C" w:rsidRDefault="000E7C4C">
            <w:pPr>
              <w:jc w:val="center"/>
              <w:rPr>
                <w:color w:val="FFFFFF"/>
                <w:sz w:val="20"/>
              </w:rPr>
            </w:pPr>
          </w:p>
          <w:p w:rsidR="000E7C4C" w:rsidRDefault="000E7C4C">
            <w:pPr>
              <w:jc w:val="center"/>
              <w:rPr>
                <w:color w:val="FFFFFF"/>
                <w:sz w:val="20"/>
              </w:rPr>
            </w:pPr>
          </w:p>
          <w:p w:rsidR="000E7C4C" w:rsidRDefault="000E7C4C">
            <w:pPr>
              <w:jc w:val="center"/>
              <w:rPr>
                <w:color w:val="FFFFFF"/>
                <w:sz w:val="20"/>
              </w:rPr>
            </w:pPr>
          </w:p>
          <w:p w:rsidR="000E7C4C" w:rsidRDefault="003C3EA6">
            <w:pPr>
              <w:jc w:val="center"/>
              <w:rPr>
                <w:color w:val="FFFFFF"/>
                <w:sz w:val="20"/>
              </w:rPr>
            </w:pPr>
            <w:r>
              <w:rPr>
                <w:color w:val="FFFFFF"/>
                <w:sz w:val="20"/>
              </w:rPr>
              <w:t>Priemonės</w:t>
            </w:r>
          </w:p>
        </w:tc>
        <w:tc>
          <w:tcPr>
            <w:tcW w:w="407" w:type="dxa"/>
            <w:tcBorders>
              <w:top w:val="single" w:sz="4" w:space="0" w:color="auto"/>
              <w:left w:val="single" w:sz="4" w:space="0" w:color="auto"/>
              <w:bottom w:val="single" w:sz="4" w:space="0" w:color="auto"/>
              <w:right w:val="single" w:sz="4" w:space="0" w:color="auto"/>
            </w:tcBorders>
            <w:shd w:val="clear" w:color="auto" w:fill="002060"/>
            <w:textDirection w:val="btLr"/>
            <w:vAlign w:val="center"/>
            <w:hideMark/>
          </w:tcPr>
          <w:p w:rsidR="000E7C4C" w:rsidRDefault="003C3EA6">
            <w:pPr>
              <w:rPr>
                <w:color w:val="FFFFFF"/>
                <w:sz w:val="20"/>
              </w:rPr>
            </w:pPr>
            <w:r>
              <w:rPr>
                <w:color w:val="FFFFFF"/>
                <w:sz w:val="20"/>
              </w:rPr>
              <w:t>Vilniaus m. sav.</w:t>
            </w:r>
          </w:p>
        </w:tc>
        <w:tc>
          <w:tcPr>
            <w:tcW w:w="425" w:type="dxa"/>
            <w:tcBorders>
              <w:top w:val="single" w:sz="4" w:space="0" w:color="auto"/>
              <w:left w:val="single" w:sz="4" w:space="0" w:color="auto"/>
              <w:bottom w:val="single" w:sz="4" w:space="0" w:color="auto"/>
              <w:right w:val="single" w:sz="4" w:space="0" w:color="auto"/>
            </w:tcBorders>
            <w:shd w:val="clear" w:color="auto" w:fill="002060"/>
            <w:textDirection w:val="btLr"/>
            <w:vAlign w:val="center"/>
            <w:hideMark/>
          </w:tcPr>
          <w:p w:rsidR="000E7C4C" w:rsidRDefault="003C3EA6">
            <w:pPr>
              <w:rPr>
                <w:color w:val="FFFFFF"/>
                <w:sz w:val="20"/>
              </w:rPr>
            </w:pPr>
            <w:r>
              <w:rPr>
                <w:color w:val="FFFFFF"/>
                <w:sz w:val="20"/>
              </w:rPr>
              <w:t>Kauno m. sav.</w:t>
            </w:r>
          </w:p>
        </w:tc>
        <w:tc>
          <w:tcPr>
            <w:tcW w:w="425" w:type="dxa"/>
            <w:tcBorders>
              <w:top w:val="single" w:sz="4" w:space="0" w:color="auto"/>
              <w:left w:val="single" w:sz="4" w:space="0" w:color="auto"/>
              <w:bottom w:val="single" w:sz="4" w:space="0" w:color="auto"/>
              <w:right w:val="single" w:sz="4" w:space="0" w:color="auto"/>
            </w:tcBorders>
            <w:shd w:val="clear" w:color="auto" w:fill="002060"/>
            <w:textDirection w:val="btLr"/>
            <w:vAlign w:val="center"/>
            <w:hideMark/>
          </w:tcPr>
          <w:p w:rsidR="000E7C4C" w:rsidRDefault="003C3EA6">
            <w:pPr>
              <w:rPr>
                <w:color w:val="FFFFFF"/>
                <w:sz w:val="20"/>
              </w:rPr>
            </w:pPr>
            <w:r>
              <w:rPr>
                <w:color w:val="FFFFFF"/>
                <w:sz w:val="20"/>
              </w:rPr>
              <w:t>Klaipėdos m. sav.</w:t>
            </w:r>
          </w:p>
        </w:tc>
        <w:tc>
          <w:tcPr>
            <w:tcW w:w="426" w:type="dxa"/>
            <w:tcBorders>
              <w:top w:val="single" w:sz="4" w:space="0" w:color="auto"/>
              <w:left w:val="single" w:sz="4" w:space="0" w:color="auto"/>
              <w:bottom w:val="single" w:sz="4" w:space="0" w:color="auto"/>
              <w:right w:val="single" w:sz="4" w:space="0" w:color="auto"/>
            </w:tcBorders>
            <w:shd w:val="clear" w:color="auto" w:fill="002060"/>
            <w:textDirection w:val="btLr"/>
            <w:vAlign w:val="center"/>
            <w:hideMark/>
          </w:tcPr>
          <w:p w:rsidR="000E7C4C" w:rsidRDefault="003C3EA6">
            <w:pPr>
              <w:rPr>
                <w:color w:val="FFFFFF"/>
                <w:sz w:val="20"/>
              </w:rPr>
            </w:pPr>
            <w:r>
              <w:rPr>
                <w:color w:val="FFFFFF"/>
                <w:sz w:val="20"/>
              </w:rPr>
              <w:t>Šiaulių m. sav.</w:t>
            </w:r>
          </w:p>
        </w:tc>
        <w:tc>
          <w:tcPr>
            <w:tcW w:w="425" w:type="dxa"/>
            <w:tcBorders>
              <w:top w:val="single" w:sz="4" w:space="0" w:color="auto"/>
              <w:left w:val="single" w:sz="4" w:space="0" w:color="auto"/>
              <w:bottom w:val="single" w:sz="4" w:space="0" w:color="auto"/>
              <w:right w:val="single" w:sz="4" w:space="0" w:color="auto"/>
            </w:tcBorders>
            <w:shd w:val="clear" w:color="auto" w:fill="002060"/>
            <w:textDirection w:val="btLr"/>
            <w:vAlign w:val="center"/>
            <w:hideMark/>
          </w:tcPr>
          <w:p w:rsidR="000E7C4C" w:rsidRDefault="003C3EA6">
            <w:pPr>
              <w:rPr>
                <w:color w:val="FFFFFF"/>
                <w:sz w:val="20"/>
              </w:rPr>
            </w:pPr>
            <w:r>
              <w:rPr>
                <w:color w:val="FFFFFF"/>
                <w:sz w:val="20"/>
              </w:rPr>
              <w:t>Panevėžio m. sav.</w:t>
            </w:r>
          </w:p>
        </w:tc>
        <w:tc>
          <w:tcPr>
            <w:tcW w:w="425" w:type="dxa"/>
            <w:tcBorders>
              <w:top w:val="single" w:sz="4" w:space="0" w:color="auto"/>
              <w:left w:val="single" w:sz="4" w:space="0" w:color="auto"/>
              <w:bottom w:val="single" w:sz="4" w:space="0" w:color="auto"/>
              <w:right w:val="single" w:sz="4" w:space="0" w:color="auto"/>
            </w:tcBorders>
            <w:shd w:val="clear" w:color="auto" w:fill="002060"/>
            <w:textDirection w:val="btLr"/>
            <w:vAlign w:val="center"/>
            <w:hideMark/>
          </w:tcPr>
          <w:p w:rsidR="000E7C4C" w:rsidRDefault="003C3EA6">
            <w:pPr>
              <w:rPr>
                <w:color w:val="FFFFFF"/>
                <w:sz w:val="20"/>
              </w:rPr>
            </w:pPr>
            <w:r>
              <w:rPr>
                <w:color w:val="FFFFFF"/>
                <w:sz w:val="20"/>
              </w:rPr>
              <w:t>Jonavos r. sav.</w:t>
            </w:r>
          </w:p>
        </w:tc>
        <w:tc>
          <w:tcPr>
            <w:tcW w:w="425" w:type="dxa"/>
            <w:tcBorders>
              <w:top w:val="single" w:sz="4" w:space="0" w:color="auto"/>
              <w:left w:val="single" w:sz="4" w:space="0" w:color="auto"/>
              <w:bottom w:val="single" w:sz="4" w:space="0" w:color="auto"/>
              <w:right w:val="single" w:sz="4" w:space="0" w:color="auto"/>
            </w:tcBorders>
            <w:shd w:val="clear" w:color="auto" w:fill="002060"/>
            <w:textDirection w:val="btLr"/>
            <w:vAlign w:val="center"/>
            <w:hideMark/>
          </w:tcPr>
          <w:p w:rsidR="000E7C4C" w:rsidRDefault="003C3EA6">
            <w:pPr>
              <w:rPr>
                <w:color w:val="FFFFFF"/>
                <w:sz w:val="20"/>
              </w:rPr>
            </w:pPr>
            <w:r>
              <w:rPr>
                <w:color w:val="FFFFFF"/>
                <w:sz w:val="20"/>
              </w:rPr>
              <w:t>Mažeikių r. sav.</w:t>
            </w:r>
          </w:p>
        </w:tc>
        <w:tc>
          <w:tcPr>
            <w:tcW w:w="426" w:type="dxa"/>
            <w:tcBorders>
              <w:top w:val="single" w:sz="4" w:space="0" w:color="auto"/>
              <w:left w:val="single" w:sz="4" w:space="0" w:color="auto"/>
              <w:bottom w:val="single" w:sz="4" w:space="0" w:color="auto"/>
              <w:right w:val="single" w:sz="4" w:space="0" w:color="auto"/>
            </w:tcBorders>
            <w:shd w:val="clear" w:color="auto" w:fill="002060"/>
            <w:textDirection w:val="btLr"/>
            <w:vAlign w:val="center"/>
            <w:hideMark/>
          </w:tcPr>
          <w:p w:rsidR="000E7C4C" w:rsidRDefault="003C3EA6">
            <w:pPr>
              <w:rPr>
                <w:color w:val="FFFFFF"/>
                <w:sz w:val="20"/>
              </w:rPr>
            </w:pPr>
            <w:r>
              <w:rPr>
                <w:color w:val="FFFFFF"/>
                <w:sz w:val="20"/>
              </w:rPr>
              <w:t xml:space="preserve">Akmenės r. sav. </w:t>
            </w:r>
          </w:p>
        </w:tc>
        <w:tc>
          <w:tcPr>
            <w:tcW w:w="425" w:type="dxa"/>
            <w:tcBorders>
              <w:top w:val="single" w:sz="4" w:space="0" w:color="auto"/>
              <w:left w:val="single" w:sz="4" w:space="0" w:color="auto"/>
              <w:bottom w:val="single" w:sz="4" w:space="0" w:color="auto"/>
              <w:right w:val="single" w:sz="4" w:space="0" w:color="auto"/>
            </w:tcBorders>
            <w:shd w:val="clear" w:color="auto" w:fill="002060"/>
            <w:textDirection w:val="btLr"/>
            <w:vAlign w:val="center"/>
            <w:hideMark/>
          </w:tcPr>
          <w:p w:rsidR="000E7C4C" w:rsidRDefault="003C3EA6">
            <w:pPr>
              <w:rPr>
                <w:color w:val="FFFFFF"/>
                <w:sz w:val="20"/>
              </w:rPr>
            </w:pPr>
            <w:r>
              <w:rPr>
                <w:color w:val="FFFFFF"/>
                <w:sz w:val="20"/>
              </w:rPr>
              <w:t>Kėdainių r. sav.</w:t>
            </w:r>
          </w:p>
        </w:tc>
        <w:tc>
          <w:tcPr>
            <w:tcW w:w="1294" w:type="dxa"/>
            <w:tcBorders>
              <w:top w:val="single" w:sz="4" w:space="0" w:color="auto"/>
              <w:left w:val="single" w:sz="4" w:space="0" w:color="auto"/>
              <w:bottom w:val="single" w:sz="4" w:space="0" w:color="auto"/>
              <w:right w:val="single" w:sz="4" w:space="0" w:color="auto"/>
            </w:tcBorders>
            <w:shd w:val="clear" w:color="auto" w:fill="002060"/>
            <w:textDirection w:val="btLr"/>
            <w:vAlign w:val="center"/>
            <w:hideMark/>
          </w:tcPr>
          <w:p w:rsidR="000E7C4C" w:rsidRDefault="003C3EA6">
            <w:pPr>
              <w:rPr>
                <w:color w:val="FFFFFF"/>
                <w:sz w:val="20"/>
              </w:rPr>
            </w:pPr>
            <w:r>
              <w:rPr>
                <w:color w:val="FFFFFF"/>
                <w:sz w:val="20"/>
              </w:rPr>
              <w:t>Elektrėnų sav.</w:t>
            </w:r>
          </w:p>
        </w:tc>
      </w:tr>
      <w:tr w:rsidR="000E7C4C">
        <w:trPr>
          <w:trHeight w:val="170"/>
          <w:tblHeader/>
          <w:jc w:val="center"/>
        </w:trPr>
        <w:tc>
          <w:tcPr>
            <w:tcW w:w="9809"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0E7C4C" w:rsidRDefault="003C3EA6">
            <w:pPr>
              <w:rPr>
                <w:b/>
                <w:color w:val="000000"/>
                <w:sz w:val="20"/>
                <w:lang w:eastAsia="lt-LT"/>
              </w:rPr>
            </w:pPr>
            <w:r>
              <w:rPr>
                <w:b/>
                <w:color w:val="000000"/>
                <w:sz w:val="20"/>
                <w:lang w:eastAsia="lt-LT"/>
              </w:rPr>
              <w:t>Energetinė ir viešoji infrastruktūra</w:t>
            </w: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modernizuoti gyvenamąjį būstą ir visuomeninės paskirties pastatus, didinant energinį efektyvumą</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modernizuoti katilines, keičiant esamus katilus į biokuro</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įtraukti energinio efektyvumo reikalavimus į viešųjų pirkimų sritį</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skatinti projektus (tarp jų viešosios paskirties pastatų), kurie naudotų AEI ar CŠT</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riboti katilų, naudojančių kietąjį kurą plėtrą CŠT ir gamtinių dujų zonose</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didinti šilumos gamybos efektyvumą</w:t>
            </w:r>
          </w:p>
        </w:tc>
        <w:tc>
          <w:tcPr>
            <w:tcW w:w="407"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plėtoti saulės, vėjo, biodujų jėgaines</w:t>
            </w:r>
          </w:p>
        </w:tc>
        <w:tc>
          <w:tcPr>
            <w:tcW w:w="407"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plėtoti pasyvių pastatų statybą</w:t>
            </w:r>
          </w:p>
        </w:tc>
        <w:tc>
          <w:tcPr>
            <w:tcW w:w="407"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parengti ir įgyvendinti AEI naudojimo plėtros planą</w:t>
            </w:r>
          </w:p>
        </w:tc>
        <w:tc>
          <w:tcPr>
            <w:tcW w:w="407"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utilizuoti ir saugoti nuotekų dumblą</w:t>
            </w:r>
          </w:p>
        </w:tc>
        <w:tc>
          <w:tcPr>
            <w:tcW w:w="407"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tobulinti miesto apšvietimo sistemą</w:t>
            </w:r>
          </w:p>
        </w:tc>
        <w:tc>
          <w:tcPr>
            <w:tcW w:w="407"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9809"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0E7C4C" w:rsidRDefault="003C3EA6">
            <w:pPr>
              <w:rPr>
                <w:b/>
                <w:color w:val="000000"/>
                <w:sz w:val="20"/>
                <w:lang w:eastAsia="lt-LT"/>
              </w:rPr>
            </w:pPr>
            <w:r>
              <w:rPr>
                <w:b/>
                <w:color w:val="000000"/>
                <w:sz w:val="20"/>
                <w:lang w:eastAsia="lt-LT"/>
              </w:rPr>
              <w:t>Susisiekimo infrastruktūra</w:t>
            </w: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 xml:space="preserve">plėtoti ekologišką, mažai taršų visuomeninį transportą </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129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skatinti įsigyti elektromobilius</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atnaujinti gatvių priežiūros įrangą</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plėtoti dviračių ir pėsčiųjų takus</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rengti ekologiško vairavimo mokymus</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riboti transporto eismą tam tikrose teritorijose (laikinas)</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mažinti važiavimo į miesto centrą patrauklumą</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valyti gatves, kiemus ir dangą ir gerinti valymo technologijas</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remontuoti gatves ir kiemus</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keisti savivaldybės transporto priemones į labiau ekologiškas</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riboti ar nukreipti sunkiųjų transporto priemonių/tranzitinio eismo srautus</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įrengti elektromobilių zonas (su elektromobilių įkrovimo vietomis)</w:t>
            </w:r>
          </w:p>
        </w:tc>
        <w:tc>
          <w:tcPr>
            <w:tcW w:w="407"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didinti ekologiško kuro naudojimą miesto viešajame transporte</w:t>
            </w:r>
          </w:p>
        </w:tc>
        <w:tc>
          <w:tcPr>
            <w:tcW w:w="407"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rekonstruoti ir asfaltuoti žvyrkelius</w:t>
            </w:r>
          </w:p>
        </w:tc>
        <w:tc>
          <w:tcPr>
            <w:tcW w:w="407"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129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optimizuoti viešojo transporto organizavimą (maršrutus, laiką ir pan.)</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apželdinti plotus prie gatvių, didinti žaliuosius plotus</w:t>
            </w:r>
          </w:p>
        </w:tc>
        <w:tc>
          <w:tcPr>
            <w:tcW w:w="407"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9809"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0E7C4C" w:rsidRDefault="003C3EA6">
            <w:pPr>
              <w:rPr>
                <w:b/>
                <w:color w:val="000000"/>
                <w:sz w:val="20"/>
                <w:lang w:eastAsia="lt-LT"/>
              </w:rPr>
            </w:pPr>
            <w:r>
              <w:rPr>
                <w:b/>
                <w:color w:val="000000"/>
                <w:sz w:val="20"/>
                <w:lang w:eastAsia="lt-LT"/>
              </w:rPr>
              <w:t>Oro taršos ir oro kokybės valdymas</w:t>
            </w: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oro taršos prevencinių priemonių įgyvendinimo stebėsena</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stebėti ir modeliuoti oro kokybę</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rengti ir įgyvendinti aplinkos oro kokybės valdymo programas ir jų įgyvendinimo planus</w:t>
            </w:r>
          </w:p>
        </w:tc>
        <w:tc>
          <w:tcPr>
            <w:tcW w:w="407"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 xml:space="preserve">atnaujinti oro kokybės stebėsenos įrangą </w:t>
            </w:r>
          </w:p>
        </w:tc>
        <w:tc>
          <w:tcPr>
            <w:tcW w:w="407"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įrengti papildomas oro taršos matavimo stoteles</w:t>
            </w:r>
          </w:p>
        </w:tc>
        <w:tc>
          <w:tcPr>
            <w:tcW w:w="407"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laikinai riboti stacionarių taršos šaltinių veiklą, esant poreikiui ar grėsmei</w:t>
            </w:r>
          </w:p>
        </w:tc>
        <w:tc>
          <w:tcPr>
            <w:tcW w:w="407"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9809"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0E7C4C" w:rsidRDefault="003C3EA6">
            <w:pPr>
              <w:rPr>
                <w:b/>
                <w:color w:val="000000"/>
                <w:sz w:val="20"/>
                <w:lang w:eastAsia="lt-LT"/>
              </w:rPr>
            </w:pPr>
            <w:r>
              <w:rPr>
                <w:b/>
                <w:color w:val="000000"/>
                <w:sz w:val="20"/>
                <w:lang w:eastAsia="lt-LT"/>
              </w:rPr>
              <w:t>Namų ūkiai</w:t>
            </w: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skatinti keisti elektros prietaisus</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planuoti teritorijas, kad paslaugų teikėjas būtų arčiau paslaugų gavėjo</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Informuoti ir šviesti visuomenę oro taršos klausimais</w:t>
            </w:r>
          </w:p>
        </w:tc>
        <w:tc>
          <w:tcPr>
            <w:tcW w:w="407"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atlikti individualių namų inventorizaciją</w:t>
            </w:r>
          </w:p>
        </w:tc>
        <w:tc>
          <w:tcPr>
            <w:tcW w:w="407"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r w:rsidR="000E7C4C">
        <w:trPr>
          <w:trHeight w:val="170"/>
          <w:tblHeader/>
          <w:jc w:val="center"/>
        </w:trPr>
        <w:tc>
          <w:tcPr>
            <w:tcW w:w="470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šviesti individualių namų gyventojus apie skirtingų kuro rūšių poveikį oro kokybei</w:t>
            </w:r>
          </w:p>
        </w:tc>
        <w:tc>
          <w:tcPr>
            <w:tcW w:w="407"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w:t>
            </w: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6"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425"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c>
          <w:tcPr>
            <w:tcW w:w="1294" w:type="dxa"/>
            <w:tcBorders>
              <w:top w:val="single" w:sz="4" w:space="0" w:color="auto"/>
              <w:left w:val="single" w:sz="4" w:space="0" w:color="auto"/>
              <w:bottom w:val="single" w:sz="4" w:space="0" w:color="auto"/>
              <w:right w:val="single" w:sz="4" w:space="0" w:color="auto"/>
            </w:tcBorders>
            <w:vAlign w:val="bottom"/>
          </w:tcPr>
          <w:p w:rsidR="000E7C4C" w:rsidRDefault="000E7C4C">
            <w:pPr>
              <w:jc w:val="center"/>
              <w:rPr>
                <w:color w:val="000000"/>
                <w:sz w:val="20"/>
                <w:lang w:eastAsia="lt-LT"/>
              </w:rPr>
            </w:pPr>
          </w:p>
        </w:tc>
      </w:tr>
    </w:tbl>
    <w:p w:rsidR="000E7C4C" w:rsidRDefault="003C3EA6">
      <w:pPr>
        <w:ind w:left="720"/>
        <w:jc w:val="both"/>
        <w:rPr>
          <w:color w:val="000000"/>
          <w:sz w:val="18"/>
          <w:szCs w:val="18"/>
        </w:rPr>
      </w:pPr>
    </w:p>
    <w:p w:rsidR="000E7C4C" w:rsidRDefault="003C3EA6">
      <w:pPr>
        <w:ind w:firstLine="567"/>
        <w:jc w:val="both"/>
        <w:rPr>
          <w:color w:val="000000"/>
          <w:szCs w:val="21"/>
        </w:rPr>
      </w:pPr>
      <w:r>
        <w:rPr>
          <w:color w:val="000000"/>
          <w:szCs w:val="21"/>
        </w:rPr>
        <w:t>50</w:t>
      </w:r>
      <w:r>
        <w:rPr>
          <w:color w:val="000000"/>
          <w:szCs w:val="21"/>
        </w:rPr>
        <w:t>. Kaip matyti 8 lentelėje, tarp dažniausiai taikomų priemonių išskirtinas gyvenamojo būsto ir viešosios paskirties pastatų modernizavimas didinant jų energinį efektyvumą. Kita priemonė yra susijusi su projektų, kurie skatintų AEI ar CŠT naudojimą, taip pat katilinių modernizavimu (dažnai minima priemonė – esamų katilų keitimas į biokuro katilus). Analizuojant šilumos ūkiuose įgyvendinamas priemones, paminėtinas draudimas CŠT ar mišriose zonose šilumos energijos gamybai naudoti kietąjį kurą arba tokio kuro naudojimo apribojimas.</w:t>
      </w:r>
    </w:p>
    <w:p w:rsidR="000E7C4C" w:rsidRDefault="003C3EA6">
      <w:pPr>
        <w:ind w:firstLine="567"/>
        <w:jc w:val="both"/>
        <w:rPr>
          <w:color w:val="000000"/>
          <w:szCs w:val="21"/>
        </w:rPr>
      </w:pPr>
      <w:r>
        <w:rPr>
          <w:color w:val="000000"/>
          <w:szCs w:val="21"/>
        </w:rPr>
        <w:t>51</w:t>
      </w:r>
      <w:r>
        <w:rPr>
          <w:color w:val="000000"/>
          <w:szCs w:val="21"/>
        </w:rPr>
        <w:t xml:space="preserve">. Tarp infrastruktūros priemonių išskirtinas ekologiškų ir draugiškų aplinkai visuomeninio transporto priemonių įsigijimas ir visuomeninio transporto optimizavimas, darnaus </w:t>
      </w:r>
      <w:proofErr w:type="spellStart"/>
      <w:r>
        <w:rPr>
          <w:color w:val="000000"/>
          <w:szCs w:val="21"/>
        </w:rPr>
        <w:t>judumo</w:t>
      </w:r>
      <w:proofErr w:type="spellEnd"/>
      <w:r>
        <w:rPr>
          <w:color w:val="000000"/>
          <w:szCs w:val="21"/>
        </w:rPr>
        <w:t xml:space="preserve"> sprendimai (pavyzdžiui, dviračių ir pėsčiųjų takų plėtra), kelios priemonės apima gatvių remontą ir tiesimą, asfaltavimą, taip pat išskirtinos priemonės, kuriomis siekiama skatinti elektra varomo transporto plėtrą. Tarp oro taršos ir oro kokybės valdymo priemonių išskirtina tik vienoje savivaldybėje (Jonavos rajono) taikoma priemonė – laikinas stacionarių taršos šaltinių veiklos ribojimas, kai yra viršijamos nustatytos ribinės oro kokybės vertės. Paminėtina, kad savivaldybių lygmeniu dėmesys atkreipiamas taip pat į namų ūkius: namų ūkiai skatinami taupiau vartoti elektros energiją, siekiama išdėstyti viešųjų paslaugų teikimo vietas taip, kad jos būtų kuo arčiau paslaugų gavėjų. Pažymėtinos priemonės, nustatytos Šiaulių miesto savivaldybėje, kuriomis siekiama inventorizuoti namų ūkiuose naudojamus katilus. Tokios priemonės įgyvendinimas Lietuvos mastu galėtų sudaryti pagrindą taikyti į šilumos gamybą namų ūkiuose nukreiptas priemones, sudarančias prielaidas mažinti jų sukeliamą oro taršą.</w:t>
      </w:r>
    </w:p>
    <w:p w:rsidR="000E7C4C" w:rsidRDefault="003C3EA6">
      <w:pPr>
        <w:ind w:firstLine="567"/>
        <w:jc w:val="both"/>
        <w:rPr>
          <w:color w:val="000000"/>
          <w:szCs w:val="21"/>
          <w:lang w:val="en-US"/>
        </w:rPr>
      </w:pPr>
      <w:r>
        <w:rPr>
          <w:color w:val="000000"/>
          <w:szCs w:val="21"/>
        </w:rPr>
        <w:t>52</w:t>
      </w:r>
      <w:r>
        <w:rPr>
          <w:color w:val="000000"/>
          <w:szCs w:val="21"/>
        </w:rPr>
        <w:t>. Išanalizavus savivaldybių strateginius dokumentus, kuriuose numatytos priemonės, prisidedančios prie oro taršos mažinimo, nustatyta, kad savivaldybėse trūksta ilgalaikio požiūrio. Plėtros strategijos dažniausiai numatytos iki 2020 arba 2021 metų, tuo metu strateginiai veiklos planai sudaromi artimiausiems trejiems metams. Tokia pat situacija yra analizuojant oro kokybės valdymo programas. Tai reiškia, jog savivaldybėse numatytų priemonių poveikis siekiant Lietuvai nustatytų oro taršos mažinimo tikslų yra sunkiai numatomas. Siekiant ilgalaikio priemonių poveikio, jos turi pasižymėti tęstinumu.</w:t>
      </w:r>
    </w:p>
    <w:p w:rsidR="000E7C4C" w:rsidRDefault="003C3EA6">
      <w:pPr>
        <w:spacing w:line="360" w:lineRule="atLeast"/>
        <w:jc w:val="center"/>
        <w:rPr>
          <w:color w:val="000000"/>
          <w:szCs w:val="21"/>
          <w:lang w:val="en-US"/>
        </w:rPr>
      </w:pPr>
      <w:r>
        <w:rPr>
          <w:color w:val="000000"/>
          <w:szCs w:val="21"/>
          <w:lang w:val="en-US"/>
        </w:rPr>
        <w:t>____________________________</w:t>
      </w:r>
    </w:p>
    <w:p w:rsidR="000E7C4C" w:rsidRDefault="003C3EA6">
      <w:pPr>
        <w:tabs>
          <w:tab w:val="center" w:pos="4819"/>
          <w:tab w:val="right" w:pos="9638"/>
        </w:tabs>
        <w:jc w:val="both"/>
        <w:rPr>
          <w:color w:val="000000"/>
          <w:szCs w:val="21"/>
          <w:lang w:val="en-US"/>
        </w:rPr>
      </w:pPr>
    </w:p>
    <w:p w:rsidR="003C3EA6" w:rsidRDefault="003C3EA6">
      <w:pPr>
        <w:ind w:left="7088"/>
        <w:sectPr w:rsidR="003C3EA6" w:rsidSect="003C3EA6">
          <w:pgSz w:w="11906" w:h="16838"/>
          <w:pgMar w:top="1134" w:right="567" w:bottom="1134" w:left="1134" w:header="567" w:footer="567" w:gutter="0"/>
          <w:pgNumType w:start="1"/>
          <w:cols w:space="1296"/>
          <w:titlePg/>
          <w:docGrid w:linePitch="326"/>
        </w:sectPr>
      </w:pPr>
    </w:p>
    <w:p w:rsidR="000E7C4C" w:rsidRDefault="003C3EA6">
      <w:pPr>
        <w:ind w:left="7088"/>
        <w:rPr>
          <w:color w:val="000000"/>
          <w:szCs w:val="24"/>
        </w:rPr>
      </w:pPr>
      <w:r>
        <w:rPr>
          <w:color w:val="000000"/>
          <w:szCs w:val="24"/>
        </w:rPr>
        <w:t xml:space="preserve">Nacionalinio oro taršos </w:t>
      </w:r>
    </w:p>
    <w:p w:rsidR="000E7C4C" w:rsidRDefault="003C3EA6">
      <w:pPr>
        <w:ind w:left="7088"/>
        <w:rPr>
          <w:color w:val="000000"/>
          <w:szCs w:val="24"/>
        </w:rPr>
      </w:pPr>
      <w:r>
        <w:rPr>
          <w:color w:val="000000"/>
          <w:szCs w:val="24"/>
        </w:rPr>
        <w:t>mažinimo plano</w:t>
      </w:r>
    </w:p>
    <w:p w:rsidR="000E7C4C" w:rsidRDefault="003C3EA6">
      <w:pPr>
        <w:ind w:left="7088"/>
        <w:rPr>
          <w:color w:val="000000"/>
          <w:szCs w:val="24"/>
        </w:rPr>
      </w:pPr>
      <w:r>
        <w:rPr>
          <w:color w:val="000000"/>
          <w:szCs w:val="24"/>
        </w:rPr>
        <w:t>6</w:t>
      </w:r>
      <w:r>
        <w:rPr>
          <w:color w:val="000000"/>
          <w:szCs w:val="24"/>
        </w:rPr>
        <w:t xml:space="preserve"> priedas</w:t>
      </w:r>
    </w:p>
    <w:p w:rsidR="000E7C4C" w:rsidRDefault="000E7C4C">
      <w:pPr>
        <w:jc w:val="right"/>
        <w:rPr>
          <w:color w:val="000000"/>
          <w:sz w:val="20"/>
          <w:szCs w:val="21"/>
        </w:rPr>
      </w:pPr>
    </w:p>
    <w:p w:rsidR="000E7C4C" w:rsidRDefault="000E7C4C">
      <w:pPr>
        <w:tabs>
          <w:tab w:val="num" w:pos="360"/>
        </w:tabs>
        <w:jc w:val="both"/>
        <w:rPr>
          <w:color w:val="000000"/>
          <w:szCs w:val="21"/>
          <w:lang w:val="en-US"/>
        </w:rPr>
      </w:pPr>
    </w:p>
    <w:p w:rsidR="000E7C4C" w:rsidRDefault="003C3EA6">
      <w:pPr>
        <w:keepNext/>
        <w:keepLines/>
        <w:jc w:val="center"/>
        <w:outlineLvl w:val="2"/>
        <w:rPr>
          <w:b/>
          <w:bCs/>
          <w:caps/>
          <w:color w:val="000000"/>
          <w:szCs w:val="28"/>
        </w:rPr>
      </w:pPr>
      <w:r>
        <w:rPr>
          <w:b/>
          <w:bCs/>
          <w:color w:val="000000"/>
          <w:szCs w:val="28"/>
        </w:rPr>
        <w:t>APLINKOS ORO APSAUGOS POLITIKOS ĮGYVENDINIMO, SIEKIANT MAŽINTI ORO TARŠĄ, FINANSAVIMAS LIETUVOS RESPUBLIKOS BIUDŽETO LĖŠOMIS</w:t>
      </w:r>
    </w:p>
    <w:p w:rsidR="000E7C4C" w:rsidRDefault="000E7C4C">
      <w:pPr>
        <w:ind w:left="720"/>
        <w:jc w:val="both"/>
        <w:rPr>
          <w:color w:val="000000"/>
          <w:szCs w:val="21"/>
        </w:rPr>
      </w:pPr>
    </w:p>
    <w:p w:rsidR="000E7C4C" w:rsidRDefault="003C3EA6">
      <w:pPr>
        <w:tabs>
          <w:tab w:val="num" w:pos="0"/>
        </w:tabs>
        <w:ind w:firstLine="567"/>
        <w:jc w:val="both"/>
        <w:rPr>
          <w:color w:val="000000"/>
          <w:szCs w:val="21"/>
        </w:rPr>
      </w:pPr>
      <w:r>
        <w:rPr>
          <w:color w:val="000000"/>
          <w:szCs w:val="21"/>
        </w:rPr>
        <w:t>1</w:t>
      </w:r>
      <w:r>
        <w:rPr>
          <w:color w:val="000000"/>
          <w:szCs w:val="21"/>
        </w:rPr>
        <w:t>. Įgyvendinant valstybės politiką aplinkos apsaugos, racionalaus gamtos išteklių naudojimo, klimato kaitos, atliekų tvarkymo srityse, administruojant aplinkos apsaugos srities specialiųjų programų lėšas pagal kompetenciją dalyvavo Lietuvos aplinkos apsaugos investicijų fondas (toliau – LAAIF), kurio funkcijas nuo 2018 m. balandžio 3 d. vykdo Aplinkos projektų valdymo agentūra. Finansuojami aplinkos apsaugos investiciniai projektai, kuriuos įgyvendinus sumažėja neigiamas ūkinės veiklos poveikis aplinkai ir užtikrinamas įgyvendinto projekto tęstinis aplinkos apsaugos efektas. Finansavimas teikiamas subsidijų forma. Kaip nurodyta 1 lentelėje, viena iš verslui ir viešajam sektoriui skirtų krypčių yra aplinkos oro apsauga. 2017 m. šios krypties finansavimas buvo skirtas projektams, susijusiems su oro teršalų valymo įrenginių diegimu ir/ar kvapų mažinimu. Tarp prevencinių projektų išskirtini projektai, susiję su gamybinės ar kitos ūkinės veiklos metu į aplinkos orą išmetamų teršalų kiekį mažinančių technologinių įrenginių diegimu.</w:t>
      </w:r>
    </w:p>
    <w:p w:rsidR="000E7C4C" w:rsidRDefault="000E7C4C">
      <w:pPr>
        <w:ind w:left="720"/>
        <w:jc w:val="both"/>
        <w:rPr>
          <w:color w:val="000000"/>
          <w:szCs w:val="21"/>
        </w:rPr>
      </w:pPr>
    </w:p>
    <w:p w:rsidR="000E7C4C" w:rsidRDefault="003C3EA6">
      <w:pPr>
        <w:jc w:val="both"/>
        <w:rPr>
          <w:color w:val="000000"/>
        </w:rPr>
      </w:pPr>
      <w:r>
        <w:rPr>
          <w:color w:val="000000"/>
        </w:rPr>
        <w:t>1 lentelė. LAAIF programos lėšų naudojimo 2017 m. finansavimo kryptys</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399"/>
        <w:gridCol w:w="2268"/>
      </w:tblGrid>
      <w:tr w:rsidR="000E7C4C">
        <w:tc>
          <w:tcPr>
            <w:tcW w:w="7399"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color w:val="FFFFFF"/>
                <w:sz w:val="20"/>
              </w:rPr>
              <w:t>Lėšų paskirtis</w:t>
            </w:r>
          </w:p>
        </w:tc>
        <w:tc>
          <w:tcPr>
            <w:tcW w:w="2268"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color w:val="FFFFFF"/>
                <w:sz w:val="20"/>
                <w:lang w:eastAsia="lt-LT"/>
              </w:rPr>
              <w:t xml:space="preserve">Lėšos, tūkst. </w:t>
            </w:r>
            <w:proofErr w:type="spellStart"/>
            <w:r>
              <w:rPr>
                <w:color w:val="FFFFFF"/>
                <w:sz w:val="20"/>
                <w:lang w:eastAsia="lt-LT"/>
              </w:rPr>
              <w:t>Eur</w:t>
            </w:r>
            <w:proofErr w:type="spellEnd"/>
          </w:p>
        </w:tc>
      </w:tr>
      <w:tr w:rsidR="000E7C4C">
        <w:tc>
          <w:tcPr>
            <w:tcW w:w="7399" w:type="dxa"/>
            <w:tcBorders>
              <w:top w:val="single" w:sz="4" w:space="0" w:color="auto"/>
              <w:left w:val="single" w:sz="4" w:space="0" w:color="auto"/>
              <w:bottom w:val="single" w:sz="4" w:space="0" w:color="auto"/>
              <w:right w:val="single" w:sz="4" w:space="0" w:color="auto"/>
            </w:tcBorders>
            <w:hideMark/>
          </w:tcPr>
          <w:p w:rsidR="000E7C4C" w:rsidRDefault="003C3EA6">
            <w:pPr>
              <w:suppressAutoHyphens/>
              <w:jc w:val="both"/>
              <w:rPr>
                <w:b/>
                <w:color w:val="000000"/>
                <w:sz w:val="20"/>
                <w:vertAlign w:val="superscript"/>
              </w:rPr>
            </w:pPr>
            <w:r>
              <w:rPr>
                <w:b/>
                <w:color w:val="000000"/>
                <w:sz w:val="20"/>
              </w:rPr>
              <w:t>Aplinkos oro apsauga</w:t>
            </w:r>
          </w:p>
        </w:tc>
        <w:tc>
          <w:tcPr>
            <w:tcW w:w="2268" w:type="dxa"/>
            <w:tcBorders>
              <w:top w:val="single" w:sz="4" w:space="0" w:color="auto"/>
              <w:left w:val="single" w:sz="4" w:space="0" w:color="auto"/>
              <w:bottom w:val="single" w:sz="4" w:space="0" w:color="auto"/>
              <w:right w:val="single" w:sz="4" w:space="0" w:color="auto"/>
            </w:tcBorders>
            <w:hideMark/>
          </w:tcPr>
          <w:p w:rsidR="000E7C4C" w:rsidRDefault="003C3EA6">
            <w:pPr>
              <w:suppressAutoHyphens/>
              <w:jc w:val="center"/>
              <w:rPr>
                <w:color w:val="000000"/>
                <w:sz w:val="20"/>
              </w:rPr>
            </w:pPr>
            <w:r>
              <w:rPr>
                <w:color w:val="000000"/>
                <w:sz w:val="20"/>
              </w:rPr>
              <w:t>1000,0</w:t>
            </w:r>
          </w:p>
        </w:tc>
      </w:tr>
      <w:tr w:rsidR="000E7C4C">
        <w:tc>
          <w:tcPr>
            <w:tcW w:w="7399" w:type="dxa"/>
            <w:tcBorders>
              <w:top w:val="single" w:sz="4" w:space="0" w:color="auto"/>
              <w:left w:val="single" w:sz="4" w:space="0" w:color="auto"/>
              <w:bottom w:val="single" w:sz="4" w:space="0" w:color="auto"/>
              <w:right w:val="single" w:sz="4" w:space="0" w:color="auto"/>
            </w:tcBorders>
            <w:hideMark/>
          </w:tcPr>
          <w:p w:rsidR="000E7C4C" w:rsidRDefault="003C3EA6">
            <w:pPr>
              <w:suppressAutoHyphens/>
              <w:jc w:val="both"/>
              <w:rPr>
                <w:color w:val="000000"/>
                <w:sz w:val="20"/>
                <w:vertAlign w:val="superscript"/>
              </w:rPr>
            </w:pPr>
            <w:r>
              <w:rPr>
                <w:color w:val="000000"/>
                <w:sz w:val="20"/>
              </w:rPr>
              <w:t>projektai, susiję su oro teršalų valymo įrenginių diegimu ir/ar kvapų mažinimu</w:t>
            </w:r>
          </w:p>
        </w:tc>
        <w:tc>
          <w:tcPr>
            <w:tcW w:w="2268" w:type="dxa"/>
            <w:tcBorders>
              <w:top w:val="single" w:sz="4" w:space="0" w:color="auto"/>
              <w:left w:val="single" w:sz="4" w:space="0" w:color="auto"/>
              <w:bottom w:val="single" w:sz="4" w:space="0" w:color="auto"/>
              <w:right w:val="single" w:sz="4" w:space="0" w:color="auto"/>
            </w:tcBorders>
          </w:tcPr>
          <w:p w:rsidR="000E7C4C" w:rsidRDefault="000E7C4C">
            <w:pPr>
              <w:suppressAutoHyphens/>
              <w:jc w:val="center"/>
              <w:rPr>
                <w:color w:val="000000"/>
                <w:sz w:val="20"/>
              </w:rPr>
            </w:pPr>
          </w:p>
        </w:tc>
      </w:tr>
      <w:tr w:rsidR="000E7C4C">
        <w:tc>
          <w:tcPr>
            <w:tcW w:w="7399" w:type="dxa"/>
            <w:tcBorders>
              <w:top w:val="single" w:sz="4" w:space="0" w:color="auto"/>
              <w:left w:val="single" w:sz="4" w:space="0" w:color="auto"/>
              <w:bottom w:val="single" w:sz="4" w:space="0" w:color="auto"/>
              <w:right w:val="single" w:sz="4" w:space="0" w:color="auto"/>
            </w:tcBorders>
            <w:hideMark/>
          </w:tcPr>
          <w:p w:rsidR="000E7C4C" w:rsidRDefault="003C3EA6">
            <w:pPr>
              <w:suppressAutoHyphens/>
              <w:jc w:val="both"/>
              <w:rPr>
                <w:b/>
                <w:color w:val="000000"/>
                <w:sz w:val="20"/>
              </w:rPr>
            </w:pPr>
            <w:r>
              <w:rPr>
                <w:b/>
                <w:color w:val="000000"/>
                <w:sz w:val="20"/>
              </w:rPr>
              <w:t>Prevenciniai projektai</w:t>
            </w:r>
          </w:p>
        </w:tc>
        <w:tc>
          <w:tcPr>
            <w:tcW w:w="2268" w:type="dxa"/>
            <w:tcBorders>
              <w:top w:val="single" w:sz="4" w:space="0" w:color="auto"/>
              <w:left w:val="single" w:sz="4" w:space="0" w:color="auto"/>
              <w:bottom w:val="single" w:sz="4" w:space="0" w:color="auto"/>
              <w:right w:val="single" w:sz="4" w:space="0" w:color="auto"/>
            </w:tcBorders>
            <w:hideMark/>
          </w:tcPr>
          <w:p w:rsidR="000E7C4C" w:rsidRDefault="003C3EA6">
            <w:pPr>
              <w:suppressAutoHyphens/>
              <w:jc w:val="center"/>
              <w:rPr>
                <w:color w:val="000000"/>
                <w:sz w:val="20"/>
              </w:rPr>
            </w:pPr>
            <w:r>
              <w:rPr>
                <w:color w:val="000000"/>
                <w:sz w:val="20"/>
              </w:rPr>
              <w:t>1427,3</w:t>
            </w:r>
          </w:p>
        </w:tc>
      </w:tr>
      <w:tr w:rsidR="000E7C4C">
        <w:tc>
          <w:tcPr>
            <w:tcW w:w="7399" w:type="dxa"/>
            <w:tcBorders>
              <w:top w:val="single" w:sz="4" w:space="0" w:color="auto"/>
              <w:left w:val="single" w:sz="4" w:space="0" w:color="auto"/>
              <w:bottom w:val="single" w:sz="4" w:space="0" w:color="auto"/>
              <w:right w:val="single" w:sz="4" w:space="0" w:color="auto"/>
            </w:tcBorders>
            <w:hideMark/>
          </w:tcPr>
          <w:p w:rsidR="000E7C4C" w:rsidRDefault="003C3EA6">
            <w:pPr>
              <w:suppressAutoHyphens/>
              <w:jc w:val="both"/>
              <w:rPr>
                <w:color w:val="000000"/>
                <w:sz w:val="20"/>
              </w:rPr>
            </w:pPr>
            <w:r>
              <w:rPr>
                <w:color w:val="000000"/>
                <w:sz w:val="20"/>
              </w:rPr>
              <w:t>projektai, susiję su technologinių įrenginių, mažinančių gamybinės ar kitos ūkinės veiklos metu susidariusią taršą nuotekomis, diegimu</w:t>
            </w:r>
          </w:p>
        </w:tc>
        <w:tc>
          <w:tcPr>
            <w:tcW w:w="2268" w:type="dxa"/>
            <w:tcBorders>
              <w:top w:val="single" w:sz="4" w:space="0" w:color="auto"/>
              <w:left w:val="single" w:sz="4" w:space="0" w:color="auto"/>
              <w:bottom w:val="single" w:sz="4" w:space="0" w:color="auto"/>
              <w:right w:val="single" w:sz="4" w:space="0" w:color="auto"/>
            </w:tcBorders>
          </w:tcPr>
          <w:p w:rsidR="000E7C4C" w:rsidRDefault="000E7C4C">
            <w:pPr>
              <w:suppressAutoHyphens/>
              <w:jc w:val="right"/>
              <w:rPr>
                <w:color w:val="000000"/>
                <w:sz w:val="20"/>
              </w:rPr>
            </w:pPr>
          </w:p>
        </w:tc>
      </w:tr>
      <w:tr w:rsidR="000E7C4C">
        <w:tc>
          <w:tcPr>
            <w:tcW w:w="7399" w:type="dxa"/>
            <w:tcBorders>
              <w:top w:val="single" w:sz="4" w:space="0" w:color="auto"/>
              <w:left w:val="single" w:sz="4" w:space="0" w:color="auto"/>
              <w:bottom w:val="single" w:sz="4" w:space="0" w:color="auto"/>
              <w:right w:val="single" w:sz="4" w:space="0" w:color="auto"/>
            </w:tcBorders>
            <w:hideMark/>
          </w:tcPr>
          <w:p w:rsidR="000E7C4C" w:rsidRDefault="003C3EA6">
            <w:pPr>
              <w:suppressAutoHyphens/>
              <w:jc w:val="both"/>
              <w:rPr>
                <w:color w:val="000000"/>
                <w:sz w:val="20"/>
              </w:rPr>
            </w:pPr>
            <w:r>
              <w:rPr>
                <w:color w:val="000000"/>
                <w:sz w:val="20"/>
              </w:rPr>
              <w:t>projektai, susiję su technologinių įrenginių, mažinančių gamybinės ar kitos ūkinės veiklos atliekų susidarymą, įdiegimu</w:t>
            </w:r>
          </w:p>
        </w:tc>
        <w:tc>
          <w:tcPr>
            <w:tcW w:w="2268" w:type="dxa"/>
            <w:tcBorders>
              <w:top w:val="single" w:sz="4" w:space="0" w:color="auto"/>
              <w:left w:val="single" w:sz="4" w:space="0" w:color="auto"/>
              <w:bottom w:val="single" w:sz="4" w:space="0" w:color="auto"/>
              <w:right w:val="single" w:sz="4" w:space="0" w:color="auto"/>
            </w:tcBorders>
          </w:tcPr>
          <w:p w:rsidR="000E7C4C" w:rsidRDefault="000E7C4C">
            <w:pPr>
              <w:suppressAutoHyphens/>
              <w:jc w:val="right"/>
              <w:rPr>
                <w:color w:val="000000"/>
                <w:sz w:val="20"/>
              </w:rPr>
            </w:pPr>
          </w:p>
        </w:tc>
      </w:tr>
      <w:tr w:rsidR="000E7C4C">
        <w:tc>
          <w:tcPr>
            <w:tcW w:w="7399" w:type="dxa"/>
            <w:tcBorders>
              <w:top w:val="single" w:sz="4" w:space="0" w:color="auto"/>
              <w:left w:val="single" w:sz="4" w:space="0" w:color="auto"/>
              <w:bottom w:val="single" w:sz="4" w:space="0" w:color="auto"/>
              <w:right w:val="single" w:sz="4" w:space="0" w:color="auto"/>
            </w:tcBorders>
            <w:hideMark/>
          </w:tcPr>
          <w:p w:rsidR="000E7C4C" w:rsidRDefault="003C3EA6">
            <w:pPr>
              <w:suppressAutoHyphens/>
              <w:jc w:val="both"/>
              <w:rPr>
                <w:color w:val="000000"/>
                <w:sz w:val="20"/>
              </w:rPr>
            </w:pPr>
            <w:r>
              <w:rPr>
                <w:color w:val="000000"/>
                <w:sz w:val="20"/>
              </w:rPr>
              <w:t>projektai, susiję su gamybinės ar kitos ūkinės veiklos metu į aplinkos orą išmetamų teršalų kiekį mažinančių technologinių įrenginių diegimu</w:t>
            </w:r>
          </w:p>
        </w:tc>
        <w:tc>
          <w:tcPr>
            <w:tcW w:w="2268" w:type="dxa"/>
            <w:tcBorders>
              <w:top w:val="single" w:sz="4" w:space="0" w:color="auto"/>
              <w:left w:val="single" w:sz="4" w:space="0" w:color="auto"/>
              <w:bottom w:val="single" w:sz="4" w:space="0" w:color="auto"/>
              <w:right w:val="single" w:sz="4" w:space="0" w:color="auto"/>
            </w:tcBorders>
          </w:tcPr>
          <w:p w:rsidR="000E7C4C" w:rsidRDefault="000E7C4C">
            <w:pPr>
              <w:suppressAutoHyphens/>
              <w:jc w:val="right"/>
              <w:rPr>
                <w:color w:val="000000"/>
                <w:sz w:val="20"/>
              </w:rPr>
            </w:pPr>
          </w:p>
        </w:tc>
      </w:tr>
      <w:tr w:rsidR="000E7C4C">
        <w:tc>
          <w:tcPr>
            <w:tcW w:w="7399" w:type="dxa"/>
            <w:tcBorders>
              <w:top w:val="single" w:sz="4" w:space="0" w:color="auto"/>
              <w:left w:val="single" w:sz="4" w:space="0" w:color="auto"/>
              <w:bottom w:val="single" w:sz="4" w:space="0" w:color="auto"/>
              <w:right w:val="single" w:sz="4" w:space="0" w:color="auto"/>
            </w:tcBorders>
            <w:hideMark/>
          </w:tcPr>
          <w:p w:rsidR="000E7C4C" w:rsidRDefault="003C3EA6">
            <w:pPr>
              <w:suppressAutoHyphens/>
              <w:jc w:val="both"/>
              <w:rPr>
                <w:b/>
                <w:color w:val="000000"/>
                <w:sz w:val="20"/>
              </w:rPr>
            </w:pPr>
            <w:r>
              <w:rPr>
                <w:b/>
                <w:color w:val="000000"/>
                <w:sz w:val="20"/>
              </w:rPr>
              <w:t>Kitos priemonės</w:t>
            </w:r>
          </w:p>
        </w:tc>
        <w:tc>
          <w:tcPr>
            <w:tcW w:w="2268" w:type="dxa"/>
            <w:tcBorders>
              <w:top w:val="single" w:sz="4" w:space="0" w:color="auto"/>
              <w:left w:val="single" w:sz="4" w:space="0" w:color="auto"/>
              <w:bottom w:val="single" w:sz="4" w:space="0" w:color="auto"/>
              <w:right w:val="single" w:sz="4" w:space="0" w:color="auto"/>
            </w:tcBorders>
            <w:hideMark/>
          </w:tcPr>
          <w:p w:rsidR="000E7C4C" w:rsidRDefault="003C3EA6">
            <w:pPr>
              <w:suppressAutoHyphens/>
              <w:jc w:val="center"/>
              <w:rPr>
                <w:color w:val="000000"/>
                <w:sz w:val="20"/>
              </w:rPr>
            </w:pPr>
            <w:r>
              <w:rPr>
                <w:color w:val="000000"/>
                <w:sz w:val="20"/>
              </w:rPr>
              <w:t>9774,0</w:t>
            </w:r>
          </w:p>
        </w:tc>
      </w:tr>
      <w:tr w:rsidR="000E7C4C">
        <w:tc>
          <w:tcPr>
            <w:tcW w:w="7399" w:type="dxa"/>
            <w:tcBorders>
              <w:top w:val="single" w:sz="4" w:space="0" w:color="auto"/>
              <w:left w:val="single" w:sz="4" w:space="0" w:color="auto"/>
              <w:bottom w:val="single" w:sz="4" w:space="0" w:color="auto"/>
              <w:right w:val="single" w:sz="4" w:space="0" w:color="auto"/>
            </w:tcBorders>
            <w:hideMark/>
          </w:tcPr>
          <w:p w:rsidR="000E7C4C" w:rsidRDefault="003C3EA6">
            <w:pPr>
              <w:suppressAutoHyphens/>
              <w:jc w:val="both"/>
              <w:rPr>
                <w:b/>
                <w:color w:val="000000"/>
                <w:sz w:val="20"/>
              </w:rPr>
            </w:pPr>
            <w:r>
              <w:rPr>
                <w:b/>
                <w:color w:val="000000"/>
                <w:sz w:val="20"/>
              </w:rPr>
              <w:t>Iš viso</w:t>
            </w:r>
          </w:p>
        </w:tc>
        <w:tc>
          <w:tcPr>
            <w:tcW w:w="2268" w:type="dxa"/>
            <w:tcBorders>
              <w:top w:val="single" w:sz="4" w:space="0" w:color="auto"/>
              <w:left w:val="single" w:sz="4" w:space="0" w:color="auto"/>
              <w:bottom w:val="single" w:sz="4" w:space="0" w:color="auto"/>
              <w:right w:val="single" w:sz="4" w:space="0" w:color="auto"/>
            </w:tcBorders>
            <w:hideMark/>
          </w:tcPr>
          <w:p w:rsidR="000E7C4C" w:rsidRDefault="003C3EA6">
            <w:pPr>
              <w:suppressAutoHyphens/>
              <w:jc w:val="center"/>
              <w:rPr>
                <w:color w:val="000000"/>
                <w:sz w:val="20"/>
              </w:rPr>
            </w:pPr>
            <w:r>
              <w:rPr>
                <w:color w:val="000000"/>
                <w:sz w:val="20"/>
              </w:rPr>
              <w:t>14751,3</w:t>
            </w:r>
          </w:p>
        </w:tc>
      </w:tr>
    </w:tbl>
    <w:p w:rsidR="000E7C4C" w:rsidRDefault="000E7C4C"/>
    <w:p w:rsidR="000E7C4C" w:rsidRDefault="003C3EA6">
      <w:pPr>
        <w:jc w:val="center"/>
        <w:rPr>
          <w:color w:val="000000"/>
          <w:sz w:val="20"/>
        </w:rPr>
      </w:pPr>
      <w:r>
        <w:rPr>
          <w:color w:val="000000"/>
          <w:sz w:val="20"/>
        </w:rPr>
        <w:t>(Šaltinis: LAAIF informacija)</w:t>
      </w:r>
    </w:p>
    <w:p w:rsidR="000E7C4C" w:rsidRDefault="003C3EA6">
      <w:pPr>
        <w:ind w:left="720"/>
        <w:jc w:val="both"/>
        <w:rPr>
          <w:color w:val="000000"/>
          <w:szCs w:val="21"/>
        </w:rPr>
      </w:pPr>
    </w:p>
    <w:p w:rsidR="000E7C4C" w:rsidRDefault="003C3EA6">
      <w:pPr>
        <w:tabs>
          <w:tab w:val="num" w:pos="0"/>
        </w:tabs>
        <w:ind w:firstLine="567"/>
        <w:jc w:val="both"/>
        <w:rPr>
          <w:color w:val="000000"/>
          <w:szCs w:val="21"/>
        </w:rPr>
      </w:pPr>
      <w:r>
        <w:rPr>
          <w:color w:val="000000"/>
          <w:szCs w:val="21"/>
        </w:rPr>
        <w:t>2</w:t>
      </w:r>
      <w:r>
        <w:rPr>
          <w:color w:val="000000"/>
          <w:szCs w:val="21"/>
        </w:rPr>
        <w:t>. Tarp namų ūkiams skirtų priemonių finansavimas iš LAAIF buvo skirtas atsinaujinančių energijos išteklių panaudojimui (pagal Klimato kaitos specialiąją programą). Parama skiriama fiziniams asmenims finansuojant tokias veiklų, prisidedančių prie oro taršos mažinimo, kryptis: mažo pajėgumo saulės elektrinių, skirtų elektros energijos gamybai savo poreikiams (ne pardavimui), ar saulės kolektorių, skirtų vandens šildymui ar šilumos palaikymui, diegimas; vėjo energijos šaltinių diegimas savo poreikiams (ne pardavimui); šilumos siurblių, skirtų karšto vandens ir šilumos energijos gamybai savo poreikiams (ne pardavimui) diegimas. Aplinkos projektų valymo agentūrai perėmus LAAIF funkcijas, yra finansuojamos tokios Klimato kaitos specialiosios programos priemonės:</w:t>
      </w:r>
    </w:p>
    <w:p w:rsidR="000E7C4C" w:rsidRDefault="003C3EA6">
      <w:pPr>
        <w:tabs>
          <w:tab w:val="num" w:pos="360"/>
          <w:tab w:val="left" w:pos="851"/>
        </w:tabs>
        <w:ind w:firstLine="567"/>
        <w:jc w:val="both"/>
        <w:rPr>
          <w:color w:val="000000"/>
          <w:szCs w:val="21"/>
        </w:rPr>
      </w:pPr>
      <w:r>
        <w:rPr>
          <w:color w:val="000000"/>
          <w:szCs w:val="21"/>
        </w:rPr>
        <w:t>2.1</w:t>
      </w:r>
      <w:r>
        <w:rPr>
          <w:color w:val="000000"/>
          <w:szCs w:val="21"/>
        </w:rPr>
        <w:t>. fizinių asmenų vieno ar dviejų butų gyvenamųjų namų atnaujinimas (modernizavimas), pasiekiant pastato energinio naudingumo C klasę ir sumažinant skaičiuojamosios šiluminės energijos suvartojimo sąnaudas ne mažiau nei 20 proc.;</w:t>
      </w:r>
    </w:p>
    <w:p w:rsidR="000E7C4C" w:rsidRDefault="003C3EA6">
      <w:pPr>
        <w:tabs>
          <w:tab w:val="num" w:pos="360"/>
          <w:tab w:val="left" w:pos="851"/>
        </w:tabs>
        <w:ind w:firstLine="567"/>
        <w:jc w:val="both"/>
        <w:rPr>
          <w:color w:val="000000"/>
          <w:szCs w:val="21"/>
        </w:rPr>
      </w:pPr>
      <w:r>
        <w:rPr>
          <w:color w:val="000000"/>
          <w:szCs w:val="21"/>
        </w:rPr>
        <w:t>2.2</w:t>
      </w:r>
      <w:r>
        <w:rPr>
          <w:color w:val="000000"/>
          <w:szCs w:val="21"/>
        </w:rPr>
        <w:t>. atsinaujinančių energijos išteklių (saulės, vėjo, geoterminės energijos, biokuro ar kitų) panaudojimas fizinių asmenų vieno ar dviejų butų gyvenamuosiuose namuose, pakeičiant iškastinį kurą naudojančią energijos gamybą.</w:t>
      </w:r>
    </w:p>
    <w:p w:rsidR="000E7C4C" w:rsidRDefault="003C3EA6">
      <w:pPr>
        <w:tabs>
          <w:tab w:val="num" w:pos="0"/>
          <w:tab w:val="left" w:pos="567"/>
        </w:tabs>
        <w:ind w:firstLine="567"/>
        <w:jc w:val="both"/>
        <w:rPr>
          <w:color w:val="000000"/>
          <w:szCs w:val="21"/>
        </w:rPr>
      </w:pPr>
      <w:r>
        <w:rPr>
          <w:color w:val="000000"/>
          <w:szCs w:val="21"/>
        </w:rPr>
        <w:t>3</w:t>
      </w:r>
      <w:r>
        <w:rPr>
          <w:color w:val="000000"/>
          <w:szCs w:val="21"/>
        </w:rPr>
        <w:t>. Lietuvos Respublikos Savivaldybių aplinkos apsaugos rėmimo specialiosios programos įstatymo (toliau – Savivaldybių aplinkos apsaugos rėmimo specialiosios programos įstatymas) 1 straipsnis numato Savivaldybių aplinkos apsaugos rėmimo specialiosios programos lėšų šaltinius ir jų naudojimo tvarką. Šios programos tikslas yra finansuoti savivaldybių vykdomas aplinkos apsaugos priemones. Savivaldybių aplinkos apsaugos rėmimo specialiosios programos įstatymo 4 straipsnyje nurodytos tokios priemonės:</w:t>
      </w:r>
    </w:p>
    <w:p w:rsidR="000E7C4C" w:rsidRDefault="003C3EA6">
      <w:pPr>
        <w:tabs>
          <w:tab w:val="num" w:pos="360"/>
          <w:tab w:val="left" w:pos="851"/>
          <w:tab w:val="left" w:pos="1418"/>
        </w:tabs>
        <w:ind w:firstLine="567"/>
        <w:jc w:val="both"/>
        <w:rPr>
          <w:color w:val="000000"/>
          <w:szCs w:val="21"/>
        </w:rPr>
      </w:pPr>
      <w:r>
        <w:rPr>
          <w:color w:val="000000"/>
          <w:szCs w:val="21"/>
        </w:rPr>
        <w:t>3.1</w:t>
      </w:r>
      <w:r>
        <w:rPr>
          <w:color w:val="000000"/>
          <w:szCs w:val="21"/>
        </w:rPr>
        <w:t>. aplinkos kokybės gerinimo ir apsaugos priemonės; atliekų tvarkymo infrastruktūros plėtros priemonės; atliekų, kurių turėtojo nustatyti neįmanoma arba kuris nebeegzistuoja, tvarkymo priemonės; aplinkos monitoringo, prevencinėms, aplinkos atkūrimo priemonės; visuomenės švietimui ir mokymui aplinkosaugos klausimais;</w:t>
      </w:r>
    </w:p>
    <w:p w:rsidR="000E7C4C" w:rsidRDefault="003C3EA6">
      <w:pPr>
        <w:tabs>
          <w:tab w:val="num" w:pos="360"/>
          <w:tab w:val="left" w:pos="851"/>
          <w:tab w:val="left" w:pos="1418"/>
        </w:tabs>
        <w:ind w:firstLine="567"/>
        <w:jc w:val="both"/>
        <w:rPr>
          <w:color w:val="000000"/>
          <w:szCs w:val="21"/>
        </w:rPr>
      </w:pPr>
      <w:r>
        <w:rPr>
          <w:color w:val="000000"/>
          <w:szCs w:val="21"/>
        </w:rPr>
        <w:t>3.2</w:t>
      </w:r>
      <w:r>
        <w:rPr>
          <w:color w:val="000000"/>
          <w:szCs w:val="21"/>
        </w:rPr>
        <w:t>. savivaldybės visuomenės sveikatos rėmimo specialiajai programa;</w:t>
      </w:r>
    </w:p>
    <w:p w:rsidR="000E7C4C" w:rsidRDefault="003C3EA6">
      <w:pPr>
        <w:tabs>
          <w:tab w:val="num" w:pos="360"/>
          <w:tab w:val="left" w:pos="851"/>
          <w:tab w:val="left" w:pos="1418"/>
        </w:tabs>
        <w:ind w:firstLine="567"/>
        <w:jc w:val="both"/>
        <w:rPr>
          <w:color w:val="000000"/>
          <w:szCs w:val="21"/>
        </w:rPr>
      </w:pPr>
      <w:r>
        <w:rPr>
          <w:color w:val="000000"/>
          <w:szCs w:val="21"/>
        </w:rPr>
        <w:t>3.3</w:t>
      </w:r>
      <w:r>
        <w:rPr>
          <w:color w:val="000000"/>
          <w:szCs w:val="21"/>
        </w:rPr>
        <w:t>. želdynų ir želdinių apsauga, tvarkymas, būklės stebėsena, želdynų kūrimas, želdinių veisimas, inventorizacija;</w:t>
      </w:r>
    </w:p>
    <w:p w:rsidR="000E7C4C" w:rsidRDefault="003C3EA6">
      <w:pPr>
        <w:tabs>
          <w:tab w:val="num" w:pos="360"/>
          <w:tab w:val="left" w:pos="851"/>
          <w:tab w:val="left" w:pos="1418"/>
        </w:tabs>
        <w:ind w:firstLine="567"/>
        <w:jc w:val="both"/>
        <w:rPr>
          <w:color w:val="000000"/>
          <w:szCs w:val="21"/>
        </w:rPr>
      </w:pPr>
      <w:r>
        <w:rPr>
          <w:color w:val="000000"/>
          <w:szCs w:val="21"/>
        </w:rPr>
        <w:t>3.4</w:t>
      </w:r>
      <w:r>
        <w:rPr>
          <w:color w:val="000000"/>
          <w:szCs w:val="21"/>
        </w:rPr>
        <w:t>. savanoriškos juridinių ir fizinių asmenų įmokos naudojamos pagal mokėtojų pageidavimus.</w:t>
      </w:r>
    </w:p>
    <w:p w:rsidR="000E7C4C" w:rsidRDefault="003C3EA6">
      <w:pPr>
        <w:ind w:firstLine="567"/>
        <w:jc w:val="both"/>
        <w:rPr>
          <w:color w:val="000000"/>
          <w:szCs w:val="21"/>
        </w:rPr>
      </w:pPr>
      <w:r>
        <w:rPr>
          <w:color w:val="000000"/>
          <w:szCs w:val="21"/>
        </w:rPr>
        <w:t>4</w:t>
      </w:r>
      <w:r>
        <w:rPr>
          <w:color w:val="000000"/>
          <w:szCs w:val="21"/>
        </w:rPr>
        <w:t>. Savivaldybių aplinkos apsaugos rėmimo specialiosios programos įstatymo 3 straipsnyje nurodyta, kad specialiosios programos finansavimo šaltiniai (be kitų šaltinių, nesusijusių su aplinkos oro tarša) yra juridinių ir fizinių asmenų mokesčiai už teršalų išmetimą į aplinką, savanoriškos juridinių ir fizinių asmenų įmokos bei kitos teisėtai gautos lėšos.</w:t>
      </w:r>
    </w:p>
    <w:p w:rsidR="000E7C4C" w:rsidRDefault="003C3EA6">
      <w:pPr>
        <w:tabs>
          <w:tab w:val="num" w:pos="360"/>
        </w:tabs>
        <w:spacing w:line="360" w:lineRule="atLeast"/>
        <w:jc w:val="center"/>
        <w:rPr>
          <w:color w:val="000000"/>
          <w:szCs w:val="21"/>
          <w:lang w:val="en-US"/>
        </w:rPr>
      </w:pPr>
      <w:r>
        <w:rPr>
          <w:color w:val="000000"/>
          <w:szCs w:val="21"/>
          <w:lang w:val="en-US"/>
        </w:rPr>
        <w:t>____________________________</w:t>
      </w:r>
    </w:p>
    <w:p w:rsidR="000E7C4C" w:rsidRDefault="000E7C4C">
      <w:pPr>
        <w:tabs>
          <w:tab w:val="left" w:pos="540"/>
          <w:tab w:val="left" w:pos="1296"/>
        </w:tabs>
        <w:rPr>
          <w:szCs w:val="24"/>
        </w:rPr>
      </w:pPr>
    </w:p>
    <w:p w:rsidR="000E7C4C" w:rsidRDefault="003C3EA6">
      <w:pPr>
        <w:tabs>
          <w:tab w:val="center" w:pos="4819"/>
          <w:tab w:val="right" w:pos="9638"/>
        </w:tabs>
        <w:ind w:firstLine="720"/>
        <w:jc w:val="both"/>
        <w:rPr>
          <w:color w:val="000000"/>
          <w:szCs w:val="21"/>
          <w:lang w:val="en-US"/>
        </w:rPr>
      </w:pPr>
    </w:p>
    <w:p w:rsidR="003C3EA6" w:rsidRDefault="003C3EA6">
      <w:pPr>
        <w:ind w:left="7088"/>
        <w:sectPr w:rsidR="003C3EA6" w:rsidSect="003C3EA6">
          <w:pgSz w:w="11906" w:h="16838"/>
          <w:pgMar w:top="1134" w:right="567" w:bottom="1134" w:left="1134" w:header="567" w:footer="567" w:gutter="0"/>
          <w:pgNumType w:start="1"/>
          <w:cols w:space="1296"/>
          <w:titlePg/>
          <w:docGrid w:linePitch="326"/>
        </w:sectPr>
      </w:pPr>
    </w:p>
    <w:p w:rsidR="000E7C4C" w:rsidRDefault="003C3EA6">
      <w:pPr>
        <w:ind w:left="7088"/>
        <w:rPr>
          <w:color w:val="000000"/>
          <w:szCs w:val="24"/>
        </w:rPr>
      </w:pPr>
      <w:r>
        <w:rPr>
          <w:color w:val="000000"/>
          <w:szCs w:val="24"/>
        </w:rPr>
        <w:t xml:space="preserve">Nacionalinio oro taršos </w:t>
      </w:r>
    </w:p>
    <w:p w:rsidR="000E7C4C" w:rsidRDefault="003C3EA6">
      <w:pPr>
        <w:ind w:left="7088"/>
        <w:rPr>
          <w:color w:val="000000"/>
          <w:szCs w:val="24"/>
        </w:rPr>
      </w:pPr>
      <w:r>
        <w:rPr>
          <w:color w:val="000000"/>
          <w:szCs w:val="24"/>
        </w:rPr>
        <w:t>mažinimo plano</w:t>
      </w:r>
    </w:p>
    <w:p w:rsidR="000E7C4C" w:rsidRDefault="003C3EA6">
      <w:pPr>
        <w:ind w:left="7088"/>
        <w:rPr>
          <w:color w:val="000000"/>
          <w:szCs w:val="24"/>
        </w:rPr>
      </w:pPr>
      <w:r>
        <w:rPr>
          <w:color w:val="000000"/>
          <w:szCs w:val="24"/>
        </w:rPr>
        <w:t>7</w:t>
      </w:r>
      <w:r>
        <w:rPr>
          <w:color w:val="000000"/>
          <w:szCs w:val="24"/>
        </w:rPr>
        <w:t xml:space="preserve"> priedas</w:t>
      </w:r>
    </w:p>
    <w:p w:rsidR="000E7C4C" w:rsidRDefault="000E7C4C">
      <w:pPr>
        <w:tabs>
          <w:tab w:val="num" w:pos="360"/>
        </w:tabs>
        <w:ind w:firstLine="720"/>
        <w:jc w:val="both"/>
        <w:rPr>
          <w:color w:val="000000"/>
          <w:szCs w:val="21"/>
          <w:lang w:val="en-US"/>
        </w:rPr>
      </w:pPr>
    </w:p>
    <w:p w:rsidR="000E7C4C" w:rsidRDefault="003C3EA6">
      <w:pPr>
        <w:keepNext/>
        <w:keepLines/>
        <w:jc w:val="center"/>
        <w:outlineLvl w:val="2"/>
        <w:rPr>
          <w:b/>
          <w:bCs/>
          <w:caps/>
          <w:color w:val="000000"/>
          <w:szCs w:val="28"/>
        </w:rPr>
      </w:pPr>
      <w:r>
        <w:rPr>
          <w:b/>
          <w:bCs/>
          <w:color w:val="000000"/>
          <w:szCs w:val="28"/>
        </w:rPr>
        <w:t>EUROPOS SĄJUNGOS FONDŲ INVESTICIJŲ PATVIRTINTOS PRIEMONĖS, KURIŲ ĮGYVENDINIMAS PRISIDEDA PRIE ORO TARŠOS MAŽINIMO IR ORO KOKYBĖS GERINIMO</w:t>
      </w:r>
    </w:p>
    <w:p w:rsidR="000E7C4C" w:rsidRDefault="000E7C4C">
      <w:pPr>
        <w:ind w:left="720"/>
        <w:jc w:val="both"/>
        <w:rPr>
          <w:color w:val="000000"/>
          <w:szCs w:val="21"/>
        </w:rPr>
      </w:pPr>
    </w:p>
    <w:p w:rsidR="000E7C4C" w:rsidRDefault="003C3EA6">
      <w:pPr>
        <w:tabs>
          <w:tab w:val="left" w:pos="851"/>
        </w:tabs>
        <w:ind w:firstLine="567"/>
        <w:jc w:val="both"/>
        <w:rPr>
          <w:color w:val="000000"/>
          <w:szCs w:val="21"/>
        </w:rPr>
      </w:pPr>
      <w:r>
        <w:rPr>
          <w:color w:val="000000"/>
          <w:szCs w:val="21"/>
        </w:rPr>
        <w:t>1</w:t>
      </w:r>
      <w:r>
        <w:rPr>
          <w:color w:val="000000"/>
          <w:szCs w:val="21"/>
        </w:rPr>
        <w:t>.</w:t>
      </w:r>
      <w:r>
        <w:rPr>
          <w:color w:val="000000"/>
          <w:szCs w:val="21"/>
        </w:rPr>
        <w:tab/>
        <w:t>Siekiant mažinti oro taršą ir gerinti oro kokybę, yra patvirtintos Europos Sąjungos (toliau - ES) fondų investicijų aplinkosaugos ir kitų sektorių priemonės, skirtos arba prisidėsiančios prie oro taršos mažinimo ir oro kokybės gerinimo. Tarp aplinkosaugos priemonių yra numatytos priemonės aplinkos oro kokybei gerinti, kuriomis finansuojamos trijų rūšių veiklos: strateginių sprendimų parengimo, konkrečių įrenginių įsigijimo ir informavimo. Pažymėtina, kad šios priemonės įgyvendintinos tik Vilniaus, Kauno, Klaipėdos, Šiaulių ir Panevėžio miestų savivaldybėse. Kitos priemonės, susijusios su oro taršos mažinimu ir oro kokybės gerinimu, apima aplinkos oro monitoringo ir kontrolės stiprinimo, visuomenės informavimo apie aplinką ir aplinkosauginių–rekreacinių objektų tvarkymą veiklas (žr. 1 lent.).</w:t>
      </w:r>
    </w:p>
    <w:p w:rsidR="000E7C4C" w:rsidRDefault="000E7C4C">
      <w:pPr>
        <w:jc w:val="both"/>
        <w:rPr>
          <w:color w:val="000000"/>
          <w:szCs w:val="21"/>
        </w:rPr>
      </w:pPr>
    </w:p>
    <w:p w:rsidR="000E7C4C" w:rsidRDefault="003C3EA6">
      <w:pPr>
        <w:jc w:val="both"/>
        <w:rPr>
          <w:color w:val="000000"/>
        </w:rPr>
      </w:pPr>
      <w:r>
        <w:rPr>
          <w:color w:val="000000"/>
        </w:rPr>
        <w:t xml:space="preserve">1 lentelė. </w:t>
      </w:r>
      <w:r>
        <w:t xml:space="preserve">2014–2020 </w:t>
      </w:r>
      <w:r>
        <w:rPr>
          <w:color w:val="000000"/>
        </w:rPr>
        <w:t>m. ES fondų investicijų patvirtintos aplinkosaugos priemonės, prisidedančios prie oro kokybės gerinimo</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227"/>
        <w:gridCol w:w="1411"/>
        <w:gridCol w:w="1264"/>
        <w:gridCol w:w="2394"/>
        <w:gridCol w:w="3371"/>
      </w:tblGrid>
      <w:tr w:rsidR="000E7C4C">
        <w:trPr>
          <w:tblHeader/>
          <w:jc w:val="center"/>
        </w:trPr>
        <w:tc>
          <w:tcPr>
            <w:tcW w:w="1227"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17"/>
                <w:szCs w:val="17"/>
              </w:rPr>
            </w:pPr>
            <w:r>
              <w:rPr>
                <w:color w:val="FFFFFF"/>
                <w:sz w:val="17"/>
                <w:szCs w:val="17"/>
              </w:rPr>
              <w:t>Patvirtintos priemonės</w:t>
            </w:r>
          </w:p>
        </w:tc>
        <w:tc>
          <w:tcPr>
            <w:tcW w:w="1411"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17"/>
                <w:szCs w:val="17"/>
                <w:lang w:eastAsia="en-GB"/>
              </w:rPr>
            </w:pPr>
            <w:r>
              <w:rPr>
                <w:color w:val="FFFFFF"/>
                <w:sz w:val="17"/>
                <w:szCs w:val="17"/>
                <w:lang w:eastAsia="lt-LT"/>
              </w:rPr>
              <w:t>ES struktūrinių fondų lėšos</w:t>
            </w:r>
          </w:p>
        </w:tc>
        <w:tc>
          <w:tcPr>
            <w:tcW w:w="1264"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17"/>
                <w:szCs w:val="17"/>
                <w:lang w:eastAsia="en-GB"/>
              </w:rPr>
            </w:pPr>
            <w:r>
              <w:rPr>
                <w:bCs/>
                <w:color w:val="FFFFFF"/>
                <w:sz w:val="17"/>
                <w:szCs w:val="17"/>
                <w:lang w:eastAsia="en-GB"/>
              </w:rPr>
              <w:t>LR Valstybės biudžeto lėšos</w:t>
            </w:r>
          </w:p>
        </w:tc>
        <w:tc>
          <w:tcPr>
            <w:tcW w:w="2394"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17"/>
                <w:szCs w:val="17"/>
                <w:lang w:eastAsia="en-GB"/>
              </w:rPr>
            </w:pPr>
            <w:r>
              <w:rPr>
                <w:bCs/>
                <w:color w:val="FFFFFF"/>
                <w:sz w:val="17"/>
                <w:szCs w:val="17"/>
                <w:lang w:eastAsia="en-GB"/>
              </w:rPr>
              <w:t>Galimi pareiškėjai</w:t>
            </w:r>
          </w:p>
        </w:tc>
        <w:tc>
          <w:tcPr>
            <w:tcW w:w="337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17"/>
                <w:szCs w:val="17"/>
                <w:lang w:eastAsia="en-GB"/>
              </w:rPr>
            </w:pPr>
            <w:r>
              <w:rPr>
                <w:bCs/>
                <w:color w:val="FFFFFF"/>
                <w:sz w:val="17"/>
                <w:szCs w:val="17"/>
                <w:lang w:eastAsia="en-GB"/>
              </w:rPr>
              <w:t>Finansuojamos veiklos</w:t>
            </w:r>
          </w:p>
        </w:tc>
      </w:tr>
      <w:tr w:rsidR="000E7C4C">
        <w:trPr>
          <w:jc w:val="center"/>
        </w:trPr>
        <w:tc>
          <w:tcPr>
            <w:tcW w:w="1227"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17"/>
                <w:szCs w:val="17"/>
              </w:rPr>
            </w:pPr>
            <w:r>
              <w:rPr>
                <w:color w:val="000000"/>
                <w:sz w:val="17"/>
                <w:szCs w:val="17"/>
              </w:rPr>
              <w:t>Aplinkos oro kokybės gerinimas, Nr. 05.6.1-APVA-V-021</w:t>
            </w:r>
          </w:p>
        </w:tc>
        <w:tc>
          <w:tcPr>
            <w:tcW w:w="141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17"/>
                <w:szCs w:val="17"/>
              </w:rPr>
            </w:pPr>
            <w:r>
              <w:rPr>
                <w:color w:val="000000"/>
                <w:sz w:val="17"/>
                <w:szCs w:val="17"/>
              </w:rPr>
              <w:t xml:space="preserve">7 309 361 </w:t>
            </w:r>
            <w:proofErr w:type="spellStart"/>
            <w:r>
              <w:rPr>
                <w:color w:val="000000"/>
                <w:sz w:val="17"/>
                <w:szCs w:val="17"/>
              </w:rPr>
              <w:t>Eur</w:t>
            </w:r>
            <w:proofErr w:type="spellEnd"/>
          </w:p>
        </w:tc>
        <w:tc>
          <w:tcPr>
            <w:tcW w:w="126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17"/>
                <w:szCs w:val="17"/>
              </w:rPr>
            </w:pPr>
            <w:r>
              <w:rPr>
                <w:color w:val="000000"/>
                <w:sz w:val="17"/>
                <w:szCs w:val="17"/>
              </w:rPr>
              <w:t xml:space="preserve">0 </w:t>
            </w:r>
            <w:proofErr w:type="spellStart"/>
            <w:r>
              <w:rPr>
                <w:color w:val="000000"/>
                <w:sz w:val="17"/>
                <w:szCs w:val="17"/>
              </w:rPr>
              <w:t>Eur</w:t>
            </w:r>
            <w:proofErr w:type="spellEnd"/>
          </w:p>
        </w:tc>
        <w:tc>
          <w:tcPr>
            <w:tcW w:w="2394" w:type="dxa"/>
            <w:tcBorders>
              <w:top w:val="single" w:sz="4" w:space="0" w:color="auto"/>
              <w:left w:val="single" w:sz="4" w:space="0" w:color="auto"/>
              <w:bottom w:val="single" w:sz="4" w:space="0" w:color="auto"/>
              <w:right w:val="single" w:sz="4" w:space="0" w:color="auto"/>
            </w:tcBorders>
          </w:tcPr>
          <w:p w:rsidR="000E7C4C" w:rsidRDefault="003C3EA6">
            <w:pPr>
              <w:rPr>
                <w:color w:val="000000"/>
                <w:sz w:val="17"/>
                <w:szCs w:val="17"/>
              </w:rPr>
            </w:pPr>
            <w:r>
              <w:rPr>
                <w:color w:val="000000"/>
                <w:sz w:val="17"/>
                <w:szCs w:val="17"/>
              </w:rPr>
              <w:t>Vilniaus, Kauno, Klaipėdos, Šiaulių ir Panevėžio miestų savivaldybių administracijos</w:t>
            </w:r>
          </w:p>
          <w:p w:rsidR="000E7C4C" w:rsidRDefault="000E7C4C">
            <w:pPr>
              <w:rPr>
                <w:color w:val="000000"/>
                <w:sz w:val="17"/>
                <w:szCs w:val="17"/>
              </w:rPr>
            </w:pPr>
          </w:p>
        </w:tc>
        <w:tc>
          <w:tcPr>
            <w:tcW w:w="337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17"/>
                <w:szCs w:val="17"/>
              </w:rPr>
            </w:pPr>
            <w:r>
              <w:rPr>
                <w:color w:val="000000"/>
                <w:sz w:val="17"/>
                <w:szCs w:val="17"/>
              </w:rPr>
              <w:t>Aplinkos oro kokybės valdymo priemonių planų parengimas;</w:t>
            </w:r>
          </w:p>
          <w:p w:rsidR="000E7C4C" w:rsidRDefault="003C3EA6">
            <w:pPr>
              <w:rPr>
                <w:color w:val="000000"/>
                <w:sz w:val="17"/>
                <w:szCs w:val="17"/>
              </w:rPr>
            </w:pPr>
            <w:r>
              <w:rPr>
                <w:color w:val="000000"/>
                <w:sz w:val="17"/>
                <w:szCs w:val="17"/>
              </w:rPr>
              <w:t>Gatvių priežiūros ir valymo technologijų (įrenginių) įsigijimas;</w:t>
            </w:r>
          </w:p>
          <w:p w:rsidR="000E7C4C" w:rsidRDefault="003C3EA6">
            <w:pPr>
              <w:rPr>
                <w:color w:val="000000"/>
                <w:sz w:val="17"/>
                <w:szCs w:val="17"/>
              </w:rPr>
            </w:pPr>
            <w:r>
              <w:rPr>
                <w:color w:val="000000"/>
                <w:sz w:val="17"/>
                <w:szCs w:val="17"/>
              </w:rPr>
              <w:t>Visuomenės informavimas apie galimybes gyventojams prisidėti prie aplinkos oro taršos mažinimo, aplinkos oro kokybės gerinimo ir galimas neatsakingo elgesio pasekmes.</w:t>
            </w:r>
          </w:p>
        </w:tc>
      </w:tr>
      <w:tr w:rsidR="000E7C4C">
        <w:trPr>
          <w:jc w:val="center"/>
        </w:trPr>
        <w:tc>
          <w:tcPr>
            <w:tcW w:w="9667" w:type="dxa"/>
            <w:gridSpan w:val="5"/>
            <w:tcBorders>
              <w:top w:val="single" w:sz="4" w:space="0" w:color="auto"/>
              <w:left w:val="single" w:sz="4" w:space="0" w:color="auto"/>
              <w:bottom w:val="single" w:sz="4" w:space="0" w:color="auto"/>
              <w:right w:val="single" w:sz="4" w:space="0" w:color="auto"/>
            </w:tcBorders>
            <w:hideMark/>
          </w:tcPr>
          <w:p w:rsidR="000E7C4C" w:rsidRDefault="003C3EA6">
            <w:pPr>
              <w:rPr>
                <w:b/>
                <w:sz w:val="17"/>
                <w:szCs w:val="17"/>
                <w:lang w:eastAsia="lt-LT"/>
              </w:rPr>
            </w:pPr>
            <w:r>
              <w:rPr>
                <w:b/>
                <w:sz w:val="17"/>
                <w:szCs w:val="17"/>
                <w:lang w:eastAsia="lt-LT"/>
              </w:rPr>
              <w:t>Susijusios priemonės</w:t>
            </w:r>
          </w:p>
        </w:tc>
      </w:tr>
      <w:tr w:rsidR="000E7C4C">
        <w:trPr>
          <w:jc w:val="center"/>
        </w:trPr>
        <w:tc>
          <w:tcPr>
            <w:tcW w:w="1227" w:type="dxa"/>
            <w:tcBorders>
              <w:top w:val="single" w:sz="4" w:space="0" w:color="auto"/>
              <w:left w:val="single" w:sz="4" w:space="0" w:color="auto"/>
              <w:bottom w:val="single" w:sz="4" w:space="0" w:color="auto"/>
              <w:right w:val="single" w:sz="4" w:space="0" w:color="auto"/>
            </w:tcBorders>
          </w:tcPr>
          <w:p w:rsidR="000E7C4C" w:rsidRDefault="003C3EA6">
            <w:pPr>
              <w:rPr>
                <w:sz w:val="17"/>
                <w:szCs w:val="17"/>
                <w:lang w:eastAsia="lt-LT"/>
              </w:rPr>
            </w:pPr>
            <w:r>
              <w:rPr>
                <w:sz w:val="17"/>
                <w:szCs w:val="17"/>
                <w:lang w:eastAsia="lt-LT"/>
              </w:rPr>
              <w:t>Aplinkos monitoringo ir kontrolės stiprinimas, Nr. 05.1.1-APVA-V-004</w:t>
            </w:r>
          </w:p>
          <w:p w:rsidR="000E7C4C" w:rsidRDefault="000E7C4C">
            <w:pPr>
              <w:rPr>
                <w:sz w:val="17"/>
                <w:szCs w:val="17"/>
                <w:lang w:eastAsia="lt-LT"/>
              </w:rPr>
            </w:pPr>
          </w:p>
        </w:tc>
        <w:tc>
          <w:tcPr>
            <w:tcW w:w="1411"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17"/>
                <w:szCs w:val="17"/>
                <w:lang w:eastAsia="lt-LT"/>
              </w:rPr>
            </w:pPr>
            <w:r>
              <w:rPr>
                <w:sz w:val="17"/>
                <w:szCs w:val="17"/>
                <w:lang w:eastAsia="lt-LT"/>
              </w:rPr>
              <w:t xml:space="preserve">21 797 961 </w:t>
            </w:r>
            <w:proofErr w:type="spellStart"/>
            <w:r>
              <w:rPr>
                <w:sz w:val="17"/>
                <w:szCs w:val="17"/>
                <w:lang w:eastAsia="lt-LT"/>
              </w:rPr>
              <w:t>Eur</w:t>
            </w:r>
            <w:proofErr w:type="spellEnd"/>
          </w:p>
        </w:tc>
        <w:tc>
          <w:tcPr>
            <w:tcW w:w="1264" w:type="dxa"/>
            <w:tcBorders>
              <w:top w:val="single" w:sz="4" w:space="0" w:color="auto"/>
              <w:left w:val="single" w:sz="4" w:space="0" w:color="auto"/>
              <w:bottom w:val="single" w:sz="4" w:space="0" w:color="auto"/>
              <w:right w:val="single" w:sz="4" w:space="0" w:color="auto"/>
            </w:tcBorders>
            <w:hideMark/>
          </w:tcPr>
          <w:p w:rsidR="000E7C4C" w:rsidRDefault="003C3EA6">
            <w:pPr>
              <w:rPr>
                <w:sz w:val="17"/>
                <w:szCs w:val="17"/>
                <w:lang w:eastAsia="lt-LT"/>
              </w:rPr>
            </w:pPr>
            <w:r>
              <w:rPr>
                <w:sz w:val="17"/>
                <w:szCs w:val="17"/>
                <w:lang w:eastAsia="lt-LT"/>
              </w:rPr>
              <w:t xml:space="preserve">0 </w:t>
            </w:r>
            <w:proofErr w:type="spellStart"/>
            <w:r>
              <w:rPr>
                <w:sz w:val="17"/>
                <w:szCs w:val="17"/>
                <w:lang w:eastAsia="lt-LT"/>
              </w:rPr>
              <w:t>Eur</w:t>
            </w:r>
            <w:proofErr w:type="spellEnd"/>
          </w:p>
        </w:tc>
        <w:tc>
          <w:tcPr>
            <w:tcW w:w="2394" w:type="dxa"/>
            <w:tcBorders>
              <w:top w:val="single" w:sz="4" w:space="0" w:color="auto"/>
              <w:left w:val="single" w:sz="4" w:space="0" w:color="auto"/>
              <w:bottom w:val="single" w:sz="4" w:space="0" w:color="auto"/>
              <w:right w:val="single" w:sz="4" w:space="0" w:color="auto"/>
            </w:tcBorders>
            <w:hideMark/>
          </w:tcPr>
          <w:p w:rsidR="000E7C4C" w:rsidRDefault="003C3EA6">
            <w:pPr>
              <w:rPr>
                <w:sz w:val="17"/>
                <w:szCs w:val="17"/>
                <w:lang w:eastAsia="lt-LT"/>
              </w:rPr>
            </w:pPr>
            <w:r>
              <w:rPr>
                <w:sz w:val="17"/>
                <w:szCs w:val="17"/>
                <w:lang w:eastAsia="lt-LT"/>
              </w:rPr>
              <w:t>Aplinkos apsaugos agentūra (toliau – AAA),</w:t>
            </w:r>
          </w:p>
          <w:p w:rsidR="000E7C4C" w:rsidRDefault="003C3EA6">
            <w:pPr>
              <w:rPr>
                <w:sz w:val="17"/>
                <w:szCs w:val="17"/>
                <w:lang w:eastAsia="lt-LT"/>
              </w:rPr>
            </w:pPr>
            <w:r>
              <w:rPr>
                <w:sz w:val="17"/>
                <w:szCs w:val="17"/>
                <w:lang w:eastAsia="lt-LT"/>
              </w:rPr>
              <w:t>Lietuvos hidrometeorologijos tarnyba prie Aplinkos ministerijos,</w:t>
            </w:r>
          </w:p>
          <w:p w:rsidR="000E7C4C" w:rsidRDefault="003C3EA6">
            <w:pPr>
              <w:rPr>
                <w:sz w:val="17"/>
                <w:szCs w:val="17"/>
                <w:lang w:eastAsia="lt-LT"/>
              </w:rPr>
            </w:pPr>
            <w:r>
              <w:rPr>
                <w:sz w:val="17"/>
                <w:szCs w:val="17"/>
                <w:lang w:eastAsia="lt-LT"/>
              </w:rPr>
              <w:t>Valstybinė miškų tarnyba,</w:t>
            </w:r>
          </w:p>
          <w:p w:rsidR="000E7C4C" w:rsidRDefault="003C3EA6">
            <w:pPr>
              <w:rPr>
                <w:sz w:val="17"/>
                <w:szCs w:val="17"/>
                <w:lang w:eastAsia="lt-LT"/>
              </w:rPr>
            </w:pPr>
            <w:r>
              <w:rPr>
                <w:sz w:val="17"/>
                <w:szCs w:val="17"/>
                <w:lang w:eastAsia="lt-LT"/>
              </w:rPr>
              <w:t xml:space="preserve">Lietuvos Respublikos Aplinkos ministerija </w:t>
            </w:r>
          </w:p>
          <w:p w:rsidR="000E7C4C" w:rsidRDefault="003C3EA6">
            <w:pPr>
              <w:rPr>
                <w:sz w:val="17"/>
                <w:szCs w:val="17"/>
                <w:lang w:eastAsia="lt-LT"/>
              </w:rPr>
            </w:pPr>
            <w:r>
              <w:rPr>
                <w:sz w:val="17"/>
                <w:szCs w:val="17"/>
                <w:lang w:eastAsia="lt-LT"/>
              </w:rPr>
              <w:t>Valstybinė aplinkos apsaugos tarnyba,</w:t>
            </w:r>
          </w:p>
          <w:p w:rsidR="000E7C4C" w:rsidRDefault="003C3EA6">
            <w:pPr>
              <w:rPr>
                <w:sz w:val="17"/>
                <w:szCs w:val="17"/>
                <w:lang w:eastAsia="lt-LT"/>
              </w:rPr>
            </w:pPr>
            <w:r>
              <w:rPr>
                <w:sz w:val="17"/>
                <w:szCs w:val="17"/>
                <w:lang w:eastAsia="lt-LT"/>
              </w:rPr>
              <w:t>Valstybės įmonė Valstybinių miškų urėdija</w:t>
            </w:r>
          </w:p>
        </w:tc>
        <w:tc>
          <w:tcPr>
            <w:tcW w:w="3371" w:type="dxa"/>
            <w:tcBorders>
              <w:top w:val="single" w:sz="4" w:space="0" w:color="auto"/>
              <w:left w:val="single" w:sz="4" w:space="0" w:color="auto"/>
              <w:bottom w:val="single" w:sz="4" w:space="0" w:color="auto"/>
              <w:right w:val="single" w:sz="4" w:space="0" w:color="auto"/>
            </w:tcBorders>
            <w:hideMark/>
          </w:tcPr>
          <w:p w:rsidR="000E7C4C" w:rsidRDefault="003C3EA6">
            <w:pPr>
              <w:rPr>
                <w:sz w:val="17"/>
                <w:szCs w:val="17"/>
                <w:lang w:eastAsia="lt-LT"/>
              </w:rPr>
            </w:pPr>
            <w:r>
              <w:rPr>
                <w:sz w:val="17"/>
                <w:szCs w:val="17"/>
                <w:lang w:eastAsia="lt-LT"/>
              </w:rPr>
              <w:t>Klimato kaitos valdymui, nacionalinei oro teršalų ir šiltnamio efektą sukeliančių dujų  apskaitos sistemai tobulinti reikalingų dokumentų parengimas ir priemonių įsigijimas;</w:t>
            </w:r>
          </w:p>
          <w:p w:rsidR="000E7C4C" w:rsidRDefault="003C3EA6">
            <w:pPr>
              <w:rPr>
                <w:sz w:val="17"/>
                <w:szCs w:val="17"/>
                <w:lang w:eastAsia="lt-LT"/>
              </w:rPr>
            </w:pPr>
            <w:r>
              <w:rPr>
                <w:sz w:val="17"/>
                <w:szCs w:val="17"/>
                <w:lang w:eastAsia="lt-LT"/>
              </w:rPr>
              <w:t xml:space="preserve">Hidrologinių ir meteorologinių stebėjimų, prognozavimo, modeliavimo, hidrometeorologinių ir klimato paslaugų teikimo, informacijos koordinavimo ir informavimo </w:t>
            </w:r>
            <w:proofErr w:type="spellStart"/>
            <w:r>
              <w:rPr>
                <w:sz w:val="17"/>
                <w:szCs w:val="17"/>
                <w:lang w:eastAsia="lt-LT"/>
              </w:rPr>
              <w:t>pajėgumų</w:t>
            </w:r>
            <w:proofErr w:type="spellEnd"/>
            <w:r>
              <w:rPr>
                <w:sz w:val="17"/>
                <w:szCs w:val="17"/>
                <w:lang w:eastAsia="lt-LT"/>
              </w:rPr>
              <w:t xml:space="preserve"> stiprinimas;</w:t>
            </w:r>
          </w:p>
          <w:p w:rsidR="000E7C4C" w:rsidRDefault="003C3EA6">
            <w:pPr>
              <w:rPr>
                <w:sz w:val="17"/>
                <w:szCs w:val="17"/>
                <w:lang w:eastAsia="lt-LT"/>
              </w:rPr>
            </w:pPr>
            <w:r>
              <w:rPr>
                <w:sz w:val="17"/>
                <w:szCs w:val="17"/>
                <w:lang w:eastAsia="lt-LT"/>
              </w:rPr>
              <w:t>Aplinkos oro monitoringo ir ankstyvojo perspėjimo stočių tinklo ir laboratorijų atnaujinimas;</w:t>
            </w:r>
          </w:p>
          <w:p w:rsidR="000E7C4C" w:rsidRDefault="003C3EA6">
            <w:pPr>
              <w:rPr>
                <w:sz w:val="17"/>
                <w:szCs w:val="17"/>
                <w:lang w:eastAsia="lt-LT"/>
              </w:rPr>
            </w:pPr>
            <w:r>
              <w:rPr>
                <w:sz w:val="17"/>
                <w:szCs w:val="17"/>
                <w:lang w:eastAsia="lt-LT"/>
              </w:rPr>
              <w:t xml:space="preserve">Miškų būklės, naudojimo, atkūrimo, įveisimo ir apsaugos kontrolės techninių </w:t>
            </w:r>
            <w:proofErr w:type="spellStart"/>
            <w:r>
              <w:rPr>
                <w:sz w:val="17"/>
                <w:szCs w:val="17"/>
                <w:lang w:eastAsia="lt-LT"/>
              </w:rPr>
              <w:t>pajėgumų</w:t>
            </w:r>
            <w:proofErr w:type="spellEnd"/>
            <w:r>
              <w:rPr>
                <w:sz w:val="17"/>
                <w:szCs w:val="17"/>
                <w:lang w:eastAsia="lt-LT"/>
              </w:rPr>
              <w:t xml:space="preserve"> atnaujinimas ir tobulinimas.</w:t>
            </w:r>
          </w:p>
        </w:tc>
      </w:tr>
      <w:tr w:rsidR="000E7C4C">
        <w:trPr>
          <w:jc w:val="center"/>
        </w:trPr>
        <w:tc>
          <w:tcPr>
            <w:tcW w:w="1227" w:type="dxa"/>
            <w:tcBorders>
              <w:top w:val="single" w:sz="4" w:space="0" w:color="auto"/>
              <w:left w:val="single" w:sz="4" w:space="0" w:color="auto"/>
              <w:bottom w:val="single" w:sz="4" w:space="0" w:color="auto"/>
              <w:right w:val="single" w:sz="4" w:space="0" w:color="auto"/>
            </w:tcBorders>
            <w:hideMark/>
          </w:tcPr>
          <w:p w:rsidR="000E7C4C" w:rsidRDefault="003C3EA6">
            <w:pPr>
              <w:rPr>
                <w:sz w:val="17"/>
                <w:szCs w:val="17"/>
                <w:lang w:eastAsia="lt-LT"/>
              </w:rPr>
            </w:pPr>
            <w:r>
              <w:rPr>
                <w:sz w:val="17"/>
                <w:szCs w:val="17"/>
                <w:lang w:eastAsia="lt-LT"/>
              </w:rPr>
              <w:t>Visuomenės informavimas apie aplinką ir aplinkosauginių–rekreacinių objektų tvarkymas, Nr. 05.4.1-APVA-V-017</w:t>
            </w:r>
          </w:p>
        </w:tc>
        <w:tc>
          <w:tcPr>
            <w:tcW w:w="1411"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17"/>
                <w:szCs w:val="17"/>
              </w:rPr>
            </w:pPr>
            <w:r>
              <w:rPr>
                <w:color w:val="000000"/>
                <w:sz w:val="17"/>
                <w:szCs w:val="17"/>
              </w:rPr>
              <w:t xml:space="preserve">28 092732 </w:t>
            </w:r>
            <w:proofErr w:type="spellStart"/>
            <w:r>
              <w:rPr>
                <w:color w:val="000000"/>
                <w:sz w:val="17"/>
                <w:szCs w:val="17"/>
              </w:rPr>
              <w:t>Eur</w:t>
            </w:r>
            <w:proofErr w:type="spellEnd"/>
          </w:p>
        </w:tc>
        <w:tc>
          <w:tcPr>
            <w:tcW w:w="1264"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17"/>
                <w:szCs w:val="17"/>
              </w:rPr>
            </w:pPr>
            <w:r>
              <w:rPr>
                <w:color w:val="000000"/>
                <w:sz w:val="17"/>
                <w:szCs w:val="17"/>
              </w:rPr>
              <w:t xml:space="preserve">4 957 541 </w:t>
            </w:r>
            <w:proofErr w:type="spellStart"/>
            <w:r>
              <w:rPr>
                <w:color w:val="000000"/>
                <w:sz w:val="17"/>
                <w:szCs w:val="17"/>
              </w:rPr>
              <w:t>Eur</w:t>
            </w:r>
            <w:proofErr w:type="spellEnd"/>
          </w:p>
        </w:tc>
        <w:tc>
          <w:tcPr>
            <w:tcW w:w="2394" w:type="dxa"/>
            <w:tcBorders>
              <w:top w:val="single" w:sz="4" w:space="0" w:color="auto"/>
              <w:left w:val="single" w:sz="4" w:space="0" w:color="auto"/>
              <w:bottom w:val="single" w:sz="4" w:space="0" w:color="auto"/>
              <w:right w:val="single" w:sz="4" w:space="0" w:color="auto"/>
            </w:tcBorders>
            <w:hideMark/>
          </w:tcPr>
          <w:p w:rsidR="000E7C4C" w:rsidRDefault="003C3EA6">
            <w:pPr>
              <w:rPr>
                <w:sz w:val="17"/>
                <w:szCs w:val="17"/>
                <w:lang w:eastAsia="lt-LT"/>
              </w:rPr>
            </w:pPr>
            <w:r>
              <w:rPr>
                <w:sz w:val="17"/>
                <w:szCs w:val="17"/>
                <w:lang w:eastAsia="lt-LT"/>
              </w:rPr>
              <w:t>Aplinkos ministerija,</w:t>
            </w:r>
          </w:p>
          <w:p w:rsidR="000E7C4C" w:rsidRDefault="003C3EA6">
            <w:pPr>
              <w:rPr>
                <w:sz w:val="17"/>
                <w:szCs w:val="17"/>
                <w:lang w:eastAsia="lt-LT"/>
              </w:rPr>
            </w:pPr>
            <w:r>
              <w:rPr>
                <w:sz w:val="17"/>
                <w:szCs w:val="17"/>
                <w:lang w:eastAsia="lt-LT"/>
              </w:rPr>
              <w:t>Lietuvos zoologijos sodas, Lietuvos geologijos tarnyba prie Aplinkos ministerijos,</w:t>
            </w:r>
          </w:p>
          <w:p w:rsidR="000E7C4C" w:rsidRDefault="003C3EA6">
            <w:pPr>
              <w:rPr>
                <w:sz w:val="17"/>
                <w:szCs w:val="17"/>
                <w:lang w:eastAsia="lt-LT"/>
              </w:rPr>
            </w:pPr>
            <w:r>
              <w:rPr>
                <w:sz w:val="17"/>
                <w:szCs w:val="17"/>
                <w:lang w:eastAsia="lt-LT"/>
              </w:rPr>
              <w:t>Kauno Tado Ivanausko zoologijos muziejus,</w:t>
            </w:r>
          </w:p>
          <w:p w:rsidR="000E7C4C" w:rsidRDefault="003C3EA6">
            <w:pPr>
              <w:rPr>
                <w:sz w:val="17"/>
                <w:szCs w:val="17"/>
                <w:lang w:eastAsia="lt-LT"/>
              </w:rPr>
            </w:pPr>
            <w:r>
              <w:rPr>
                <w:sz w:val="17"/>
                <w:szCs w:val="17"/>
                <w:lang w:eastAsia="lt-LT"/>
              </w:rPr>
              <w:t>Respublikinis Vaclovo Into akmenų muziejus,</w:t>
            </w:r>
          </w:p>
          <w:p w:rsidR="000E7C4C" w:rsidRDefault="003C3EA6">
            <w:pPr>
              <w:rPr>
                <w:sz w:val="17"/>
                <w:szCs w:val="17"/>
                <w:lang w:eastAsia="lt-LT"/>
              </w:rPr>
            </w:pPr>
            <w:r>
              <w:rPr>
                <w:sz w:val="17"/>
                <w:szCs w:val="17"/>
                <w:lang w:eastAsia="lt-LT"/>
              </w:rPr>
              <w:t>Valstybės įmonė Valstybinių miškų urėdija,</w:t>
            </w:r>
          </w:p>
          <w:p w:rsidR="000E7C4C" w:rsidRDefault="003C3EA6">
            <w:pPr>
              <w:rPr>
                <w:sz w:val="17"/>
                <w:szCs w:val="17"/>
                <w:lang w:eastAsia="lt-LT"/>
              </w:rPr>
            </w:pPr>
            <w:r>
              <w:rPr>
                <w:sz w:val="17"/>
                <w:szCs w:val="17"/>
                <w:lang w:eastAsia="lt-LT"/>
              </w:rPr>
              <w:t>Lietuvos sveikatos mokslų universitetas.</w:t>
            </w:r>
          </w:p>
          <w:p w:rsidR="000E7C4C" w:rsidRDefault="003C3EA6">
            <w:pPr>
              <w:rPr>
                <w:sz w:val="17"/>
                <w:szCs w:val="17"/>
                <w:lang w:eastAsia="lt-LT"/>
              </w:rPr>
            </w:pPr>
            <w:r>
              <w:rPr>
                <w:sz w:val="17"/>
                <w:szCs w:val="17"/>
                <w:lang w:eastAsia="lt-LT"/>
              </w:rPr>
              <w:t>Galimi partneriai –  įstaigos prie Aplinkos ministerijos ir kitos pavaldžios biudžetinės įstaigos.</w:t>
            </w:r>
          </w:p>
        </w:tc>
        <w:tc>
          <w:tcPr>
            <w:tcW w:w="3371" w:type="dxa"/>
            <w:tcBorders>
              <w:top w:val="single" w:sz="4" w:space="0" w:color="auto"/>
              <w:left w:val="single" w:sz="4" w:space="0" w:color="auto"/>
              <w:bottom w:val="single" w:sz="4" w:space="0" w:color="auto"/>
              <w:right w:val="single" w:sz="4" w:space="0" w:color="auto"/>
            </w:tcBorders>
          </w:tcPr>
          <w:p w:rsidR="000E7C4C" w:rsidRDefault="003C3EA6">
            <w:pPr>
              <w:rPr>
                <w:sz w:val="17"/>
                <w:szCs w:val="17"/>
                <w:lang w:eastAsia="lt-LT"/>
              </w:rPr>
            </w:pPr>
            <w:r>
              <w:rPr>
                <w:sz w:val="17"/>
                <w:szCs w:val="17"/>
                <w:lang w:eastAsia="lt-LT"/>
              </w:rPr>
              <w:t>Visuomenės informavimo ir švietimo aplinkos klausimais priemonių įgyvendinimas;</w:t>
            </w:r>
          </w:p>
          <w:p w:rsidR="000E7C4C" w:rsidRDefault="003C3EA6">
            <w:pPr>
              <w:rPr>
                <w:sz w:val="17"/>
                <w:szCs w:val="17"/>
                <w:lang w:eastAsia="lt-LT"/>
              </w:rPr>
            </w:pPr>
            <w:r>
              <w:rPr>
                <w:sz w:val="17"/>
                <w:szCs w:val="17"/>
                <w:lang w:eastAsia="lt-LT"/>
              </w:rPr>
              <w:t>Aplinkosauginių – rekreacinių objektų statyba, įrengimas ir / ar atnaujinimas.</w:t>
            </w:r>
          </w:p>
          <w:p w:rsidR="000E7C4C" w:rsidRDefault="000E7C4C">
            <w:pPr>
              <w:rPr>
                <w:sz w:val="17"/>
                <w:szCs w:val="17"/>
                <w:lang w:eastAsia="lt-LT"/>
              </w:rPr>
            </w:pPr>
          </w:p>
        </w:tc>
      </w:tr>
    </w:tbl>
    <w:p w:rsidR="000E7C4C" w:rsidRDefault="000E7C4C"/>
    <w:p w:rsidR="000E7C4C" w:rsidRDefault="003C3EA6">
      <w:pPr>
        <w:jc w:val="center"/>
        <w:rPr>
          <w:color w:val="808080"/>
          <w:sz w:val="20"/>
        </w:rPr>
      </w:pPr>
      <w:r>
        <w:rPr>
          <w:color w:val="000000"/>
          <w:sz w:val="20"/>
        </w:rPr>
        <w:t>(Šaltinis: www.esinvesticijos.lt portale teikiama informacija apie patvirtintas priemones)</w:t>
      </w:r>
    </w:p>
    <w:p w:rsidR="000E7C4C" w:rsidRDefault="003C3EA6">
      <w:pPr>
        <w:jc w:val="both"/>
        <w:rPr>
          <w:color w:val="000000"/>
          <w:szCs w:val="21"/>
        </w:rPr>
      </w:pPr>
    </w:p>
    <w:p w:rsidR="000E7C4C" w:rsidRDefault="003C3EA6">
      <w:pPr>
        <w:tabs>
          <w:tab w:val="left" w:pos="851"/>
        </w:tabs>
        <w:ind w:firstLine="567"/>
        <w:jc w:val="both"/>
        <w:rPr>
          <w:color w:val="000000"/>
          <w:szCs w:val="21"/>
        </w:rPr>
      </w:pPr>
      <w:r>
        <w:rPr>
          <w:color w:val="000000"/>
          <w:szCs w:val="21"/>
        </w:rPr>
        <w:t>2</w:t>
      </w:r>
      <w:r>
        <w:rPr>
          <w:color w:val="000000"/>
          <w:szCs w:val="21"/>
        </w:rPr>
        <w:t>.</w:t>
      </w:r>
      <w:r>
        <w:rPr>
          <w:color w:val="000000"/>
          <w:szCs w:val="21"/>
        </w:rPr>
        <w:tab/>
        <w:t>Tarp verslui skirtų priemonių išskirtina priemonė „</w:t>
      </w:r>
      <w:proofErr w:type="spellStart"/>
      <w:r>
        <w:rPr>
          <w:color w:val="000000"/>
          <w:szCs w:val="21"/>
        </w:rPr>
        <w:t>Eco</w:t>
      </w:r>
      <w:proofErr w:type="spellEnd"/>
      <w:r>
        <w:rPr>
          <w:color w:val="000000"/>
          <w:szCs w:val="21"/>
        </w:rPr>
        <w:t>-inovacijos LT“ ir „</w:t>
      </w:r>
      <w:proofErr w:type="spellStart"/>
      <w:r>
        <w:rPr>
          <w:color w:val="000000"/>
          <w:szCs w:val="21"/>
        </w:rPr>
        <w:t>Eco</w:t>
      </w:r>
      <w:proofErr w:type="spellEnd"/>
      <w:r>
        <w:rPr>
          <w:color w:val="000000"/>
          <w:szCs w:val="21"/>
        </w:rPr>
        <w:t xml:space="preserve">-inovacijos LT+“. Pirmoji iš jų skirta netechnologinių inovacijų diegimui ir skatinimui finansuoti mažose ir vidutinėse įmonėse. Tuo metu antroji priemonė skirta technologinių </w:t>
      </w:r>
      <w:proofErr w:type="spellStart"/>
      <w:r>
        <w:rPr>
          <w:color w:val="000000"/>
          <w:szCs w:val="21"/>
        </w:rPr>
        <w:t>ekoinovacijų</w:t>
      </w:r>
      <w:proofErr w:type="spellEnd"/>
      <w:r>
        <w:rPr>
          <w:color w:val="000000"/>
          <w:szCs w:val="21"/>
        </w:rPr>
        <w:t xml:space="preserve"> diegimui ir skatinimui mažose ir vidutinėse įmonėse finansuoti (žr. 2 lent.).</w:t>
      </w:r>
    </w:p>
    <w:p w:rsidR="000E7C4C" w:rsidRDefault="000E7C4C">
      <w:pPr>
        <w:ind w:left="720"/>
        <w:jc w:val="both"/>
        <w:rPr>
          <w:color w:val="000000"/>
          <w:szCs w:val="21"/>
        </w:rPr>
      </w:pPr>
    </w:p>
    <w:p w:rsidR="000E7C4C" w:rsidRDefault="003C3EA6">
      <w:pPr>
        <w:jc w:val="both"/>
        <w:rPr>
          <w:color w:val="000000"/>
        </w:rPr>
      </w:pPr>
      <w:r>
        <w:rPr>
          <w:color w:val="000000"/>
        </w:rPr>
        <w:t>2 lentelė. 2014–2020 m. ES fondų investicijų patvirtintos verslui skirtos priemonės, prisidedančios prie oro kokybės gerinimo</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446"/>
        <w:gridCol w:w="1420"/>
        <w:gridCol w:w="1557"/>
        <w:gridCol w:w="5244"/>
      </w:tblGrid>
      <w:tr w:rsidR="000E7C4C">
        <w:trPr>
          <w:jc w:val="center"/>
        </w:trPr>
        <w:tc>
          <w:tcPr>
            <w:tcW w:w="1446"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18"/>
                <w:szCs w:val="18"/>
              </w:rPr>
            </w:pPr>
            <w:r>
              <w:rPr>
                <w:noProof/>
                <w:lang w:eastAsia="lt-LT"/>
              </w:rPr>
              <mc:AlternateContent>
                <mc:Choice Requires="wps">
                  <w:drawing>
                    <wp:anchor distT="0" distB="0" distL="114300" distR="114300" simplePos="0" relativeHeight="251667456" behindDoc="1" locked="0" layoutInCell="1" allowOverlap="1" wp14:anchorId="78ECD59A" wp14:editId="471FEA01">
                      <wp:simplePos x="0" y="0"/>
                      <wp:positionH relativeFrom="column">
                        <wp:posOffset>-6985</wp:posOffset>
                      </wp:positionH>
                      <wp:positionV relativeFrom="paragraph">
                        <wp:posOffset>-12700</wp:posOffset>
                      </wp:positionV>
                      <wp:extent cx="6121400" cy="285750"/>
                      <wp:effectExtent l="0" t="0" r="0" b="0"/>
                      <wp:wrapNone/>
                      <wp:docPr id="76" name="Stačiakampi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285750"/>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34EFC92B" id="Stačiakampis 76" o:spid="_x0000_s1026" style="position:absolute;margin-left:-.55pt;margin-top:-1pt;width:482pt;height: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Oa+SWAIAAI4EAAAOAAAAZHJzL2Uyb0RvYy54bWysVM1u2zAMvg/YOwi6r7aDps2MOkXQrsOA biuQDTszshwL1d8oJU72DnurPtgoOcm67jbs4lCUSH78PjJX1zuj2VZiUM42vDorOZNWuFbZdcO/ frl7M+MsRLAtaGdlw/cy8Ov561dXg6/lxPVOtxIZJbGhHnzD+xh9XRRB9NJAOHNeWrrsHBqIdMR1 0SIMlN3oYlKWF8XgsPXohAyBvLfjJZ/n/F0nRfzcdUFGphtO2GL+Yv6u0reYX0G9RvC9EgcY8A8o DChLRU+pbiEC26D6K5VRAl1wXTwTzhSu65SQuQfqpipfdLPswcvcC5ET/Imm8P/Sik/bB2Sqbfjl BWcWDGm0jPD0U8EjGK8CIz+RNPhQ09ulf8DUZvD3TjwGZt1ND3YtF4hu6CW0BK1K74s/AtIhUChb DR9dSyVgE13ma9ehSQmJCbbLsuxPsshdZIKcF9WkOi9JPUF3k9n0cpp1K6A+RnsM8b10hiWj4Uiy 5+ywvQ8xoYH6+OQgUnuntGbo4jcV+8xzKpsvA8WMBvOO+hndAderG41sC2mSyrKaLHKfJHl4/rqi O8KaXC9CpucjlQQmheSfQymtLCMaUy0WBGhJeow05onKYFNGbdnQ8LfTyTQXsC51kUfYqEh7pJVp +GxEkN1Jkne2zXYEpUebSmt70CjJMsq7cu2eJCJOMg5aajJ6hz84G2hBGh6+bwAlZ/qDzbSweDTw aKyOBlhBoQ2PnBpL5k0ct27jUa17ylwdWljQKHQqq5TGZERxAEdDPxI1Lmjaqufn/Or338j8FwAA AP//AwBQSwMEFAAGAAgAAAAhAHTq3TbeAAAACAEAAA8AAABkcnMvZG93bnJldi54bWxMj8FOwzAQ RO9I/IO1SNxaOwGFJsSpEIIbVKKUuxsvSUS8TmM3Tfl6lhOcVqMZzb4p17PrxYRj6DxpSJYKBFLt bUeNht3782IFIkRD1vSeUMMZA6yry4vSFNaf6A2nbWwEl1AojIY2xqGQMtQtOhOWfkBi79OPzkSW YyPtaE5c7nqZKpVJZzriD60Z8LHF+mt7dBrUd7fZrTavd4ensf54yafsoM6Z1tdX88M9iIhz/AvD Lz6jQ8VMe38kG0SvYZEknOSb8iT28yzNQew13N4okFUp/w+ofgAAAP//AwBQSwECLQAUAAYACAAA ACEAtoM4kv4AAADhAQAAEwAAAAAAAAAAAAAAAAAAAAAAW0NvbnRlbnRfVHlwZXNdLnhtbFBLAQIt ABQABgAIAAAAIQA4/SH/1gAAAJQBAAALAAAAAAAAAAAAAAAAAC8BAABfcmVscy8ucmVsc1BLAQIt ABQABgAIAAAAIQA9Oa+SWAIAAI4EAAAOAAAAAAAAAAAAAAAAAC4CAABkcnMvZTJvRG9jLnhtbFBL AQItABQABgAIAAAAIQB06t023gAAAAgBAAAPAAAAAAAAAAAAAAAAALIEAABkcnMvZG93bnJldi54 bWxQSwUGAAAAAAQABADzAAAAvQUAAAAA " fillcolor="#00012a" stroked="f">
                      <v:fill color2="#005476" angle="90" focus="100%" type="gradient"/>
                      <v:textbox inset="0,0,0,0"/>
                    </v:rect>
                  </w:pict>
                </mc:Fallback>
              </mc:AlternateContent>
            </w:r>
            <w:r>
              <w:rPr>
                <w:color w:val="FFFFFF"/>
                <w:sz w:val="18"/>
                <w:szCs w:val="18"/>
              </w:rPr>
              <w:t>Patvirtintos priemonės</w:t>
            </w:r>
          </w:p>
        </w:tc>
        <w:tc>
          <w:tcPr>
            <w:tcW w:w="1420"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18"/>
                <w:szCs w:val="18"/>
                <w:lang w:eastAsia="en-GB"/>
              </w:rPr>
            </w:pPr>
            <w:r>
              <w:rPr>
                <w:color w:val="FFFFFF"/>
                <w:sz w:val="18"/>
                <w:szCs w:val="18"/>
                <w:lang w:eastAsia="lt-LT"/>
              </w:rPr>
              <w:t>ES struktūrinių fondų lėšos</w:t>
            </w:r>
          </w:p>
        </w:tc>
        <w:tc>
          <w:tcPr>
            <w:tcW w:w="1557"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18"/>
                <w:szCs w:val="18"/>
                <w:lang w:eastAsia="en-GB"/>
              </w:rPr>
            </w:pPr>
            <w:r>
              <w:rPr>
                <w:bCs/>
                <w:color w:val="FFFFFF"/>
                <w:sz w:val="18"/>
                <w:szCs w:val="18"/>
                <w:lang w:eastAsia="en-GB"/>
              </w:rPr>
              <w:t>Galimi pareiškėjai</w:t>
            </w:r>
          </w:p>
        </w:tc>
        <w:tc>
          <w:tcPr>
            <w:tcW w:w="5244"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18"/>
                <w:szCs w:val="18"/>
                <w:lang w:eastAsia="en-GB"/>
              </w:rPr>
            </w:pPr>
            <w:r>
              <w:rPr>
                <w:bCs/>
                <w:color w:val="FFFFFF"/>
                <w:sz w:val="18"/>
                <w:szCs w:val="18"/>
                <w:lang w:eastAsia="en-GB"/>
              </w:rPr>
              <w:t>Finansuojamos veiklos</w:t>
            </w:r>
          </w:p>
        </w:tc>
      </w:tr>
      <w:tr w:rsidR="000E7C4C">
        <w:trPr>
          <w:jc w:val="center"/>
        </w:trPr>
        <w:tc>
          <w:tcPr>
            <w:tcW w:w="144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18"/>
                <w:szCs w:val="18"/>
              </w:rPr>
            </w:pPr>
            <w:proofErr w:type="spellStart"/>
            <w:r>
              <w:rPr>
                <w:color w:val="000000"/>
                <w:sz w:val="18"/>
                <w:szCs w:val="18"/>
              </w:rPr>
              <w:t>Eco</w:t>
            </w:r>
            <w:proofErr w:type="spellEnd"/>
            <w:r>
              <w:rPr>
                <w:color w:val="000000"/>
                <w:sz w:val="18"/>
                <w:szCs w:val="18"/>
              </w:rPr>
              <w:t>-inovacijos LT, Nr. 03.3.2-LVPA-K-832</w:t>
            </w:r>
          </w:p>
        </w:tc>
        <w:tc>
          <w:tcPr>
            <w:tcW w:w="142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18"/>
                <w:szCs w:val="18"/>
              </w:rPr>
            </w:pPr>
            <w:r>
              <w:rPr>
                <w:color w:val="000000"/>
                <w:sz w:val="18"/>
                <w:szCs w:val="18"/>
              </w:rPr>
              <w:t xml:space="preserve">4 344 300 </w:t>
            </w:r>
            <w:proofErr w:type="spellStart"/>
            <w:r>
              <w:rPr>
                <w:color w:val="000000"/>
                <w:sz w:val="18"/>
                <w:szCs w:val="18"/>
              </w:rPr>
              <w:t>Eur</w:t>
            </w:r>
            <w:proofErr w:type="spellEnd"/>
          </w:p>
        </w:tc>
        <w:tc>
          <w:tcPr>
            <w:tcW w:w="1557"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18"/>
                <w:szCs w:val="18"/>
              </w:rPr>
            </w:pPr>
            <w:r>
              <w:rPr>
                <w:color w:val="000000"/>
                <w:sz w:val="18"/>
                <w:szCs w:val="18"/>
              </w:rPr>
              <w:t>Mažos ir vidutinės įmonės.</w:t>
            </w:r>
          </w:p>
        </w:tc>
        <w:tc>
          <w:tcPr>
            <w:tcW w:w="524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18"/>
                <w:szCs w:val="18"/>
              </w:rPr>
            </w:pPr>
            <w:r>
              <w:rPr>
                <w:color w:val="000000"/>
                <w:sz w:val="18"/>
                <w:szCs w:val="18"/>
              </w:rPr>
              <w:t xml:space="preserve">Netechnologinių </w:t>
            </w:r>
            <w:proofErr w:type="spellStart"/>
            <w:r>
              <w:rPr>
                <w:color w:val="000000"/>
                <w:sz w:val="18"/>
                <w:szCs w:val="18"/>
              </w:rPr>
              <w:t>ekoinovacijų</w:t>
            </w:r>
            <w:proofErr w:type="spellEnd"/>
            <w:r>
              <w:rPr>
                <w:color w:val="000000"/>
                <w:sz w:val="18"/>
                <w:szCs w:val="18"/>
              </w:rPr>
              <w:t xml:space="preserve"> diegimas ir skatinimas:</w:t>
            </w:r>
          </w:p>
          <w:p w:rsidR="000E7C4C" w:rsidRDefault="003C3EA6">
            <w:pPr>
              <w:ind w:left="720" w:hanging="360"/>
              <w:rPr>
                <w:color w:val="000000"/>
                <w:sz w:val="18"/>
                <w:szCs w:val="18"/>
              </w:rPr>
            </w:pPr>
            <w:r>
              <w:rPr>
                <w:color w:val="000000"/>
                <w:sz w:val="18"/>
                <w:szCs w:val="18"/>
              </w:rPr>
              <w:t>-</w:t>
            </w:r>
            <w:r>
              <w:rPr>
                <w:color w:val="000000"/>
                <w:sz w:val="18"/>
                <w:szCs w:val="18"/>
              </w:rPr>
              <w:tab/>
              <w:t>aplinkosaugos vadybos/valdymo sistemų pagal tarptautinių standartų reikalavimus diegimas ir (ar) gamybos technologinių ir (ar) aplinkosaugos auditų, kurių pagalba būtų pateikta racionalaus išteklių naudojimo ir taršos prevencijos analizė, atlikimas;</w:t>
            </w:r>
          </w:p>
          <w:p w:rsidR="000E7C4C" w:rsidRDefault="003C3EA6">
            <w:pPr>
              <w:ind w:left="720" w:hanging="360"/>
              <w:rPr>
                <w:color w:val="000000"/>
                <w:sz w:val="18"/>
                <w:szCs w:val="18"/>
              </w:rPr>
            </w:pPr>
            <w:r>
              <w:rPr>
                <w:color w:val="000000"/>
                <w:sz w:val="18"/>
                <w:szCs w:val="18"/>
              </w:rPr>
              <w:t>-</w:t>
            </w:r>
            <w:r>
              <w:rPr>
                <w:color w:val="000000"/>
                <w:sz w:val="18"/>
                <w:szCs w:val="18"/>
              </w:rPr>
              <w:tab/>
              <w:t>ekologiškas projektavimas. Numatoma paremti projektus, kuriais skatinamas ekologinis projektavimas, t. y. numatoma pagerinti gaminių ekologiškumą per visą jų gyvavimo ciklą (žaliavų parinkimas ir naudojimas, gamyba, pakavimas, transportavimas, naudojimas), ekologinius aspektus sistemingai įtraukiant pačiame ankstyviausiame gaminio projektavimo etape.</w:t>
            </w:r>
          </w:p>
        </w:tc>
      </w:tr>
      <w:tr w:rsidR="000E7C4C">
        <w:trPr>
          <w:jc w:val="center"/>
        </w:trPr>
        <w:tc>
          <w:tcPr>
            <w:tcW w:w="144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18"/>
                <w:szCs w:val="18"/>
              </w:rPr>
            </w:pPr>
            <w:proofErr w:type="spellStart"/>
            <w:r>
              <w:rPr>
                <w:color w:val="000000"/>
                <w:sz w:val="18"/>
                <w:szCs w:val="18"/>
              </w:rPr>
              <w:t>Eco</w:t>
            </w:r>
            <w:proofErr w:type="spellEnd"/>
            <w:r>
              <w:rPr>
                <w:color w:val="000000"/>
                <w:sz w:val="18"/>
                <w:szCs w:val="18"/>
              </w:rPr>
              <w:t>-inovacijos LT+, Nr. 03.3.2-LVPA-K-837</w:t>
            </w:r>
          </w:p>
        </w:tc>
        <w:tc>
          <w:tcPr>
            <w:tcW w:w="142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18"/>
                <w:szCs w:val="18"/>
              </w:rPr>
            </w:pPr>
            <w:r>
              <w:rPr>
                <w:color w:val="000000"/>
                <w:sz w:val="18"/>
                <w:szCs w:val="18"/>
              </w:rPr>
              <w:t xml:space="preserve">86 886 005 </w:t>
            </w:r>
            <w:proofErr w:type="spellStart"/>
            <w:r>
              <w:rPr>
                <w:color w:val="000000"/>
                <w:sz w:val="18"/>
                <w:szCs w:val="18"/>
              </w:rPr>
              <w:t>Eur</w:t>
            </w:r>
            <w:proofErr w:type="spellEnd"/>
          </w:p>
        </w:tc>
        <w:tc>
          <w:tcPr>
            <w:tcW w:w="1557"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18"/>
                <w:szCs w:val="18"/>
              </w:rPr>
            </w:pPr>
            <w:r>
              <w:rPr>
                <w:color w:val="000000"/>
                <w:sz w:val="18"/>
                <w:szCs w:val="18"/>
              </w:rPr>
              <w:t>Mažos ir vidutinės įmonės.</w:t>
            </w:r>
          </w:p>
        </w:tc>
        <w:tc>
          <w:tcPr>
            <w:tcW w:w="5244" w:type="dxa"/>
            <w:tcBorders>
              <w:top w:val="single" w:sz="4" w:space="0" w:color="auto"/>
              <w:left w:val="single" w:sz="4" w:space="0" w:color="auto"/>
              <w:bottom w:val="single" w:sz="4" w:space="0" w:color="auto"/>
              <w:right w:val="single" w:sz="4" w:space="0" w:color="auto"/>
            </w:tcBorders>
            <w:hideMark/>
          </w:tcPr>
          <w:p w:rsidR="000E7C4C" w:rsidRDefault="003C3EA6">
            <w:pPr>
              <w:jc w:val="both"/>
              <w:rPr>
                <w:color w:val="000000"/>
                <w:sz w:val="18"/>
                <w:szCs w:val="18"/>
              </w:rPr>
            </w:pPr>
            <w:r>
              <w:rPr>
                <w:color w:val="000000"/>
                <w:sz w:val="18"/>
                <w:szCs w:val="18"/>
              </w:rPr>
              <w:t xml:space="preserve">Technologinių </w:t>
            </w:r>
            <w:proofErr w:type="spellStart"/>
            <w:r>
              <w:rPr>
                <w:color w:val="000000"/>
                <w:sz w:val="18"/>
                <w:szCs w:val="18"/>
              </w:rPr>
              <w:t>ekoinovacijų</w:t>
            </w:r>
            <w:proofErr w:type="spellEnd"/>
            <w:r>
              <w:rPr>
                <w:color w:val="000000"/>
                <w:sz w:val="18"/>
                <w:szCs w:val="18"/>
              </w:rPr>
              <w:t xml:space="preserve"> diegimas ir skatinimas. Siekiant sumažinti neigiamas klimato kaitos ir šiltnamio efekto pasekmes, numatomos investicijos į materialųjį turtą (įrenginius, technologijas), kurį įdiegus mažėja neigiamas ūkinės veiklos poveikis aplinkai, skatinama pramoninė simbiozė ir užtikrinamas tęstinis aplinkos apsaugos efektas t. y. investicijos į švaresnės gamybos inovacijas (jų įdiegimą), kuriose taikomi racionalių išteklių naudojimo ir taršos prevencijos metodai (pavyzdžiui, proceso modernizavimas (optimizavimas) tikslu sumažinti neigiamą poveikį aplinkai ir (ar) tausoti gamtos išteklius, </w:t>
            </w:r>
            <w:proofErr w:type="spellStart"/>
            <w:r>
              <w:rPr>
                <w:color w:val="000000"/>
                <w:sz w:val="18"/>
                <w:szCs w:val="18"/>
              </w:rPr>
              <w:t>beatliekinė</w:t>
            </w:r>
            <w:proofErr w:type="spellEnd"/>
            <w:r>
              <w:rPr>
                <w:color w:val="000000"/>
                <w:sz w:val="18"/>
                <w:szCs w:val="18"/>
              </w:rPr>
              <w:t xml:space="preserve"> gamyba, atliekų pakartotinis naudojimas ir (ar) perdirbimas, atliekamos šilumos panaudojimas (</w:t>
            </w:r>
            <w:proofErr w:type="spellStart"/>
            <w:r>
              <w:rPr>
                <w:color w:val="000000"/>
                <w:sz w:val="18"/>
                <w:szCs w:val="18"/>
              </w:rPr>
              <w:t>rekuperavimas</w:t>
            </w:r>
            <w:proofErr w:type="spellEnd"/>
            <w:r>
              <w:rPr>
                <w:color w:val="000000"/>
                <w:sz w:val="18"/>
                <w:szCs w:val="18"/>
              </w:rPr>
              <w:t>, regeneravimas), srautų atskyrimas kt.).</w:t>
            </w:r>
          </w:p>
        </w:tc>
      </w:tr>
    </w:tbl>
    <w:p w:rsidR="000E7C4C" w:rsidRDefault="003C3EA6">
      <w:pPr>
        <w:jc w:val="center"/>
        <w:rPr>
          <w:color w:val="000000"/>
          <w:sz w:val="20"/>
          <w:szCs w:val="21"/>
        </w:rPr>
      </w:pPr>
      <w:r>
        <w:rPr>
          <w:color w:val="000000"/>
          <w:sz w:val="20"/>
          <w:szCs w:val="21"/>
        </w:rPr>
        <w:t>(Šaltinis: www.esinvesticijos.lt portale teikiama informacija apie patvirtintas priemones)</w:t>
      </w:r>
    </w:p>
    <w:p w:rsidR="000E7C4C" w:rsidRDefault="003C3EA6">
      <w:pPr>
        <w:jc w:val="both"/>
        <w:rPr>
          <w:color w:val="000000"/>
          <w:szCs w:val="21"/>
        </w:rPr>
      </w:pPr>
    </w:p>
    <w:p w:rsidR="000E7C4C" w:rsidRDefault="003C3EA6">
      <w:pPr>
        <w:tabs>
          <w:tab w:val="left" w:pos="851"/>
        </w:tabs>
        <w:ind w:firstLine="567"/>
        <w:jc w:val="both"/>
        <w:rPr>
          <w:color w:val="000000"/>
          <w:szCs w:val="21"/>
        </w:rPr>
      </w:pPr>
      <w:r>
        <w:rPr>
          <w:color w:val="000000"/>
          <w:szCs w:val="21"/>
        </w:rPr>
        <w:t>3</w:t>
      </w:r>
      <w:r>
        <w:rPr>
          <w:color w:val="000000"/>
          <w:szCs w:val="21"/>
        </w:rPr>
        <w:t>.</w:t>
      </w:r>
      <w:r>
        <w:rPr>
          <w:color w:val="000000"/>
          <w:szCs w:val="21"/>
        </w:rPr>
        <w:tab/>
        <w:t xml:space="preserve">Vienas iš didžiausią taršą generuojančių ūkio sektorių yra energetikos sektorius, kuriame numatytos dvi pagrindinės priemonės, prisidėsiančios prie oro taršos mažinimo. Kaip matyti 3 lentelėje, abi priemonės yra susijusios su biokuro naudojimo skatinimu, keičiant nusidėvėjusius biokuro įrenginius ir įrengiant naujus. </w:t>
      </w:r>
    </w:p>
    <w:p w:rsidR="000E7C4C" w:rsidRDefault="000E7C4C">
      <w:pPr>
        <w:ind w:left="720"/>
        <w:jc w:val="both"/>
        <w:rPr>
          <w:color w:val="000000"/>
          <w:szCs w:val="21"/>
        </w:rPr>
      </w:pPr>
    </w:p>
    <w:p w:rsidR="000E7C4C" w:rsidRDefault="003C3EA6">
      <w:pPr>
        <w:jc w:val="both"/>
        <w:rPr>
          <w:color w:val="000000"/>
        </w:rPr>
      </w:pPr>
      <w:r>
        <w:rPr>
          <w:color w:val="000000"/>
        </w:rPr>
        <w:t>3 lentelė. 2014–2020 m. ES fondų investicijų patvirtintos energetikos priemonės, prisidedančios prie oro kokybės gerinimo</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446"/>
        <w:gridCol w:w="1420"/>
        <w:gridCol w:w="2691"/>
        <w:gridCol w:w="4252"/>
      </w:tblGrid>
      <w:tr w:rsidR="000E7C4C">
        <w:trPr>
          <w:jc w:val="center"/>
        </w:trPr>
        <w:tc>
          <w:tcPr>
            <w:tcW w:w="1446"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noProof/>
                <w:lang w:eastAsia="lt-LT"/>
              </w:rPr>
              <mc:AlternateContent>
                <mc:Choice Requires="wps">
                  <w:drawing>
                    <wp:anchor distT="0" distB="0" distL="114300" distR="114300" simplePos="0" relativeHeight="251666432" behindDoc="1" locked="0" layoutInCell="1" allowOverlap="1" wp14:anchorId="30CB6CFB" wp14:editId="06E0F900">
                      <wp:simplePos x="0" y="0"/>
                      <wp:positionH relativeFrom="column">
                        <wp:posOffset>-8255</wp:posOffset>
                      </wp:positionH>
                      <wp:positionV relativeFrom="paragraph">
                        <wp:posOffset>-14605</wp:posOffset>
                      </wp:positionV>
                      <wp:extent cx="5705475" cy="285750"/>
                      <wp:effectExtent l="0" t="0" r="9525" b="0"/>
                      <wp:wrapNone/>
                      <wp:docPr id="86" name="Stačiakampi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285750"/>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61E27B70" id="Stačiakampis 86" o:spid="_x0000_s1026" style="position:absolute;margin-left:-.65pt;margin-top:-1.15pt;width:449.25pt;height: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OBI4VQIAAI4EAAAOAAAAZHJzL2Uyb0RvYy54bWysVNuO0zAQfUfiHyy/06QV2S5R01XVZRHS AistiOep4zTW+sbYbVr+gb/iwxg77bJcnhAvzvgyM2fOmcni6mA020sMytmGTyclZ9IK1yq7bfin jzcvLjkLEWwL2lnZ8KMM/Gr5/Nli8LWcud7pViKjIDbUg294H6OviyKIXhoIE+elpcvOoYFIW9wW LcJA0Y0uZmV5UQwOW49OyBDo9Hq85Mscv+ukiB+6LsjIdMMJW8wr5nWT1mK5gHqL4HslTjDgH1AY UJaSPoa6hghsh+qPUEYJdMF1cSKcKVzXKSFzDVTNtPytmvsevMy1EDnBP9IU/l9Y8X5/h0y1Db+8 4MyCIY3uI3z/puABjFeB0TmRNPhQ09t7f4epzOBvnXgIzLp1D3YrV4hu6CW0BG2a3he/OKRNIFe2 Gd65llLALrrM16FDkwISE+yQZTk+yiIPkQk6rOZl9XJecSbobnZZzausWwH12dtjiG+kMywZDUeS PUeH/W2ICQ3U5ycnkdobpTVDFz+r2GeeU9p8GchnNJh3VM94HHC7WWtke0idVJbT2SrXSZKHp6+n dFf+1YVqyFQSmOSSP6dUWllGNKZcLAjQkvQYacwdlcGmJNqyoeGvqlmVoVqXqsgtbFSkOdLKkJAj gnycJHlt22xHUHq0KbW2J42SLKO8G9ceSSLiJOOgoSajd/iVs4EGpOHhyw5Qcqbf2kwLi2cDz8bm bIAV5NrwyKmwZK7jOHU7j2rbU+TpqYQVtUKnskqpTUYUJ3DU9CNR44CmqXq6z69+/kaWPwAAAP// AwBQSwMEFAAGAAgAAAAhAHSMmj/eAAAACAEAAA8AAABkcnMvZG93bnJldi54bWxMj8FOwzAQRO9I /IO1SNxauwElaYhTIQQ3qNRS7m7sJlHjdWq7acrXs5zgNFrNaPZNuZpsz0bjQ+dQwmIugBmsne6w kbD7fJvlwEJUqFXv0Ei4mgCr6vamVIV2F9yYcRsbRiUYCiWhjXEoOA91a6wKczcYJO/gvFWRTt9w 7dWFym3PEyFSblWH9KFVg3lpTX3cnq0E8d2td/n6Izu9+vrrfTmmJ3FNpby/m56fgEUzxb8w/OIT OlTEtHdn1IH1EmaLB0qSJqTk58ssAbaX8JhkwKuS/x9Q/QAAAP//AwBQSwECLQAUAAYACAAAACEA toM4kv4AAADhAQAAEwAAAAAAAAAAAAAAAAAAAAAAW0NvbnRlbnRfVHlwZXNdLnhtbFBLAQItABQA BgAIAAAAIQA4/SH/1gAAAJQBAAALAAAAAAAAAAAAAAAAAC8BAABfcmVscy8ucmVsc1BLAQItABQA BgAIAAAAIQB2OBI4VQIAAI4EAAAOAAAAAAAAAAAAAAAAAC4CAABkcnMvZTJvRG9jLnhtbFBLAQIt ABQABgAIAAAAIQB0jJo/3gAAAAgBAAAPAAAAAAAAAAAAAAAAAK8EAABkcnMvZG93bnJldi54bWxQ SwUGAAAAAAQABADzAAAAugUAAAAA " fillcolor="#00012a" stroked="f">
                      <v:fill color2="#005476" angle="90" focus="100%" type="gradient"/>
                      <v:textbox inset="0,0,0,0"/>
                    </v:rect>
                  </w:pict>
                </mc:Fallback>
              </mc:AlternateContent>
            </w:r>
            <w:r>
              <w:rPr>
                <w:color w:val="FFFFFF"/>
                <w:sz w:val="20"/>
              </w:rPr>
              <w:t>Patvirtintos priemonės</w:t>
            </w:r>
          </w:p>
        </w:tc>
        <w:tc>
          <w:tcPr>
            <w:tcW w:w="1420"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color w:val="FFFFFF"/>
                <w:sz w:val="20"/>
                <w:lang w:eastAsia="lt-LT"/>
              </w:rPr>
              <w:t>ES struktūrinių fondų lėšos</w:t>
            </w:r>
          </w:p>
        </w:tc>
        <w:tc>
          <w:tcPr>
            <w:tcW w:w="269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Galimi pareiškėjai</w:t>
            </w:r>
          </w:p>
        </w:tc>
        <w:tc>
          <w:tcPr>
            <w:tcW w:w="4252"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Finansuojamos veiklos</w:t>
            </w:r>
          </w:p>
        </w:tc>
      </w:tr>
      <w:tr w:rsidR="000E7C4C">
        <w:trPr>
          <w:jc w:val="center"/>
        </w:trPr>
        <w:tc>
          <w:tcPr>
            <w:tcW w:w="144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Biokurą naudojančių šilumos gamybos įrenginių keitimas, Nr. 04.1.1-LVPA-K-112</w:t>
            </w:r>
          </w:p>
        </w:tc>
        <w:tc>
          <w:tcPr>
            <w:tcW w:w="142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 xml:space="preserve">10 000 000 </w:t>
            </w:r>
            <w:proofErr w:type="spellStart"/>
            <w:r>
              <w:rPr>
                <w:color w:val="000000"/>
                <w:sz w:val="20"/>
              </w:rPr>
              <w:t>Eur</w:t>
            </w:r>
            <w:proofErr w:type="spellEnd"/>
          </w:p>
        </w:tc>
        <w:tc>
          <w:tcPr>
            <w:tcW w:w="2691" w:type="dxa"/>
            <w:tcBorders>
              <w:top w:val="single" w:sz="4" w:space="0" w:color="auto"/>
              <w:left w:val="single" w:sz="4" w:space="0" w:color="auto"/>
              <w:bottom w:val="single" w:sz="4" w:space="0" w:color="auto"/>
              <w:right w:val="single" w:sz="4" w:space="0" w:color="auto"/>
            </w:tcBorders>
          </w:tcPr>
          <w:p w:rsidR="000E7C4C" w:rsidRDefault="003C3EA6">
            <w:pPr>
              <w:rPr>
                <w:color w:val="000000"/>
                <w:sz w:val="20"/>
              </w:rPr>
            </w:pPr>
            <w:r>
              <w:rPr>
                <w:color w:val="000000"/>
                <w:sz w:val="20"/>
              </w:rPr>
              <w:t>Šilumos tiekėjai ir nepriklausomi šilumos gamintojai.</w:t>
            </w:r>
          </w:p>
          <w:p w:rsidR="000E7C4C" w:rsidRDefault="000E7C4C">
            <w:pPr>
              <w:rPr>
                <w:color w:val="000000"/>
                <w:sz w:val="20"/>
              </w:rPr>
            </w:pPr>
          </w:p>
        </w:tc>
        <w:tc>
          <w:tcPr>
            <w:tcW w:w="4252" w:type="dxa"/>
            <w:tcBorders>
              <w:top w:val="single" w:sz="4" w:space="0" w:color="auto"/>
              <w:left w:val="single" w:sz="4" w:space="0" w:color="auto"/>
              <w:bottom w:val="single" w:sz="4" w:space="0" w:color="auto"/>
              <w:right w:val="single" w:sz="4" w:space="0" w:color="auto"/>
            </w:tcBorders>
          </w:tcPr>
          <w:p w:rsidR="000E7C4C" w:rsidRDefault="003C3EA6">
            <w:pPr>
              <w:rPr>
                <w:color w:val="000000"/>
                <w:sz w:val="20"/>
              </w:rPr>
            </w:pPr>
            <w:r>
              <w:rPr>
                <w:color w:val="000000"/>
                <w:sz w:val="20"/>
              </w:rPr>
              <w:t>Nusidėvėjusių biokurą naudojančių šilumos gamybos įrenginių keitimas naujais (iki 10 MW šiluminės galios) centralizuoto šilumos tiekimo sistemose.</w:t>
            </w:r>
          </w:p>
          <w:p w:rsidR="000E7C4C" w:rsidRDefault="000E7C4C">
            <w:pPr>
              <w:rPr>
                <w:color w:val="000000"/>
                <w:sz w:val="20"/>
              </w:rPr>
            </w:pPr>
          </w:p>
        </w:tc>
      </w:tr>
      <w:tr w:rsidR="000E7C4C">
        <w:trPr>
          <w:jc w:val="center"/>
        </w:trPr>
        <w:tc>
          <w:tcPr>
            <w:tcW w:w="144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 xml:space="preserve">Nedidelės galios biokuro </w:t>
            </w:r>
            <w:proofErr w:type="spellStart"/>
            <w:r>
              <w:rPr>
                <w:color w:val="000000"/>
                <w:sz w:val="20"/>
              </w:rPr>
              <w:t>kogeneracijos</w:t>
            </w:r>
            <w:proofErr w:type="spellEnd"/>
            <w:r>
              <w:rPr>
                <w:color w:val="000000"/>
                <w:sz w:val="20"/>
              </w:rPr>
              <w:t xml:space="preserve"> skatinimas, Nr. 04.1.1-LVPA-K-110</w:t>
            </w:r>
          </w:p>
        </w:tc>
        <w:tc>
          <w:tcPr>
            <w:tcW w:w="142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 xml:space="preserve">12 000 000 </w:t>
            </w:r>
            <w:proofErr w:type="spellStart"/>
            <w:r>
              <w:rPr>
                <w:color w:val="000000"/>
                <w:sz w:val="20"/>
              </w:rPr>
              <w:t>Eur</w:t>
            </w:r>
            <w:proofErr w:type="spellEnd"/>
          </w:p>
        </w:tc>
        <w:tc>
          <w:tcPr>
            <w:tcW w:w="269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Šilumos tiekėjai ir (potencialūs) nepriklausomi šilumos gamintojai.</w:t>
            </w:r>
          </w:p>
        </w:tc>
        <w:tc>
          <w:tcPr>
            <w:tcW w:w="4252" w:type="dxa"/>
            <w:tcBorders>
              <w:top w:val="single" w:sz="4" w:space="0" w:color="auto"/>
              <w:left w:val="single" w:sz="4" w:space="0" w:color="auto"/>
              <w:bottom w:val="single" w:sz="4" w:space="0" w:color="auto"/>
              <w:right w:val="single" w:sz="4" w:space="0" w:color="auto"/>
            </w:tcBorders>
          </w:tcPr>
          <w:p w:rsidR="000E7C4C" w:rsidRDefault="003C3EA6">
            <w:pPr>
              <w:rPr>
                <w:color w:val="000000"/>
                <w:sz w:val="20"/>
              </w:rPr>
            </w:pPr>
            <w:r>
              <w:rPr>
                <w:color w:val="000000"/>
                <w:sz w:val="20"/>
              </w:rPr>
              <w:t xml:space="preserve">Naujų didelio efektyvumo biokuro </w:t>
            </w:r>
            <w:proofErr w:type="spellStart"/>
            <w:r>
              <w:rPr>
                <w:color w:val="000000"/>
                <w:sz w:val="20"/>
              </w:rPr>
              <w:t>kogeneracijos</w:t>
            </w:r>
            <w:proofErr w:type="spellEnd"/>
            <w:r>
              <w:rPr>
                <w:color w:val="000000"/>
                <w:sz w:val="20"/>
              </w:rPr>
              <w:t xml:space="preserve"> įrenginių (iki 5 MW elektrinės galios, visas nominalus šiluminis našumas ne didesnis nei 20 MW) įrengimas centralizuoto šilumos teikimo sistemose (išskyrus Vilniuje ir Kaune).</w:t>
            </w:r>
          </w:p>
          <w:p w:rsidR="000E7C4C" w:rsidRDefault="000E7C4C">
            <w:pPr>
              <w:rPr>
                <w:color w:val="000000"/>
                <w:sz w:val="20"/>
              </w:rPr>
            </w:pPr>
          </w:p>
        </w:tc>
      </w:tr>
      <w:tr w:rsidR="000E7C4C">
        <w:trPr>
          <w:jc w:val="center"/>
        </w:trPr>
        <w:tc>
          <w:tcPr>
            <w:tcW w:w="144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Katilų keitimas namų ūkiuose, Nr. 04.3.2-LVPA-V-111</w:t>
            </w:r>
          </w:p>
        </w:tc>
        <w:tc>
          <w:tcPr>
            <w:tcW w:w="142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 xml:space="preserve">15 000 000 </w:t>
            </w:r>
            <w:proofErr w:type="spellStart"/>
            <w:r>
              <w:rPr>
                <w:color w:val="000000"/>
                <w:sz w:val="20"/>
              </w:rPr>
              <w:t>Eur</w:t>
            </w:r>
            <w:proofErr w:type="spellEnd"/>
          </w:p>
        </w:tc>
        <w:tc>
          <w:tcPr>
            <w:tcW w:w="2691" w:type="dxa"/>
            <w:tcBorders>
              <w:top w:val="single" w:sz="4" w:space="0" w:color="auto"/>
              <w:left w:val="single" w:sz="4" w:space="0" w:color="auto"/>
              <w:bottom w:val="single" w:sz="4" w:space="0" w:color="auto"/>
              <w:right w:val="single" w:sz="4" w:space="0" w:color="auto"/>
            </w:tcBorders>
            <w:hideMark/>
          </w:tcPr>
          <w:p w:rsidR="000E7C4C" w:rsidRDefault="003C3EA6">
            <w:pPr>
              <w:ind w:firstLine="53"/>
              <w:rPr>
                <w:color w:val="000000"/>
                <w:sz w:val="20"/>
              </w:rPr>
            </w:pPr>
            <w:r>
              <w:rPr>
                <w:color w:val="000000"/>
                <w:sz w:val="20"/>
              </w:rPr>
              <w:t>Biudžetinė įstaiga.</w:t>
            </w:r>
          </w:p>
        </w:tc>
        <w:tc>
          <w:tcPr>
            <w:tcW w:w="4252"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Neefektyviai biomasę naudojančių katilų keitimas į efektyvesnes technologijas, naudojančias atsinaujinančių išteklių energiją šilumos gamybai, namų ūkiuose, kurie nėra prijungti prie centralizuotai tiekiamos šilumos sistemos.</w:t>
            </w:r>
          </w:p>
        </w:tc>
      </w:tr>
    </w:tbl>
    <w:p w:rsidR="000E7C4C" w:rsidRDefault="003C3EA6">
      <w:pPr>
        <w:jc w:val="center"/>
        <w:rPr>
          <w:color w:val="000000"/>
          <w:sz w:val="20"/>
        </w:rPr>
      </w:pPr>
      <w:r>
        <w:rPr>
          <w:color w:val="000000"/>
          <w:sz w:val="20"/>
        </w:rPr>
        <w:t>(Šaltinis: www.esinvesticijos.lt portale teikiama informacija apie patvirtintas priemones)</w:t>
      </w:r>
    </w:p>
    <w:p w:rsidR="000E7C4C" w:rsidRDefault="003C3EA6">
      <w:pPr>
        <w:jc w:val="both"/>
        <w:rPr>
          <w:color w:val="000000"/>
          <w:szCs w:val="21"/>
        </w:rPr>
      </w:pPr>
    </w:p>
    <w:p w:rsidR="000E7C4C" w:rsidRDefault="003C3EA6">
      <w:pPr>
        <w:tabs>
          <w:tab w:val="left" w:pos="851"/>
        </w:tabs>
        <w:ind w:firstLine="567"/>
        <w:jc w:val="both"/>
        <w:rPr>
          <w:color w:val="000000"/>
          <w:szCs w:val="21"/>
        </w:rPr>
      </w:pPr>
      <w:r>
        <w:rPr>
          <w:color w:val="000000"/>
          <w:szCs w:val="21"/>
        </w:rPr>
        <w:t>4</w:t>
      </w:r>
      <w:r>
        <w:rPr>
          <w:color w:val="000000"/>
          <w:szCs w:val="21"/>
        </w:rPr>
        <w:t>.</w:t>
      </w:r>
      <w:r>
        <w:rPr>
          <w:color w:val="000000"/>
          <w:szCs w:val="21"/>
        </w:rPr>
        <w:tab/>
        <w:t>Atsižvelgiant į pagrindinius oro taršos sukėlėjus, svarbios yra taip pat priemonės, numatytos energijos taupymo ir renovacijos srityje ir prisidėsiančios (nors ir ne visais atvejais, kaip pvz., iškastinio kuro – gamtinių dujų keitimas atsinaujinančiais energijos ištekliais (toliau – AEI) – kietuoju biokuru) prie oro taršos mažinimo. Išskirtinos priemonės, pagal kurias finansuojamos veiklos, apimančios atsinaujinančius energijos išteklius pramonei, biokuro naudojimo skatinimą šilumos energijai gaminti ir šilumos tiekimo tinklų modernizavimą ir plėtrą (žr. 4 lent.).</w:t>
      </w:r>
    </w:p>
    <w:p w:rsidR="000E7C4C" w:rsidRDefault="000E7C4C">
      <w:pPr>
        <w:ind w:left="720"/>
        <w:jc w:val="both"/>
        <w:rPr>
          <w:color w:val="000000"/>
          <w:szCs w:val="21"/>
        </w:rPr>
      </w:pPr>
    </w:p>
    <w:p w:rsidR="000E7C4C" w:rsidRDefault="003C3EA6">
      <w:pPr>
        <w:jc w:val="both"/>
        <w:rPr>
          <w:color w:val="000000"/>
        </w:rPr>
      </w:pPr>
      <w:r>
        <w:rPr>
          <w:color w:val="000000"/>
        </w:rPr>
        <w:t>4 lentelė. 2014–2020 m. ES fondų investicijų patvirtintos energijos taupymo ir renovacijos priemonės, prisidedančios prie oro kokybės gerinimo</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446"/>
        <w:gridCol w:w="1420"/>
        <w:gridCol w:w="2124"/>
        <w:gridCol w:w="4819"/>
      </w:tblGrid>
      <w:tr w:rsidR="000E7C4C">
        <w:trPr>
          <w:jc w:val="center"/>
        </w:trPr>
        <w:tc>
          <w:tcPr>
            <w:tcW w:w="1446"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noProof/>
                <w:lang w:eastAsia="lt-LT"/>
              </w:rPr>
              <mc:AlternateContent>
                <mc:Choice Requires="wps">
                  <w:drawing>
                    <wp:anchor distT="0" distB="0" distL="114300" distR="114300" simplePos="0" relativeHeight="251664384" behindDoc="1" locked="0" layoutInCell="1" allowOverlap="1" wp14:anchorId="0720B2BA" wp14:editId="2DDE21FE">
                      <wp:simplePos x="0" y="0"/>
                      <wp:positionH relativeFrom="column">
                        <wp:posOffset>-8255</wp:posOffset>
                      </wp:positionH>
                      <wp:positionV relativeFrom="paragraph">
                        <wp:posOffset>-14605</wp:posOffset>
                      </wp:positionV>
                      <wp:extent cx="5705475" cy="285750"/>
                      <wp:effectExtent l="0" t="0" r="9525" b="0"/>
                      <wp:wrapNone/>
                      <wp:docPr id="77" name="Stačiakampis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285750"/>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21F23A9C" id="Stačiakampis 77" o:spid="_x0000_s1026" style="position:absolute;margin-left:-.65pt;margin-top:-1.15pt;width:449.25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n3MpVAIAAI4EAAAOAAAAZHJzL2Uyb0RvYy54bWysVNtu2zAMfR+wfxD0vtoJ5qYz6hRBug4D uq1ANuyZkWVbqG6jlDjdP+yv9mGj5KTrLk/DXgSaEslzeEhfXh2MZnuJQTnb8NlZyZm0wrXK9g3/ 9PHmxQVnIYJtQTsrG/4gA79aPn92Ofpazt3gdCuRURIb6tE3fIjR10URxCANhDPnpaXLzqGBSJ/Y Fy3CSNmNLuZleV6MDluPTsgQyHs9XfJlzt91UsQPXRdkZLrhhC3mE/O5TWexvIS6R/CDEkcY8A8o DChLRR9TXUMEtkP1RyqjBLrgungmnClc1ykhMwdiMyt/Y7MZwMvMhZoT/GObwv9LK97v75CptuGL BWcWDGm0ifD9m4J7MF4FRn5q0uhDTW83/g4TzeBvnbgPzLr1ALaXK0Q3DhJagjZL74tfAtJHoFC2 Hd+5lkrALrrcr0OHJiWkTrBDluXhURZ5iEyQs1qU1ctFxZmgu/lFtaiybgXUp2iPIb6RzrBkNBxJ 9pwd9rchJjRQn54cRWpvlNYMXfys4pD7nMrmy0Axk8G8Iz6TO2C/XWtke0iTVJaz+SrzJMnD09cz uiv/GkIczp+EEKb+VEory6iNqRYLArQkPaY25onKYFMRbdnY8FfVvMpQrUss8ggbFWmPtDINv5gQ ZHeS5LVtsx1B6cmm0toeNUqyTPJuXftAElFPMg5aajIGh185G2lBGh6+7AAlZ/qtzW1h8WTgydie DLCCQhseORFL5jpOW7fzqPqBMs+OFFY0Cp3KKqUxmVAcwdHQZ/GOC5q26ul3fvXzN7L8AQAA//8D AFBLAwQUAAYACAAAACEAdIyaP94AAAAIAQAADwAAAGRycy9kb3ducmV2LnhtbEyPwU7DMBBE70j8 g7VI3Fq7ASVpiFMhBDeo1FLubuwmUeN1artpyteznOA0Ws1o9k25mmzPRuND51DCYi6AGayd7rCR sPt8m+XAQlSoVe/QSLiaAKvq9qZUhXYX3JhxGxtGJRgKJaGNcSg4D3VrrApzNxgk7+C8VZFO33Dt 1YXKbc8TIVJuVYf0oVWDeWlNfdyerQTx3a13+fojO736+ut9OaYncU2lvL+bnp+ARTPFvzD84hM6 VMS0d2fUgfUSZosHSpImpOTnyywBtpfwmGTAq5L/H1D9AAAA//8DAFBLAQItABQABgAIAAAAIQC2 gziS/gAAAOEBAAATAAAAAAAAAAAAAAAAAAAAAABbQ29udGVudF9UeXBlc10ueG1sUEsBAi0AFAAG AAgAAAAhADj9If/WAAAAlAEAAAsAAAAAAAAAAAAAAAAALwEAAF9yZWxzLy5yZWxzUEsBAi0AFAAG AAgAAAAhALWfcylUAgAAjgQAAA4AAAAAAAAAAAAAAAAALgIAAGRycy9lMm9Eb2MueG1sUEsBAi0A FAAGAAgAAAAhAHSMmj/eAAAACAEAAA8AAAAAAAAAAAAAAAAArgQAAGRycy9kb3ducmV2LnhtbFBL BQYAAAAABAAEAPMAAAC5BQAAAAA= " fillcolor="#00012a" stroked="f">
                      <v:fill color2="#005476" angle="90" focus="100%" type="gradient"/>
                      <v:textbox inset="0,0,0,0"/>
                    </v:rect>
                  </w:pict>
                </mc:Fallback>
              </mc:AlternateContent>
            </w:r>
            <w:r>
              <w:rPr>
                <w:color w:val="FFFFFF"/>
                <w:sz w:val="20"/>
              </w:rPr>
              <w:t>Patvirtintos priemonės</w:t>
            </w:r>
          </w:p>
        </w:tc>
        <w:tc>
          <w:tcPr>
            <w:tcW w:w="1420"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color w:val="FFFFFF"/>
                <w:sz w:val="20"/>
                <w:lang w:eastAsia="lt-LT"/>
              </w:rPr>
              <w:t>ES struktūrinių fondų lėšos</w:t>
            </w:r>
          </w:p>
        </w:tc>
        <w:tc>
          <w:tcPr>
            <w:tcW w:w="2124"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Galimi pareiškėjai</w:t>
            </w:r>
          </w:p>
        </w:tc>
        <w:tc>
          <w:tcPr>
            <w:tcW w:w="4819"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Finansuojamos veiklos</w:t>
            </w:r>
          </w:p>
        </w:tc>
      </w:tr>
      <w:tr w:rsidR="000E7C4C">
        <w:trPr>
          <w:jc w:val="center"/>
        </w:trPr>
        <w:tc>
          <w:tcPr>
            <w:tcW w:w="144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Atsinaujinantys energijos ištekliai pramonei LT+, Nr. 04.2.1-LVPA-K-836</w:t>
            </w:r>
          </w:p>
        </w:tc>
        <w:tc>
          <w:tcPr>
            <w:tcW w:w="1420"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 xml:space="preserve">23 338 114 </w:t>
            </w:r>
            <w:proofErr w:type="spellStart"/>
            <w:r>
              <w:rPr>
                <w:color w:val="000000"/>
                <w:sz w:val="20"/>
              </w:rPr>
              <w:t>Eur</w:t>
            </w:r>
            <w:proofErr w:type="spellEnd"/>
          </w:p>
        </w:tc>
        <w:tc>
          <w:tcPr>
            <w:tcW w:w="2124"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Labai mažos, mažos ir vidutinės įmonės (toliau – MVĮ) ir didelės pramonės įmonės.</w:t>
            </w:r>
          </w:p>
        </w:tc>
        <w:tc>
          <w:tcPr>
            <w:tcW w:w="4819"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 xml:space="preserve">AEI naudojančių energijos gamybos </w:t>
            </w:r>
            <w:proofErr w:type="spellStart"/>
            <w:r>
              <w:rPr>
                <w:color w:val="000000"/>
                <w:sz w:val="20"/>
              </w:rPr>
              <w:t>pajėgumų</w:t>
            </w:r>
            <w:proofErr w:type="spellEnd"/>
            <w:r>
              <w:rPr>
                <w:color w:val="000000"/>
                <w:sz w:val="20"/>
              </w:rPr>
              <w:t xml:space="preserve"> įrengimas, naujų AEI efektyvesnio panaudojimo technologijų kūrimas ir diegimas pramonės įmonėse, siekiant naudoti energiją pačių įmonių vidiniams poreikiams tenkinti ir esant galimybei perteklinę energiją tiekti kitoms pramonės įmonėms ar perduoti į centralizuotus energetinius tinklus.</w:t>
            </w:r>
          </w:p>
        </w:tc>
      </w:tr>
      <w:tr w:rsidR="000E7C4C">
        <w:trPr>
          <w:jc w:val="center"/>
        </w:trPr>
        <w:tc>
          <w:tcPr>
            <w:tcW w:w="1446"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Biokuro panaudojimo skatinimas šilumos energijai gaminti, Nr. 04.1.1-LVPA-K-109</w:t>
            </w:r>
          </w:p>
        </w:tc>
        <w:tc>
          <w:tcPr>
            <w:tcW w:w="1420"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20"/>
                <w:lang w:eastAsia="lt-LT"/>
              </w:rPr>
            </w:pPr>
            <w:r>
              <w:rPr>
                <w:sz w:val="20"/>
                <w:lang w:eastAsia="lt-LT"/>
              </w:rPr>
              <w:t xml:space="preserve">17 040 000 </w:t>
            </w:r>
            <w:proofErr w:type="spellStart"/>
            <w:r>
              <w:rPr>
                <w:sz w:val="20"/>
                <w:lang w:eastAsia="lt-LT"/>
              </w:rPr>
              <w:t>Eur</w:t>
            </w:r>
            <w:proofErr w:type="spellEnd"/>
            <w:r>
              <w:rPr>
                <w:sz w:val="20"/>
                <w:lang w:eastAsia="lt-LT"/>
              </w:rPr>
              <w:tab/>
            </w:r>
          </w:p>
        </w:tc>
        <w:tc>
          <w:tcPr>
            <w:tcW w:w="2124"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Šilumos tiekėjai ir nepriklausomi šilumos gamintojai, eksploatuojantys iškastinį kurą naudojančius šilumos gamybos įrenginius.</w:t>
            </w:r>
          </w:p>
        </w:tc>
        <w:tc>
          <w:tcPr>
            <w:tcW w:w="4819"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Biokurą naudojančių šilumos gamybos įrenginių (iki 10 MW šiluminės galios) įrengimas rekonstruojamose ar naujai statomose katilinėse, pakeičiant iškastinį kurą centralizuotai tiekiamos šilumos gamyboje.</w:t>
            </w:r>
          </w:p>
        </w:tc>
      </w:tr>
      <w:tr w:rsidR="000E7C4C">
        <w:trPr>
          <w:jc w:val="center"/>
        </w:trPr>
        <w:tc>
          <w:tcPr>
            <w:tcW w:w="1446"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Šilumos tiekimo tinklų modernizavimas ir plėtra, Nr. 04.3.2-LVPA-K-102</w:t>
            </w:r>
          </w:p>
        </w:tc>
        <w:tc>
          <w:tcPr>
            <w:tcW w:w="1420"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20"/>
                <w:lang w:eastAsia="lt-LT"/>
              </w:rPr>
            </w:pPr>
            <w:r>
              <w:rPr>
                <w:sz w:val="20"/>
                <w:lang w:eastAsia="lt-LT"/>
              </w:rPr>
              <w:t xml:space="preserve">69 508 804 </w:t>
            </w:r>
            <w:proofErr w:type="spellStart"/>
            <w:r>
              <w:rPr>
                <w:sz w:val="20"/>
                <w:lang w:eastAsia="lt-LT"/>
              </w:rPr>
              <w:t>Eur</w:t>
            </w:r>
            <w:proofErr w:type="spellEnd"/>
          </w:p>
        </w:tc>
        <w:tc>
          <w:tcPr>
            <w:tcW w:w="2124"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Projektus pagal priemonę įgyvendina juridiniai asmenys, valdantys šilumos tinklus nuosavybės ar kita teise (nuomos, patikėjimo, panaudos ar kt.) ir turintys šilumos tiekimo licencijas.</w:t>
            </w:r>
          </w:p>
        </w:tc>
        <w:tc>
          <w:tcPr>
            <w:tcW w:w="4819"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Centralizuotai tiekiamos šilumos tinklų plėtra;</w:t>
            </w:r>
          </w:p>
          <w:p w:rsidR="000E7C4C" w:rsidRDefault="003C3EA6">
            <w:pPr>
              <w:rPr>
                <w:sz w:val="20"/>
                <w:lang w:eastAsia="lt-LT"/>
              </w:rPr>
            </w:pPr>
            <w:r>
              <w:rPr>
                <w:sz w:val="20"/>
                <w:lang w:eastAsia="lt-LT"/>
              </w:rPr>
              <w:t>Centralizuotai tiekiamos šilumos tinklų modernizacija šilumos perdavimo nuostolių mažinimui, tinklų darbo patikimumo didinimui.</w:t>
            </w:r>
          </w:p>
        </w:tc>
      </w:tr>
    </w:tbl>
    <w:p w:rsidR="000E7C4C" w:rsidRDefault="003C3EA6">
      <w:pPr>
        <w:jc w:val="center"/>
        <w:rPr>
          <w:color w:val="000000"/>
          <w:sz w:val="20"/>
          <w:szCs w:val="21"/>
        </w:rPr>
      </w:pPr>
      <w:r>
        <w:rPr>
          <w:color w:val="000000"/>
          <w:sz w:val="20"/>
          <w:szCs w:val="21"/>
        </w:rPr>
        <w:t>(Šaltinis: www.esinvesticijos.lt portale teikiama informacija apie patvirtintas priemones)</w:t>
      </w:r>
    </w:p>
    <w:p w:rsidR="000E7C4C" w:rsidRDefault="003C3EA6">
      <w:pPr>
        <w:jc w:val="both"/>
        <w:rPr>
          <w:color w:val="000000"/>
          <w:szCs w:val="21"/>
        </w:rPr>
      </w:pPr>
    </w:p>
    <w:p w:rsidR="000E7C4C" w:rsidRDefault="003C3EA6">
      <w:pPr>
        <w:tabs>
          <w:tab w:val="left" w:pos="851"/>
        </w:tabs>
        <w:ind w:firstLine="567"/>
        <w:jc w:val="both"/>
        <w:rPr>
          <w:color w:val="000000"/>
          <w:szCs w:val="21"/>
        </w:rPr>
      </w:pPr>
      <w:r>
        <w:rPr>
          <w:color w:val="000000"/>
          <w:szCs w:val="21"/>
        </w:rPr>
        <w:t>5</w:t>
      </w:r>
      <w:r>
        <w:rPr>
          <w:color w:val="000000"/>
          <w:szCs w:val="21"/>
        </w:rPr>
        <w:t>.</w:t>
      </w:r>
      <w:r>
        <w:rPr>
          <w:color w:val="000000"/>
          <w:szCs w:val="21"/>
        </w:rPr>
        <w:tab/>
        <w:t xml:space="preserve">Kitas reikšmingas oro taršos atžvilgiu sektorius – transporto sektorius. Šiame sektoriuje yra numatytos priemonėmis, kuriomis siekiama elektromobilių įkrovimo prieigų tinklo kūrimo, miesto viešojo transporto atnaujinimą, miestų aplinkkelių tiesimą, miestų transporto infrastruktūros vystymo, pėsčiųjų ir dviračių takų rekonstrukcijos, </w:t>
      </w:r>
      <w:proofErr w:type="spellStart"/>
      <w:r>
        <w:rPr>
          <w:color w:val="000000"/>
          <w:szCs w:val="21"/>
        </w:rPr>
        <w:t>trans</w:t>
      </w:r>
      <w:proofErr w:type="spellEnd"/>
      <w:r>
        <w:rPr>
          <w:color w:val="000000"/>
          <w:szCs w:val="21"/>
        </w:rPr>
        <w:t>-europinio transporto tinklo (toliau – TEN-T) kelių techninių parametrų gerinimo ir pralaidumo didinimo, regionų pasiekiamumo gerinimo, vietinio susisiekimo viešojo transporto priemonių parko atnaujinimo. Visos išvardintos priemonės prisidėtų prie oro taršos, sukeltos transporto sektoriaus, mažinimo (žr. 5 lent.).</w:t>
      </w:r>
    </w:p>
    <w:p w:rsidR="000E7C4C" w:rsidRDefault="000E7C4C">
      <w:pPr>
        <w:ind w:left="720"/>
        <w:jc w:val="both"/>
        <w:rPr>
          <w:color w:val="000000"/>
          <w:szCs w:val="21"/>
        </w:rPr>
      </w:pPr>
    </w:p>
    <w:p w:rsidR="000E7C4C" w:rsidRDefault="003C3EA6">
      <w:pPr>
        <w:jc w:val="both"/>
        <w:rPr>
          <w:color w:val="000000"/>
        </w:rPr>
      </w:pPr>
      <w:r>
        <w:rPr>
          <w:color w:val="000000"/>
        </w:rPr>
        <w:t>5 lentelė. 2014-2020 m. ES fondų investicijų patvirtintos susisiekimo infrastruktūros (transporto) priemonės, prisidedančios prie oro kokybės gerinimo</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446"/>
        <w:gridCol w:w="1420"/>
        <w:gridCol w:w="2691"/>
        <w:gridCol w:w="4252"/>
      </w:tblGrid>
      <w:tr w:rsidR="000E7C4C">
        <w:trPr>
          <w:tblHeader/>
          <w:jc w:val="center"/>
        </w:trPr>
        <w:tc>
          <w:tcPr>
            <w:tcW w:w="1446"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noProof/>
                <w:lang w:eastAsia="lt-LT"/>
              </w:rPr>
              <mc:AlternateContent>
                <mc:Choice Requires="wps">
                  <w:drawing>
                    <wp:anchor distT="0" distB="0" distL="114300" distR="114300" simplePos="0" relativeHeight="251665408" behindDoc="1" locked="0" layoutInCell="1" allowOverlap="1" wp14:anchorId="0C753F5F" wp14:editId="282805FB">
                      <wp:simplePos x="0" y="0"/>
                      <wp:positionH relativeFrom="column">
                        <wp:posOffset>-8255</wp:posOffset>
                      </wp:positionH>
                      <wp:positionV relativeFrom="paragraph">
                        <wp:posOffset>-14605</wp:posOffset>
                      </wp:positionV>
                      <wp:extent cx="5705475" cy="285750"/>
                      <wp:effectExtent l="0" t="0" r="9525" b="0"/>
                      <wp:wrapNone/>
                      <wp:docPr id="82" name="Stačiakampi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285750"/>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2C765067" id="Stačiakampis 82" o:spid="_x0000_s1026" style="position:absolute;margin-left:-.65pt;margin-top:-1.15pt;width:449.25pt;height: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Qx1GVAIAAI4EAAAOAAAAZHJzL2Uyb0RvYy54bWysVNtu2zAMfR+wfxD0vtgJ5iYz6hRFuw4D uq1AN+yZkWVbqG6jlDjZP+yv9mGj5KTrLk/DXgSaEslzeEifX+yNZjuJQTnb8Pms5Exa4Vpl+4Z/ +njzYsVZiGBb0M7Khh9k4Bfr58/OR1/LhRucbiUySmJDPfqGDzH6uiiCGKSBMHNeWrrsHBqI9Il9 0SKMlN3oYlGWZ8XosPXohAyBvNfTJV/n/F0nRfzQdUFGphtO2GI+MZ+bdBbrc6h7BD8ocYQB/4DC gLJU9DHVNURgW1R/pDJKoAuuizPhTOG6TgmZORCbefkbm/sBvMxcqDnBP7Yp/L+04v3uDplqG75a cGbBkEb3Eb5/U/AAxqvAyE9NGn2o6e29v8NEM/hbJx4Cs+5qANvLS0Q3DhJagjZP74tfAtJHoFC2 Gd+5lkrANrrcr32HJiWkTrB9luXwKIvcRybIWS3L6uWy4kzQ3WJVLausWwH1KdpjiG+kMywZDUeS PWeH3W2ICQ3UpydHkdobpTVDFz+rOOQ+p7L5MlDMZDDviM/kDthvrjSyHaRJKsv54jLzJMnD09dz uiv/GkIczp6EEKb+VEory6iNqRYLArQkPaY25onKYFMRbdnY8FfVospQrUss8ggbFWmPtDIk5IQg u5Mkr22b7QhKTzaV1vaoUZJlknfj2gNJRD3JOGipyRgcfuVspAVpePiyBZSc6bc2t4XFk4EnY3My wAoKbXjkRCyZV3Hauq1H1Q+UeX6kcEmj0KmsUhqTCcURHA19Fu+4oGmrnn7nVz9/I+sfAAAA//8D AFBLAwQUAAYACAAAACEAdIyaP94AAAAIAQAADwAAAGRycy9kb3ducmV2LnhtbEyPwU7DMBBE70j8 g7VI3Fq7ASVpiFMhBDeo1FLubuwmUeN1artpyteznOA0Ws1o9k25mmzPRuND51DCYi6AGayd7rCR sPt8m+XAQlSoVe/QSLiaAKvq9qZUhXYX3JhxGxtGJRgKJaGNcSg4D3VrrApzNxgk7+C8VZFO33Dt 1YXKbc8TIVJuVYf0oVWDeWlNfdyerQTx3a13+fojO736+ut9OaYncU2lvL+bnp+ARTPFvzD84hM6 VMS0d2fUgfUSZosHSpImpOTnyywBtpfwmGTAq5L/H1D9AAAA//8DAFBLAQItABQABgAIAAAAIQC2 gziS/gAAAOEBAAATAAAAAAAAAAAAAAAAAAAAAABbQ29udGVudF9UeXBlc10ueG1sUEsBAi0AFAAG AAgAAAAhADj9If/WAAAAlAEAAAsAAAAAAAAAAAAAAAAALwEAAF9yZWxzLy5yZWxzUEsBAi0AFAAG AAgAAAAhAANDHUZUAgAAjgQAAA4AAAAAAAAAAAAAAAAALgIAAGRycy9lMm9Eb2MueG1sUEsBAi0A FAAGAAgAAAAhAHSMmj/eAAAACAEAAA8AAAAAAAAAAAAAAAAArgQAAGRycy9kb3ducmV2LnhtbFBL BQYAAAAABAAEAPMAAAC5BQAAAAA= " fillcolor="#00012a" stroked="f">
                      <v:fill color2="#005476" angle="90" focus="100%" type="gradient"/>
                      <v:textbox inset="0,0,0,0"/>
                    </v:rect>
                  </w:pict>
                </mc:Fallback>
              </mc:AlternateContent>
            </w:r>
            <w:r>
              <w:rPr>
                <w:color w:val="FFFFFF"/>
                <w:sz w:val="20"/>
              </w:rPr>
              <w:t>Patvirtintos priemonės</w:t>
            </w:r>
          </w:p>
        </w:tc>
        <w:tc>
          <w:tcPr>
            <w:tcW w:w="1420"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color w:val="FFFFFF"/>
                <w:sz w:val="20"/>
                <w:lang w:eastAsia="lt-LT"/>
              </w:rPr>
              <w:t>ES struktūrinių fondų lėšos</w:t>
            </w:r>
          </w:p>
        </w:tc>
        <w:tc>
          <w:tcPr>
            <w:tcW w:w="269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Galimi pareiškėjai</w:t>
            </w:r>
          </w:p>
        </w:tc>
        <w:tc>
          <w:tcPr>
            <w:tcW w:w="4252"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Finansuojamos veiklos</w:t>
            </w:r>
          </w:p>
        </w:tc>
      </w:tr>
      <w:tr w:rsidR="000E7C4C">
        <w:trPr>
          <w:jc w:val="center"/>
        </w:trPr>
        <w:tc>
          <w:tcPr>
            <w:tcW w:w="144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Elektromobilių įkrovimo prieigų tinklo kūrimas, Nr. 04.5.1-TID-V-515</w:t>
            </w:r>
          </w:p>
        </w:tc>
        <w:tc>
          <w:tcPr>
            <w:tcW w:w="1420" w:type="dxa"/>
            <w:tcBorders>
              <w:top w:val="single" w:sz="4" w:space="0" w:color="auto"/>
              <w:left w:val="single" w:sz="4" w:space="0" w:color="auto"/>
              <w:bottom w:val="single" w:sz="4" w:space="0" w:color="auto"/>
              <w:right w:val="single" w:sz="4" w:space="0" w:color="auto"/>
            </w:tcBorders>
          </w:tcPr>
          <w:p w:rsidR="000E7C4C" w:rsidRDefault="003C3EA6">
            <w:pPr>
              <w:rPr>
                <w:color w:val="000000"/>
                <w:sz w:val="20"/>
              </w:rPr>
            </w:pPr>
            <w:r>
              <w:rPr>
                <w:color w:val="000000"/>
                <w:sz w:val="20"/>
              </w:rPr>
              <w:t xml:space="preserve">2 896 200 </w:t>
            </w:r>
            <w:proofErr w:type="spellStart"/>
            <w:r>
              <w:rPr>
                <w:color w:val="000000"/>
                <w:sz w:val="20"/>
              </w:rPr>
              <w:t>Eur</w:t>
            </w:r>
            <w:proofErr w:type="spellEnd"/>
          </w:p>
          <w:p w:rsidR="000E7C4C" w:rsidRDefault="000E7C4C">
            <w:pPr>
              <w:rPr>
                <w:color w:val="000000"/>
                <w:sz w:val="20"/>
              </w:rPr>
            </w:pPr>
          </w:p>
        </w:tc>
        <w:tc>
          <w:tcPr>
            <w:tcW w:w="269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Lietuvos automobilių kelių direkcija prie Susisiekimo ministerijos (toliau – Lietuvos automobilių kelių direkcija),</w:t>
            </w:r>
          </w:p>
          <w:p w:rsidR="000E7C4C" w:rsidRDefault="003C3EA6">
            <w:pPr>
              <w:rPr>
                <w:color w:val="000000"/>
                <w:sz w:val="20"/>
              </w:rPr>
            </w:pPr>
            <w:r>
              <w:rPr>
                <w:color w:val="000000"/>
                <w:sz w:val="20"/>
              </w:rPr>
              <w:t>Savivaldybių, kuriose yra miestų, turinčių daugiau kaip 25 tūkst. gyventojų, daugiau kaip 1000 km vietinės reikšmės kelių (gatvių), įregistruota daugiau kaip 10 tūkst. lengvųjų automobilių, arba miestų, turinčių kurorto statusą, administracijos.</w:t>
            </w:r>
          </w:p>
          <w:p w:rsidR="000E7C4C" w:rsidRDefault="003C3EA6">
            <w:pPr>
              <w:rPr>
                <w:color w:val="000000"/>
                <w:sz w:val="20"/>
              </w:rPr>
            </w:pPr>
            <w:r>
              <w:rPr>
                <w:color w:val="000000"/>
                <w:sz w:val="20"/>
              </w:rPr>
              <w:t>Galimi partneriai – savivaldybių administracijos, AB „Energijos skirstymo operatorius“ (ESO) ir elektromobilių įkrovimo prieigų operatoriai – juridiniai ar fiziniai  asmenys, teikiantys elektromobilių įkrovimo paslaugą ir atsakingi už elektromobilių įkrovimo prieigos įrengimą ir (arba) priežiūrą.</w:t>
            </w:r>
          </w:p>
        </w:tc>
        <w:tc>
          <w:tcPr>
            <w:tcW w:w="4252" w:type="dxa"/>
            <w:tcBorders>
              <w:top w:val="single" w:sz="4" w:space="0" w:color="auto"/>
              <w:left w:val="single" w:sz="4" w:space="0" w:color="auto"/>
              <w:bottom w:val="single" w:sz="4" w:space="0" w:color="auto"/>
              <w:right w:val="single" w:sz="4" w:space="0" w:color="auto"/>
            </w:tcBorders>
          </w:tcPr>
          <w:p w:rsidR="000E7C4C" w:rsidRDefault="003C3EA6">
            <w:pPr>
              <w:rPr>
                <w:color w:val="000000"/>
                <w:sz w:val="20"/>
              </w:rPr>
            </w:pPr>
            <w:r>
              <w:rPr>
                <w:color w:val="000000"/>
                <w:sz w:val="20"/>
              </w:rPr>
              <w:t>Elektromobilių greitojo įkrovimo prieigų įrengimas valstybinės reikšmės keliuose;</w:t>
            </w:r>
          </w:p>
          <w:p w:rsidR="000E7C4C" w:rsidRDefault="003C3EA6">
            <w:pPr>
              <w:rPr>
                <w:color w:val="000000"/>
                <w:sz w:val="20"/>
              </w:rPr>
            </w:pPr>
            <w:r>
              <w:rPr>
                <w:color w:val="000000"/>
                <w:sz w:val="20"/>
              </w:rPr>
              <w:t>Elektromobilių įkrovimo prieigų įrengimas miestuose</w:t>
            </w:r>
          </w:p>
          <w:p w:rsidR="000E7C4C" w:rsidRDefault="000E7C4C">
            <w:pPr>
              <w:rPr>
                <w:color w:val="000000"/>
                <w:sz w:val="20"/>
              </w:rPr>
            </w:pPr>
          </w:p>
        </w:tc>
      </w:tr>
      <w:tr w:rsidR="000E7C4C">
        <w:trPr>
          <w:jc w:val="center"/>
        </w:trPr>
        <w:tc>
          <w:tcPr>
            <w:tcW w:w="144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Miesto viešojo transporto priemonių parko atnaujinimas,  Nr. 04.5.1-TID-V-517</w:t>
            </w:r>
          </w:p>
        </w:tc>
        <w:tc>
          <w:tcPr>
            <w:tcW w:w="1420" w:type="dxa"/>
            <w:tcBorders>
              <w:top w:val="single" w:sz="4" w:space="0" w:color="auto"/>
              <w:left w:val="single" w:sz="4" w:space="0" w:color="auto"/>
              <w:bottom w:val="single" w:sz="4" w:space="0" w:color="auto"/>
              <w:right w:val="single" w:sz="4" w:space="0" w:color="auto"/>
            </w:tcBorders>
          </w:tcPr>
          <w:p w:rsidR="000E7C4C" w:rsidRDefault="003C3EA6">
            <w:pPr>
              <w:rPr>
                <w:color w:val="000000"/>
                <w:sz w:val="20"/>
              </w:rPr>
            </w:pPr>
            <w:r>
              <w:rPr>
                <w:color w:val="000000"/>
                <w:sz w:val="20"/>
              </w:rPr>
              <w:t xml:space="preserve">28 962 002 </w:t>
            </w:r>
            <w:proofErr w:type="spellStart"/>
            <w:r>
              <w:rPr>
                <w:color w:val="000000"/>
                <w:sz w:val="20"/>
              </w:rPr>
              <w:t>Eur</w:t>
            </w:r>
            <w:proofErr w:type="spellEnd"/>
          </w:p>
          <w:p w:rsidR="000E7C4C" w:rsidRDefault="000E7C4C">
            <w:pPr>
              <w:rPr>
                <w:color w:val="000000"/>
                <w:sz w:val="20"/>
              </w:rPr>
            </w:pPr>
          </w:p>
        </w:tc>
        <w:tc>
          <w:tcPr>
            <w:tcW w:w="269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rPr>
            </w:pPr>
            <w:r>
              <w:rPr>
                <w:color w:val="000000"/>
                <w:sz w:val="20"/>
              </w:rPr>
              <w:t>Kauno, Klaipėdos, Panevėžio, Šiaulių ir Vilniaus miestų savivaldybių administracijos.</w:t>
            </w:r>
          </w:p>
          <w:p w:rsidR="000E7C4C" w:rsidRDefault="003C3EA6">
            <w:pPr>
              <w:rPr>
                <w:color w:val="000000"/>
                <w:sz w:val="20"/>
              </w:rPr>
            </w:pPr>
            <w:r>
              <w:rPr>
                <w:color w:val="000000"/>
                <w:sz w:val="20"/>
              </w:rPr>
              <w:t>Galimi partneriai – keleivių vežimo veiklą vykdančios įmonės, su kuriomis sudarytos viešųjų paslaugų teikimo sutartys.</w:t>
            </w:r>
          </w:p>
        </w:tc>
        <w:tc>
          <w:tcPr>
            <w:tcW w:w="4252" w:type="dxa"/>
            <w:tcBorders>
              <w:top w:val="single" w:sz="4" w:space="0" w:color="auto"/>
              <w:left w:val="single" w:sz="4" w:space="0" w:color="auto"/>
              <w:bottom w:val="single" w:sz="4" w:space="0" w:color="auto"/>
              <w:right w:val="single" w:sz="4" w:space="0" w:color="auto"/>
            </w:tcBorders>
          </w:tcPr>
          <w:p w:rsidR="000E7C4C" w:rsidRDefault="003C3EA6">
            <w:pPr>
              <w:rPr>
                <w:color w:val="000000"/>
                <w:sz w:val="20"/>
              </w:rPr>
            </w:pPr>
            <w:r>
              <w:rPr>
                <w:color w:val="000000"/>
                <w:sz w:val="20"/>
              </w:rPr>
              <w:t>Nekenksmingų aplinkai miesto viešojo transporto priemonių įsigijimas.</w:t>
            </w:r>
          </w:p>
          <w:p w:rsidR="000E7C4C" w:rsidRDefault="000E7C4C">
            <w:pPr>
              <w:rPr>
                <w:color w:val="000000"/>
                <w:sz w:val="20"/>
              </w:rPr>
            </w:pPr>
          </w:p>
        </w:tc>
      </w:tr>
      <w:tr w:rsidR="000E7C4C">
        <w:trPr>
          <w:jc w:val="center"/>
        </w:trPr>
        <w:tc>
          <w:tcPr>
            <w:tcW w:w="1446"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Miestų aplinkkelių tiesimas, Nr. 06.1.1-TID-V-502</w:t>
            </w:r>
          </w:p>
        </w:tc>
        <w:tc>
          <w:tcPr>
            <w:tcW w:w="1420"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20"/>
                <w:lang w:eastAsia="lt-LT"/>
              </w:rPr>
            </w:pPr>
            <w:r>
              <w:rPr>
                <w:sz w:val="20"/>
                <w:lang w:eastAsia="lt-LT"/>
              </w:rPr>
              <w:t xml:space="preserve">81 662 170 </w:t>
            </w:r>
            <w:proofErr w:type="spellStart"/>
            <w:r>
              <w:rPr>
                <w:sz w:val="20"/>
                <w:lang w:eastAsia="lt-LT"/>
              </w:rPr>
              <w:t>Eur</w:t>
            </w:r>
            <w:proofErr w:type="spellEnd"/>
          </w:p>
        </w:tc>
        <w:tc>
          <w:tcPr>
            <w:tcW w:w="2691"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Vilniaus miesto savivaldybės administracija.</w:t>
            </w:r>
          </w:p>
          <w:p w:rsidR="000E7C4C" w:rsidRDefault="003C3EA6">
            <w:pPr>
              <w:rPr>
                <w:sz w:val="20"/>
                <w:lang w:eastAsia="lt-LT"/>
              </w:rPr>
            </w:pPr>
            <w:r>
              <w:rPr>
                <w:sz w:val="20"/>
                <w:lang w:eastAsia="lt-LT"/>
              </w:rPr>
              <w:t>Galima partnerė – AB „</w:t>
            </w:r>
            <w:proofErr w:type="spellStart"/>
            <w:r>
              <w:rPr>
                <w:sz w:val="20"/>
                <w:lang w:eastAsia="lt-LT"/>
              </w:rPr>
              <w:t>Litgrid</w:t>
            </w:r>
            <w:proofErr w:type="spellEnd"/>
            <w:r>
              <w:rPr>
                <w:sz w:val="20"/>
                <w:lang w:eastAsia="lt-LT"/>
              </w:rPr>
              <w:t>“.</w:t>
            </w:r>
          </w:p>
        </w:tc>
        <w:tc>
          <w:tcPr>
            <w:tcW w:w="4252" w:type="dxa"/>
            <w:tcBorders>
              <w:top w:val="single" w:sz="4" w:space="0" w:color="auto"/>
              <w:left w:val="single" w:sz="4" w:space="0" w:color="auto"/>
              <w:bottom w:val="single" w:sz="4" w:space="0" w:color="auto"/>
              <w:right w:val="single" w:sz="4" w:space="0" w:color="auto"/>
            </w:tcBorders>
          </w:tcPr>
          <w:p w:rsidR="000E7C4C" w:rsidRDefault="003C3EA6">
            <w:pPr>
              <w:rPr>
                <w:sz w:val="20"/>
                <w:lang w:eastAsia="lt-LT"/>
              </w:rPr>
            </w:pPr>
            <w:r>
              <w:rPr>
                <w:sz w:val="20"/>
                <w:lang w:eastAsia="lt-LT"/>
              </w:rPr>
              <w:t>Miestų aplinkkelių, esančių TEN-T kelių tinklo jungčių dalimi, tiesimas.</w:t>
            </w:r>
          </w:p>
          <w:p w:rsidR="000E7C4C" w:rsidRDefault="000E7C4C">
            <w:pPr>
              <w:rPr>
                <w:sz w:val="20"/>
                <w:lang w:eastAsia="lt-LT"/>
              </w:rPr>
            </w:pPr>
          </w:p>
        </w:tc>
      </w:tr>
      <w:tr w:rsidR="000E7C4C">
        <w:trPr>
          <w:jc w:val="center"/>
        </w:trPr>
        <w:tc>
          <w:tcPr>
            <w:tcW w:w="1446"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Miestų transporto infrastruktūros vystymas įgyvendinant valstybei svarbius jungtinius projektus</w:t>
            </w:r>
          </w:p>
          <w:p w:rsidR="000E7C4C" w:rsidRDefault="003C3EA6">
            <w:pPr>
              <w:rPr>
                <w:sz w:val="20"/>
                <w:lang w:eastAsia="lt-LT"/>
              </w:rPr>
            </w:pPr>
            <w:r>
              <w:rPr>
                <w:sz w:val="20"/>
                <w:lang w:eastAsia="lt-LT"/>
              </w:rPr>
              <w:t>Nr. 06.2.1-TID-V-512</w:t>
            </w:r>
          </w:p>
        </w:tc>
        <w:tc>
          <w:tcPr>
            <w:tcW w:w="1420" w:type="dxa"/>
            <w:tcBorders>
              <w:top w:val="single" w:sz="4" w:space="0" w:color="auto"/>
              <w:left w:val="single" w:sz="4" w:space="0" w:color="auto"/>
              <w:bottom w:val="single" w:sz="4" w:space="0" w:color="auto"/>
              <w:right w:val="single" w:sz="4" w:space="0" w:color="auto"/>
            </w:tcBorders>
          </w:tcPr>
          <w:p w:rsidR="000E7C4C" w:rsidRDefault="003C3EA6">
            <w:pPr>
              <w:jc w:val="center"/>
              <w:rPr>
                <w:sz w:val="20"/>
                <w:lang w:eastAsia="lt-LT"/>
              </w:rPr>
            </w:pPr>
            <w:r>
              <w:rPr>
                <w:sz w:val="20"/>
                <w:lang w:eastAsia="lt-LT"/>
              </w:rPr>
              <w:t xml:space="preserve">14 481 001 </w:t>
            </w:r>
            <w:proofErr w:type="spellStart"/>
            <w:r>
              <w:rPr>
                <w:sz w:val="20"/>
                <w:lang w:eastAsia="lt-LT"/>
              </w:rPr>
              <w:t>Eur</w:t>
            </w:r>
            <w:proofErr w:type="spellEnd"/>
          </w:p>
          <w:p w:rsidR="000E7C4C" w:rsidRDefault="000E7C4C">
            <w:pPr>
              <w:jc w:val="center"/>
              <w:rPr>
                <w:sz w:val="20"/>
                <w:lang w:eastAsia="lt-LT"/>
              </w:rPr>
            </w:pPr>
          </w:p>
        </w:tc>
        <w:tc>
          <w:tcPr>
            <w:tcW w:w="2691"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Vilniaus miesto savivaldybės administracija</w:t>
            </w:r>
          </w:p>
        </w:tc>
        <w:tc>
          <w:tcPr>
            <w:tcW w:w="4252" w:type="dxa"/>
            <w:tcBorders>
              <w:top w:val="single" w:sz="4" w:space="0" w:color="auto"/>
              <w:left w:val="single" w:sz="4" w:space="0" w:color="auto"/>
              <w:bottom w:val="single" w:sz="4" w:space="0" w:color="auto"/>
              <w:right w:val="single" w:sz="4" w:space="0" w:color="auto"/>
            </w:tcBorders>
          </w:tcPr>
          <w:p w:rsidR="000E7C4C" w:rsidRDefault="003C3EA6">
            <w:pPr>
              <w:rPr>
                <w:sz w:val="20"/>
                <w:lang w:eastAsia="lt-LT"/>
              </w:rPr>
            </w:pPr>
            <w:r>
              <w:rPr>
                <w:sz w:val="20"/>
                <w:lang w:eastAsia="lt-LT"/>
              </w:rPr>
              <w:t>Eismo saugos ir aplinkos apsaugos priemonių diegimas Vilniaus šiaurinės tikslinės teritorijos vietinės reikšmės keliuose, įgyvendinant Vilniaus miesto integruotą teritorijos vystymo programą;</w:t>
            </w:r>
          </w:p>
          <w:p w:rsidR="000E7C4C" w:rsidRDefault="003C3EA6">
            <w:pPr>
              <w:rPr>
                <w:sz w:val="20"/>
                <w:lang w:eastAsia="lt-LT"/>
              </w:rPr>
            </w:pPr>
            <w:r>
              <w:rPr>
                <w:sz w:val="20"/>
                <w:lang w:eastAsia="lt-LT"/>
              </w:rPr>
              <w:t>vietinės reikšmės kelių transporto infrastruktūros vystymas Vilniaus šiaurinėje tikslinėje teritorijoje, įgyvendinant Vilniaus miesto integruotą teritorijos vystymo programą.</w:t>
            </w:r>
          </w:p>
          <w:p w:rsidR="000E7C4C" w:rsidRDefault="000E7C4C">
            <w:pPr>
              <w:rPr>
                <w:sz w:val="20"/>
                <w:lang w:eastAsia="lt-LT"/>
              </w:rPr>
            </w:pPr>
          </w:p>
        </w:tc>
      </w:tr>
      <w:tr w:rsidR="000E7C4C">
        <w:trPr>
          <w:jc w:val="center"/>
        </w:trPr>
        <w:tc>
          <w:tcPr>
            <w:tcW w:w="1446"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Pėsčiųjų ir dviračių takų rekonstrukcija ir plėtra, Nr. 04.5.1-TID-R-516</w:t>
            </w:r>
          </w:p>
        </w:tc>
        <w:tc>
          <w:tcPr>
            <w:tcW w:w="1420" w:type="dxa"/>
            <w:tcBorders>
              <w:top w:val="single" w:sz="4" w:space="0" w:color="auto"/>
              <w:left w:val="single" w:sz="4" w:space="0" w:color="auto"/>
              <w:bottom w:val="single" w:sz="4" w:space="0" w:color="auto"/>
              <w:right w:val="single" w:sz="4" w:space="0" w:color="auto"/>
            </w:tcBorders>
          </w:tcPr>
          <w:p w:rsidR="000E7C4C" w:rsidRDefault="003C3EA6">
            <w:pPr>
              <w:jc w:val="center"/>
              <w:rPr>
                <w:sz w:val="20"/>
                <w:lang w:eastAsia="lt-LT"/>
              </w:rPr>
            </w:pPr>
            <w:r>
              <w:rPr>
                <w:sz w:val="20"/>
                <w:lang w:eastAsia="lt-LT"/>
              </w:rPr>
              <w:t xml:space="preserve">8 688 601 </w:t>
            </w:r>
            <w:proofErr w:type="spellStart"/>
            <w:r>
              <w:rPr>
                <w:sz w:val="20"/>
                <w:lang w:eastAsia="lt-LT"/>
              </w:rPr>
              <w:t>Eur</w:t>
            </w:r>
            <w:proofErr w:type="spellEnd"/>
          </w:p>
          <w:p w:rsidR="000E7C4C" w:rsidRDefault="000E7C4C">
            <w:pPr>
              <w:jc w:val="center"/>
              <w:rPr>
                <w:sz w:val="20"/>
                <w:lang w:eastAsia="lt-LT"/>
              </w:rPr>
            </w:pPr>
          </w:p>
        </w:tc>
        <w:tc>
          <w:tcPr>
            <w:tcW w:w="2691"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Savivaldybių administracijos.</w:t>
            </w:r>
          </w:p>
          <w:p w:rsidR="000E7C4C" w:rsidRDefault="003C3EA6">
            <w:pPr>
              <w:rPr>
                <w:sz w:val="20"/>
                <w:lang w:eastAsia="lt-LT"/>
              </w:rPr>
            </w:pPr>
            <w:r>
              <w:rPr>
                <w:sz w:val="20"/>
                <w:lang w:eastAsia="lt-LT"/>
              </w:rPr>
              <w:t>Galimi partneriai – privatūs juridiniai asmenys (tais atvejais, kai projektai įgyvendinami viešos ir privačios partnerystės būdu), Lietuvos automobilių kelių direkcija prie Susisiekimo ministerijos.</w:t>
            </w:r>
          </w:p>
        </w:tc>
        <w:tc>
          <w:tcPr>
            <w:tcW w:w="4252" w:type="dxa"/>
            <w:tcBorders>
              <w:top w:val="single" w:sz="4" w:space="0" w:color="auto"/>
              <w:left w:val="single" w:sz="4" w:space="0" w:color="auto"/>
              <w:bottom w:val="single" w:sz="4" w:space="0" w:color="auto"/>
              <w:right w:val="single" w:sz="4" w:space="0" w:color="auto"/>
            </w:tcBorders>
          </w:tcPr>
          <w:p w:rsidR="000E7C4C" w:rsidRDefault="003C3EA6">
            <w:pPr>
              <w:rPr>
                <w:sz w:val="20"/>
                <w:lang w:eastAsia="lt-LT"/>
              </w:rPr>
            </w:pPr>
            <w:r>
              <w:rPr>
                <w:sz w:val="20"/>
                <w:lang w:eastAsia="lt-LT"/>
              </w:rPr>
              <w:t>Pėsčiųjų ir dviračių takų ir dviračių juostų tiesimas ir rekonstrukcija.</w:t>
            </w:r>
          </w:p>
          <w:p w:rsidR="000E7C4C" w:rsidRDefault="000E7C4C">
            <w:pPr>
              <w:rPr>
                <w:sz w:val="20"/>
                <w:lang w:eastAsia="lt-LT"/>
              </w:rPr>
            </w:pPr>
          </w:p>
        </w:tc>
      </w:tr>
      <w:tr w:rsidR="000E7C4C">
        <w:trPr>
          <w:jc w:val="center"/>
        </w:trPr>
        <w:tc>
          <w:tcPr>
            <w:tcW w:w="1446"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TEN-T kelių tinklo techninių parametrų gerinimas ir pralaidumo didinimas, Nr. 06.1.1-TID-V-501</w:t>
            </w:r>
          </w:p>
        </w:tc>
        <w:tc>
          <w:tcPr>
            <w:tcW w:w="1420"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sz w:val="20"/>
                <w:lang w:eastAsia="lt-LT"/>
              </w:rPr>
            </w:pPr>
            <w:r>
              <w:rPr>
                <w:sz w:val="20"/>
                <w:lang w:eastAsia="lt-LT"/>
              </w:rPr>
              <w:t xml:space="preserve">208 888 977 </w:t>
            </w:r>
            <w:proofErr w:type="spellStart"/>
            <w:r>
              <w:rPr>
                <w:sz w:val="20"/>
                <w:lang w:eastAsia="lt-LT"/>
              </w:rPr>
              <w:t>Eur</w:t>
            </w:r>
            <w:proofErr w:type="spellEnd"/>
          </w:p>
        </w:tc>
        <w:tc>
          <w:tcPr>
            <w:tcW w:w="2691"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Lietuvos automobilių kelių direkcija, Valstybės įmonė Klaipėdos valstybinio jūrų uosto direkcija, Pasienio kontrolės punktų direkcija prie Susisiekimo ministerijos,</w:t>
            </w:r>
          </w:p>
          <w:p w:rsidR="000E7C4C" w:rsidRDefault="003C3EA6">
            <w:pPr>
              <w:rPr>
                <w:sz w:val="20"/>
                <w:lang w:eastAsia="lt-LT"/>
              </w:rPr>
            </w:pPr>
            <w:r>
              <w:rPr>
                <w:sz w:val="20"/>
                <w:lang w:eastAsia="lt-LT"/>
              </w:rPr>
              <w:t>Galimos partnerės – Lietuvos automobilių kelių direkcija, Valstybės įmonė Klaipėdos valstybinio jūrų uosto direkcija, Klaipėdos miesto savivaldybės administracija, AB „Lietuvos geležinkeliai“.</w:t>
            </w:r>
          </w:p>
        </w:tc>
        <w:tc>
          <w:tcPr>
            <w:tcW w:w="4252"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TEN-T kelių tinklo, įskaitant su jais susijusius privažiuojamuosius kelius ir tiesioginius jungiamuosius kelius, rekonstrukcija ir tiesimas;</w:t>
            </w:r>
          </w:p>
          <w:p w:rsidR="000E7C4C" w:rsidRDefault="003C3EA6">
            <w:pPr>
              <w:rPr>
                <w:sz w:val="20"/>
                <w:lang w:eastAsia="lt-LT"/>
              </w:rPr>
            </w:pPr>
            <w:r>
              <w:rPr>
                <w:sz w:val="20"/>
                <w:lang w:eastAsia="lt-LT"/>
              </w:rPr>
              <w:t>Eismo saugos ir aplinkos apsaugos priemonių diegimas TEN-T kelių tinkle;</w:t>
            </w:r>
          </w:p>
          <w:p w:rsidR="000E7C4C" w:rsidRDefault="003C3EA6">
            <w:pPr>
              <w:rPr>
                <w:sz w:val="20"/>
                <w:lang w:eastAsia="lt-LT"/>
              </w:rPr>
            </w:pPr>
            <w:r>
              <w:rPr>
                <w:sz w:val="20"/>
                <w:lang w:eastAsia="lt-LT"/>
              </w:rPr>
              <w:t>Išorės sienų ir pasienio kontrolės punktų (TEN-T tinklo) transporto infrastruktūros kartu su privažiuojamaisiais ir tiesioginiais jungiamaisiais keliais rekonstravimas ir modernizavimas.</w:t>
            </w:r>
          </w:p>
        </w:tc>
      </w:tr>
      <w:tr w:rsidR="000E7C4C">
        <w:trPr>
          <w:jc w:val="center"/>
        </w:trPr>
        <w:tc>
          <w:tcPr>
            <w:tcW w:w="1446"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Regionų pasiekiamumo gerinimas, Nr. 06.2.1-TID-V-507</w:t>
            </w:r>
          </w:p>
        </w:tc>
        <w:tc>
          <w:tcPr>
            <w:tcW w:w="1420" w:type="dxa"/>
            <w:tcBorders>
              <w:top w:val="single" w:sz="4" w:space="0" w:color="auto"/>
              <w:left w:val="single" w:sz="4" w:space="0" w:color="auto"/>
              <w:bottom w:val="single" w:sz="4" w:space="0" w:color="auto"/>
              <w:right w:val="single" w:sz="4" w:space="0" w:color="auto"/>
            </w:tcBorders>
          </w:tcPr>
          <w:p w:rsidR="000E7C4C" w:rsidRDefault="003C3EA6">
            <w:pPr>
              <w:jc w:val="center"/>
              <w:rPr>
                <w:sz w:val="20"/>
                <w:lang w:eastAsia="lt-LT"/>
              </w:rPr>
            </w:pPr>
            <w:r>
              <w:rPr>
                <w:sz w:val="20"/>
                <w:lang w:eastAsia="lt-LT"/>
              </w:rPr>
              <w:t xml:space="preserve">67 047 034 </w:t>
            </w:r>
            <w:proofErr w:type="spellStart"/>
            <w:r>
              <w:rPr>
                <w:sz w:val="20"/>
                <w:lang w:eastAsia="lt-LT"/>
              </w:rPr>
              <w:t>Eur</w:t>
            </w:r>
            <w:proofErr w:type="spellEnd"/>
          </w:p>
          <w:p w:rsidR="000E7C4C" w:rsidRDefault="000E7C4C">
            <w:pPr>
              <w:jc w:val="center"/>
              <w:rPr>
                <w:sz w:val="20"/>
                <w:lang w:eastAsia="lt-LT"/>
              </w:rPr>
            </w:pPr>
          </w:p>
        </w:tc>
        <w:tc>
          <w:tcPr>
            <w:tcW w:w="2691"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 xml:space="preserve">Lietuvos automobilių kelių direkcija. </w:t>
            </w:r>
          </w:p>
          <w:p w:rsidR="000E7C4C" w:rsidRDefault="003C3EA6">
            <w:pPr>
              <w:rPr>
                <w:sz w:val="20"/>
                <w:lang w:eastAsia="lt-LT"/>
              </w:rPr>
            </w:pPr>
            <w:r>
              <w:rPr>
                <w:sz w:val="20"/>
                <w:lang w:eastAsia="lt-LT"/>
              </w:rPr>
              <w:t>Galimos partnerės – savivaldybių administracijos, Informatikos ir ryšių departamentas prie Vidaus reikalų ministerijos.</w:t>
            </w:r>
          </w:p>
        </w:tc>
        <w:tc>
          <w:tcPr>
            <w:tcW w:w="4252"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Valstybinės reikšmės kelių (regionų jungčių su TEN-T tinklu) rekonstrukcija ir tiesimas;</w:t>
            </w:r>
          </w:p>
          <w:p w:rsidR="000E7C4C" w:rsidRDefault="003C3EA6">
            <w:pPr>
              <w:rPr>
                <w:sz w:val="20"/>
                <w:lang w:eastAsia="lt-LT"/>
              </w:rPr>
            </w:pPr>
            <w:r>
              <w:rPr>
                <w:sz w:val="20"/>
                <w:lang w:eastAsia="lt-LT"/>
              </w:rPr>
              <w:t>Eismo saugos ir aplinkos apsaugos priemonių diegimas valstybinės reikšmės keliuose (regionų jungtyse su TEN-T tinklu), nepriklausančiuose TEN-T kelių tinklui;</w:t>
            </w:r>
          </w:p>
          <w:p w:rsidR="000E7C4C" w:rsidRDefault="003C3EA6">
            <w:pPr>
              <w:rPr>
                <w:sz w:val="20"/>
                <w:lang w:eastAsia="lt-LT"/>
              </w:rPr>
            </w:pPr>
            <w:r>
              <w:rPr>
                <w:sz w:val="20"/>
                <w:lang w:eastAsia="lt-LT"/>
              </w:rPr>
              <w:t>Intelektinių kelių transporto eismo saugos, saugumo, eismo informavimo ir srautų valdymo transporto sistemų diegimas valstybinės reikšmės keliuose (regionų jungtyse su TEN-T tinklu), nepriklausančiuose TEN-T tinklui.</w:t>
            </w:r>
          </w:p>
        </w:tc>
      </w:tr>
      <w:tr w:rsidR="000E7C4C">
        <w:trPr>
          <w:jc w:val="center"/>
        </w:trPr>
        <w:tc>
          <w:tcPr>
            <w:tcW w:w="1446"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Vietinio susisiekimo viešojo transporto priemonių parko atnaujinimas, Nr. 04.5.1-TID-R-518</w:t>
            </w:r>
          </w:p>
        </w:tc>
        <w:tc>
          <w:tcPr>
            <w:tcW w:w="1420" w:type="dxa"/>
            <w:tcBorders>
              <w:top w:val="single" w:sz="4" w:space="0" w:color="auto"/>
              <w:left w:val="single" w:sz="4" w:space="0" w:color="auto"/>
              <w:bottom w:val="single" w:sz="4" w:space="0" w:color="auto"/>
              <w:right w:val="single" w:sz="4" w:space="0" w:color="auto"/>
            </w:tcBorders>
          </w:tcPr>
          <w:p w:rsidR="000E7C4C" w:rsidRDefault="003C3EA6">
            <w:pPr>
              <w:jc w:val="center"/>
              <w:rPr>
                <w:sz w:val="20"/>
                <w:lang w:eastAsia="lt-LT"/>
              </w:rPr>
            </w:pPr>
            <w:r>
              <w:rPr>
                <w:sz w:val="20"/>
                <w:lang w:eastAsia="lt-LT"/>
              </w:rPr>
              <w:t xml:space="preserve">14 481 000 </w:t>
            </w:r>
            <w:proofErr w:type="spellStart"/>
            <w:r>
              <w:rPr>
                <w:sz w:val="20"/>
                <w:lang w:eastAsia="lt-LT"/>
              </w:rPr>
              <w:t>Eur</w:t>
            </w:r>
            <w:proofErr w:type="spellEnd"/>
          </w:p>
          <w:p w:rsidR="000E7C4C" w:rsidRDefault="000E7C4C">
            <w:pPr>
              <w:jc w:val="center"/>
              <w:rPr>
                <w:sz w:val="20"/>
                <w:lang w:eastAsia="lt-LT"/>
              </w:rPr>
            </w:pPr>
          </w:p>
        </w:tc>
        <w:tc>
          <w:tcPr>
            <w:tcW w:w="2691"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Savivaldybių administracijos, išskyrus Kauno, Klaipėdos, Panevėžio, Šiaulių ir Vilniaus miestų savivaldybių administracijas.</w:t>
            </w:r>
          </w:p>
          <w:p w:rsidR="000E7C4C" w:rsidRDefault="003C3EA6">
            <w:pPr>
              <w:rPr>
                <w:sz w:val="20"/>
                <w:lang w:eastAsia="lt-LT"/>
              </w:rPr>
            </w:pPr>
            <w:r>
              <w:rPr>
                <w:sz w:val="20"/>
                <w:lang w:eastAsia="lt-LT"/>
              </w:rPr>
              <w:t>Galimi partneriai: keleivių vežimo veiklą vykdančios įmonės, su kuriomis sudarytos viešųjų paslaugų teikimo sutartys.</w:t>
            </w:r>
          </w:p>
        </w:tc>
        <w:tc>
          <w:tcPr>
            <w:tcW w:w="4252" w:type="dxa"/>
            <w:tcBorders>
              <w:top w:val="single" w:sz="4" w:space="0" w:color="auto"/>
              <w:left w:val="single" w:sz="4" w:space="0" w:color="auto"/>
              <w:bottom w:val="single" w:sz="4" w:space="0" w:color="auto"/>
              <w:right w:val="single" w:sz="4" w:space="0" w:color="auto"/>
            </w:tcBorders>
          </w:tcPr>
          <w:p w:rsidR="000E7C4C" w:rsidRDefault="003C3EA6">
            <w:pPr>
              <w:rPr>
                <w:sz w:val="20"/>
                <w:lang w:eastAsia="lt-LT"/>
              </w:rPr>
            </w:pPr>
            <w:r>
              <w:rPr>
                <w:sz w:val="20"/>
                <w:lang w:eastAsia="lt-LT"/>
              </w:rPr>
              <w:t>Nekenksmingų aplinkai viešojo transporto priemonių įsigijimas regionuose.</w:t>
            </w:r>
          </w:p>
          <w:p w:rsidR="000E7C4C" w:rsidRDefault="000E7C4C">
            <w:pPr>
              <w:rPr>
                <w:sz w:val="20"/>
                <w:lang w:eastAsia="lt-LT"/>
              </w:rPr>
            </w:pPr>
          </w:p>
        </w:tc>
      </w:tr>
      <w:tr w:rsidR="000E7C4C">
        <w:trPr>
          <w:jc w:val="center"/>
        </w:trPr>
        <w:tc>
          <w:tcPr>
            <w:tcW w:w="1446"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 xml:space="preserve">Darnaus </w:t>
            </w:r>
            <w:proofErr w:type="spellStart"/>
            <w:r>
              <w:rPr>
                <w:sz w:val="20"/>
                <w:lang w:eastAsia="lt-LT"/>
              </w:rPr>
              <w:t>judumo</w:t>
            </w:r>
            <w:proofErr w:type="spellEnd"/>
            <w:r>
              <w:rPr>
                <w:sz w:val="20"/>
                <w:lang w:eastAsia="lt-LT"/>
              </w:rPr>
              <w:t xml:space="preserve"> sistemų kūrimas, Nr. 04.5.1-TID-V-513</w:t>
            </w:r>
          </w:p>
        </w:tc>
        <w:tc>
          <w:tcPr>
            <w:tcW w:w="1420" w:type="dxa"/>
            <w:tcBorders>
              <w:top w:val="single" w:sz="4" w:space="0" w:color="auto"/>
              <w:left w:val="single" w:sz="4" w:space="0" w:color="auto"/>
              <w:bottom w:val="single" w:sz="4" w:space="0" w:color="auto"/>
              <w:right w:val="single" w:sz="4" w:space="0" w:color="auto"/>
            </w:tcBorders>
          </w:tcPr>
          <w:p w:rsidR="000E7C4C" w:rsidRDefault="003C3EA6">
            <w:pPr>
              <w:jc w:val="center"/>
              <w:rPr>
                <w:sz w:val="20"/>
                <w:lang w:eastAsia="lt-LT"/>
              </w:rPr>
            </w:pPr>
            <w:r>
              <w:rPr>
                <w:sz w:val="20"/>
                <w:lang w:eastAsia="lt-LT"/>
              </w:rPr>
              <w:t xml:space="preserve">1 448 100 </w:t>
            </w:r>
            <w:proofErr w:type="spellStart"/>
            <w:r>
              <w:rPr>
                <w:sz w:val="20"/>
                <w:lang w:eastAsia="lt-LT"/>
              </w:rPr>
              <w:t>Eur</w:t>
            </w:r>
            <w:proofErr w:type="spellEnd"/>
          </w:p>
          <w:p w:rsidR="000E7C4C" w:rsidRDefault="000E7C4C">
            <w:pPr>
              <w:jc w:val="center"/>
              <w:rPr>
                <w:sz w:val="20"/>
                <w:lang w:eastAsia="lt-LT"/>
              </w:rPr>
            </w:pPr>
          </w:p>
        </w:tc>
        <w:tc>
          <w:tcPr>
            <w:tcW w:w="2691"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Savivaldybių, kuriose yra miestų, turinčių daugiau kaip 25 tūkst. gyventojų, ir miestų, turinčių kurorto statusą, administracijos.</w:t>
            </w:r>
          </w:p>
        </w:tc>
        <w:tc>
          <w:tcPr>
            <w:tcW w:w="4252" w:type="dxa"/>
            <w:tcBorders>
              <w:top w:val="single" w:sz="4" w:space="0" w:color="auto"/>
              <w:left w:val="single" w:sz="4" w:space="0" w:color="auto"/>
              <w:bottom w:val="single" w:sz="4" w:space="0" w:color="auto"/>
              <w:right w:val="single" w:sz="4" w:space="0" w:color="auto"/>
            </w:tcBorders>
          </w:tcPr>
          <w:p w:rsidR="000E7C4C" w:rsidRDefault="003C3EA6">
            <w:pPr>
              <w:rPr>
                <w:sz w:val="20"/>
                <w:lang w:eastAsia="lt-LT"/>
              </w:rPr>
            </w:pPr>
            <w:r>
              <w:rPr>
                <w:sz w:val="20"/>
                <w:lang w:eastAsia="lt-LT"/>
              </w:rPr>
              <w:t xml:space="preserve">Darnaus </w:t>
            </w:r>
            <w:proofErr w:type="spellStart"/>
            <w:r>
              <w:rPr>
                <w:sz w:val="20"/>
                <w:lang w:eastAsia="lt-LT"/>
              </w:rPr>
              <w:t>judumo</w:t>
            </w:r>
            <w:proofErr w:type="spellEnd"/>
            <w:r>
              <w:rPr>
                <w:sz w:val="20"/>
                <w:lang w:eastAsia="lt-LT"/>
              </w:rPr>
              <w:t xml:space="preserve"> mieste planų rengimas.</w:t>
            </w:r>
          </w:p>
          <w:p w:rsidR="000E7C4C" w:rsidRDefault="000E7C4C">
            <w:pPr>
              <w:rPr>
                <w:sz w:val="20"/>
                <w:lang w:eastAsia="lt-LT"/>
              </w:rPr>
            </w:pPr>
          </w:p>
        </w:tc>
      </w:tr>
    </w:tbl>
    <w:p w:rsidR="000E7C4C" w:rsidRDefault="003C3EA6">
      <w:pPr>
        <w:jc w:val="center"/>
        <w:rPr>
          <w:color w:val="000000"/>
          <w:sz w:val="18"/>
          <w:szCs w:val="18"/>
        </w:rPr>
      </w:pPr>
      <w:r>
        <w:rPr>
          <w:color w:val="000000"/>
          <w:sz w:val="18"/>
          <w:szCs w:val="18"/>
        </w:rPr>
        <w:t>(Šaltinis: www.esinvesticijos.lt portale teikiama informacija apie patvirtintas priemones)</w:t>
      </w:r>
    </w:p>
    <w:p w:rsidR="000E7C4C" w:rsidRDefault="003C3EA6">
      <w:pPr>
        <w:jc w:val="both"/>
        <w:rPr>
          <w:color w:val="000000"/>
          <w:szCs w:val="21"/>
        </w:rPr>
      </w:pPr>
    </w:p>
    <w:p w:rsidR="000E7C4C" w:rsidRDefault="003C3EA6">
      <w:pPr>
        <w:tabs>
          <w:tab w:val="left" w:pos="851"/>
        </w:tabs>
        <w:ind w:firstLine="567"/>
        <w:jc w:val="both"/>
        <w:rPr>
          <w:color w:val="000000"/>
          <w:szCs w:val="21"/>
        </w:rPr>
      </w:pPr>
      <w:r>
        <w:rPr>
          <w:color w:val="000000"/>
          <w:szCs w:val="21"/>
        </w:rPr>
        <w:t>6</w:t>
      </w:r>
      <w:r>
        <w:rPr>
          <w:color w:val="000000"/>
          <w:szCs w:val="21"/>
        </w:rPr>
        <w:t>.</w:t>
      </w:r>
      <w:r>
        <w:rPr>
          <w:color w:val="000000"/>
          <w:szCs w:val="21"/>
        </w:rPr>
        <w:tab/>
        <w:t xml:space="preserve">Siekiant sumažinti oro taršą kaimo vietovėse, Lietuvos kaimo plėtros 2014–2020 m. programoje numatytos priemonės, galinčios prisidėti prie oro taršos mažinimo. Prie oro taršos mažinimo galima prisidėti vystant žinių perdavimą ir informavimo veiklą aplinkosauginiais klausimais, konsultuojant ūkininkus ir kitus žemės </w:t>
      </w:r>
      <w:r>
        <w:rPr>
          <w:color w:val="000000"/>
          <w:szCs w:val="24"/>
        </w:rPr>
        <w:t>valdytojus, miškų valdytojus ir juridinius asmenis, vykdančius veiklą kaimo vietovėse, teikiant p</w:t>
      </w:r>
      <w:r>
        <w:rPr>
          <w:szCs w:val="24"/>
          <w:lang w:eastAsia="lt-LT"/>
        </w:rPr>
        <w:t>aramą smulkių ūkio subjektų bendradarbiavimui</w:t>
      </w:r>
      <w:r>
        <w:rPr>
          <w:color w:val="000000"/>
          <w:szCs w:val="21"/>
        </w:rPr>
        <w:t>, apželdinimui, vandens telkinių apsaugai, tausojančiam augalų auginimui. (žr. 6 lent.).</w:t>
      </w:r>
    </w:p>
    <w:p w:rsidR="000E7C4C" w:rsidRDefault="000E7C4C">
      <w:pPr>
        <w:jc w:val="both"/>
        <w:rPr>
          <w:color w:val="000000"/>
          <w:szCs w:val="21"/>
        </w:rPr>
      </w:pPr>
    </w:p>
    <w:p w:rsidR="000E7C4C" w:rsidRDefault="003C3EA6">
      <w:pPr>
        <w:jc w:val="both"/>
        <w:rPr>
          <w:color w:val="000000"/>
        </w:rPr>
      </w:pPr>
      <w:r>
        <w:rPr>
          <w:color w:val="000000"/>
        </w:rPr>
        <w:t xml:space="preserve">6 lentelė. Lietuvos kaimo plėtros 2014–2020 m. programoje nustatytos priemonės </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611"/>
        <w:gridCol w:w="1802"/>
        <w:gridCol w:w="1947"/>
        <w:gridCol w:w="2122"/>
        <w:gridCol w:w="2327"/>
      </w:tblGrid>
      <w:tr w:rsidR="000E7C4C">
        <w:trPr>
          <w:tblHeader/>
        </w:trPr>
        <w:tc>
          <w:tcPr>
            <w:tcW w:w="1611"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color w:val="FFFFFF"/>
                <w:sz w:val="20"/>
              </w:rPr>
            </w:pPr>
            <w:r>
              <w:rPr>
                <w:noProof/>
                <w:lang w:eastAsia="lt-LT"/>
              </w:rPr>
              <mc:AlternateContent>
                <mc:Choice Requires="wps">
                  <w:drawing>
                    <wp:anchor distT="0" distB="0" distL="114300" distR="114300" simplePos="0" relativeHeight="251668480" behindDoc="1" locked="0" layoutInCell="1" allowOverlap="1" wp14:anchorId="090CE307" wp14:editId="2D777320">
                      <wp:simplePos x="0" y="0"/>
                      <wp:positionH relativeFrom="column">
                        <wp:posOffset>-27305</wp:posOffset>
                      </wp:positionH>
                      <wp:positionV relativeFrom="paragraph">
                        <wp:posOffset>-10160</wp:posOffset>
                      </wp:positionV>
                      <wp:extent cx="5699760" cy="281940"/>
                      <wp:effectExtent l="0" t="0" r="0" b="3810"/>
                      <wp:wrapNone/>
                      <wp:docPr id="75" name="Stačiakampi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9760" cy="281940"/>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215BC6C5" id="Stačiakampis 75" o:spid="_x0000_s1026" style="position:absolute;margin-left:-2.15pt;margin-top:-.8pt;width:448.8pt;height:22.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ZofXVAIAAI4EAAAOAAAAZHJzL2Uyb0RvYy54bWysVNtu00AQfUfiH1b7Tm1HTdpYdaqqpQip QKWAeJ6s1/aqe2N2E6f8A3/FhzG7Tkq5PCFeVuO5npkz44vLvdFsJzEoZxtenZScSStcq2zf8E8f b1+dcxYi2Ba0s7LhjzLwy9XLFxejr+XMDU63EhklsaEefcOHGH1dFEEM0kA4cV5aMnYODUT6xL5o EUbKbnQxK8tFMTpsPTohQyDtzWTkq5y/66SIH7ouyMh0wwlbzC/md5PeYnUBdY/gByUOMOAfUBhQ loo+pbqBCGyL6o9URgl0wXXxRDhTuK5TQuYeqJuq/K2b9QBe5l5oOME/jSn8v7Ti/e4emWobfjbn zIIhjtYRvn9T8ADGq8BIT0MafajJd+3vMbUZ/J0TD4FZdz2A7eUVohsHCS1Bq5J/8UtA+ggUyjbj O9dSCdhGl+e179CkhDQJts+0PD7RIveRCVLOF8vl2YLYE2SbnVfL08xbAfUx2mOIb6QzLAkNR6I9 Z4fdXYgJDdRHlwNJ7a3SmqGLn1Uc8pxT2WwMFDMJzDvqZ1IH7DfXGtkO0iaVZTW7yn0S5eG5d0W2 8q8h89OzxbMQwtQfS2llGY0x1WJBgJbExzTGvFEZbCqiLRsbvpzP5hmqdamLvMJGRbojrUzDzycE WZ0oeW3bLEdQepKptLYHjhItE70b1z4SRTSTjIOOmoTB4VfORjqQhocvW0DJmX5r81hYPAp4FDZH Aayg0IZHTo0l8TpOV7f1qPqBMleHFq5oFTqVWUprMqE4gKOlz+QdDjRd1fPv7PXzN7L6AQAA//8D AFBLAwQUAAYACAAAACEAUsVCo98AAAAIAQAADwAAAGRycy9kb3ducmV2LnhtbEyPzU7DMBCE70i8 g7VI3Fq7PwppiFMhBDdaiVLubrwkEfE6jd005elZTuW02p3R7Df5enStGLAPjScNs6kCgVR621Cl Yf/xOklBhGjImtYTarhggHVxe5ObzPozveOwi5XgEAqZ0VDH2GVShrJGZ8LUd0isffnemchrX0nb mzOHu1bOlUqkMw3xh9p0+Fxj+b07OQ3qp9nu0+3m4fjSl59vqyE5qkui9f3d+PQIIuIYr2b4w2d0 KJjp4E9kg2g1TJYLdvKcJSBYT1cLPhw0LOcpyCKX/wsUvwAAAP//AwBQSwECLQAUAAYACAAAACEA toM4kv4AAADhAQAAEwAAAAAAAAAAAAAAAAAAAAAAW0NvbnRlbnRfVHlwZXNdLnhtbFBLAQItABQA BgAIAAAAIQA4/SH/1gAAAJQBAAALAAAAAAAAAAAAAAAAAC8BAABfcmVscy8ucmVsc1BLAQItABQA BgAIAAAAIQD1ZofXVAIAAI4EAAAOAAAAAAAAAAAAAAAAAC4CAABkcnMvZTJvRG9jLnhtbFBLAQIt ABQABgAIAAAAIQBSxUKj3wAAAAgBAAAPAAAAAAAAAAAAAAAAAK4EAABkcnMvZG93bnJldi54bWxQ SwUGAAAAAAQABADzAAAAugUAAAAA " fillcolor="#00012a" stroked="f">
                      <v:fill color2="#005476" angle="90" focus="100%" type="gradient"/>
                      <v:textbox inset="0,0,0,0"/>
                    </v:rect>
                  </w:pict>
                </mc:Fallback>
              </mc:AlternateContent>
            </w:r>
            <w:r>
              <w:rPr>
                <w:color w:val="FFFFFF"/>
                <w:sz w:val="20"/>
              </w:rPr>
              <w:t>Patvirtintos priemonės</w:t>
            </w:r>
          </w:p>
        </w:tc>
        <w:tc>
          <w:tcPr>
            <w:tcW w:w="1802"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bCs/>
                <w:color w:val="FFFFFF"/>
                <w:sz w:val="20"/>
                <w:lang w:eastAsia="en-GB"/>
              </w:rPr>
              <w:t>Veiksmai</w:t>
            </w:r>
          </w:p>
        </w:tc>
        <w:tc>
          <w:tcPr>
            <w:tcW w:w="1947"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Paramos rūšis</w:t>
            </w:r>
          </w:p>
        </w:tc>
        <w:tc>
          <w:tcPr>
            <w:tcW w:w="2122"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Paramos gavėjai</w:t>
            </w:r>
          </w:p>
        </w:tc>
        <w:tc>
          <w:tcPr>
            <w:tcW w:w="2327"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bCs/>
                <w:color w:val="FFFFFF"/>
                <w:sz w:val="20"/>
                <w:lang w:eastAsia="en-GB"/>
              </w:rPr>
              <w:t>Sumos ir (arba) paramos normos</w:t>
            </w:r>
          </w:p>
        </w:tc>
      </w:tr>
      <w:tr w:rsidR="000E7C4C">
        <w:tc>
          <w:tcPr>
            <w:tcW w:w="1611" w:type="dxa"/>
            <w:tcBorders>
              <w:top w:val="single" w:sz="4" w:space="0" w:color="auto"/>
              <w:left w:val="single" w:sz="4" w:space="0" w:color="auto"/>
              <w:bottom w:val="single" w:sz="4" w:space="0" w:color="auto"/>
              <w:right w:val="single" w:sz="4" w:space="0" w:color="auto"/>
            </w:tcBorders>
            <w:vAlign w:val="center"/>
            <w:hideMark/>
          </w:tcPr>
          <w:p w:rsidR="000E7C4C" w:rsidRDefault="003C3EA6">
            <w:pPr>
              <w:rPr>
                <w:color w:val="000000"/>
                <w:sz w:val="20"/>
                <w:lang w:eastAsia="lt-LT"/>
              </w:rPr>
            </w:pPr>
            <w:r>
              <w:rPr>
                <w:color w:val="000000"/>
                <w:sz w:val="20"/>
                <w:lang w:eastAsia="lt-LT"/>
              </w:rPr>
              <w:t>M01. Žinių perdavimas ir informavimo veikla</w:t>
            </w:r>
          </w:p>
        </w:tc>
        <w:tc>
          <w:tcPr>
            <w:tcW w:w="1802"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 xml:space="preserve">1.2 Parama parodomiesiems projektams ir informavimo veiklai (0,8 mln. </w:t>
            </w:r>
            <w:proofErr w:type="spellStart"/>
            <w:r>
              <w:rPr>
                <w:sz w:val="20"/>
                <w:lang w:eastAsia="lt-LT"/>
              </w:rPr>
              <w:t>Eur</w:t>
            </w:r>
            <w:proofErr w:type="spellEnd"/>
            <w:r>
              <w:rPr>
                <w:sz w:val="20"/>
                <w:lang w:eastAsia="lt-LT"/>
              </w:rPr>
              <w:t>)</w:t>
            </w:r>
          </w:p>
        </w:tc>
        <w:tc>
          <w:tcPr>
            <w:tcW w:w="1947"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Patirtų išlaidų kompensavimas teikiant žinių perdavimo ir informavimo veiklos paslaugas.</w:t>
            </w:r>
          </w:p>
        </w:tc>
        <w:tc>
          <w:tcPr>
            <w:tcW w:w="2122"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1. Mokslo, studijų ir mokymo institucijos;</w:t>
            </w:r>
            <w:r>
              <w:rPr>
                <w:sz w:val="20"/>
                <w:lang w:eastAsia="lt-LT"/>
              </w:rPr>
              <w:br/>
              <w:t>2. Įstaigos, turinčios teisę vykdyti formalųjį suaugusiųjų mokymą.</w:t>
            </w:r>
          </w:p>
        </w:tc>
        <w:tc>
          <w:tcPr>
            <w:tcW w:w="2327"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Paramos intensyvumas – nuo 90 iki 100 proc. tinkamų finansuoti išlaidų (išskyrus atvejus, kai prašoma mažesnio paramos intensyvumo) priklausomai nuo mokymų tematikos.</w:t>
            </w:r>
          </w:p>
        </w:tc>
      </w:tr>
      <w:tr w:rsidR="000E7C4C">
        <w:tc>
          <w:tcPr>
            <w:tcW w:w="1611"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 xml:space="preserve">M02. Konsultavimo paslaugos, ūkio valdymo ir ūkininkų pavadavimo paslaugos </w:t>
            </w:r>
          </w:p>
        </w:tc>
        <w:tc>
          <w:tcPr>
            <w:tcW w:w="1802"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 xml:space="preserve">2.1 Parama pasinaudoti konsultavimo paslaugomis (1,1 mln. </w:t>
            </w:r>
            <w:proofErr w:type="spellStart"/>
            <w:r>
              <w:rPr>
                <w:sz w:val="20"/>
                <w:lang w:eastAsia="lt-LT"/>
              </w:rPr>
              <w:t>Eur</w:t>
            </w:r>
            <w:proofErr w:type="spellEnd"/>
            <w:r>
              <w:rPr>
                <w:sz w:val="20"/>
                <w:lang w:eastAsia="lt-LT"/>
              </w:rPr>
              <w:t>)</w:t>
            </w:r>
          </w:p>
        </w:tc>
        <w:tc>
          <w:tcPr>
            <w:tcW w:w="1947"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Patirtų išlaidų kompensavimas teikiant konsultavimo paslaugas.</w:t>
            </w:r>
          </w:p>
        </w:tc>
        <w:tc>
          <w:tcPr>
            <w:tcW w:w="2122"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Konsultacijas ūkininkams, jauniesiems ūkininkams, kitiems žemės valdytojams, miškų valdytojams ir kaimo vietovėse veikiančioms MVĮ teikiantys juridiniai asmenys, atrinkti vadovaujantis Lietuvos Respublikos viešųjų pirkimų įstatymo nustatyta tvarka.</w:t>
            </w:r>
          </w:p>
        </w:tc>
        <w:tc>
          <w:tcPr>
            <w:tcW w:w="2327"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 xml:space="preserve">Didžiausia paramos suma paramos gavėjui yra 1500 </w:t>
            </w:r>
            <w:proofErr w:type="spellStart"/>
            <w:r>
              <w:rPr>
                <w:sz w:val="20"/>
                <w:lang w:eastAsia="lt-LT"/>
              </w:rPr>
              <w:t>Eur</w:t>
            </w:r>
            <w:proofErr w:type="spellEnd"/>
            <w:r>
              <w:rPr>
                <w:sz w:val="20"/>
                <w:lang w:eastAsia="lt-LT"/>
              </w:rPr>
              <w:t xml:space="preserve"> už konsultavimo paslaugos suteikimą. Konsultavimo paslauga apima nustatytą valandų skaičių.</w:t>
            </w:r>
          </w:p>
        </w:tc>
      </w:tr>
      <w:tr w:rsidR="000E7C4C">
        <w:tc>
          <w:tcPr>
            <w:tcW w:w="1611"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 xml:space="preserve">M04. Investicijos į materialųjį turtą </w:t>
            </w:r>
          </w:p>
        </w:tc>
        <w:tc>
          <w:tcPr>
            <w:tcW w:w="1802"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 xml:space="preserve">4.1 Parama investicijoms į žemės ūkio valdas (parama teikiama (be kitų veiklų) biodujų gamybai iš gyvulininkystės ūkyje susidarančių atliekų. Pagamintos biodujos, šilumos ir elektros energija naudojama tik valdos reikmėms). Šiai veiklai numatyta 3 mln. </w:t>
            </w:r>
            <w:proofErr w:type="spellStart"/>
            <w:r>
              <w:rPr>
                <w:sz w:val="20"/>
                <w:lang w:eastAsia="lt-LT"/>
              </w:rPr>
              <w:t>Eur</w:t>
            </w:r>
            <w:proofErr w:type="spellEnd"/>
            <w:r>
              <w:rPr>
                <w:sz w:val="20"/>
                <w:lang w:eastAsia="lt-LT"/>
              </w:rPr>
              <w:t>.</w:t>
            </w:r>
          </w:p>
        </w:tc>
        <w:tc>
          <w:tcPr>
            <w:tcW w:w="1947"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Investicinė parama, teikiama atlyginant faktiškai patirtas ir apmokėtas tinkamas finansuoti išlaidas.</w:t>
            </w:r>
          </w:p>
          <w:p w:rsidR="000E7C4C" w:rsidRDefault="003C3EA6">
            <w:pPr>
              <w:rPr>
                <w:sz w:val="20"/>
                <w:lang w:eastAsia="lt-LT"/>
              </w:rPr>
            </w:pPr>
            <w:r>
              <w:rPr>
                <w:sz w:val="20"/>
                <w:lang w:eastAsia="lt-LT"/>
              </w:rPr>
              <w:t xml:space="preserve">Atlikus </w:t>
            </w:r>
            <w:proofErr w:type="spellStart"/>
            <w:r>
              <w:rPr>
                <w:sz w:val="20"/>
                <w:lang w:eastAsia="lt-LT"/>
              </w:rPr>
              <w:t>ex</w:t>
            </w:r>
            <w:proofErr w:type="spellEnd"/>
            <w:r>
              <w:rPr>
                <w:sz w:val="20"/>
                <w:lang w:eastAsia="lt-LT"/>
              </w:rPr>
              <w:t>-ante vertinimą dėl finansinių priemonių įgyvendinimo, gali būti teikiama finansinių priemonių parama.</w:t>
            </w:r>
          </w:p>
        </w:tc>
        <w:tc>
          <w:tcPr>
            <w:tcW w:w="2122"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Ūkininkai (fiziniai ir juridiniai asmenys) ar jų grupės, užsiimantys žemės ūkio veikla.</w:t>
            </w:r>
          </w:p>
        </w:tc>
        <w:tc>
          <w:tcPr>
            <w:tcW w:w="2327"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Paramos intensyvumas visais atvejais negali viršyti 70 proc. tinkamų finansuoti išlaidų (išskyrus atvejus kai prašoma mažesnio paramos intensyvumo).</w:t>
            </w:r>
          </w:p>
        </w:tc>
      </w:tr>
      <w:tr w:rsidR="000E7C4C">
        <w:tc>
          <w:tcPr>
            <w:tcW w:w="1611"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M06. Ūkio ir verslo plėtra</w:t>
            </w:r>
          </w:p>
        </w:tc>
        <w:tc>
          <w:tcPr>
            <w:tcW w:w="1802"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 xml:space="preserve">6.4.2 Parama biodujų gamybai iš žemės ūkio ir kitų atliekų. Šiai veiklai numatyta 45,2 mln. </w:t>
            </w:r>
            <w:proofErr w:type="spellStart"/>
            <w:r>
              <w:rPr>
                <w:color w:val="000000"/>
                <w:sz w:val="20"/>
                <w:lang w:eastAsia="lt-LT"/>
              </w:rPr>
              <w:t>Eur</w:t>
            </w:r>
            <w:proofErr w:type="spellEnd"/>
            <w:r>
              <w:rPr>
                <w:color w:val="000000"/>
                <w:sz w:val="20"/>
                <w:lang w:eastAsia="lt-LT"/>
              </w:rPr>
              <w:t>.</w:t>
            </w:r>
          </w:p>
        </w:tc>
        <w:tc>
          <w:tcPr>
            <w:tcW w:w="1947"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 xml:space="preserve">Investicinė parama, teikiama atlyginant faktiškai patirtas ir apmokėtas tinkamas finansuoti išlaidas. Atlikus </w:t>
            </w:r>
            <w:proofErr w:type="spellStart"/>
            <w:r>
              <w:rPr>
                <w:sz w:val="20"/>
                <w:lang w:eastAsia="lt-LT"/>
              </w:rPr>
              <w:t>ex</w:t>
            </w:r>
            <w:proofErr w:type="spellEnd"/>
            <w:r>
              <w:rPr>
                <w:sz w:val="20"/>
                <w:lang w:eastAsia="lt-LT"/>
              </w:rPr>
              <w:t>-ante vertinimą dėl finansinių priemonių įgyvendinimo, gali būti teikiama finansinių priemonių parama.</w:t>
            </w:r>
          </w:p>
        </w:tc>
        <w:tc>
          <w:tcPr>
            <w:tcW w:w="2122"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Ūkininkai, labai mažos ir mažos įmonės.</w:t>
            </w:r>
          </w:p>
        </w:tc>
        <w:tc>
          <w:tcPr>
            <w:tcW w:w="2327"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Paramos intensyvumas – 60 proc. (išskyrus atvejus kai prašoma mažesnio paramos intensyvumo).</w:t>
            </w:r>
          </w:p>
        </w:tc>
      </w:tr>
      <w:tr w:rsidR="000E7C4C">
        <w:tc>
          <w:tcPr>
            <w:tcW w:w="1611"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 xml:space="preserve">M10. Agrarinė aplinkosauga ir klimatas (iš viso priemonei – 142,4 mln. </w:t>
            </w:r>
            <w:proofErr w:type="spellStart"/>
            <w:r>
              <w:rPr>
                <w:sz w:val="20"/>
                <w:lang w:eastAsia="lt-LT"/>
              </w:rPr>
              <w:t>Eur</w:t>
            </w:r>
            <w:proofErr w:type="spellEnd"/>
            <w:r>
              <w:rPr>
                <w:sz w:val="20"/>
                <w:lang w:eastAsia="lt-LT"/>
              </w:rPr>
              <w:t>)</w:t>
            </w:r>
          </w:p>
        </w:tc>
        <w:tc>
          <w:tcPr>
            <w:tcW w:w="1802"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 xml:space="preserve">10.6 Medingųjų augalų juostos ar laukai ariamoje žemėje (6,4 mln. </w:t>
            </w:r>
            <w:proofErr w:type="spellStart"/>
            <w:r>
              <w:rPr>
                <w:sz w:val="20"/>
                <w:lang w:eastAsia="lt-LT"/>
              </w:rPr>
              <w:t>Eur</w:t>
            </w:r>
            <w:proofErr w:type="spellEnd"/>
            <w:r>
              <w:rPr>
                <w:sz w:val="20"/>
                <w:lang w:eastAsia="lt-LT"/>
              </w:rPr>
              <w:t>)</w:t>
            </w:r>
          </w:p>
        </w:tc>
        <w:tc>
          <w:tcPr>
            <w:tcW w:w="1947"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Kompensacinė metinė išmoka už plotą.</w:t>
            </w:r>
          </w:p>
        </w:tc>
        <w:tc>
          <w:tcPr>
            <w:tcW w:w="2122"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Ūkininkai (fiziniai ir juridiniai asmenys).</w:t>
            </w:r>
          </w:p>
        </w:tc>
        <w:tc>
          <w:tcPr>
            <w:tcW w:w="2327"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1802"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10.07 Vandens telkinių apsauga nuo taršos ir dirvos erozijos ariamoje žemėje (7 mln.)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1802"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 xml:space="preserve">10.09 „Rizikos“ vandens telkinių būklės gerinimas (7,9 mln. </w:t>
            </w:r>
            <w:proofErr w:type="spellStart"/>
            <w:r>
              <w:rPr>
                <w:sz w:val="20"/>
                <w:lang w:eastAsia="lt-LT"/>
              </w:rPr>
              <w:t>Eur</w:t>
            </w:r>
            <w:proofErr w:type="spellEnd"/>
            <w:r>
              <w:rPr>
                <w:sz w:val="20"/>
                <w:lang w:eastAsia="lt-LT"/>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1802"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 xml:space="preserve">10.10 Tausojanti aplinką vaisių ir daržovių auginimo sistema (7,4 mln. </w:t>
            </w:r>
            <w:proofErr w:type="spellStart"/>
            <w:r>
              <w:rPr>
                <w:sz w:val="20"/>
                <w:lang w:eastAsia="lt-LT"/>
              </w:rPr>
              <w:t>Eur</w:t>
            </w:r>
            <w:proofErr w:type="spellEnd"/>
            <w:r>
              <w:rPr>
                <w:sz w:val="20"/>
                <w:lang w:eastAsia="lt-LT"/>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lang w:eastAsia="lt-LT"/>
              </w:rPr>
            </w:pPr>
          </w:p>
        </w:tc>
      </w:tr>
      <w:tr w:rsidR="000E7C4C">
        <w:tc>
          <w:tcPr>
            <w:tcW w:w="1611"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M16. Bendradarbiavimas</w:t>
            </w:r>
          </w:p>
        </w:tc>
        <w:tc>
          <w:tcPr>
            <w:tcW w:w="1802"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 xml:space="preserve">16.3 Parama smulkių ūkio subjektų bendradarbiavimui Šiai veiklai numatyta 1,5 mln. </w:t>
            </w:r>
            <w:proofErr w:type="spellStart"/>
            <w:r>
              <w:rPr>
                <w:sz w:val="20"/>
                <w:lang w:eastAsia="lt-LT"/>
              </w:rPr>
              <w:t>Eur</w:t>
            </w:r>
            <w:proofErr w:type="spellEnd"/>
            <w:r>
              <w:rPr>
                <w:sz w:val="20"/>
                <w:lang w:eastAsia="lt-LT"/>
              </w:rPr>
              <w:t>.</w:t>
            </w:r>
          </w:p>
        </w:tc>
        <w:tc>
          <w:tcPr>
            <w:tcW w:w="1947"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Investicinė parama, kompensuojant faktiškai patirtas ir apmokėtas išlaidas, atskiroms išlaidų kategorijoms nustatant didžiausias paramos sumas.</w:t>
            </w:r>
          </w:p>
        </w:tc>
        <w:tc>
          <w:tcPr>
            <w:tcW w:w="2122" w:type="dxa"/>
            <w:tcBorders>
              <w:top w:val="single" w:sz="4" w:space="0" w:color="auto"/>
              <w:left w:val="single" w:sz="4" w:space="0" w:color="auto"/>
              <w:bottom w:val="single" w:sz="4" w:space="0" w:color="auto"/>
              <w:right w:val="single" w:sz="4" w:space="0" w:color="auto"/>
            </w:tcBorders>
            <w:hideMark/>
          </w:tcPr>
          <w:p w:rsidR="000E7C4C" w:rsidRDefault="003C3EA6">
            <w:pPr>
              <w:rPr>
                <w:sz w:val="20"/>
                <w:lang w:eastAsia="lt-LT"/>
              </w:rPr>
            </w:pPr>
            <w:r>
              <w:rPr>
                <w:sz w:val="20"/>
                <w:lang w:eastAsia="lt-LT"/>
              </w:rPr>
              <w:t>Kaimo vietovėse veikiantys smulkūs žemės, miškų, ir kaimo plėtros sektoriaus dalyviai.</w:t>
            </w:r>
          </w:p>
        </w:tc>
        <w:tc>
          <w:tcPr>
            <w:tcW w:w="2327" w:type="dxa"/>
            <w:tcBorders>
              <w:top w:val="single" w:sz="4" w:space="0" w:color="auto"/>
              <w:left w:val="single" w:sz="4" w:space="0" w:color="auto"/>
              <w:bottom w:val="single" w:sz="4" w:space="0" w:color="auto"/>
              <w:right w:val="single" w:sz="4" w:space="0" w:color="auto"/>
            </w:tcBorders>
          </w:tcPr>
          <w:p w:rsidR="000E7C4C" w:rsidRDefault="000E7C4C">
            <w:pPr>
              <w:rPr>
                <w:sz w:val="20"/>
                <w:lang w:eastAsia="lt-LT"/>
              </w:rPr>
            </w:pPr>
          </w:p>
        </w:tc>
      </w:tr>
    </w:tbl>
    <w:p w:rsidR="000E7C4C" w:rsidRDefault="003C3EA6">
      <w:pPr>
        <w:jc w:val="center"/>
        <w:rPr>
          <w:color w:val="000000"/>
          <w:sz w:val="20"/>
        </w:rPr>
      </w:pPr>
      <w:r>
        <w:rPr>
          <w:color w:val="000000"/>
          <w:sz w:val="20"/>
        </w:rPr>
        <w:t>(Šaltinis: Lietuvos kaimo plėtros 2014-2020 m. programa)</w:t>
      </w:r>
    </w:p>
    <w:p w:rsidR="000E7C4C" w:rsidRDefault="003C3EA6">
      <w:pPr>
        <w:ind w:left="720"/>
        <w:jc w:val="both"/>
        <w:rPr>
          <w:color w:val="000000"/>
          <w:szCs w:val="21"/>
        </w:rPr>
      </w:pPr>
    </w:p>
    <w:p w:rsidR="000E7C4C" w:rsidRDefault="003C3EA6">
      <w:pPr>
        <w:tabs>
          <w:tab w:val="left" w:pos="851"/>
        </w:tabs>
        <w:ind w:firstLine="567"/>
        <w:jc w:val="both"/>
        <w:rPr>
          <w:color w:val="000000"/>
          <w:szCs w:val="21"/>
        </w:rPr>
      </w:pPr>
      <w:r>
        <w:rPr>
          <w:color w:val="000000"/>
          <w:szCs w:val="21"/>
        </w:rPr>
        <w:t>7</w:t>
      </w:r>
      <w:r>
        <w:rPr>
          <w:color w:val="000000"/>
          <w:szCs w:val="21"/>
        </w:rPr>
        <w:t>.</w:t>
      </w:r>
      <w:r>
        <w:rPr>
          <w:color w:val="000000"/>
          <w:szCs w:val="21"/>
        </w:rPr>
        <w:tab/>
        <w:t xml:space="preserve">Kitas svarbus lėšų šaltinis yra ES aplinkos ir klimato politikos programa (toliau – LIFE programa), kuri finansuoja ES aplinkosaugos bei klimato politikos prioritetus įgyvendinančius geriausios praktikos, parodomuosius ir bandomuosius projektus. LIFE programa remia projektus, kuriais mažinamas vykdant žemės ūkio veiklą išmetamas amoniako ir kietųjų dalelių kiekis. </w:t>
      </w:r>
    </w:p>
    <w:p w:rsidR="000E7C4C" w:rsidRDefault="003C3EA6">
      <w:pPr>
        <w:tabs>
          <w:tab w:val="left" w:pos="851"/>
        </w:tabs>
        <w:ind w:firstLine="567"/>
        <w:jc w:val="both"/>
        <w:rPr>
          <w:color w:val="000000"/>
          <w:szCs w:val="24"/>
        </w:rPr>
      </w:pPr>
      <w:r>
        <w:rPr>
          <w:color w:val="000000"/>
          <w:szCs w:val="24"/>
        </w:rPr>
        <w:t>8</w:t>
      </w:r>
      <w:r>
        <w:rPr>
          <w:color w:val="000000"/>
          <w:szCs w:val="24"/>
        </w:rPr>
        <w:t>.</w:t>
      </w:r>
      <w:r>
        <w:rPr>
          <w:color w:val="000000"/>
          <w:szCs w:val="24"/>
        </w:rPr>
        <w:tab/>
        <w:t>LIFE programos įgyvendinimo finansinis paketas 2014–2020 m. laikotarpiui yra beveik 3,5 mlrd. eurų. Šiuo laikotarpiu LIFE programą sudaro dvi paprogramės – aplinkos (2,59 mlrd. eurų) ir klimato kaitos (864 mln. eurų):</w:t>
      </w:r>
    </w:p>
    <w:p w:rsidR="000E7C4C" w:rsidRDefault="003C3EA6">
      <w:pPr>
        <w:tabs>
          <w:tab w:val="num" w:pos="360"/>
          <w:tab w:val="left" w:pos="851"/>
        </w:tabs>
        <w:ind w:firstLine="567"/>
        <w:jc w:val="both"/>
        <w:rPr>
          <w:color w:val="000000"/>
          <w:szCs w:val="24"/>
        </w:rPr>
      </w:pPr>
      <w:r>
        <w:rPr>
          <w:color w:val="000000"/>
          <w:szCs w:val="24"/>
        </w:rPr>
        <w:t>8.1</w:t>
      </w:r>
      <w:r>
        <w:rPr>
          <w:color w:val="000000"/>
          <w:szCs w:val="24"/>
        </w:rPr>
        <w:t>. Aplinkos paprogramė: aplinkos ir išteklių naudojimo efektyvumas; gamta ir biologinė įvairovė; aplinkos valdymas ir informavimas;</w:t>
      </w:r>
    </w:p>
    <w:p w:rsidR="000E7C4C" w:rsidRDefault="003C3EA6">
      <w:pPr>
        <w:tabs>
          <w:tab w:val="num" w:pos="360"/>
          <w:tab w:val="left" w:pos="851"/>
        </w:tabs>
        <w:ind w:firstLine="567"/>
        <w:jc w:val="both"/>
        <w:rPr>
          <w:color w:val="000000"/>
          <w:szCs w:val="24"/>
        </w:rPr>
      </w:pPr>
      <w:r>
        <w:rPr>
          <w:color w:val="000000"/>
          <w:szCs w:val="24"/>
        </w:rPr>
        <w:t>8.2</w:t>
      </w:r>
      <w:r>
        <w:rPr>
          <w:color w:val="000000"/>
          <w:szCs w:val="24"/>
        </w:rPr>
        <w:t>. Klimato politikos paprogramė: klimato kaitos švelninimas; prisitaikymas prie klimato kaitos; klimato valdymas ir informavimas.</w:t>
      </w:r>
    </w:p>
    <w:p w:rsidR="000E7C4C" w:rsidRDefault="003C3EA6">
      <w:pPr>
        <w:tabs>
          <w:tab w:val="left" w:pos="851"/>
        </w:tabs>
        <w:ind w:firstLine="567"/>
        <w:jc w:val="both"/>
        <w:rPr>
          <w:color w:val="000000"/>
          <w:szCs w:val="21"/>
        </w:rPr>
      </w:pPr>
      <w:r>
        <w:rPr>
          <w:color w:val="000000"/>
          <w:szCs w:val="21"/>
        </w:rPr>
        <w:t>9</w:t>
      </w:r>
      <w:r>
        <w:rPr>
          <w:color w:val="000000"/>
          <w:szCs w:val="21"/>
        </w:rPr>
        <w:t xml:space="preserve">. Lietuvos inicijuoti 19 LIFE programos projektų </w:t>
      </w:r>
      <w:r>
        <w:rPr>
          <w:color w:val="000000"/>
          <w:szCs w:val="24"/>
        </w:rPr>
        <w:t xml:space="preserve">2014–2020 m. laikotarpiui </w:t>
      </w:r>
      <w:r>
        <w:rPr>
          <w:color w:val="000000"/>
          <w:szCs w:val="21"/>
        </w:rPr>
        <w:t xml:space="preserve">išsiskirstė taip: 15 iš jų buvo skirti gamtos apsaugai ir po vieną biologinei įvairovei, aplinkos politikai bei valdymui ir </w:t>
      </w:r>
      <w:proofErr w:type="spellStart"/>
      <w:r>
        <w:rPr>
          <w:color w:val="000000"/>
          <w:szCs w:val="21"/>
        </w:rPr>
        <w:t>pajėgumų</w:t>
      </w:r>
      <w:proofErr w:type="spellEnd"/>
      <w:r>
        <w:rPr>
          <w:color w:val="000000"/>
          <w:szCs w:val="21"/>
        </w:rPr>
        <w:t xml:space="preserve"> stiprinimui, taip pat 1 integruotasis projektas. Pažymėtina, kad nei vienas projektas nebuvo tiesiogiai susijęs su oro taršos mažinimu.</w:t>
      </w:r>
    </w:p>
    <w:p w:rsidR="000E7C4C" w:rsidRDefault="003C3EA6">
      <w:pPr>
        <w:tabs>
          <w:tab w:val="left" w:pos="851"/>
        </w:tabs>
        <w:ind w:firstLine="567"/>
        <w:jc w:val="both"/>
        <w:rPr>
          <w:color w:val="000000"/>
          <w:szCs w:val="21"/>
        </w:rPr>
      </w:pPr>
      <w:r>
        <w:rPr>
          <w:color w:val="000000"/>
          <w:szCs w:val="21"/>
        </w:rPr>
        <w:t>10</w:t>
      </w:r>
      <w:r>
        <w:rPr>
          <w:color w:val="000000"/>
          <w:szCs w:val="21"/>
        </w:rPr>
        <w:t>. Taigi, ES fondų investicijų patvirtintos priemonės, prisidėsiančios prie oro taršos mažinimo ir oro kokybės gerinimo, numato taip pat priemones, kuriomis siekiama skatinti veiklas energetikos, energijos efektyvaus vartojimo ir transporto srityse, kuriuose dominuoja biokuro naudojimo skatinimas, atsinaujinančių energijos išteklių skatinimas, transporto parko atnaujinimas ir elektra varomo transporto plėtros skatinimas, transporto infrastruktūros skatinimas.</w:t>
      </w:r>
    </w:p>
    <w:p w:rsidR="000E7C4C" w:rsidRDefault="003C3EA6">
      <w:pPr>
        <w:tabs>
          <w:tab w:val="num" w:pos="360"/>
        </w:tabs>
        <w:spacing w:line="360" w:lineRule="atLeast"/>
        <w:jc w:val="center"/>
        <w:rPr>
          <w:color w:val="000000"/>
          <w:szCs w:val="21"/>
          <w:lang w:val="en-US"/>
        </w:rPr>
      </w:pPr>
      <w:r>
        <w:rPr>
          <w:color w:val="000000"/>
          <w:szCs w:val="21"/>
          <w:lang w:val="en-US"/>
        </w:rPr>
        <w:t>____________________________</w:t>
      </w:r>
    </w:p>
    <w:p w:rsidR="000E7C4C" w:rsidRDefault="000E7C4C">
      <w:pPr>
        <w:tabs>
          <w:tab w:val="left" w:pos="540"/>
          <w:tab w:val="left" w:pos="1296"/>
        </w:tabs>
        <w:rPr>
          <w:szCs w:val="24"/>
        </w:rPr>
      </w:pPr>
    </w:p>
    <w:p w:rsidR="000E7C4C" w:rsidRDefault="003C3EA6">
      <w:pPr>
        <w:tabs>
          <w:tab w:val="center" w:pos="4819"/>
          <w:tab w:val="right" w:pos="9638"/>
        </w:tabs>
        <w:jc w:val="both"/>
        <w:rPr>
          <w:color w:val="000000"/>
          <w:szCs w:val="21"/>
          <w:lang w:val="en-US"/>
        </w:rPr>
      </w:pPr>
    </w:p>
    <w:p w:rsidR="003C3EA6" w:rsidRDefault="003C3EA6">
      <w:pPr>
        <w:ind w:left="7088"/>
        <w:sectPr w:rsidR="003C3EA6" w:rsidSect="003C3EA6">
          <w:pgSz w:w="11906" w:h="16838"/>
          <w:pgMar w:top="1134" w:right="567" w:bottom="1134" w:left="1134" w:header="567" w:footer="567" w:gutter="0"/>
          <w:pgNumType w:start="1"/>
          <w:cols w:space="1296"/>
          <w:titlePg/>
          <w:docGrid w:linePitch="326"/>
        </w:sectPr>
      </w:pPr>
    </w:p>
    <w:p w:rsidR="000E7C4C" w:rsidRDefault="003C3EA6">
      <w:pPr>
        <w:ind w:left="7088"/>
        <w:rPr>
          <w:color w:val="000000"/>
          <w:szCs w:val="24"/>
        </w:rPr>
      </w:pPr>
      <w:r>
        <w:rPr>
          <w:color w:val="000000"/>
          <w:szCs w:val="24"/>
        </w:rPr>
        <w:t xml:space="preserve">Nacionalinio oro taršos </w:t>
      </w:r>
    </w:p>
    <w:p w:rsidR="000E7C4C" w:rsidRDefault="003C3EA6">
      <w:pPr>
        <w:ind w:left="7088"/>
        <w:rPr>
          <w:color w:val="000000"/>
          <w:szCs w:val="24"/>
        </w:rPr>
      </w:pPr>
      <w:r>
        <w:rPr>
          <w:color w:val="000000"/>
          <w:szCs w:val="24"/>
        </w:rPr>
        <w:t>mažinimo plano</w:t>
      </w:r>
    </w:p>
    <w:p w:rsidR="000E7C4C" w:rsidRDefault="003C3EA6">
      <w:pPr>
        <w:ind w:left="7088"/>
        <w:rPr>
          <w:color w:val="000000"/>
          <w:szCs w:val="24"/>
        </w:rPr>
      </w:pPr>
      <w:r>
        <w:rPr>
          <w:color w:val="000000"/>
          <w:szCs w:val="24"/>
        </w:rPr>
        <w:t>8</w:t>
      </w:r>
      <w:r>
        <w:rPr>
          <w:color w:val="000000"/>
          <w:szCs w:val="24"/>
        </w:rPr>
        <w:t xml:space="preserve"> priedas</w:t>
      </w:r>
    </w:p>
    <w:p w:rsidR="000E7C4C" w:rsidRDefault="000E7C4C">
      <w:pPr>
        <w:tabs>
          <w:tab w:val="num" w:pos="360"/>
        </w:tabs>
        <w:jc w:val="both"/>
        <w:rPr>
          <w:color w:val="000000"/>
          <w:szCs w:val="21"/>
        </w:rPr>
      </w:pPr>
    </w:p>
    <w:p w:rsidR="000E7C4C" w:rsidRDefault="003C3EA6">
      <w:pPr>
        <w:keepNext/>
        <w:keepLines/>
        <w:jc w:val="center"/>
        <w:outlineLvl w:val="1"/>
        <w:rPr>
          <w:b/>
          <w:bCs/>
          <w:caps/>
          <w:color w:val="000000"/>
          <w:szCs w:val="32"/>
        </w:rPr>
      </w:pPr>
      <w:r>
        <w:rPr>
          <w:b/>
          <w:bCs/>
          <w:caps/>
          <w:color w:val="000000"/>
          <w:szCs w:val="32"/>
        </w:rPr>
        <w:t>Pareigos, nustatytos VALSTYBĖS IR SAVIVALDYBIŲ INSTITUCIJOMS IR ĮSTAIGOMS, ūkio subjektams ir joms suteikta atsakomybė oro taršos MAŽINIMO ir oro kokybės valdymo srityje, rengiant ir įgyvendinant NACIONALINĮ ORO TARŠOS MAŽINIMO PLANĄ</w:t>
      </w:r>
    </w:p>
    <w:p w:rsidR="000E7C4C" w:rsidRDefault="000E7C4C">
      <w:pPr>
        <w:ind w:firstLine="567"/>
        <w:jc w:val="both"/>
        <w:rPr>
          <w:color w:val="000000"/>
          <w:szCs w:val="21"/>
        </w:rPr>
      </w:pPr>
    </w:p>
    <w:p w:rsidR="000E7C4C" w:rsidRDefault="003C3EA6">
      <w:pPr>
        <w:ind w:firstLine="567"/>
        <w:jc w:val="center"/>
        <w:rPr>
          <w:b/>
          <w:color w:val="000000"/>
          <w:szCs w:val="21"/>
        </w:rPr>
      </w:pPr>
      <w:r>
        <w:rPr>
          <w:b/>
          <w:color w:val="000000"/>
          <w:szCs w:val="21"/>
        </w:rPr>
        <w:t>I</w:t>
      </w:r>
      <w:r>
        <w:rPr>
          <w:b/>
          <w:color w:val="000000"/>
          <w:szCs w:val="21"/>
        </w:rPr>
        <w:t xml:space="preserve"> SKYRIUS</w:t>
      </w:r>
    </w:p>
    <w:p w:rsidR="000E7C4C" w:rsidRDefault="003C3EA6">
      <w:pPr>
        <w:keepNext/>
        <w:keepLines/>
        <w:jc w:val="center"/>
        <w:outlineLvl w:val="2"/>
        <w:rPr>
          <w:b/>
          <w:bCs/>
          <w:caps/>
          <w:color w:val="000000"/>
          <w:szCs w:val="28"/>
        </w:rPr>
      </w:pPr>
      <w:r>
        <w:rPr>
          <w:b/>
          <w:bCs/>
          <w:color w:val="000000"/>
          <w:szCs w:val="28"/>
        </w:rPr>
        <w:t>NACIONALINIO ORO TARŠOS MAŽINIMO PLANO RENGIMAS</w:t>
      </w:r>
    </w:p>
    <w:p w:rsidR="000E7C4C" w:rsidRDefault="000E7C4C">
      <w:pPr>
        <w:tabs>
          <w:tab w:val="left" w:pos="851"/>
        </w:tabs>
        <w:jc w:val="both"/>
        <w:rPr>
          <w:color w:val="000000"/>
          <w:szCs w:val="21"/>
        </w:rPr>
      </w:pPr>
    </w:p>
    <w:p w:rsidR="000E7C4C" w:rsidRDefault="003C3EA6">
      <w:pPr>
        <w:tabs>
          <w:tab w:val="left" w:pos="851"/>
        </w:tabs>
        <w:ind w:firstLine="567"/>
        <w:jc w:val="both"/>
        <w:rPr>
          <w:color w:val="000000"/>
          <w:szCs w:val="21"/>
        </w:rPr>
      </w:pPr>
      <w:r>
        <w:rPr>
          <w:color w:val="000000"/>
          <w:szCs w:val="21"/>
        </w:rPr>
        <w:t>1</w:t>
      </w:r>
      <w:r>
        <w:rPr>
          <w:color w:val="000000"/>
          <w:szCs w:val="21"/>
        </w:rPr>
        <w:t>.</w:t>
      </w:r>
      <w:r>
        <w:rPr>
          <w:color w:val="000000"/>
          <w:szCs w:val="21"/>
        </w:rPr>
        <w:tab/>
        <w:t>Lietuvos Respublikos Aplinkos oro apsaugos įstatyme nustatytu teisiniu pagrindu Lietuvos Respublikos Seimas Nacionalinėje aplinkos apsaugos strategijoje, patvirtintoje Seimo 2015 m. balandžio 16 d. nutarimu Nr. XII-1626 „Dėl Nacionalinės aplinkos apsaugos strategijos patvirtinimo“ (toliau – NAAS), nustato oro taršos mažinimo tikslus; tikslams įgyvendinti parengiamas Nacionalinis oro taršos mažinimo planas (toliau – Planas), kurį tvirtina Lietuvos Respublikos Vyriausybė.</w:t>
      </w:r>
    </w:p>
    <w:p w:rsidR="000E7C4C" w:rsidRDefault="003C3EA6">
      <w:pPr>
        <w:tabs>
          <w:tab w:val="left" w:pos="851"/>
        </w:tabs>
        <w:ind w:firstLine="567"/>
        <w:jc w:val="both"/>
        <w:rPr>
          <w:color w:val="000000"/>
          <w:szCs w:val="21"/>
        </w:rPr>
      </w:pPr>
      <w:r>
        <w:rPr>
          <w:color w:val="000000"/>
          <w:szCs w:val="21"/>
        </w:rPr>
        <w:t>2</w:t>
      </w:r>
      <w:r>
        <w:rPr>
          <w:color w:val="000000"/>
          <w:szCs w:val="21"/>
        </w:rPr>
        <w:t>.</w:t>
      </w:r>
      <w:r>
        <w:rPr>
          <w:color w:val="000000"/>
          <w:szCs w:val="21"/>
        </w:rPr>
        <w:tab/>
        <w:t>Reikalavimai Plano rengimui ir jo turiniui, priėmimui ir įgyvendinimui nustatyti Išmetamų į aplinkos orą teršalų kiekio mažinimo tvarkos apraše, patvirtintame Lietuvos Respublikos aplinkos ministro 2003 m. rugsėjo 25 d. įsakymu Nr. 468 „Dėl Išmetamų į aplinkos orą teršalų kiekio mažinimo tvarkos aprašo patvirtinimo“, ir Europos Komisijos parengtose Pirminių nacionalinių oro taršos valdymo programų pagal Direktyvą 2016/2284/ES parengimo ir įgyvendinimo gairėse.</w:t>
      </w:r>
    </w:p>
    <w:p w:rsidR="000E7C4C" w:rsidRDefault="003C3EA6">
      <w:pPr>
        <w:tabs>
          <w:tab w:val="left" w:pos="851"/>
        </w:tabs>
        <w:ind w:firstLine="567"/>
        <w:jc w:val="both"/>
        <w:rPr>
          <w:color w:val="000000"/>
          <w:szCs w:val="21"/>
        </w:rPr>
      </w:pPr>
      <w:r>
        <w:rPr>
          <w:color w:val="000000"/>
          <w:szCs w:val="21"/>
        </w:rPr>
        <w:t>3</w:t>
      </w:r>
      <w:r>
        <w:rPr>
          <w:color w:val="000000"/>
          <w:szCs w:val="21"/>
        </w:rPr>
        <w:t>.</w:t>
      </w:r>
      <w:r>
        <w:rPr>
          <w:color w:val="000000"/>
          <w:szCs w:val="21"/>
        </w:rPr>
        <w:tab/>
        <w:t xml:space="preserve">Plano projektą, kuriame nurodyti Lietuvai nustatyti oro taršos mažinimo tikslai, priemonės šiems tikslams pasiekti, tikslų vertinimo kriterijai, atsakingos už įgyvendinimą institucijos ir reikalingi asignavimai, rengia Lietuvos Respublikos aplinkos ministerija. Aplinkos ministerija parengtą Plano projektą, teisės aktų nustatyta tvarka suderintą su kitomis institucijomis, teikia tvirtinti Vyriausybei. Vyriausybės patvirtintą Planą ne rečiau kaip kas ketveri metai peržiūri ir atnaujina Aplinkos ministerija. Atnaujintą Planą tvirtina Vyriausybė. Europos Komisijai jos nustatyta forma Planą ir vėlesnius atnaujintus Planus teikia Aplinkos ministerija. Plano įgyvendinimo ataskaitas rengia, jas Vyriausybei ir visuomenei teikia Aplinkos ministerija (žr. 1 pav.). </w:t>
      </w:r>
    </w:p>
    <w:p w:rsidR="000E7C4C" w:rsidRDefault="003C3EA6">
      <w:pPr>
        <w:tabs>
          <w:tab w:val="num" w:pos="0"/>
        </w:tabs>
        <w:ind w:firstLine="567"/>
        <w:jc w:val="both"/>
        <w:rPr>
          <w:color w:val="000000"/>
          <w:szCs w:val="21"/>
        </w:rPr>
      </w:pPr>
      <w:r>
        <w:rPr>
          <w:noProof/>
          <w:lang w:eastAsia="lt-LT"/>
        </w:rPr>
        <mc:AlternateContent>
          <mc:Choice Requires="wpg">
            <w:drawing>
              <wp:anchor distT="0" distB="0" distL="114300" distR="114300" simplePos="0" relativeHeight="251670528" behindDoc="0" locked="0" layoutInCell="1" allowOverlap="1" wp14:anchorId="3690E39F" wp14:editId="5F3A38DA">
                <wp:simplePos x="0" y="0"/>
                <wp:positionH relativeFrom="page">
                  <wp:posOffset>1134110</wp:posOffset>
                </wp:positionH>
                <wp:positionV relativeFrom="paragraph">
                  <wp:posOffset>102235</wp:posOffset>
                </wp:positionV>
                <wp:extent cx="5875020" cy="1828165"/>
                <wp:effectExtent l="0" t="0" r="11430" b="19685"/>
                <wp:wrapNone/>
                <wp:docPr id="78" name="Grupė 78"/>
                <wp:cNvGraphicFramePr/>
                <a:graphic xmlns:a="http://schemas.openxmlformats.org/drawingml/2006/main">
                  <a:graphicData uri="http://schemas.microsoft.com/office/word/2010/wordprocessingGroup">
                    <wpg:wgp>
                      <wpg:cNvGrpSpPr/>
                      <wpg:grpSpPr>
                        <a:xfrm>
                          <a:off x="0" y="0"/>
                          <a:ext cx="5875020" cy="1828165"/>
                          <a:chOff x="0" y="0"/>
                          <a:chExt cx="5810867" cy="2045380"/>
                        </a:xfrm>
                      </wpg:grpSpPr>
                      <wps:wsp>
                        <wps:cNvPr id="158" name="Rectangle 85"/>
                        <wps:cNvSpPr/>
                        <wps:spPr>
                          <a:xfrm>
                            <a:off x="2735797" y="946260"/>
                            <a:ext cx="2226475" cy="1099020"/>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21"/>
                                </w:rPr>
                              </w:pPr>
                              <w:r>
                                <w:rPr>
                                  <w:color w:val="000000"/>
                                  <w:sz w:val="18"/>
                                  <w:szCs w:val="21"/>
                                </w:rPr>
                                <w:t>Seimas (priima įstatymus)</w:t>
                              </w:r>
                            </w:p>
                            <w:p w:rsidR="003C3EA6" w:rsidRDefault="003C3EA6">
                              <w:pPr>
                                <w:rPr>
                                  <w:color w:val="000000"/>
                                  <w:sz w:val="18"/>
                                  <w:szCs w:val="21"/>
                                </w:rPr>
                              </w:pPr>
                              <w:r>
                                <w:rPr>
                                  <w:color w:val="000000"/>
                                  <w:sz w:val="18"/>
                                  <w:szCs w:val="21"/>
                                </w:rPr>
                                <w:t>Vyriausybė (priima nutarimus)</w:t>
                              </w:r>
                            </w:p>
                            <w:p w:rsidR="003C3EA6" w:rsidRDefault="003C3EA6">
                              <w:pPr>
                                <w:rPr>
                                  <w:color w:val="000000"/>
                                  <w:sz w:val="18"/>
                                  <w:szCs w:val="21"/>
                                </w:rPr>
                              </w:pPr>
                              <w:r>
                                <w:rPr>
                                  <w:color w:val="000000"/>
                                  <w:sz w:val="18"/>
                                  <w:szCs w:val="21"/>
                                </w:rPr>
                                <w:t>Aplinkos ministerija (priima įsakymus arba bendrus įsakymus su kitomis ministerijomis)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9" name="Group 105"/>
                        <wpg:cNvGrpSpPr/>
                        <wpg:grpSpPr>
                          <a:xfrm>
                            <a:off x="0" y="0"/>
                            <a:ext cx="5810867" cy="2045380"/>
                            <a:chOff x="0" y="0"/>
                            <a:chExt cx="5810867" cy="2045380"/>
                          </a:xfrm>
                        </wpg:grpSpPr>
                        <wpg:grpSp>
                          <wpg:cNvPr id="160" name="Group 98"/>
                          <wpg:cNvGrpSpPr/>
                          <wpg:grpSpPr>
                            <a:xfrm>
                              <a:off x="0" y="0"/>
                              <a:ext cx="5810867" cy="2045380"/>
                              <a:chOff x="0" y="0"/>
                              <a:chExt cx="5810867" cy="2045380"/>
                            </a:xfrm>
                          </wpg:grpSpPr>
                          <wpg:grpSp>
                            <wpg:cNvPr id="163" name="Group 78"/>
                            <wpg:cNvGrpSpPr/>
                            <wpg:grpSpPr>
                              <a:xfrm>
                                <a:off x="0" y="0"/>
                                <a:ext cx="4962272" cy="2045380"/>
                                <a:chOff x="0" y="0"/>
                                <a:chExt cx="4962272" cy="2045380"/>
                              </a:xfrm>
                            </wpg:grpSpPr>
                            <wps:wsp>
                              <wps:cNvPr id="167" name="Rectangle 71"/>
                              <wps:cNvSpPr/>
                              <wps:spPr>
                                <a:xfrm>
                                  <a:off x="0" y="0"/>
                                  <a:ext cx="447257" cy="20370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jc w:val="center"/>
                                      <w:rPr>
                                        <w:color w:val="FFFFFF"/>
                                        <w:sz w:val="18"/>
                                        <w:szCs w:val="21"/>
                                      </w:rPr>
                                    </w:pPr>
                                    <w:r>
                                      <w:rPr>
                                        <w:color w:val="FFFFFF"/>
                                        <w:sz w:val="18"/>
                                        <w:szCs w:val="21"/>
                                      </w:rPr>
                                      <w:t>Politikos, pagal kurią parengtas Planas, formavimas ir nustatymas</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68" name="Rectangle 72"/>
                              <wps:cNvSpPr/>
                              <wps:spPr>
                                <a:xfrm>
                                  <a:off x="559543" y="0"/>
                                  <a:ext cx="2053097" cy="890470"/>
                                </a:xfrm>
                                <a:prstGeom prst="rect">
                                  <a:avLst/>
                                </a:prstGeom>
                                <a:solidFill>
                                  <a:schemeClr val="tx2"/>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FFFFFF"/>
                                        <w:sz w:val="18"/>
                                        <w:szCs w:val="21"/>
                                      </w:rPr>
                                    </w:pPr>
                                    <w:r>
                                      <w:rPr>
                                        <w:color w:val="FFFFFF"/>
                                        <w:sz w:val="18"/>
                                        <w:szCs w:val="21"/>
                                      </w:rPr>
                                      <w:t xml:space="preserve">Plano rengimas ir Plano </w:t>
                                    </w:r>
                                    <w:proofErr w:type="spellStart"/>
                                    <w:r>
                                      <w:rPr>
                                        <w:color w:val="FFFFFF"/>
                                        <w:sz w:val="18"/>
                                        <w:szCs w:val="21"/>
                                      </w:rPr>
                                      <w:t>įgyendinimo</w:t>
                                    </w:r>
                                    <w:proofErr w:type="spellEnd"/>
                                    <w:r>
                                      <w:rPr>
                                        <w:color w:val="FFFFFF"/>
                                        <w:sz w:val="18"/>
                                        <w:szCs w:val="21"/>
                                      </w:rPr>
                                      <w:t xml:space="preserve"> ataskaitų teikimas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Rectangle 73"/>
                              <wps:cNvSpPr/>
                              <wps:spPr>
                                <a:xfrm>
                                  <a:off x="2734880" y="0"/>
                                  <a:ext cx="2227392" cy="889918"/>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jc w:val="both"/>
                                      <w:rPr>
                                        <w:color w:val="000000"/>
                                        <w:sz w:val="18"/>
                                        <w:szCs w:val="21"/>
                                      </w:rPr>
                                    </w:pPr>
                                    <w:r>
                                      <w:rPr>
                                        <w:color w:val="000000"/>
                                        <w:sz w:val="18"/>
                                        <w:szCs w:val="21"/>
                                      </w:rPr>
                                      <w:t>Seimas: nustato oro taršos mažinimo tikslus ir įpareigoja parengti Planą. Vyriausybė: tvirtina Planą. Aplinkos ministerija: rengia, peržiūri ir atnaujina Planą, teikia Plano įgyvendinimo ataskaitas.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 name="Rectangle 74"/>
                              <wps:cNvSpPr/>
                              <wps:spPr>
                                <a:xfrm>
                                  <a:off x="559694" y="951072"/>
                                  <a:ext cx="2053042" cy="396240"/>
                                </a:xfrm>
                                <a:prstGeom prst="rect">
                                  <a:avLst/>
                                </a:prstGeom>
                                <a:solidFill>
                                  <a:schemeClr val="tx2"/>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FFFFFF"/>
                                        <w:sz w:val="18"/>
                                        <w:szCs w:val="21"/>
                                      </w:rPr>
                                    </w:pPr>
                                    <w:r>
                                      <w:rPr>
                                        <w:color w:val="FFFFFF"/>
                                        <w:sz w:val="18"/>
                                        <w:szCs w:val="18"/>
                                      </w:rPr>
                                      <w:t>Išmetamų į aplinkos orą teršalų kiekį reguliuojantys teisės aktai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Rectangle 75"/>
                              <wps:cNvSpPr/>
                              <wps:spPr>
                                <a:xfrm>
                                  <a:off x="559748" y="1380771"/>
                                  <a:ext cx="2052988" cy="309504"/>
                                </a:xfrm>
                                <a:prstGeom prst="rect">
                                  <a:avLst/>
                                </a:prstGeom>
                                <a:solidFill>
                                  <a:schemeClr val="tx2"/>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FFFFFF"/>
                                        <w:sz w:val="18"/>
                                        <w:szCs w:val="21"/>
                                      </w:rPr>
                                    </w:pPr>
                                    <w:r>
                                      <w:rPr>
                                        <w:color w:val="FFFFFF"/>
                                        <w:sz w:val="18"/>
                                        <w:szCs w:val="18"/>
                                      </w:rPr>
                                      <w:t>Oro kokybę reguliuojantys teisės aktai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 name="Rectangle 76"/>
                              <wps:cNvSpPr/>
                              <wps:spPr>
                                <a:xfrm>
                                  <a:off x="559534" y="1736075"/>
                                  <a:ext cx="2052933" cy="309305"/>
                                </a:xfrm>
                                <a:prstGeom prst="rect">
                                  <a:avLst/>
                                </a:prstGeom>
                                <a:solidFill>
                                  <a:schemeClr val="tx2"/>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FFFFFF"/>
                                        <w:sz w:val="18"/>
                                        <w:szCs w:val="21"/>
                                      </w:rPr>
                                    </w:pPr>
                                    <w:r>
                                      <w:rPr>
                                        <w:color w:val="FFFFFF"/>
                                        <w:sz w:val="18"/>
                                        <w:szCs w:val="21"/>
                                      </w:rPr>
                                      <w:t>Klimato kaitą reguliuojantys teisės aktai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4" name="Group 97"/>
                            <wpg:cNvGrpSpPr/>
                            <wpg:grpSpPr>
                              <a:xfrm>
                                <a:off x="5164161" y="70707"/>
                                <a:ext cx="646706" cy="1959890"/>
                                <a:chOff x="5164161" y="70707"/>
                                <a:chExt cx="646706" cy="1959890"/>
                              </a:xfrm>
                            </wpg:grpSpPr>
                            <wps:wsp>
                              <wps:cNvPr id="165" name="Rectangle 89"/>
                              <wps:cNvSpPr/>
                              <wps:spPr>
                                <a:xfrm>
                                  <a:off x="5164161" y="70707"/>
                                  <a:ext cx="646706" cy="805734"/>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3C3EA6" w:rsidRDefault="003C3EA6">
                                    <w:pPr>
                                      <w:jc w:val="both"/>
                                      <w:rPr>
                                        <w:color w:val="000000"/>
                                        <w:sz w:val="18"/>
                                        <w:szCs w:val="21"/>
                                      </w:rPr>
                                    </w:pPr>
                                    <w:r>
                                      <w:rPr>
                                        <w:color w:val="000000"/>
                                        <w:sz w:val="18"/>
                                        <w:szCs w:val="21"/>
                                      </w:rPr>
                                      <w:t>Valstybės lygis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Rectangle 91"/>
                              <wps:cNvSpPr/>
                              <wps:spPr>
                                <a:xfrm>
                                  <a:off x="5164430" y="944603"/>
                                  <a:ext cx="646430" cy="1085994"/>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3C3EA6" w:rsidRDefault="003C3EA6">
                                    <w:pPr>
                                      <w:jc w:val="both"/>
                                      <w:rPr>
                                        <w:color w:val="000000"/>
                                        <w:sz w:val="18"/>
                                        <w:szCs w:val="21"/>
                                      </w:rPr>
                                    </w:pPr>
                                    <w:r>
                                      <w:rPr>
                                        <w:color w:val="000000"/>
                                        <w:sz w:val="18"/>
                                        <w:szCs w:val="21"/>
                                      </w:rPr>
                                      <w:t>Valstybės lygis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61" name="Left Arrow 100"/>
                          <wps:cNvSpPr/>
                          <wps:spPr>
                            <a:xfrm>
                              <a:off x="4927228" y="355849"/>
                              <a:ext cx="235768" cy="247650"/>
                            </a:xfrm>
                            <a:prstGeom prst="leftArrow">
                              <a:avLst/>
                            </a:prstGeom>
                            <a:solidFill>
                              <a:schemeClr val="bg1"/>
                            </a:solid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 name="Left Arrow 102"/>
                          <wps:cNvSpPr/>
                          <wps:spPr>
                            <a:xfrm>
                              <a:off x="4927222" y="1336785"/>
                              <a:ext cx="235585" cy="247650"/>
                            </a:xfrm>
                            <a:prstGeom prst="leftArrow">
                              <a:avLst/>
                            </a:prstGeom>
                            <a:solidFill>
                              <a:schemeClr val="bg1"/>
                            </a:solid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690E39F" id="Grupė 78" o:spid="_x0000_s1095" style="position:absolute;left:0;text-align:left;margin-left:89.3pt;margin-top:8.05pt;width:462.6pt;height:143.95pt;z-index:251670528;mso-position-horizontal-relative:page;mso-width-relative:margin;mso-height-relative:margin" coordsize="58108,204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ymunXgYAAFYxAAAOAAAAZHJzL2Uyb0RvYy54bWzsW9tu4zYQfS/QfxD03rVu1MVYZxFkm6BA sA12t9hnRpZsoZKoUkrs9Ef6Q/2wHpIS5dhJKjupN0W0CziWeJ0h55yZIf3+w7rIjduE1xkrZ6b9 zjKNpIzZPCsXM/O3r+c/haZRN7Sc05yVycy8S2rzw8mPP7xfVdPEYUuWzxNuoJOynq6qmblsmmo6 mdTxMilo/Y5VSYnClPGCNnjki8mc0xV6L/KJY1n+ZMX4vOIsTuoabz+qQvNE9p+mSdz8mqZ10hj5 zMTcGvnJ5ee1+JycvKfTBafVMovbadADZlHQrMSguquPtKHGDc92uiqymLOapc27mBUTlqZZnEgZ II1tbUlzwdlNJWVZTFeLSqsJqt3S08Hdxp9ur7iRzWdmgJUqaYE1uuA31d9/GXgB7ayqxRSVLnj1 pbri7YuFehICr1NeiL8QxVhLvd5pvSbrxojxkoQBsRyoP0aZHTqh7ROl+XiJ5dlpFy9/1i1tK/QD 1dKxPOKGcs0m3cATMT89nVWFXVT3iqqfp6gvS1olUv+10EGrKJtoTX3G/qLlIk+MUAokxkdFral6 WkNpD6jJCVwSRJALCok83/HbndhpzHEc3wtIqzErioT6oHwtN51WvG4uElYY4svM5JiK3IH09rJu VNWuiphAyc6zPMd7Os1LY4V1cALLki1qlmdzUSoKpeUlZzk3bilsplk77bgbtTCLvMRkhLhKQPmt ucsT1f/nJMWewso7agBhzX2fNI6TsrFV0ZLOEzUUsfCvG6xrIUXOS3Qoek4xSd1320FXU3XS9a0U 0NYXTRMJBrpxK/lTjXULOTIrG924yErGH5Ish1TtyKp+pySlGqGlZn29lvbm6R1zzeZ32FucKXSq q/g8w5pe0rq5ohxwBMsBxKJ0yfifprECXM3M+o8byhPTyH8psc0j2/MEvskHjwTC2vhmyfVmSXlT nDGsrg1wrmL5VdRv8u5rylnxDch6KkZFES1jjD0z44Z3D2eNglFgc5ycnspqwLSKNpfllyoWnQvF iT34df2N8qrdqA32+CfWmRadbu1XVVe0LNnpTcPSTG5moTqlp1alMHMFTtL4NU5pG416NAOIGrbV qvsl0OxhTKLTF0ezFtp2pANcaKwW0kUvCNXfXzj3vnAvx0Ne5DtO4Oywyb+v3GMtNR5/Dx4SvKgY u+ehQAKQsJZBPIR9tEvXnhc4RHOuG1gYSKFaR/YdsQzinpEmtkl1L5rwhe57+BtCE4IswO4jU8it 1zLFMTxD/wHPEHjTLuAgiyQkIh4QcNcsHYu4lvAZhRcdRpaHFX6GWcLV29fvG11H4dO+AtdR4vF+ mDC6jiIQOzogaDd0g6LdvQABoaIXIup9CBHgzbhR68+EYRTZ0g/UTskYJLZByFZQ+z8KElvHvgt+ hrD/d7f05nWFiMcgfuFs7bji3l52DuL3I09lhIhtKbcBeYs2EybZ32tt3UUgg3B/ZH+Zo3priaOo 21dj4mgj0bln4ugoqID82g4q6LTf0HAg8BBVwOW3kfsOVHx/DxacKEQFERQgPCCWRJ3DXYAxKHgw V62g9jXnk4nkgzEoeF4++SiwABbfgQWd5hkKC8RVzoIduL6FoyLs0C1YcJFGaGHBVenvERZwGPm2 jpmITgiP3sKh3kKf3H/qyMmHPSqzluf2BlJ1sMk9z8+J7Xu2D78BdB5Y+H/frn3PRzpembUdkQhp QFVBHz090kF/pP5IFxoaemFFwkTwCRKo+urBf3OijusAO4gYajd3GCIOV1xoEeRUhN600HtnSjbP 0EVHQk8HH4VL7Mdc9jjn3jhCUGfiEv0Hn3F3Ix5wxj3/ffgZN9G57xF8DgWfI1kgQGXbJ4k0dQy2 QM9VicrI83xL5jl7nwTAI4vlJSArJBGyHaMNQj+d1QoTTgfdM9nLBnW6ebTBQ22w50QJ9RvXMo7C jjqNcJmkjXHKOVvhQouO9wZZpxfh5oOjMgkuIaEn6bW3TgcX0sTxpbBOxwt8FU4+TpA5piJnIm/5 bAVd4l6a2M1PJROuFx2P3Ku1Say7XfDFtb6adn5+tnFhrD/LlET6XEp+o7fTRog4FCKORNM6dXAP CrSbtQcUoCeZVHT9QF1evYcFBO9GLOgOCiUQvbWbqiMWHIoFO+4CLu/LYLP9oYH4dcDmsySr/ucQ J/8AAAD//wMAUEsDBBQABgAIAAAAIQAXjF844AAAAAsBAAAPAAAAZHJzL2Rvd25yZXYueG1sTI9d S8MwFIbvBf9DOIJ3LonVOrqmYwz1aghuguwua87asiYpTdZ2/96zK3d3Xs7D+5EvJ9uyAfvQeKdA zgQwdKU3jasU/Ow+nubAQtTO6NY7VHDBAMvi/i7XmfGj+8ZhGytGJi5kWkEdY5dxHsoarQ4z36Gj 39H3VkeSfcVNr0cyty1/FiLlVjeOEmrd4brG8rQ9WwWfox5XiXwfNqfj+rLfvX79biQq9fgwrRbA Ik7xH4ZrfaoOBXU6+LMzgbWk3+YpoXSkEtgVkCKhMQcFiXgRwIuc324o/gAAAP//AwBQSwECLQAU AAYACAAAACEAtoM4kv4AAADhAQAAEwAAAAAAAAAAAAAAAAAAAAAAW0NvbnRlbnRfVHlwZXNdLnht bFBLAQItABQABgAIAAAAIQA4/SH/1gAAAJQBAAALAAAAAAAAAAAAAAAAAC8BAABfcmVscy8ucmVs c1BLAQItABQABgAIAAAAIQAAymunXgYAAFYxAAAOAAAAAAAAAAAAAAAAAC4CAABkcnMvZTJvRG9j LnhtbFBLAQItABQABgAIAAAAIQAXjF844AAAAAsBAAAPAAAAAAAAAAAAAAAAALgIAABkcnMvZG93 bnJldi54bWxQSwUGAAAAAAQABADzAAAAxQkAAAAA ">
                <v:rect id="Rectangle 85" o:spid="_x0000_s1096" style="position:absolute;left:27357;top:9462;width:22265;height:109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hLVFxAAAANwAAAAPAAAAZHJzL2Rvd25yZXYueG1sRI9BawJB DIXvBf/DEMFbnVWxlNVRVCiIeKkVxFvYiburO5lhZ6rrvzeHQm8J7+W9L/Nl5xp1pzbWng2Mhhko 4sLbmksDx5+v909QMSFbbDyTgSdFWC56b3PMrX/wN90PqVQSwjFHA1VKIdc6FhU5jEMfiEW7+NZh krUttW3xIeGu0eMs+9AOa5aGCgNtKipuh19n4BrD+jmK1529nfb+eD4HOxlPjRn0u9UMVKIu/Zv/ rrdW8KdCK8/IBHrxAgAA//8DAFBLAQItABQABgAIAAAAIQDb4fbL7gAAAIUBAAATAAAAAAAAAAAA AAAAAAAAAABbQ29udGVudF9UeXBlc10ueG1sUEsBAi0AFAAGAAgAAAAhAFr0LFu/AAAAFQEAAAsA AAAAAAAAAAAAAAAAHwEAAF9yZWxzLy5yZWxzUEsBAi0AFAAGAAgAAAAhACWEtUXEAAAA3AAAAA8A AAAAAAAAAAAAAAAABwIAAGRycy9kb3ducmV2LnhtbFBLBQYAAAAAAwADALcAAAD4AgAAAAA= " filled="f" strokecolor="#1f497d [3215]" strokeweight="1pt">
                  <v:textbox>
                    <w:txbxContent>
                      <w:p w:rsidR="003C3EA6" w:rsidRDefault="003C3EA6">
                        <w:pPr>
                          <w:rPr>
                            <w:color w:val="000000"/>
                            <w:sz w:val="18"/>
                            <w:szCs w:val="21"/>
                          </w:rPr>
                        </w:pPr>
                        <w:r>
                          <w:rPr>
                            <w:color w:val="000000"/>
                            <w:sz w:val="18"/>
                            <w:szCs w:val="21"/>
                          </w:rPr>
                          <w:t>Seimas (priima įstatymus)</w:t>
                        </w:r>
                      </w:p>
                      <w:p w:rsidR="003C3EA6" w:rsidRDefault="003C3EA6">
                        <w:pPr>
                          <w:rPr>
                            <w:color w:val="000000"/>
                            <w:sz w:val="18"/>
                            <w:szCs w:val="21"/>
                          </w:rPr>
                        </w:pPr>
                        <w:r>
                          <w:rPr>
                            <w:color w:val="000000"/>
                            <w:sz w:val="18"/>
                            <w:szCs w:val="21"/>
                          </w:rPr>
                          <w:t>Vyriausybė (priima nutarimus)</w:t>
                        </w:r>
                      </w:p>
                      <w:p w:rsidR="003C3EA6" w:rsidRDefault="003C3EA6">
                        <w:pPr>
                          <w:rPr>
                            <w:color w:val="000000"/>
                            <w:sz w:val="18"/>
                            <w:szCs w:val="21"/>
                          </w:rPr>
                        </w:pPr>
                        <w:r>
                          <w:rPr>
                            <w:color w:val="000000"/>
                            <w:sz w:val="18"/>
                            <w:szCs w:val="21"/>
                          </w:rPr>
                          <w:t>Aplinkos ministerija (priima įsakymus arba bendrus įsakymus su kitomis ministerijomis)</w:t>
                        </w:r>
                      </w:p>
                    </w:txbxContent>
                  </v:textbox>
                </v:rect>
                <v:group id="Group 105" o:spid="_x0000_s1097" style="position:absolute;width:58108;height:20453" coordsize="58108,2045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TRzcwwAAANwAAAAPAAAAZHJzL2Rvd25yZXYueG1sRE9Li8Iw EL4v+B/CCN40raK4XaOIqHgQwQcsexuasS02k9LEtv77zYKwt/n4nrNYdaYUDdWusKwgHkUgiFOr C84U3K674RyE88gaS8uk4EUOVsvexwITbVs+U3PxmQgh7BJUkHtfJVK6NCeDbmQr4sDdbW3QB1hn UtfYhnBTynEUzaTBgkNDjhVtckofl6dRsG+xXU/ibXN83Devn+v09H2MSalBv1t/gfDU+X/x233Q Yf70E/6eCRfI5S8AAAD//wMAUEsBAi0AFAAGAAgAAAAhANvh9svuAAAAhQEAABMAAAAAAAAAAAAA AAAAAAAAAFtDb250ZW50X1R5cGVzXS54bWxQSwECLQAUAAYACAAAACEAWvQsW78AAAAVAQAACwAA AAAAAAAAAAAAAAAfAQAAX3JlbHMvLnJlbHNQSwECLQAUAAYACAAAACEAyU0c3MMAAADcAAAADwAA AAAAAAAAAAAAAAAHAgAAZHJzL2Rvd25yZXYueG1sUEsFBgAAAAADAAMAtwAAAPcCAAAAAA== ">
                  <v:group id="Group 98" o:spid="_x0000_s1098" style="position:absolute;width:58108;height:20453" coordsize="58108,2045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G3/8xgAAANwAAAAPAAAAZHJzL2Rvd25yZXYueG1sRI9Pa8JA EMXvBb/DMoK3uklLRVI3IlKLBylUC6W3ITv5g9nZkF2T+O07h0JvM7w37/1ms51cqwbqQ+PZQLpM QBEX3jZcGfi6HB7XoEJEtth6JgN3CrDNZw8bzKwf+ZOGc6yUhHDI0EAdY5dpHYqaHIal74hFK33v MMraV9r2OEq4a/VTkqy0w4alocaO9jUV1/PNGXgfcdw9p2/D6Vru7z+Xl4/vU0rGLObT7hVUpCn+ m/+uj1bwV4Ivz8gEOv8FAAD//wMAUEsBAi0AFAAGAAgAAAAhANvh9svuAAAAhQEAABMAAAAAAAAA AAAAAAAAAAAAAFtDb250ZW50X1R5cGVzXS54bWxQSwECLQAUAAYACAAAACEAWvQsW78AAAAVAQAA CwAAAAAAAAAAAAAAAAAfAQAAX3JlbHMvLnJlbHNQSwECLQAUAAYACAAAACEAlht//MYAAADcAAAA DwAAAAAAAAAAAAAAAAAHAgAAZHJzL2Rvd25yZXYueG1sUEsFBgAAAAADAAMAtwAAAPoCAAAAAA== ">
                    <v:group id="Group 78" o:spid="_x0000_s1099" style="position:absolute;width:49622;height:20453" coordsize="49622,2045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yeGLwgAAANwAAAAPAAAAZHJzL2Rvd25yZXYueG1sRE9Ni8Iw EL0L+x/CLHjTtIoiXaOIuOJBFqyC7G1oxrbYTEqTbeu/N8KCt3m8z1mue1OJlhpXWlYQjyMQxJnV JecKLufv0QKE88gaK8uk4EEO1quPwRITbTs+UZv6XIQQdgkqKLyvEyldVpBBN7Y1ceButjHoA2xy qRvsQrip5CSK5tJgyaGhwJq2BWX39M8o2HfYbabxrj3eb9vH73n2cz3GpNTws998gfDU+7f4333Q Yf58Cq9nwgVy9QQAAP//AwBQSwECLQAUAAYACAAAACEA2+H2y+4AAACFAQAAEwAAAAAAAAAAAAAA AAAAAAAAW0NvbnRlbnRfVHlwZXNdLnhtbFBLAQItABQABgAIAAAAIQBa9CxbvwAAABUBAAALAAAA AAAAAAAAAAAAAB8BAABfcmVscy8ucmVsc1BLAQItABQABgAIAAAAIQBmyeGLwgAAANwAAAAPAAAA AAAAAAAAAAAAAAcCAABkcnMvZG93bnJldi54bWxQSwUGAAAAAAMAAwC3AAAA9gIAAAAA ">
                      <v:rect id="Rectangle 71" o:spid="_x0000_s1100" style="position:absolute;width:4472;height:2037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pBItwgAAANwAAAAPAAAAZHJzL2Rvd25yZXYueG1sRE9Na8JA EL0X/A/LCN7qxh6ipq6ihWAvPZgKpbchO01Cs7MxO2r677uC4G0e73NWm8G16kJ9aDwbmE0TUMSl tw1XBo6f+fMCVBBki61nMvBHATbr0dMKM+uvfKBLIZWKIRwyNFCLdJnWoazJYZj6jjhyP753KBH2 lbY9XmO4a/VLkqTaYcOxocaO3moqf4uzM1As99Iu0uXha3c8FfmHP+ffQsZMxsP2FZTQIA/x3f1u 4/x0Drdn4gV6/Q8AAP//AwBQSwECLQAUAAYACAAAACEA2+H2y+4AAACFAQAAEwAAAAAAAAAAAAAA AAAAAAAAW0NvbnRlbnRfVHlwZXNdLnhtbFBLAQItABQABgAIAAAAIQBa9CxbvwAAABUBAAALAAAA AAAAAAAAAAAAAB8BAABfcmVscy8ucmVsc1BLAQItABQABgAIAAAAIQBopBItwgAAANwAAAAPAAAA AAAAAAAAAAAAAAcCAABkcnMvZG93bnJldi54bWxQSwUGAAAAAAMAAwC3AAAA9gIAAAAA " fillcolor="#4f81bd [3204]" strokecolor="#243f60 [1604]" strokeweight="2pt">
                        <v:textbox style="layout-flow:vertical;mso-layout-flow-alt:bottom-to-top">
                          <w:txbxContent>
                            <w:p w:rsidR="003C3EA6" w:rsidRDefault="003C3EA6">
                              <w:pPr>
                                <w:jc w:val="center"/>
                                <w:rPr>
                                  <w:color w:val="FFFFFF"/>
                                  <w:sz w:val="18"/>
                                  <w:szCs w:val="21"/>
                                </w:rPr>
                              </w:pPr>
                              <w:r>
                                <w:rPr>
                                  <w:color w:val="FFFFFF"/>
                                  <w:sz w:val="18"/>
                                  <w:szCs w:val="21"/>
                                </w:rPr>
                                <w:t>Politikos, pagal kurią parengtas Planas, formavimas ir nustatymas</w:t>
                              </w:r>
                            </w:p>
                          </w:txbxContent>
                        </v:textbox>
                      </v:rect>
                      <v:rect id="Rectangle 72" o:spid="_x0000_s1101" style="position:absolute;left:5595;width:20531;height:890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Y9d5xAAAANwAAAAPAAAAZHJzL2Rvd25yZXYueG1sRI9BSwNB DIXvgv9hiODNzip0kLXTUtRaoYJY23vYSXcXN5llZ9pu/705CN4S3st7X2aLkTtzoiG1UTzcTwow JFUMrdQedt+ru0cwKaME7KKQhwslWMyvr2ZYhniWLzptc200RFKJHpqc+9LaVDXEmCaxJ1HtEAfG rOtQ2zDgWcO5sw9F4SxjK9rQYE/PDVU/2yN7cPv8xq+drNl+OPfCm2m/+Zx6f3szLp/AZBrzv/nv +j0ovlNafUYnsPNfAAAA//8DAFBLAQItABQABgAIAAAAIQDb4fbL7gAAAIUBAAATAAAAAAAAAAAA AAAAAAAAAABbQ29udGVudF9UeXBlc10ueG1sUEsBAi0AFAAGAAgAAAAhAFr0LFu/AAAAFQEAAAsA AAAAAAAAAAAAAAAAHwEAAF9yZWxzLy5yZWxzUEsBAi0AFAAGAAgAAAAhAPVj13nEAAAA3AAAAA8A AAAAAAAAAAAAAAAABwIAAGRycy9kb3ducmV2LnhtbFBLBQYAAAAAAwADALcAAAD4AgAAAAA= " fillcolor="#1f497d [3215]" strokecolor="#1f497d [3215]" strokeweight="1pt">
                        <v:textbox>
                          <w:txbxContent>
                            <w:p w:rsidR="003C3EA6" w:rsidRDefault="003C3EA6">
                              <w:pPr>
                                <w:rPr>
                                  <w:color w:val="FFFFFF"/>
                                  <w:sz w:val="18"/>
                                  <w:szCs w:val="21"/>
                                </w:rPr>
                              </w:pPr>
                              <w:r>
                                <w:rPr>
                                  <w:color w:val="FFFFFF"/>
                                  <w:sz w:val="18"/>
                                  <w:szCs w:val="21"/>
                                </w:rPr>
                                <w:t xml:space="preserve">Plano rengimas ir Plano </w:t>
                              </w:r>
                              <w:proofErr w:type="spellStart"/>
                              <w:r>
                                <w:rPr>
                                  <w:color w:val="FFFFFF"/>
                                  <w:sz w:val="18"/>
                                  <w:szCs w:val="21"/>
                                </w:rPr>
                                <w:t>įgyendinimo</w:t>
                              </w:r>
                              <w:proofErr w:type="spellEnd"/>
                              <w:r>
                                <w:rPr>
                                  <w:color w:val="FFFFFF"/>
                                  <w:sz w:val="18"/>
                                  <w:szCs w:val="21"/>
                                </w:rPr>
                                <w:t xml:space="preserve"> ataskaitų teikimas</w:t>
                              </w:r>
                            </w:p>
                          </w:txbxContent>
                        </v:textbox>
                      </v:rect>
                      <v:rect id="Rectangle 73" o:spid="_x0000_s1102" style="position:absolute;left:27348;width:22274;height:889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BK29wQAAANwAAAAPAAAAZHJzL2Rvd25yZXYueG1sRE9LawIx EL4X+h/CFLzVbD1IuxqlCIoHQbo+zkMy7q4mk3UT1/Xfm0Kht/n4njOd986KjtpQe1bwMcxAEGtv ai4V7HfL908QISIbtJ5JwYMCzGevL1PMjb/zD3VFLEUK4ZCjgirGJpcy6IochqFviBN38q3DmGBb StPiPYU7K0dZNpYOa04NFTa0qEhfiptTsOvWbnE4cqCgV7HYnu11o61Sg7f+ewIiUh//xX/utUnz x1/w+0y6QM6eAAAA//8DAFBLAQItABQABgAIAAAAIQDb4fbL7gAAAIUBAAATAAAAAAAAAAAAAAAA AAAAAABbQ29udGVudF9UeXBlc10ueG1sUEsBAi0AFAAGAAgAAAAhAFr0LFu/AAAAFQEAAAsAAAAA AAAAAAAAAAAAHwEAAF9yZWxzLy5yZWxzUEsBAi0AFAAGAAgAAAAhABEErb3BAAAA3AAAAA8AAAAA AAAAAAAAAAAABwIAAGRycy9kb3ducmV2LnhtbFBLBQYAAAAAAwADALcAAAD1AgAAAAA= " filled="f" strokecolor="#1f497d [3215]" strokeweight="1pt">
                        <v:textbox>
                          <w:txbxContent>
                            <w:p w:rsidR="003C3EA6" w:rsidRDefault="003C3EA6">
                              <w:pPr>
                                <w:jc w:val="both"/>
                                <w:rPr>
                                  <w:color w:val="000000"/>
                                  <w:sz w:val="18"/>
                                  <w:szCs w:val="21"/>
                                </w:rPr>
                              </w:pPr>
                              <w:r>
                                <w:rPr>
                                  <w:color w:val="000000"/>
                                  <w:sz w:val="18"/>
                                  <w:szCs w:val="21"/>
                                </w:rPr>
                                <w:t>Seimas: nustato oro taršos mažinimo tikslus ir įpareigoja parengti Planą. Vyriausybė: tvirtina Planą. Aplinkos ministerija: rengia, peržiūri ir atnaujina Planą, teikia Plano įgyvendinimo ataskaitas.</w:t>
                              </w:r>
                            </w:p>
                          </w:txbxContent>
                        </v:textbox>
                      </v:rect>
                      <v:rect id="Rectangle 74" o:spid="_x0000_s1103" style="position:absolute;left:5596;top:9510;width:20531;height:396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zE2ixAAAANwAAAAPAAAAZHJzL2Rvd25yZXYueG1sRI9La8NA DITvhf6HRYXemnULcYOTTQh9BhIIefQuvKptYmmNd5u4/746BHqTmNHMp9li4NacqY9NEAePowwM SRl8I5WD4+H9YQImJhSPbRBy8EsRFvPbmxkWPlxkR+d9qoyGSCzQQZ1SV1gby5oY4yh0JKp9h54x 6dpX1vd40XBu7VOW5ZaxEW2osaOXmsrT/ocd5F/pg99a+WS7yfNXXo+79Xbs3P3dsJyCSTSkf/P1 euUV/1nx9RmdwM7/AAAA//8DAFBLAQItABQABgAIAAAAIQDb4fbL7gAAAIUBAAATAAAAAAAAAAAA AAAAAAAAAABbQ29udGVudF9UeXBlc10ueG1sUEsBAi0AFAAGAAgAAAAhAFr0LFu/AAAAFQEAAAsA AAAAAAAAAAAAAAAAHwEAAF9yZWxzLy5yZWxzUEsBAi0AFAAGAAgAAAAhAI7MTaLEAAAA3AAAAA8A AAAAAAAAAAAAAAAABwIAAGRycy9kb3ducmV2LnhtbFBLBQYAAAAAAwADALcAAAD4AgAAAAA= " fillcolor="#1f497d [3215]" strokecolor="#1f497d [3215]" strokeweight="1pt">
                        <v:textbox>
                          <w:txbxContent>
                            <w:p w:rsidR="003C3EA6" w:rsidRDefault="003C3EA6">
                              <w:pPr>
                                <w:rPr>
                                  <w:color w:val="FFFFFF"/>
                                  <w:sz w:val="18"/>
                                  <w:szCs w:val="21"/>
                                </w:rPr>
                              </w:pPr>
                              <w:r>
                                <w:rPr>
                                  <w:color w:val="FFFFFF"/>
                                  <w:sz w:val="18"/>
                                  <w:szCs w:val="18"/>
                                </w:rPr>
                                <w:t>Išmetamų į aplinkos orą teršalų kiekį reguliuojantys teisės aktai</w:t>
                              </w:r>
                            </w:p>
                          </w:txbxContent>
                        </v:textbox>
                      </v:rect>
                      <v:rect id="Rectangle 75" o:spid="_x0000_s1104" style="position:absolute;left:5597;top:13807;width:20530;height:309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gOg5wQAAANwAAAAPAAAAZHJzL2Rvd25yZXYueG1sRE/basJA EH0v9B+WKfRNNwqmJbqKtNYKCsXb+5Adk2BmNmRXTf/eLQh9m8O5zmTWca2u1PrKiYFBPwFFkjtb SWHgsP/qvYPyAcVi7YQM/JKH2fT5aYKZdTfZ0nUXChVDxGdooAyhybT2eUmMvu8aksidXMsYImwL bVu8xXCu9TBJUs1YSWwosaGPkvLz7sIG0mNY8qKWb9abNP3k9ahZ/4yMeX3p5mNQgbrwL364VzbO fxvA3zPxAj29AwAA//8DAFBLAQItABQABgAIAAAAIQDb4fbL7gAAAIUBAAATAAAAAAAAAAAAAAAA AAAAAABbQ29udGVudF9UeXBlc10ueG1sUEsBAi0AFAAGAAgAAAAhAFr0LFu/AAAAFQEAAAsAAAAA AAAAAAAAAAAAHwEAAF9yZWxzLy5yZWxzUEsBAi0AFAAGAAgAAAAhAOGA6DnBAAAA3AAAAA8AAAAA AAAAAAAAAAAABwIAAGRycy9kb3ducmV2LnhtbFBLBQYAAAAAAwADALcAAAD1AgAAAAA= " fillcolor="#1f497d [3215]" strokecolor="#1f497d [3215]" strokeweight="1pt">
                        <v:textbox>
                          <w:txbxContent>
                            <w:p w:rsidR="003C3EA6" w:rsidRDefault="003C3EA6">
                              <w:pPr>
                                <w:rPr>
                                  <w:color w:val="FFFFFF"/>
                                  <w:sz w:val="18"/>
                                  <w:szCs w:val="21"/>
                                </w:rPr>
                              </w:pPr>
                              <w:r>
                                <w:rPr>
                                  <w:color w:val="FFFFFF"/>
                                  <w:sz w:val="18"/>
                                  <w:szCs w:val="18"/>
                                </w:rPr>
                                <w:t>Oro kokybę reguliuojantys teisės aktai</w:t>
                              </w:r>
                            </w:p>
                          </w:txbxContent>
                        </v:textbox>
                      </v:rect>
                      <v:rect id="Rectangle 76" o:spid="_x0000_s1105" style="position:absolute;left:5595;top:17360;width:20529;height:309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UnZOwQAAANwAAAAPAAAAZHJzL2Rvd25yZXYueG1sRE9Na8JA EL0L/Q/LCN50o2CU1FVKW2tBQZq29yE7TUIzsyG71fjvu4LgbR7vc1abnht1os7XTgxMJwkoksLZ WkoDX5/b8RKUDygWGydk4EIeNuuHwQoz687yQac8lCqGiM/QQBVCm2nti4oY/cS1JJH7cR1jiLAr te3wHMO50bMkSTVjLbGhwpaeKyp+8z82kH6HN35tZMf6kKYvvJ+3++PcmNGwf3oEFagPd/HN/W7j /MUMrs/EC/T6HwAA//8DAFBLAQItABQABgAIAAAAIQDb4fbL7gAAAIUBAAATAAAAAAAAAAAAAAAA AAAAAABbQ29udGVudF9UeXBlc10ueG1sUEsBAi0AFAAGAAgAAAAhAFr0LFu/AAAAFQEAAAsAAAAA AAAAAAAAAAAAHwEAAF9yZWxzLy5yZWxzUEsBAi0AFAAGAAgAAAAhABFSdk7BAAAA3AAAAA8AAAAA AAAAAAAAAAAABwIAAGRycy9kb3ducmV2LnhtbFBLBQYAAAAAAwADALcAAAD1AgAAAAA= " fillcolor="#1f497d [3215]" strokecolor="#1f497d [3215]" strokeweight="1pt">
                        <v:textbox>
                          <w:txbxContent>
                            <w:p w:rsidR="003C3EA6" w:rsidRDefault="003C3EA6">
                              <w:pPr>
                                <w:rPr>
                                  <w:color w:val="FFFFFF"/>
                                  <w:sz w:val="18"/>
                                  <w:szCs w:val="21"/>
                                </w:rPr>
                              </w:pPr>
                              <w:r>
                                <w:rPr>
                                  <w:color w:val="FFFFFF"/>
                                  <w:sz w:val="18"/>
                                  <w:szCs w:val="21"/>
                                </w:rPr>
                                <w:t>Klimato kaitą reguliuojantys teisės aktai</w:t>
                              </w:r>
                            </w:p>
                          </w:txbxContent>
                        </v:textbox>
                      </v:rect>
                    </v:group>
                    <v:group id="Group 97" o:spid="_x0000_s1106" style="position:absolute;left:51641;top:707;width:6467;height:19598" coordorigin="51641,707" coordsize="6467,195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IHn/wwAAANwAAAAPAAAAZHJzL2Rvd25yZXYueG1sRE9Li8Iw EL4L/ocwgjdNq7uydI0iouJBFnzAsrehGdtiMylNbOu/3wiCt/n4njNfdqYUDdWusKwgHkcgiFOr C84UXM7b0RcI55E1lpZJwYMcLBf93hwTbVs+UnPymQgh7BJUkHtfJVK6NCeDbmwr4sBdbW3QB1hn UtfYhnBTykkUzaTBgkNDjhWtc0pvp7tRsGuxXU3jTXO4XdePv/Pnz+8hJqWGg271DcJT59/il3uv w/zZBzyfCRfIxT8AAAD//wMAUEsBAi0AFAAGAAgAAAAhANvh9svuAAAAhQEAABMAAAAAAAAAAAAA AAAAAAAAAFtDb250ZW50X1R5cGVzXS54bWxQSwECLQAUAAYACAAAACEAWvQsW78AAAAVAQAACwAA AAAAAAAAAAAAAAAfAQAAX3JlbHMvLnJlbHNQSwECLQAUAAYACAAAACEA6SB5/8MAAADcAAAADwAA AAAAAAAAAAAAAAAHAgAAZHJzL2Rvd25yZXYueG1sUEsFBgAAAAADAAMAtwAAAPcCAAAAAA== ">
                      <v:rect id="Rectangle 89" o:spid="_x0000_s1107" style="position:absolute;left:51641;top:707;width:6467;height:80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VI/gwQAAANwAAAAPAAAAZHJzL2Rvd25yZXYueG1sRE9La8JA EL4X/A/LCN6ajS2KxqyStsT26NvrkB2T0OxsyK4a/323UOhtPr7npKveNOJGnastKxhHMQjiwuqa SwWHff48A+E8ssbGMil4kIPVcvCUYqLtnbd02/lShBB2CSqovG8TKV1RkUEX2ZY4cBfbGfQBdqXU Hd5DuGnkSxxPpcGaQ0OFLb1XVHzvrkbBtVi/ncs223zkr/wp7Xhujiet1GjYZwsQnnr/L/5zf+kw fzqB32fCBXL5AwAA//8DAFBLAQItABQABgAIAAAAIQDb4fbL7gAAAIUBAAATAAAAAAAAAAAAAAAA AAAAAABbQ29udGVudF9UeXBlc10ueG1sUEsBAi0AFAAGAAgAAAAhAFr0LFu/AAAAFQEAAAsAAAAA AAAAAAAAAAAAHwEAAF9yZWxzLy5yZWxzUEsBAi0AFAAGAAgAAAAhACVUj+DBAAAA3AAAAA8AAAAA AAAAAAAAAAAABwIAAGRycy9kb3ducmV2LnhtbFBLBQYAAAAAAwADALcAAAD1AgAAAAA= " fillcolor="white [3201]" strokecolor="#f79646 [3209]" strokeweight="1pt">
                        <v:textbox>
                          <w:txbxContent>
                            <w:p w:rsidR="003C3EA6" w:rsidRDefault="003C3EA6">
                              <w:pPr>
                                <w:jc w:val="both"/>
                                <w:rPr>
                                  <w:color w:val="000000"/>
                                  <w:sz w:val="18"/>
                                  <w:szCs w:val="21"/>
                                </w:rPr>
                              </w:pPr>
                              <w:r>
                                <w:rPr>
                                  <w:color w:val="000000"/>
                                  <w:sz w:val="18"/>
                                  <w:szCs w:val="21"/>
                                </w:rPr>
                                <w:t>Valstybės lygis</w:t>
                              </w:r>
                            </w:p>
                          </w:txbxContent>
                        </v:textbox>
                      </v:rect>
                      <v:rect id="Rectangle 91" o:spid="_x0000_s1108" style="position:absolute;left:51644;top:9446;width:6464;height:1085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hhGXwQAAANwAAAAPAAAAZHJzL2Rvd25yZXYueG1sRE9Li8Iw EL4L/ocwgjdNVShajeKu+Dhqd9Xr0My2ZZtJaaJ2//1GELzNx/ecxao1lbhT40rLCkbDCARxZnXJ uYLvr+1gCsJ5ZI2VZVLwRw5Wy25ngYm2Dz7RPfW5CCHsElRQeF8nUrqsIINuaGviwP3YxqAPsMml bvARwk0lx1EUS4Mlh4YCa/osKPtNb0bBLdt9XPN6fdxsJ7yXdjQz54tWqt9r13MQnlr/Fr/cBx3m xzE8nwkXyOU/AAAA//8DAFBLAQItABQABgAIAAAAIQDb4fbL7gAAAIUBAAATAAAAAAAAAAAAAAAA AAAAAABbQ29udGVudF9UeXBlc10ueG1sUEsBAi0AFAAGAAgAAAAhAFr0LFu/AAAAFQEAAAsAAAAA AAAAAAAAAAAAHwEAAF9yZWxzLy5yZWxzUEsBAi0AFAAGAAgAAAAhANWGEZfBAAAA3AAAAA8AAAAA AAAAAAAAAAAABwIAAGRycy9kb3ducmV2LnhtbFBLBQYAAAAAAwADALcAAAD1AgAAAAA= " fillcolor="white [3201]" strokecolor="#f79646 [3209]" strokeweight="1pt">
                        <v:textbox>
                          <w:txbxContent>
                            <w:p w:rsidR="003C3EA6" w:rsidRDefault="003C3EA6">
                              <w:pPr>
                                <w:jc w:val="both"/>
                                <w:rPr>
                                  <w:color w:val="000000"/>
                                  <w:sz w:val="18"/>
                                  <w:szCs w:val="21"/>
                                </w:rPr>
                              </w:pPr>
                              <w:r>
                                <w:rPr>
                                  <w:color w:val="000000"/>
                                  <w:sz w:val="18"/>
                                  <w:szCs w:val="21"/>
                                </w:rPr>
                                <w:t>Valstybės lygis</w:t>
                              </w:r>
                            </w:p>
                          </w:txbxContent>
                        </v:textbox>
                      </v:rect>
                    </v:group>
                  </v:group>
                  <v:shape id="Left Arrow 100" o:spid="_x0000_s1109" type="#_x0000_t66" style="position:absolute;left:49272;top:3558;width:2357;height:247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0IbywgAAANwAAAAPAAAAZHJzL2Rvd25yZXYueG1sRE9NS8NA EL0L/odlBC+L3aRIqLHbIkqh4Mm21OuQHZPQ7GzMju36711B8DaP9znLdfKDOtMU+8AWylkBirgJ rufWwmG/uVuAioLscAhMFr4pwnp1fbXE2oULv9F5J63KIRxrtNCJjLUxsenIY5yFkThzH2HyKBlO rXETXnK4H8y8KCrjsefc0OFIzx01p92Xt6DvY6VfjsfTVt4fyvT5qkUnbe3tTXp6BCWU5F/85966 PL8q4feZfIFZ/QAAAP//AwBQSwECLQAUAAYACAAAACEA2+H2y+4AAACFAQAAEwAAAAAAAAAAAAAA AAAAAAAAW0NvbnRlbnRfVHlwZXNdLnhtbFBLAQItABQABgAIAAAAIQBa9CxbvwAAABUBAAALAAAA AAAAAAAAAAAAAB8BAABfcmVscy8ucmVsc1BLAQItABQABgAIAAAAIQA50IbywgAAANwAAAAPAAAA AAAAAAAAAAAAAAcCAABkcnMvZG93bnJldi54bWxQSwUGAAAAAAMAAwC3AAAA9gIAAAAA " adj="10800" fillcolor="white [3212]" strokecolor="#ffc000" strokeweight="1pt"/>
                  <v:shape id="Left Arrow 102" o:spid="_x0000_s1110" type="#_x0000_t66" style="position:absolute;left:49272;top:13367;width:2356;height:247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AhiFwgAAANwAAAAPAAAAZHJzL2Rvd25yZXYueG1sRE9NSwMx EL0L/ocwgpdgsy2y6LZpKYpQ6Mkq9TpsprtLN5PtZmzjv28Ewds83ucsVsn36kxj7AJbmE4KUMR1 cB03Fj4/3h6eQEVBdtgHJgs/FGG1vL1ZYOXChd/pvJNG5RCOFVpoRYbKmFi35DFOwkCcuUMYPUqG Y2PciJcc7nszK4rSeOw4N7Q40EtL9XH37S3ox1jq1/3+uJGv52k6bbXopK29v0vrOSihJP/iP/fG 5fnlDH6fyReY5RUAAP//AwBQSwECLQAUAAYACAAAACEA2+H2y+4AAACFAQAAEwAAAAAAAAAAAAAA AAAAAAAAW0NvbnRlbnRfVHlwZXNdLnhtbFBLAQItABQABgAIAAAAIQBa9CxbvwAAABUBAAALAAAA AAAAAAAAAAAAAB8BAABfcmVscy8ucmVsc1BLAQItABQABgAIAAAAIQDJAhiFwgAAANwAAAAPAAAA AAAAAAAAAAAAAAcCAABkcnMvZG93bnJldi54bWxQSwUGAAAAAAMAAwC3AAAA9gIAAAAA " adj="10800" fillcolor="white [3212]" strokecolor="#ffc000" strokeweight="1pt"/>
                </v:group>
                <w10:wrap anchorx="page"/>
              </v:group>
            </w:pict>
          </mc:Fallback>
        </mc:AlternateContent>
      </w:r>
    </w:p>
    <w:p w:rsidR="000E7C4C" w:rsidRDefault="000E7C4C">
      <w:pPr>
        <w:tabs>
          <w:tab w:val="num" w:pos="0"/>
        </w:tabs>
        <w:ind w:firstLine="567"/>
        <w:jc w:val="both"/>
        <w:rPr>
          <w:color w:val="000000"/>
          <w:szCs w:val="21"/>
        </w:rPr>
      </w:pPr>
    </w:p>
    <w:p w:rsidR="000E7C4C" w:rsidRDefault="000E7C4C">
      <w:pPr>
        <w:tabs>
          <w:tab w:val="num" w:pos="0"/>
        </w:tabs>
        <w:ind w:firstLine="567"/>
        <w:jc w:val="both"/>
        <w:rPr>
          <w:color w:val="000000"/>
          <w:szCs w:val="21"/>
        </w:rPr>
      </w:pPr>
    </w:p>
    <w:p w:rsidR="000E7C4C" w:rsidRDefault="000E7C4C">
      <w:pPr>
        <w:tabs>
          <w:tab w:val="num" w:pos="0"/>
        </w:tabs>
        <w:ind w:firstLine="567"/>
        <w:jc w:val="both"/>
        <w:rPr>
          <w:color w:val="000000"/>
          <w:szCs w:val="21"/>
        </w:rPr>
      </w:pPr>
    </w:p>
    <w:p w:rsidR="000E7C4C" w:rsidRDefault="000E7C4C">
      <w:pPr>
        <w:tabs>
          <w:tab w:val="num" w:pos="0"/>
        </w:tabs>
        <w:ind w:firstLine="567"/>
        <w:jc w:val="both"/>
        <w:rPr>
          <w:color w:val="000000"/>
          <w:szCs w:val="21"/>
        </w:rPr>
      </w:pPr>
    </w:p>
    <w:p w:rsidR="000E7C4C" w:rsidRDefault="000E7C4C">
      <w:pPr>
        <w:tabs>
          <w:tab w:val="num" w:pos="0"/>
        </w:tabs>
        <w:ind w:firstLine="567"/>
        <w:jc w:val="both"/>
        <w:rPr>
          <w:color w:val="000000"/>
          <w:szCs w:val="21"/>
        </w:rPr>
      </w:pPr>
    </w:p>
    <w:p w:rsidR="000E7C4C" w:rsidRDefault="000E7C4C">
      <w:pPr>
        <w:tabs>
          <w:tab w:val="num" w:pos="0"/>
        </w:tabs>
        <w:ind w:firstLine="567"/>
        <w:jc w:val="both"/>
        <w:rPr>
          <w:color w:val="000000"/>
          <w:szCs w:val="21"/>
        </w:rPr>
      </w:pPr>
    </w:p>
    <w:p w:rsidR="000E7C4C" w:rsidRDefault="000E7C4C">
      <w:pPr>
        <w:tabs>
          <w:tab w:val="num" w:pos="0"/>
        </w:tabs>
        <w:ind w:firstLine="567"/>
        <w:jc w:val="both"/>
        <w:rPr>
          <w:color w:val="000000"/>
          <w:szCs w:val="21"/>
        </w:rPr>
      </w:pPr>
    </w:p>
    <w:p w:rsidR="000E7C4C" w:rsidRDefault="000E7C4C">
      <w:pPr>
        <w:tabs>
          <w:tab w:val="num" w:pos="0"/>
        </w:tabs>
        <w:ind w:firstLine="567"/>
        <w:jc w:val="both"/>
        <w:rPr>
          <w:color w:val="000000"/>
          <w:szCs w:val="21"/>
        </w:rPr>
      </w:pPr>
    </w:p>
    <w:p w:rsidR="000E7C4C" w:rsidRDefault="000E7C4C">
      <w:pPr>
        <w:ind w:firstLine="720"/>
        <w:jc w:val="both"/>
        <w:rPr>
          <w:color w:val="000000"/>
          <w:szCs w:val="21"/>
        </w:rPr>
      </w:pPr>
    </w:p>
    <w:p w:rsidR="000E7C4C" w:rsidRDefault="000E7C4C">
      <w:pPr>
        <w:ind w:firstLine="720"/>
        <w:jc w:val="both"/>
        <w:rPr>
          <w:color w:val="000000"/>
          <w:szCs w:val="21"/>
        </w:rPr>
      </w:pPr>
    </w:p>
    <w:p w:rsidR="000E7C4C" w:rsidRDefault="000E7C4C">
      <w:pPr>
        <w:ind w:firstLine="720"/>
        <w:jc w:val="both"/>
        <w:rPr>
          <w:color w:val="000000"/>
          <w:szCs w:val="21"/>
        </w:rPr>
      </w:pPr>
    </w:p>
    <w:p w:rsidR="000E7C4C" w:rsidRDefault="003C3EA6">
      <w:pPr>
        <w:tabs>
          <w:tab w:val="num" w:pos="0"/>
        </w:tabs>
        <w:jc w:val="both"/>
        <w:rPr>
          <w:color w:val="000000"/>
          <w:sz w:val="20"/>
        </w:rPr>
      </w:pPr>
      <w:r>
        <w:rPr>
          <w:color w:val="000000"/>
          <w:sz w:val="20"/>
        </w:rPr>
        <w:t>1 paveikslas. Pareigos ir atsakomybės, nustatytos institucijoms rengiant bei priimant teisės aktus, susijusius su Plano rengimu bei įgyvendinimu.</w:t>
      </w:r>
    </w:p>
    <w:p w:rsidR="000E7C4C" w:rsidRDefault="003C3EA6">
      <w:pPr>
        <w:tabs>
          <w:tab w:val="num" w:pos="0"/>
        </w:tabs>
        <w:jc w:val="both"/>
        <w:rPr>
          <w:bCs/>
          <w:color w:val="000000"/>
          <w:sz w:val="20"/>
        </w:rPr>
      </w:pPr>
    </w:p>
    <w:p w:rsidR="000E7C4C" w:rsidRDefault="003C3EA6">
      <w:pPr>
        <w:tabs>
          <w:tab w:val="left" w:pos="851"/>
        </w:tabs>
        <w:ind w:firstLine="567"/>
        <w:jc w:val="both"/>
        <w:rPr>
          <w:bCs/>
          <w:color w:val="000000"/>
          <w:szCs w:val="21"/>
        </w:rPr>
      </w:pPr>
      <w:r>
        <w:rPr>
          <w:bCs/>
          <w:color w:val="000000"/>
          <w:szCs w:val="21"/>
        </w:rPr>
        <w:t>4</w:t>
      </w:r>
      <w:r>
        <w:rPr>
          <w:bCs/>
          <w:color w:val="000000"/>
          <w:szCs w:val="21"/>
        </w:rPr>
        <w:t>.</w:t>
      </w:r>
      <w:r>
        <w:rPr>
          <w:bCs/>
          <w:color w:val="000000"/>
          <w:szCs w:val="21"/>
        </w:rPr>
        <w:tab/>
      </w:r>
      <w:r>
        <w:rPr>
          <w:color w:val="000000"/>
          <w:szCs w:val="21"/>
        </w:rPr>
        <w:t>Lietuvos Respublikos aplinkos ministras (arba kartu su kitais ministrais) pagal jam priskirtą kompetenciją priima įsakymus, reglamentuojančius planuojamos ir vykdomos ūkinės veiklos poveikio aplinkai (orui) vertinimą, oro taršos iš stacionarių šaltinių valdymą, į aplinkos orą iš stacionarių taršos šaltinių išmetamų teršalų apskaitą ir stebėseną, ūkio subjektų į aplinkos orą išmetamų teršalų poveikio aplinkai vertinimą,</w:t>
      </w:r>
      <w:r>
        <w:rPr>
          <w:bCs/>
          <w:color w:val="000000"/>
          <w:szCs w:val="21"/>
        </w:rPr>
        <w:t xml:space="preserve"> leidimų išdavimą, pakeitimą ir galiojimo panaikinimą, tam tikrų įrenginių registravimą, nacionalinės oro teršalų apskaitos vykdymą ir ataskaitų teikimą, neigiamo oro taršos poveikio ekosistemoms stebėseną, aplinkos oro kokybės vertinimą, valdymą ir ataskaitų teikimą.</w:t>
      </w:r>
    </w:p>
    <w:p w:rsidR="000E7C4C" w:rsidRDefault="003C3EA6">
      <w:pPr>
        <w:ind w:left="720"/>
        <w:jc w:val="both"/>
        <w:rPr>
          <w:bCs/>
          <w:color w:val="000000"/>
          <w:szCs w:val="21"/>
        </w:rPr>
      </w:pPr>
    </w:p>
    <w:p w:rsidR="000E7C4C" w:rsidRDefault="003C3EA6">
      <w:pPr>
        <w:keepNext/>
        <w:keepLines/>
        <w:jc w:val="center"/>
        <w:outlineLvl w:val="2"/>
        <w:rPr>
          <w:b/>
          <w:bCs/>
          <w:color w:val="000000"/>
          <w:szCs w:val="28"/>
        </w:rPr>
      </w:pPr>
      <w:r>
        <w:rPr>
          <w:b/>
          <w:bCs/>
          <w:color w:val="000000"/>
          <w:szCs w:val="28"/>
        </w:rPr>
        <w:t>II</w:t>
      </w:r>
      <w:r>
        <w:rPr>
          <w:b/>
          <w:bCs/>
          <w:color w:val="000000"/>
          <w:szCs w:val="28"/>
        </w:rPr>
        <w:t xml:space="preserve"> SKYRIUS</w:t>
      </w:r>
    </w:p>
    <w:p w:rsidR="000E7C4C" w:rsidRDefault="003C3EA6">
      <w:pPr>
        <w:keepNext/>
        <w:keepLines/>
        <w:jc w:val="center"/>
        <w:outlineLvl w:val="2"/>
        <w:rPr>
          <w:b/>
          <w:bCs/>
          <w:caps/>
          <w:color w:val="000000"/>
          <w:szCs w:val="28"/>
        </w:rPr>
      </w:pPr>
      <w:r>
        <w:rPr>
          <w:b/>
          <w:bCs/>
          <w:color w:val="000000"/>
          <w:szCs w:val="28"/>
        </w:rPr>
        <w:t>PLANE NUMATYTŲ PRIEMONIŲ ĮGYVENDINIMAS</w:t>
      </w:r>
    </w:p>
    <w:p w:rsidR="000E7C4C" w:rsidRDefault="000E7C4C">
      <w:pPr>
        <w:keepNext/>
        <w:keepLines/>
        <w:ind w:firstLine="62"/>
        <w:jc w:val="center"/>
        <w:outlineLvl w:val="2"/>
        <w:rPr>
          <w:b/>
          <w:bCs/>
          <w:caps/>
          <w:color w:val="000000"/>
          <w:szCs w:val="28"/>
        </w:rPr>
      </w:pPr>
    </w:p>
    <w:p w:rsidR="000E7C4C" w:rsidRDefault="003C3EA6">
      <w:pPr>
        <w:tabs>
          <w:tab w:val="left" w:pos="851"/>
        </w:tabs>
        <w:ind w:firstLine="567"/>
        <w:jc w:val="both"/>
        <w:rPr>
          <w:color w:val="000000"/>
          <w:szCs w:val="21"/>
        </w:rPr>
      </w:pPr>
      <w:r>
        <w:rPr>
          <w:color w:val="000000"/>
          <w:szCs w:val="21"/>
        </w:rPr>
        <w:t>5</w:t>
      </w:r>
      <w:r>
        <w:rPr>
          <w:color w:val="000000"/>
          <w:szCs w:val="21"/>
        </w:rPr>
        <w:t>.</w:t>
      </w:r>
      <w:r>
        <w:rPr>
          <w:color w:val="000000"/>
          <w:szCs w:val="21"/>
        </w:rPr>
        <w:tab/>
        <w:t>Aplinkos ministerija įgyvendina Plane numatytas jai priemones, kitos ministerijos pagal savo kompetenciją, savivaldybės, ūkio subjektai įgyvendina jiems priskirtas įgyvendinti priemones.</w:t>
      </w:r>
    </w:p>
    <w:p w:rsidR="000E7C4C" w:rsidRDefault="003C3EA6">
      <w:pPr>
        <w:tabs>
          <w:tab w:val="left" w:pos="851"/>
        </w:tabs>
        <w:ind w:firstLine="567"/>
        <w:jc w:val="both"/>
        <w:rPr>
          <w:color w:val="000000"/>
          <w:szCs w:val="21"/>
        </w:rPr>
      </w:pPr>
      <w:r>
        <w:rPr>
          <w:color w:val="000000"/>
          <w:szCs w:val="21"/>
        </w:rPr>
        <w:t>6</w:t>
      </w:r>
      <w:r>
        <w:rPr>
          <w:color w:val="000000"/>
          <w:szCs w:val="21"/>
        </w:rPr>
        <w:t>.</w:t>
      </w:r>
      <w:r>
        <w:rPr>
          <w:color w:val="000000"/>
          <w:szCs w:val="21"/>
        </w:rPr>
        <w:tab/>
        <w:t>Lietuvos Respublikos energetikos ministerija  įgyvendina priemones energetikos srityje, kurios netiesiogiai susijusios su oro taršos mažinimu, pavyzdžiui, didinant energijos vartojimo efektyvumą, skatinant atsinaujinančių energijos išteklių (toliau – AEI) naudojimą, skatinant aplinkai palankių technologijų naudojimą pramonėje, modernizuojant šilumos ūkį ir pan.</w:t>
      </w:r>
    </w:p>
    <w:p w:rsidR="000E7C4C" w:rsidRDefault="003C3EA6">
      <w:pPr>
        <w:tabs>
          <w:tab w:val="left" w:pos="851"/>
        </w:tabs>
        <w:ind w:firstLine="567"/>
        <w:jc w:val="both"/>
        <w:rPr>
          <w:color w:val="000000"/>
          <w:szCs w:val="21"/>
        </w:rPr>
      </w:pPr>
      <w:r>
        <w:rPr>
          <w:color w:val="000000"/>
          <w:szCs w:val="21"/>
        </w:rPr>
        <w:t>7</w:t>
      </w:r>
      <w:r>
        <w:rPr>
          <w:color w:val="000000"/>
          <w:szCs w:val="21"/>
        </w:rPr>
        <w:t>.</w:t>
      </w:r>
      <w:r>
        <w:rPr>
          <w:color w:val="000000"/>
          <w:szCs w:val="21"/>
        </w:rPr>
        <w:tab/>
        <w:t>Lietuvos Respublikos susisiekimo ministerija įgyvendina priemones, kuriomis kartu siekiama prisidėti prie oro taršos mažinimo transporto sektoriuje, pavyzdžiui, vystant elektra varomų automobilių pakrovimo vietų infrastruktūrą, mažinant iškastinio kuro rėmimą (subsidijų forma), investuojant į mažai taršias transporto technologijas ir pan.</w:t>
      </w:r>
    </w:p>
    <w:p w:rsidR="000E7C4C" w:rsidRDefault="003C3EA6">
      <w:pPr>
        <w:tabs>
          <w:tab w:val="left" w:pos="851"/>
        </w:tabs>
        <w:ind w:firstLine="567"/>
        <w:jc w:val="both"/>
        <w:rPr>
          <w:color w:val="000000"/>
          <w:szCs w:val="21"/>
        </w:rPr>
      </w:pPr>
      <w:r>
        <w:rPr>
          <w:color w:val="000000"/>
          <w:szCs w:val="21"/>
        </w:rPr>
        <w:t>8</w:t>
      </w:r>
      <w:r>
        <w:rPr>
          <w:color w:val="000000"/>
          <w:szCs w:val="21"/>
        </w:rPr>
        <w:t>.</w:t>
      </w:r>
      <w:r>
        <w:rPr>
          <w:color w:val="000000"/>
          <w:szCs w:val="21"/>
        </w:rPr>
        <w:tab/>
        <w:t xml:space="preserve">Lietuvos Respublikos žemės ūkio ministerija  įgyvendina priemones, kuriomis kartu mažinama tarša iš žemės ūkio veiklos, ypač amoniako, pavyzdžiui, skatinant naujų ir </w:t>
      </w:r>
      <w:proofErr w:type="spellStart"/>
      <w:r>
        <w:rPr>
          <w:color w:val="000000"/>
          <w:szCs w:val="21"/>
        </w:rPr>
        <w:t>inovatyvių</w:t>
      </w:r>
      <w:proofErr w:type="spellEnd"/>
      <w:r>
        <w:rPr>
          <w:color w:val="000000"/>
          <w:szCs w:val="21"/>
        </w:rPr>
        <w:t xml:space="preserve"> pašarų tiekimo ir gyvulių laikymo tvartuose technologijų įgyvendinimą, vykdant informacinę veiklą, iš dalies susijusią ir su oro taršos mažinimo klausimais, skirtą ūkininkams ir kt.</w:t>
      </w:r>
    </w:p>
    <w:p w:rsidR="000E7C4C" w:rsidRDefault="000E7C4C">
      <w:pPr>
        <w:tabs>
          <w:tab w:val="left" w:pos="851"/>
        </w:tabs>
        <w:ind w:left="567"/>
        <w:jc w:val="both"/>
        <w:rPr>
          <w:color w:val="000000"/>
          <w:szCs w:val="21"/>
        </w:rPr>
      </w:pPr>
    </w:p>
    <w:p w:rsidR="000E7C4C" w:rsidRDefault="003C3EA6">
      <w:pPr>
        <w:tabs>
          <w:tab w:val="num" w:pos="0"/>
        </w:tabs>
        <w:jc w:val="both"/>
        <w:rPr>
          <w:bCs/>
          <w:color w:val="000000"/>
          <w:szCs w:val="21"/>
        </w:rPr>
      </w:pPr>
      <w:r>
        <w:rPr>
          <w:noProof/>
          <w:lang w:eastAsia="lt-LT"/>
        </w:rPr>
        <mc:AlternateContent>
          <mc:Choice Requires="wpg">
            <w:drawing>
              <wp:anchor distT="0" distB="0" distL="114300" distR="114300" simplePos="0" relativeHeight="251671552" behindDoc="0" locked="0" layoutInCell="1" allowOverlap="1" wp14:anchorId="6F791922" wp14:editId="4C6D0AAF">
                <wp:simplePos x="0" y="0"/>
                <wp:positionH relativeFrom="margin">
                  <wp:posOffset>263525</wp:posOffset>
                </wp:positionH>
                <wp:positionV relativeFrom="paragraph">
                  <wp:posOffset>10795</wp:posOffset>
                </wp:positionV>
                <wp:extent cx="5614670" cy="2793365"/>
                <wp:effectExtent l="0" t="0" r="24130" b="26035"/>
                <wp:wrapNone/>
                <wp:docPr id="216" name="Grupė 216"/>
                <wp:cNvGraphicFramePr/>
                <a:graphic xmlns:a="http://schemas.openxmlformats.org/drawingml/2006/main">
                  <a:graphicData uri="http://schemas.microsoft.com/office/word/2010/wordprocessingGroup">
                    <wpg:wgp>
                      <wpg:cNvGrpSpPr/>
                      <wpg:grpSpPr>
                        <a:xfrm>
                          <a:off x="0" y="0"/>
                          <a:ext cx="5614670" cy="2793365"/>
                          <a:chOff x="0" y="0"/>
                          <a:chExt cx="5615035" cy="2793825"/>
                        </a:xfrm>
                      </wpg:grpSpPr>
                      <wpg:grpSp>
                        <wpg:cNvPr id="127" name="Group 180"/>
                        <wpg:cNvGrpSpPr/>
                        <wpg:grpSpPr>
                          <a:xfrm>
                            <a:off x="2677591" y="1773945"/>
                            <a:ext cx="2143125" cy="1018044"/>
                            <a:chOff x="2677591" y="1773945"/>
                            <a:chExt cx="2225040" cy="1018044"/>
                          </a:xfrm>
                        </wpg:grpSpPr>
                        <wps:wsp>
                          <wps:cNvPr id="154" name="Rectangle 183"/>
                          <wps:cNvSpPr/>
                          <wps:spPr>
                            <a:xfrm>
                              <a:off x="2677591" y="1773945"/>
                              <a:ext cx="2225040" cy="238125"/>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21"/>
                                  </w:rPr>
                                </w:pPr>
                                <w:r>
                                  <w:rPr>
                                    <w:color w:val="000000"/>
                                    <w:sz w:val="18"/>
                                    <w:szCs w:val="21"/>
                                  </w:rPr>
                                  <w:t>Aplinkos ministerija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 name="Rectangle 186"/>
                          <wps:cNvSpPr/>
                          <wps:spPr>
                            <a:xfrm>
                              <a:off x="2677591" y="2086035"/>
                              <a:ext cx="2225040" cy="257175"/>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21"/>
                                  </w:rPr>
                                </w:pPr>
                                <w:r>
                                  <w:rPr>
                                    <w:color w:val="000000"/>
                                    <w:sz w:val="18"/>
                                    <w:szCs w:val="21"/>
                                  </w:rPr>
                                  <w:t xml:space="preserve">Kitos ministerijos pagal jų kompetencijas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Rectangle 187"/>
                          <wps:cNvSpPr/>
                          <wps:spPr>
                            <a:xfrm>
                              <a:off x="2677591" y="2420514"/>
                              <a:ext cx="2225040" cy="371475"/>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21"/>
                                  </w:rPr>
                                </w:pPr>
                                <w:r>
                                  <w:rPr>
                                    <w:color w:val="000000"/>
                                    <w:sz w:val="18"/>
                                    <w:szCs w:val="21"/>
                                  </w:rPr>
                                  <w:t>Savivaldybės pagal joms priskirtas kompetencijas, ūkio subjektai</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28" name="Group 215"/>
                        <wpg:cNvGrpSpPr/>
                        <wpg:grpSpPr>
                          <a:xfrm>
                            <a:off x="0" y="0"/>
                            <a:ext cx="5615035" cy="2793825"/>
                            <a:chOff x="0" y="0"/>
                            <a:chExt cx="5615035" cy="2793825"/>
                          </a:xfrm>
                        </wpg:grpSpPr>
                        <wpg:grpSp>
                          <wpg:cNvPr id="129" name="Group 134"/>
                          <wpg:cNvGrpSpPr/>
                          <wpg:grpSpPr>
                            <a:xfrm>
                              <a:off x="0" y="0"/>
                              <a:ext cx="5615035" cy="2793825"/>
                              <a:chOff x="0" y="0"/>
                              <a:chExt cx="5615611" cy="2794038"/>
                            </a:xfrm>
                          </wpg:grpSpPr>
                          <wpg:grpSp>
                            <wpg:cNvPr id="142" name="Group 122"/>
                            <wpg:cNvGrpSpPr/>
                            <wpg:grpSpPr>
                              <a:xfrm>
                                <a:off x="0" y="0"/>
                                <a:ext cx="5606619" cy="2794038"/>
                                <a:chOff x="0" y="0"/>
                                <a:chExt cx="5606619" cy="2794306"/>
                              </a:xfrm>
                            </wpg:grpSpPr>
                            <wpg:grpSp>
                              <wpg:cNvPr id="146" name="Group 79"/>
                              <wpg:cNvGrpSpPr/>
                              <wpg:grpSpPr>
                                <a:xfrm>
                                  <a:off x="0" y="1"/>
                                  <a:ext cx="2553627" cy="2794305"/>
                                  <a:chOff x="0" y="1"/>
                                  <a:chExt cx="2553680" cy="2795077"/>
                                </a:xfrm>
                              </wpg:grpSpPr>
                              <wps:wsp>
                                <wps:cNvPr id="150" name="Rectangle 80"/>
                                <wps:cNvSpPr/>
                                <wps:spPr>
                                  <a:xfrm>
                                    <a:off x="0" y="8619"/>
                                    <a:ext cx="387985" cy="278645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jc w:val="center"/>
                                        <w:rPr>
                                          <w:color w:val="FFFFFF"/>
                                          <w:sz w:val="18"/>
                                          <w:szCs w:val="21"/>
                                        </w:rPr>
                                      </w:pPr>
                                      <w:r>
                                        <w:rPr>
                                          <w:color w:val="FFFFFF"/>
                                          <w:sz w:val="18"/>
                                          <w:szCs w:val="21"/>
                                        </w:rPr>
                                        <w:t>Įgyvendinimas</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51" name="Rectangle 81"/>
                                <wps:cNvSpPr/>
                                <wps:spPr>
                                  <a:xfrm>
                                    <a:off x="500334" y="1"/>
                                    <a:ext cx="2052698" cy="1113865"/>
                                  </a:xfrm>
                                  <a:prstGeom prst="rect">
                                    <a:avLst/>
                                  </a:prstGeom>
                                  <a:solidFill>
                                    <a:schemeClr val="tx2"/>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FFFFFF"/>
                                          <w:sz w:val="18"/>
                                          <w:szCs w:val="21"/>
                                        </w:rPr>
                                      </w:pPr>
                                      <w:r>
                                        <w:rPr>
                                          <w:color w:val="FFFFFF"/>
                                          <w:sz w:val="18"/>
                                          <w:szCs w:val="21"/>
                                        </w:rPr>
                                        <w:t>Priemonių, įtrauktų į Planą, įgyvendinimas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 name="Rectangle 83"/>
                                <wps:cNvSpPr/>
                                <wps:spPr>
                                  <a:xfrm>
                                    <a:off x="500411" y="1224648"/>
                                    <a:ext cx="2052967" cy="452232"/>
                                  </a:xfrm>
                                  <a:prstGeom prst="rect">
                                    <a:avLst/>
                                  </a:prstGeom>
                                  <a:solidFill>
                                    <a:schemeClr val="tx2"/>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FFFFFF"/>
                                          <w:sz w:val="18"/>
                                          <w:szCs w:val="21"/>
                                        </w:rPr>
                                      </w:pPr>
                                      <w:r>
                                        <w:rPr>
                                          <w:color w:val="FFFFFF"/>
                                          <w:sz w:val="18"/>
                                          <w:szCs w:val="21"/>
                                        </w:rPr>
                                        <w:t>Oro kokybės planų įgyvendinimas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 name="Rectangle 84"/>
                                <wps:cNvSpPr/>
                                <wps:spPr>
                                  <a:xfrm>
                                    <a:off x="500713" y="1774742"/>
                                    <a:ext cx="2052967" cy="1020336"/>
                                  </a:xfrm>
                                  <a:prstGeom prst="rect">
                                    <a:avLst/>
                                  </a:prstGeom>
                                  <a:solidFill>
                                    <a:schemeClr val="tx2"/>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FFFFFF"/>
                                          <w:sz w:val="18"/>
                                          <w:szCs w:val="21"/>
                                        </w:rPr>
                                      </w:pPr>
                                      <w:r>
                                        <w:rPr>
                                          <w:color w:val="FFFFFF"/>
                                          <w:sz w:val="18"/>
                                          <w:szCs w:val="21"/>
                                        </w:rPr>
                                        <w:t>Klimato kaitos priemonių įgyvendinimas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7" name="Group 121"/>
                              <wpg:cNvGrpSpPr/>
                              <wpg:grpSpPr>
                                <a:xfrm>
                                  <a:off x="4960189" y="0"/>
                                  <a:ext cx="646430" cy="1166549"/>
                                  <a:chOff x="4960189" y="0"/>
                                  <a:chExt cx="646430" cy="1166549"/>
                                </a:xfrm>
                              </wpg:grpSpPr>
                              <wps:wsp>
                                <wps:cNvPr id="148" name="Rectangle 116"/>
                                <wps:cNvSpPr/>
                                <wps:spPr>
                                  <a:xfrm>
                                    <a:off x="4968816" y="0"/>
                                    <a:ext cx="637803" cy="709695"/>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3C3EA6" w:rsidRDefault="003C3EA6">
                                      <w:pPr>
                                        <w:jc w:val="both"/>
                                        <w:rPr>
                                          <w:color w:val="000000"/>
                                          <w:sz w:val="16"/>
                                          <w:szCs w:val="21"/>
                                        </w:rPr>
                                      </w:pPr>
                                      <w:r>
                                        <w:rPr>
                                          <w:color w:val="000000"/>
                                          <w:sz w:val="16"/>
                                          <w:szCs w:val="21"/>
                                        </w:rPr>
                                        <w:t xml:space="preserve">Valstybės lygiu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 name="Rectangle 117"/>
                                <wps:cNvSpPr/>
                                <wps:spPr>
                                  <a:xfrm>
                                    <a:off x="4960189" y="792684"/>
                                    <a:ext cx="646430" cy="373865"/>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3C3EA6" w:rsidRDefault="003C3EA6">
                                      <w:pPr>
                                        <w:spacing w:line="360" w:lineRule="atLeast"/>
                                        <w:jc w:val="both"/>
                                        <w:rPr>
                                          <w:color w:val="000000"/>
                                          <w:sz w:val="14"/>
                                          <w:szCs w:val="21"/>
                                        </w:rPr>
                                      </w:pPr>
                                      <w:r>
                                        <w:rPr>
                                          <w:color w:val="000000"/>
                                          <w:sz w:val="14"/>
                                          <w:szCs w:val="21"/>
                                        </w:rPr>
                                        <w:t>Vietos lygiu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43" name="Rectangle 125"/>
                            <wps:cNvSpPr/>
                            <wps:spPr>
                              <a:xfrm>
                                <a:off x="4968493" y="1224393"/>
                                <a:ext cx="645795" cy="451861"/>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3C3EA6" w:rsidRDefault="003C3EA6">
                                  <w:pPr>
                                    <w:spacing w:line="360" w:lineRule="atLeast"/>
                                    <w:jc w:val="both"/>
                                    <w:rPr>
                                      <w:color w:val="000000"/>
                                      <w:sz w:val="14"/>
                                      <w:szCs w:val="21"/>
                                    </w:rPr>
                                  </w:pPr>
                                  <w:r>
                                    <w:rPr>
                                      <w:color w:val="000000"/>
                                      <w:sz w:val="14"/>
                                      <w:szCs w:val="21"/>
                                    </w:rPr>
                                    <w:t>Vietos lygiu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29"/>
                            <wps:cNvSpPr/>
                            <wps:spPr>
                              <a:xfrm>
                                <a:off x="4969816" y="1774145"/>
                                <a:ext cx="645795" cy="542966"/>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3C3EA6" w:rsidRDefault="003C3EA6">
                                  <w:pPr>
                                    <w:jc w:val="both"/>
                                    <w:rPr>
                                      <w:color w:val="000000"/>
                                      <w:sz w:val="16"/>
                                      <w:szCs w:val="21"/>
                                    </w:rPr>
                                  </w:pPr>
                                  <w:r>
                                    <w:rPr>
                                      <w:color w:val="000000"/>
                                      <w:sz w:val="16"/>
                                      <w:szCs w:val="21"/>
                                    </w:rPr>
                                    <w:t xml:space="preserve">Valstybės lygiu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Rectangle 130"/>
                            <wps:cNvSpPr/>
                            <wps:spPr>
                              <a:xfrm>
                                <a:off x="4968816" y="2416377"/>
                                <a:ext cx="645795" cy="344831"/>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3C3EA6" w:rsidRDefault="003C3EA6">
                                  <w:pPr>
                                    <w:spacing w:line="360" w:lineRule="atLeast"/>
                                    <w:jc w:val="both"/>
                                    <w:rPr>
                                      <w:color w:val="000000"/>
                                      <w:sz w:val="14"/>
                                      <w:szCs w:val="21"/>
                                    </w:rPr>
                                  </w:pPr>
                                  <w:r>
                                    <w:rPr>
                                      <w:color w:val="000000"/>
                                      <w:sz w:val="14"/>
                                      <w:szCs w:val="21"/>
                                    </w:rPr>
                                    <w:t>Vietos lygiu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0" name="Group 153"/>
                          <wpg:cNvGrpSpPr/>
                          <wpg:grpSpPr>
                            <a:xfrm>
                              <a:off x="2670048" y="1"/>
                              <a:ext cx="2150669" cy="1156070"/>
                              <a:chOff x="2670048" y="1"/>
                              <a:chExt cx="2232872" cy="1156070"/>
                            </a:xfrm>
                          </wpg:grpSpPr>
                          <wps:wsp>
                            <wps:cNvPr id="139" name="Rectangle 106"/>
                            <wps:cNvSpPr/>
                            <wps:spPr>
                              <a:xfrm>
                                <a:off x="2670048" y="1"/>
                                <a:ext cx="2225040" cy="238125"/>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21"/>
                                    </w:rPr>
                                  </w:pPr>
                                  <w:r>
                                    <w:rPr>
                                      <w:color w:val="000000"/>
                                      <w:sz w:val="18"/>
                                      <w:szCs w:val="21"/>
                                    </w:rPr>
                                    <w:t>Aplinkos ministerija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 name="Rectangle 110"/>
                            <wps:cNvSpPr/>
                            <wps:spPr>
                              <a:xfrm>
                                <a:off x="2670049" y="285751"/>
                                <a:ext cx="2225041" cy="423824"/>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21"/>
                                    </w:rPr>
                                  </w:pPr>
                                  <w:r>
                                    <w:rPr>
                                      <w:color w:val="000000"/>
                                      <w:sz w:val="18"/>
                                      <w:szCs w:val="21"/>
                                    </w:rPr>
                                    <w:t xml:space="preserve">Kitos ministerijos ir institucijos pagal jų kompetencijas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 name="Rectangle 114"/>
                            <wps:cNvSpPr/>
                            <wps:spPr>
                              <a:xfrm>
                                <a:off x="2677880" y="784596"/>
                                <a:ext cx="2225040" cy="371475"/>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21"/>
                                    </w:rPr>
                                  </w:pPr>
                                  <w:r>
                                    <w:rPr>
                                      <w:color w:val="000000"/>
                                      <w:sz w:val="18"/>
                                      <w:szCs w:val="21"/>
                                    </w:rPr>
                                    <w:t>Savivaldybės pagal joms priskirtas kompetencijas, ūkio subjektai</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31" name="Rectangle 169"/>
                          <wps:cNvSpPr/>
                          <wps:spPr>
                            <a:xfrm>
                              <a:off x="2669874" y="1224501"/>
                              <a:ext cx="2143125" cy="451625"/>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21"/>
                                  </w:rPr>
                                </w:pPr>
                                <w:r>
                                  <w:rPr>
                                    <w:color w:val="000000"/>
                                    <w:sz w:val="18"/>
                                    <w:szCs w:val="21"/>
                                  </w:rPr>
                                  <w:t>Savivaldybės pagal joms priskirtas kompetencijas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Left Arrow 188"/>
                          <wps:cNvSpPr/>
                          <wps:spPr>
                            <a:xfrm>
                              <a:off x="4813401" y="65838"/>
                              <a:ext cx="148656" cy="114300"/>
                            </a:xfrm>
                            <a:prstGeom prst="leftArrow">
                              <a:avLst/>
                            </a:prstGeom>
                            <a:ln w="1270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 name="Left Arrow 193"/>
                          <wps:cNvSpPr/>
                          <wps:spPr>
                            <a:xfrm>
                              <a:off x="4813401" y="343815"/>
                              <a:ext cx="148656" cy="114300"/>
                            </a:xfrm>
                            <a:prstGeom prst="leftArrow">
                              <a:avLst/>
                            </a:prstGeom>
                            <a:ln w="1270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Left Arrow 209"/>
                          <wps:cNvSpPr/>
                          <wps:spPr>
                            <a:xfrm>
                              <a:off x="4820716" y="1285037"/>
                              <a:ext cx="148590" cy="114300"/>
                            </a:xfrm>
                            <a:prstGeom prst="leftArrow">
                              <a:avLst/>
                            </a:prstGeom>
                            <a:ln w="1270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 name="Left Arrow 211"/>
                          <wps:cNvSpPr/>
                          <wps:spPr>
                            <a:xfrm>
                              <a:off x="4813401" y="2165300"/>
                              <a:ext cx="148590" cy="114300"/>
                            </a:xfrm>
                            <a:prstGeom prst="leftArrow">
                              <a:avLst/>
                            </a:prstGeom>
                            <a:ln w="1270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 name="Left Arrow 212"/>
                          <wps:cNvSpPr/>
                          <wps:spPr>
                            <a:xfrm>
                              <a:off x="4813401" y="2450593"/>
                              <a:ext cx="148590" cy="114300"/>
                            </a:xfrm>
                            <a:prstGeom prst="leftArrow">
                              <a:avLst/>
                            </a:prstGeom>
                            <a:ln w="1270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 name="Left Arrow 213"/>
                          <wps:cNvSpPr/>
                          <wps:spPr>
                            <a:xfrm>
                              <a:off x="4813173" y="1822857"/>
                              <a:ext cx="148590" cy="114300"/>
                            </a:xfrm>
                            <a:prstGeom prst="leftArrow">
                              <a:avLst/>
                            </a:prstGeom>
                            <a:ln w="1270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 name="Left Arrow 214"/>
                          <wps:cNvSpPr/>
                          <wps:spPr>
                            <a:xfrm>
                              <a:off x="4811091" y="952500"/>
                              <a:ext cx="148590" cy="114300"/>
                            </a:xfrm>
                            <a:prstGeom prst="leftArrow">
                              <a:avLst/>
                            </a:prstGeom>
                            <a:ln w="1270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F791922" id="Grupė 216" o:spid="_x0000_s1111" style="position:absolute;left:0;text-align:left;margin-left:20.75pt;margin-top:.85pt;width:442.1pt;height:219.95pt;z-index:251671552;mso-position-horizontal-relative:margin;mso-width-relative:margin;mso-height-relative:margin" coordsize="56150,279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RwB9wgAAIdeAAAOAAAAZHJzL2Uyb0RvYy54bWzsXN1u2zYUvh+wdxB8v1qkqD+jSRG0azCg 2Iq2Q69VWY6NyZImKXW6F9kL7cH28UeUrCiFlLaOE7MXqW2JFA/F7/x855DPX9xsU+tzUlabPDub kWf2zEqyOF9usquz2Z8fXv8SzKyqjrJllOZZcjb7klSzF+c///R8VywSmq/zdJmUFjrJqsWuOJut 67pYzOdVvE62UfUsL5IMF1d5uY1qfC2v5ssy2qH3bTqntu3Nd3m5LMo8TqoKv76SF2fnov/VKonr P1arKqmt9GyGsdXibyn+fuJ/5+fPo8VVGRXrTayGEd1jFNtok+GhuqtXUR1Z1+XmVlfbTVzmVb6q n8X5dp6vVps4ETJAGmL3pLks8+tCyHK12F0Vepowtb15une38e+f35bWZnk2o8SbWVm0xUu6LK+L //61+C+Yn11xtcBtl2Xxvnhbqh+u5Dcu8s2q3PL/IYx1I2b2i57Z5Ka2YvzoeoR5Pl5AjGvUDx3H c+Xcx2u8oFvt4vWvbUvXdty2ZUBFy3nz4Dkfnx6O/qLHrcQj1G/Fw7RaJBBvf6J01PN9NyQzC3IQ 33dCpuRoJKWEOQRDFJISG09hrCfpnX20UlNKXZup+er0cqfUQE/VLpDq2xbI+3VUJGLdVfzNNzPo smYG3wFXUXaVJphFR64RcadeINWiwloZWB13yq7nrys5dQI+l1hzWvBoUZRVfZnkW4t/OJuVGIuA XvT5TVXLW5tb+ACy/PUmTfF7tEgza4fXRn3bFi2qPN0s+VV+Uaic5GVaWp8jKIv6hqrndu7CKNIM g9kVjYDiU/0lTWT/75IVwIQFT+UDuBpr+4ziOMlqIi+to2UiH+Xa+Nc8rGkhRE4zdMh7XmGQum/V QXOn7KTpW06Aup83TYQW1I2V5F9rrFuIJ+dZrRtvN1leDkmWQir1ZHl/M0lyavgs1TefboSiwTLC rfynT/nyCxZXmUu1XBXx6w3e6Zuoqt9GJfQwAADbgqvrvPxnZu2gp89m1d/XUZnMrPS3DOs8JIzj pBZfmOtTfCm7Vz51r2TX25c53i4AjKeJj/z+Om0+rsp8+xEm5YI/FZeiLMazsRyajy9raT1gkuLk 4kLcBFVeRPWb7H0R8675tPEV+OHmY1QWapnWWOC/5w2yokVvtcp7ecssv7iu89VGLOV2ltSEAuVy 7g4AdygxaQ+6cFcm4R5wp3bgcU0uoDgMd9cnvoH7E4O7eKHtQjZw16rhuOCu3b8u3P1GV8MPmGbd KaO2S5TvMwh3xyfMwP2pWXdtIIx1Fz5c6wmMhHsb0MgYRsQ2t8MZBNZNtMbDGUqUnv0uwdpgyBUt DheshfvSEUc5jQ8tnUfgOqogltlOoLxeGQO3b47HPneHooz2pKMi1pgYisI7HQq0bc8jmL3eGMe8 u15LxxZQ1pHXaOm0IRH8heWH0obc49WJoAIhjOICqOs6Ho/jG+EcW7mTvYWp2nXiad4SAX/T0rV9 YdnuFO4g8TTG03ewG1JipH8t10DA3/ieW+0Efhho0iTwmCtu0OJOjKJNwNunByYFvNqJGm8SedgL nuJBY964Lk8w6oV+vwVKoU94CDPKCwaf48BeCYpwH5bwiKkXwnJzBUYIcQJJg94Xl2CtplJYhgXj 9NwRsGDCdXhkYfFpagTtrbWB8UTWGxqBcceRo55S5jHx8juODfRC6CnHhrmUOg353CRXGkZ7JOlt 1MIg8a4oakmm83BMU92StT8CtaCc5UdFjp+mWnAGHAWd2hjrKPgE3chcIvMRF+558dxd0GqB2BRu xX5INtGNN+5CL8n3eJJmnkpWG72wl+SdlDZrCYyvkjP9OgGqvP9J/AULPeT+wcPcpmg82H9HURGE eJ7LVPCuSYyBxi2VcUdzHUK0UkoS6hBMBvyZW0ETRJO8z8ioCUIHAa9BGZgxxw9s6EkeNfl26IXf mCPs1gFwl4B74bJeQXyals5vNPKEXH2HPLiPK9I8UTsv3JNZjcrTL/8SixmLRd3fSD+Qp/d01Due tnjwPP1JuiJQIAPw06zTKF+kq3P8kHpBL3PXVTuO/+3EhcHgKAyqxIAx+9/H7LfGkbsABzGNA2GC qmnjAxiLzYCFKlAAf+Dg816gAH7fh1EUBpK5BPkAfl27BJPDBAPOUeDUpY/GQHYKLyf55AcC4VDl KtVUy1gQho1/ispfRvqVv10QugyBe+On3ZPDMyAcBUJNuRgQHjkIh+pJEQjDUk2yhA0IKSOeI9P4 LZPeBaHDWOAYS8j9gB8dKj7GGs8jCxX3XVO1pUUSVbBPzR4MThx1y76Iq5yQSewUdmEgIwXShjPP +64k6shQB6QKiAhxPRtVCMLZ1PTUQOuWnuK5q8BHykymuHV77Yy2ch6On3KGAmRZ3jRa9QxIreuS zJ4VsctFhBwTeLBHRL9rLvMReRknuGeFbwXqV+8QMs3HkECX1D0NXN/ta0iBdlUGyrBFjQoXVCu4 ydG22aHG9+nqTWYPn4RHJYZySg3ahU6fXMN+oLB+oFaPyC0nU8y6H/DKYJ5bClAnKzR9G1Ds7cQ1 O1aAUpFtekL7Ub3HWIl3VLa9dekPxaojrL9t5xG1TOESKMKcwFd1umDVXbtv6Ltb+UGre2Yr+hPb rNaumEdk6I+MtziMqUdBrAL8m2RVWxdlme9w+IRW3eMo/AD7yIBybus9N5C7t1pTTxjK8VGAIpkL 1OiIuOFuvz7FSMRAxI7/3oZ+fkIFt5SGxf8Ki29Qd9yUvaOT113UyezzaA+bdVDnMJzoovbsNeyZ gd3tM2Ka1OGP4e0N7I4cdjpd3YEdtae5tyygtq/qKQl4LNsRrMaeuXNDXYdqzB0/m8ngTp13dJpO ps5Qd3GHjVtTwsquucMJeq5yIw3uvrbp0uDupHGnT4zYw52ufZ0c3HEyx+0XScLPNPZOn28oc68G dyeNO73VaQ93uqx1NO6Ir4qTA8ozprJepBPfGdwZ3A2fq3mafqbeLreHO13JOhZ3xFYnEYcujgtW ZVoGdkMH1Bpzt3ec7ZHBrptAFJ9x2rkoPFAns/Pj1Lvf8bl7fvz5/wAAAP//AwBQSwMEFAAGAAgA AAAhAOzqAO/fAAAACAEAAA8AAABkcnMvZG93bnJldi54bWxMj0FPwzAMhe9I/IfISNxYmrEOKE2n aQJOExIbEuKWNV5brXGqJmu7f485wc1+7+n5c76aXCsG7EPjSYOaJSCQSm8bqjR87l/vHkGEaMia 1hNquGCAVXF9lZvM+pE+cNjFSnAJhcxoqGPsMilDWaMzYeY7JPaOvncm8tpX0vZm5HLXynmSLKUz DfGF2nS4qbE87c5Ow9toxvW9ehm2p+Pm8r1P37+2CrW+vZnWzyAiTvEvDL/4jA4FMx38mWwQrYaF SjnJ+gMItp/mKQ8H1hdqCbLI5f8Hih8AAAD//wMAUEsBAi0AFAAGAAgAAAAhALaDOJL+AAAA4QEA ABMAAAAAAAAAAAAAAAAAAAAAAFtDb250ZW50X1R5cGVzXS54bWxQSwECLQAUAAYACAAAACEAOP0h /9YAAACUAQAACwAAAAAAAAAAAAAAAAAvAQAAX3JlbHMvLnJlbHNQSwECLQAUAAYACAAAACEAc/kc AfcIAACHXgAADgAAAAAAAAAAAAAAAAAuAgAAZHJzL2Uyb0RvYy54bWxQSwECLQAUAAYACAAAACEA 7OoA798AAAAIAQAADwAAAAAAAAAAAAAAAABRCwAAZHJzL2Rvd25yZXYueG1sUEsFBgAAAAAEAAQA 8wAAAF0MAAAAAA== ">
                <v:group id="Group 180" o:spid="_x0000_s1112" style="position:absolute;left:26775;top:17739;width:21432;height:10180" coordorigin="26775,17739" coordsize="22250,101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mF5IwgAAANwAAAAPAAAAZHJzL2Rvd25yZXYueG1sRE9Ni8Iw EL0L+x/CLHjTtC66Uo0isiseRFAXxNvQjG2xmZQm29Z/bwTB2zze58yXnSlFQ7UrLCuIhxEI4tTq gjMFf6ffwRSE88gaS8uk4E4OlouP3hwTbVs+UHP0mQgh7BJUkHtfJVK6NCeDbmgr4sBdbW3QB1hn UtfYhnBTylEUTaTBgkNDjhWtc0pvx3+jYNNiu/qKf5rd7bq+X07j/XkXk1L9z241A+Gp82/xy73V Yf7oG57PhAvk4gEAAP//AwBQSwECLQAUAAYACAAAACEA2+H2y+4AAACFAQAAEwAAAAAAAAAAAAAA AAAAAAAAW0NvbnRlbnRfVHlwZXNdLnhtbFBLAQItABQABgAIAAAAIQBa9CxbvwAAABUBAAALAAAA AAAAAAAAAAAAAB8BAABfcmVscy8ucmVsc1BLAQItABQABgAIAAAAIQCPmF5IwgAAANwAAAAPAAAA AAAAAAAAAAAAAAcCAABkcnMvZG93bnJldi54bWxQSwUGAAAAAAMAAwC3AAAA9gIAAAAA ">
                  <v:rect id="Rectangle 183" o:spid="_x0000_s1113" style="position:absolute;left:26775;top:17739;width:22251;height:238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aciewQAAANwAAAAPAAAAZHJzL2Rvd25yZXYueG1sRE9LawIx EL4X/A9hBG81a7FFtkYRweJBkK6P85BMd7dNJusmruu/bwoFb/PxPWe+7J0VHbWh9qxgMs5AEGtv ai4VHA+b5xmIEJENWs+k4E4BlovB0xxz42/8SV0RS5FCOOSooIqxyaUMuiKHYewb4sR9+dZhTLAt pWnxlsKdlS9Z9iYd1pwaKmxoXZH+Ka5OwaHbuvXpzIGC/ojF/ttedtoqNRr2q3cQkfr4EP+7tybN f53C3zPpArn4BQAA//8DAFBLAQItABQABgAIAAAAIQDb4fbL7gAAAIUBAAATAAAAAAAAAAAAAAAA AAAAAABbQ29udGVudF9UeXBlc10ueG1sUEsBAi0AFAAGAAgAAAAhAFr0LFu/AAAAFQEAAAsAAAAA AAAAAAAAAAAAHwEAAF9yZWxzLy5yZWxzUEsBAi0AFAAGAAgAAAAhADFpyJ7BAAAA3AAAAA8AAAAA AAAAAAAAAAAABwIAAGRycy9kb3ducmV2LnhtbFBLBQYAAAAAAwADALcAAAD1AgAAAAA= " filled="f" strokecolor="#1f497d [3215]" strokeweight="1pt">
                    <v:textbox>
                      <w:txbxContent>
                        <w:p w:rsidR="003C3EA6" w:rsidRDefault="003C3EA6">
                          <w:pPr>
                            <w:rPr>
                              <w:color w:val="000000"/>
                              <w:sz w:val="18"/>
                              <w:szCs w:val="21"/>
                            </w:rPr>
                          </w:pPr>
                          <w:r>
                            <w:rPr>
                              <w:color w:val="000000"/>
                              <w:sz w:val="18"/>
                              <w:szCs w:val="21"/>
                            </w:rPr>
                            <w:t>Aplinkos ministerija</w:t>
                          </w:r>
                        </w:p>
                      </w:txbxContent>
                    </v:textbox>
                  </v:rect>
                  <v:rect id="Rectangle 186" o:spid="_x0000_s1114" style="position:absolute;left:26775;top:20860;width:22251;height:257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JW0FwQAAANwAAAAPAAAAZHJzL2Rvd25yZXYueG1sRE9LawIx EL4X+h/CFLzVbAVLWY1SBMWDIF0f5yEZd1eTybqJ6/rvTaHQ23x8z5nOe2dFR22oPSv4GGYgiLU3 NZcK9rvl+xeIEJENWs+k4EEB5rPXlynmxt/5h7oiliKFcMhRQRVjk0sZdEUOw9A3xIk7+dZhTLAt pWnxnsKdlaMs+5QOa04NFTa0qEhfiptTsOvWbnE4cqCgV7HYnu11o61Sg7f+ewIiUh//xX/utUnz x2P4fSZdIGdPAAAA//8DAFBLAQItABQABgAIAAAAIQDb4fbL7gAAAIUBAAATAAAAAAAAAAAAAAAA AAAAAABbQ29udGVudF9UeXBlc10ueG1sUEsBAi0AFAAGAAgAAAAhAFr0LFu/AAAAFQEAAAsAAAAA AAAAAAAAAAAAHwEAAF9yZWxzLy5yZWxzUEsBAi0AFAAGAAgAAAAhAF4lbQXBAAAA3AAAAA8AAAAA AAAAAAAAAAAABwIAAGRycy9kb3ducmV2LnhtbFBLBQYAAAAAAwADALcAAAD1AgAAAAA= " filled="f" strokecolor="#1f497d [3215]" strokeweight="1pt">
                    <v:textbox>
                      <w:txbxContent>
                        <w:p w:rsidR="003C3EA6" w:rsidRDefault="003C3EA6">
                          <w:pPr>
                            <w:rPr>
                              <w:color w:val="000000"/>
                              <w:sz w:val="18"/>
                              <w:szCs w:val="21"/>
                            </w:rPr>
                          </w:pPr>
                          <w:r>
                            <w:rPr>
                              <w:color w:val="000000"/>
                              <w:sz w:val="18"/>
                              <w:szCs w:val="21"/>
                            </w:rPr>
                            <w:t xml:space="preserve">Kitos ministerijos pagal jų kompetencijas </w:t>
                          </w:r>
                        </w:p>
                      </w:txbxContent>
                    </v:textbox>
                  </v:rect>
                  <v:rect id="Rectangle 187" o:spid="_x0000_s1115" style="position:absolute;left:26775;top:24205;width:22251;height:371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9/NywQAAANwAAAAPAAAAZHJzL2Rvd25yZXYueG1sRE/fa8Iw EH4f+D+EE/Y2U4WJVNMiwsSHwVh1ez6Ss60ml67JavffL4OBb/fx/bxNOTorBupD61nBfJaBINbe tFwrOB1fnlYgQkQ2aD2Tgh8KUBaThw3mxt/4nYYq1iKFcMhRQRNjl0sZdEMOw8x3xIk7+95hTLCv penxlsKdlYssW0qHLaeGBjvaNaSv1bdTcBwObvfxyYGC3sfq7WK/XrVV6nE6btcgIo3xLv53H0ya /7yEv2fSBbL4BQAA//8DAFBLAQItABQABgAIAAAAIQDb4fbL7gAAAIUBAAATAAAAAAAAAAAAAAAA AAAAAABbQ29udGVudF9UeXBlc10ueG1sUEsBAi0AFAAGAAgAAAAhAFr0LFu/AAAAFQEAAAsAAAAA AAAAAAAAAAAAHwEAAF9yZWxzLy5yZWxzUEsBAi0AFAAGAAgAAAAhAK7383LBAAAA3AAAAA8AAAAA AAAAAAAAAAAABwIAAGRycy9kb3ducmV2LnhtbFBLBQYAAAAAAwADALcAAAD1AgAAAAA= " filled="f" strokecolor="#1f497d [3215]" strokeweight="1pt">
                    <v:textbox>
                      <w:txbxContent>
                        <w:p w:rsidR="003C3EA6" w:rsidRDefault="003C3EA6">
                          <w:pPr>
                            <w:rPr>
                              <w:color w:val="000000"/>
                              <w:sz w:val="18"/>
                              <w:szCs w:val="21"/>
                            </w:rPr>
                          </w:pPr>
                          <w:r>
                            <w:rPr>
                              <w:color w:val="000000"/>
                              <w:sz w:val="18"/>
                              <w:szCs w:val="21"/>
                            </w:rPr>
                            <w:t>Savivaldybės pagal joms priskirtas kompetencijas, ūkio subjektai</w:t>
                          </w:r>
                        </w:p>
                      </w:txbxContent>
                    </v:textbox>
                  </v:rect>
                </v:group>
                <v:group id="Group 215" o:spid="_x0000_s1116" style="position:absolute;width:56150;height:27938" coordsize="56150,2793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8o6xQAAANwAAAAPAAAAZHJzL2Rvd25yZXYueG1sRI9Ba8JA EIXvgv9hGaE33cSiSOoqIm3pQQS1UHobsmMSzM6G7DaJ/75zELzN8N689816O7haddSGyrOBdJaA Is69rbgw8H35mK5AhYhssfZMBu4UYLsZj9aYWd/zibpzLJSEcMjQQBljk2kd8pIchplviEW7+tZh lLUttG2xl3BX63mSLLXDiqWhxIb2JeW3858z8Nljv3tN37vD7bq//14Wx59DSsa8TIbdG6hIQ3ya H9dfVvDnQivPyAR68w8AAP//AwBQSwECLQAUAAYACAAAACEA2+H2y+4AAACFAQAAEwAAAAAAAAAA AAAAAAAAAAAAW0NvbnRlbnRfVHlwZXNdLnhtbFBLAQItABQABgAIAAAAIQBa9CxbvwAAABUBAAAL AAAAAAAAAAAAAAAAAB8BAABfcmVscy8ucmVsc1BLAQItABQABgAIAAAAIQD+B8o6xQAAANwAAAAP AAAAAAAAAAAAAAAAAAcCAABkcnMvZG93bnJldi54bWxQSwUGAAAAAAMAAwC3AAAA+QIAAAAA ">
                  <v:group id="Group 134" o:spid="_x0000_s1117" style="position:absolute;width:56150;height:27938" coordsize="56156,27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S2+hwgAAANwAAAAPAAAAZHJzL2Rvd25yZXYueG1sRE9Ni8Iw EL0L+x/CLHjTtC7KWo0isiseRFAXxNvQjG2xmZQm29Z/bwTB2zze58yXnSlFQ7UrLCuIhxEI4tTq gjMFf6ffwTcI55E1lpZJwZ0cLBcfvTkm2rZ8oOboMxFC2CWoIPe+SqR0aU4G3dBWxIG72tqgD7DO pK6xDeGmlKMomkiDBYeGHCta55Tejv9GwabFdvUV/zS723V9v5zG+/MuJqX6n91qBsJT59/il3ur w/zRFJ7PhAvk4gEAAP//AwBQSwECLQAUAAYACAAAACEA2+H2y+4AAACFAQAAEwAAAAAAAAAAAAAA AAAAAAAAW0NvbnRlbnRfVHlwZXNdLnhtbFBLAQItABQABgAIAAAAIQBa9CxbvwAAABUBAAALAAAA AAAAAAAAAAAAAB8BAABfcmVscy8ucmVsc1BLAQItABQABgAIAAAAIQCRS2+hwgAAANwAAAAPAAAA AAAAAAAAAAAAAAcCAABkcnMvZG93bnJldi54bWxQSwUGAAAAAAMAAwC3AAAA9gIAAAAA ">
                    <v:group id="Group 122" o:spid="_x0000_s1118" style="position:absolute;width:56066;height:27940" coordsize="56066,279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MBhwwgAAANwAAAAPAAAAZHJzL2Rvd25yZXYueG1sRE9Ni8Iw EL0L+x/CLHjTtK4uUo0isiseRFAXxNvQjG2xmZQm29Z/bwTB2zze58yXnSlFQ7UrLCuIhxEI4tTq gjMFf6ffwRSE88gaS8uk4E4OlouP3hwTbVs+UHP0mQgh7BJUkHtfJVK6NCeDbmgr4sBdbW3QB1hn UtfYhnBTylEUfUuDBYeGHCta55Tejv9GwabFdvUV/zS723V9v5wm+/MuJqX6n91qBsJT59/il3ur w/zxCJ7PhAvk4gEAAP//AwBQSwECLQAUAAYACAAAACEA2+H2y+4AAACFAQAAEwAAAAAAAAAAAAAA AAAAAAAAW0NvbnRlbnRfVHlwZXNdLnhtbFBLAQItABQABgAIAAAAIQBa9CxbvwAAABUBAAALAAAA AAAAAAAAAAAAAB8BAABfcmVscy8ucmVsc1BLAQItABQABgAIAAAAIQBCMBhwwgAAANwAAAAPAAAA AAAAAAAAAAAAAAcCAABkcnMvZG93bnJldi54bWxQSwUGAAAAAAMAAwC3AAAA9gIAAAAA ">
                      <v:group id="Group 79" o:spid="_x0000_s1119" style="position:absolute;width:25536;height:27943" coordorigin="" coordsize="25536,279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Cx5zwwAAANwAAAAPAAAAZHJzL2Rvd25yZXYueG1sRE9Li8Iw EL4L/ocwgjdNq7uydI0iouJBFnzAsrehGdtiMylNbOu/3wiCt/n4njNfdqYUDdWusKwgHkcgiFOr C84UXM7b0RcI55E1lpZJwYMcLBf93hwTbVs+UnPymQgh7BJUkHtfJVK6NCeDbmwr4sBdbW3QB1hn UtfYhnBTykkUzaTBgkNDjhWtc0pvp7tRsGuxXU3jTXO4XdePv/Pnz+8hJqWGg271DcJT59/il3uv w/yPGTyfCRfIxT8AAAD//wMAUEsBAi0AFAAGAAgAAAAhANvh9svuAAAAhQEAABMAAAAAAAAAAAAA AAAAAAAAAFtDb250ZW50X1R5cGVzXS54bWxQSwECLQAUAAYACAAAACEAWvQsW78AAAAVAQAACwAA AAAAAAAAAAAAAAAfAQAAX3JlbHMvLnJlbHNQSwECLQAUAAYACAAAACEAPQsec8MAAADcAAAADwAA AAAAAAAAAAAAAAAHAgAAZHJzL2Rvd25yZXYueG1sUEsFBgAAAAADAAMAtwAAAPcCAAAAAA== ">
                        <v:rect id="Rectangle 80" o:spid="_x0000_s1120" style="position:absolute;top:86;width:3879;height:2786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IUDkxQAAANwAAAAPAAAAZHJzL2Rvd25yZXYueG1sRI9Ba8JA EIXvBf/DMoXe6qaFiqauooXQXnowCuJtyE6TYHY2zY6a/vvOodDbDO/Ne98s12PozJWG1EZ28DTN wBBX0bdcOzjsi8c5mCTIHrvI5OCHEqxXk7sl5j7eeEfXUmqjIZxydNCI9Lm1qWooYJrGnli1rzgE FF2H2voBbxoeOvucZTMbsGVtaLCnt4aqc3kJDsrFu3Tz2WJ33B6+y+IzXoqTkHMP9+PmFYzQKP/m v+sPr/gviq/P6AR29QsAAP//AwBQSwECLQAUAAYACAAAACEA2+H2y+4AAACFAQAAEwAAAAAAAAAA AAAAAAAAAAAAW0NvbnRlbnRfVHlwZXNdLnhtbFBLAQItABQABgAIAAAAIQBa9CxbvwAAABUBAAAL AAAAAAAAAAAAAAAAAB8BAABfcmVscy8ucmVsc1BLAQItABQABgAIAAAAIQApIUDkxQAAANwAAAAP AAAAAAAAAAAAAAAAAAcCAABkcnMvZG93bnJldi54bWxQSwUGAAAAAAMAAwC3AAAA+QIAAAAA " fillcolor="#4f81bd [3204]" strokecolor="#243f60 [1604]" strokeweight="2pt">
                          <v:textbox style="layout-flow:vertical;mso-layout-flow-alt:bottom-to-top">
                            <w:txbxContent>
                              <w:p w:rsidR="003C3EA6" w:rsidRDefault="003C3EA6">
                                <w:pPr>
                                  <w:jc w:val="center"/>
                                  <w:rPr>
                                    <w:color w:val="FFFFFF"/>
                                    <w:sz w:val="18"/>
                                    <w:szCs w:val="21"/>
                                  </w:rPr>
                                </w:pPr>
                                <w:r>
                                  <w:rPr>
                                    <w:color w:val="FFFFFF"/>
                                    <w:sz w:val="18"/>
                                    <w:szCs w:val="21"/>
                                  </w:rPr>
                                  <w:t>Įgyvendinimas</w:t>
                                </w:r>
                              </w:p>
                            </w:txbxContent>
                          </v:textbox>
                        </v:rect>
                        <v:rect id="Rectangle 81" o:spid="_x0000_s1121" style="position:absolute;left:5003;width:20527;height:1113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NbRZwQAAANwAAAAPAAAAZHJzL2Rvd25yZXYueG1sRE/basJA EH0X+g/LFHzTjUKCpK5S2noBC2Lavg/ZaRKamQ3ZVePfdwsF3+ZwrrNcD9yqC/W+cWJgNk1AkZTO NlIZ+PzYTBagfECx2DohAzfysF49jJaYW3eVE12KUKkYIj5HA3UIXa61L2ti9FPXkUTu2/WMIcK+ 0rbHawznVs+TJNOMjcSGGjt6qan8Kc5sIPsKW35rZcf6Pcte+ZB2h2NqzPhxeH4CFWgId/G/e2/j /HQGf8/EC/TqFwAA//8DAFBLAQItABQABgAIAAAAIQDb4fbL7gAAAIUBAAATAAAAAAAAAAAAAAAA AAAAAABbQ29udGVudF9UeXBlc10ueG1sUEsBAi0AFAAGAAgAAAAhAFr0LFu/AAAAFQEAAAsAAAAA AAAAAAAAAAAAHwEAAF9yZWxzLy5yZWxzUEsBAi0AFAAGAAgAAAAhAKo1tFnBAAAA3AAAAA8AAAAA AAAAAAAAAAAABwIAAGRycy9kb3ducmV2LnhtbFBLBQYAAAAAAwADALcAAAD1AgAAAAA= " fillcolor="#1f497d [3215]" strokecolor="#1f497d [3215]" strokeweight="1pt">
                          <v:textbox>
                            <w:txbxContent>
                              <w:p w:rsidR="003C3EA6" w:rsidRDefault="003C3EA6">
                                <w:pPr>
                                  <w:rPr>
                                    <w:color w:val="FFFFFF"/>
                                    <w:sz w:val="18"/>
                                    <w:szCs w:val="21"/>
                                  </w:rPr>
                                </w:pPr>
                                <w:r>
                                  <w:rPr>
                                    <w:color w:val="FFFFFF"/>
                                    <w:sz w:val="18"/>
                                    <w:szCs w:val="21"/>
                                  </w:rPr>
                                  <w:t>Priemonių, įtrauktų į Planą, įgyvendinimas</w:t>
                                </w:r>
                              </w:p>
                            </w:txbxContent>
                          </v:textbox>
                        </v:rect>
                        <v:rect id="Rectangle 83" o:spid="_x0000_s1122" style="position:absolute;left:5004;top:12246;width:20529;height:452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5youwQAAANwAAAAPAAAAZHJzL2Rvd25yZXYueG1sRE/basJA EH0v9B+WEXzTjUKCpK5SWm+gINr2fchOk9DMbMiuGv++WxD6Nodznfmy50ZdqfO1EwOTcQKKpHC2 ltLA58d6NAPlA4rFxgkZuJOH5eL5aY65dTc50fUcShVDxOdooAqhzbX2RUWMfuxaksh9u44xRNiV 2nZ4i+Hc6GmSZJqxlthQYUtvFRU/5wsbyL7ChleNbFkfsuyd92m7P6bGDAf96wuoQH34Fz/cOxvn p1P4eyZeoBe/AAAA//8DAFBLAQItABQABgAIAAAAIQDb4fbL7gAAAIUBAAATAAAAAAAAAAAAAAAA AAAAAABbQ29udGVudF9UeXBlc10ueG1sUEsBAi0AFAAGAAgAAAAhAFr0LFu/AAAAFQEAAAsAAAAA AAAAAAAAAAAAHwEAAF9yZWxzLy5yZWxzUEsBAi0AFAAGAAgAAAAhAFrnKi7BAAAA3AAAAA8AAAAA AAAAAAAAAAAABwIAAGRycy9kb3ducmV2LnhtbFBLBQYAAAAAAwADALcAAAD1AgAAAAA= " fillcolor="#1f497d [3215]" strokecolor="#1f497d [3215]" strokeweight="1pt">
                          <v:textbox>
                            <w:txbxContent>
                              <w:p w:rsidR="003C3EA6" w:rsidRDefault="003C3EA6">
                                <w:pPr>
                                  <w:rPr>
                                    <w:color w:val="FFFFFF"/>
                                    <w:sz w:val="18"/>
                                    <w:szCs w:val="21"/>
                                  </w:rPr>
                                </w:pPr>
                                <w:r>
                                  <w:rPr>
                                    <w:color w:val="FFFFFF"/>
                                    <w:sz w:val="18"/>
                                    <w:szCs w:val="21"/>
                                  </w:rPr>
                                  <w:t>Oro kokybės planų įgyvendinimas</w:t>
                                </w:r>
                              </w:p>
                            </w:txbxContent>
                          </v:textbox>
                        </v:rect>
                        <v:rect id="Rectangle 84" o:spid="_x0000_s1123" style="position:absolute;left:5007;top:17747;width:20529;height:1020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q4+1wQAAANwAAAAPAAAAZHJzL2Rvd25yZXYueG1sRE/basJA EH0X/IdlhL7ppi0JEl2laG9goXh7H7JjEszMhuxW07/vFgTf5nCuM1/23KgLdb52YuBxkoAiKZyt pTRw2L+Np6B8QLHYOCEDv+RhuRgO5phbd5UtXXahVDFEfI4GqhDaXGtfVMToJ64lidzJdYwhwq7U tsNrDOdGPyVJphlriQ0VtrSqqDjvfthAdgzv/NrIB+uvLFvzJm0336kxD6P+ZQYqUB/u4pv708b5 6TP8PxMv0Is/AAAA//8DAFBLAQItABQABgAIAAAAIQDb4fbL7gAAAIUBAAATAAAAAAAAAAAAAAAA AAAAAABbQ29udGVudF9UeXBlc10ueG1sUEsBAi0AFAAGAAgAAAAhAFr0LFu/AAAAFQEAAAsAAAAA AAAAAAAAAAAAHwEAAF9yZWxzLy5yZWxzUEsBAi0AFAAGAAgAAAAhADWrj7XBAAAA3AAAAA8AAAAA AAAAAAAAAAAABwIAAGRycy9kb3ducmV2LnhtbFBLBQYAAAAAAwADALcAAAD1AgAAAAA= " fillcolor="#1f497d [3215]" strokecolor="#1f497d [3215]" strokeweight="1pt">
                          <v:textbox>
                            <w:txbxContent>
                              <w:p w:rsidR="003C3EA6" w:rsidRDefault="003C3EA6">
                                <w:pPr>
                                  <w:rPr>
                                    <w:color w:val="FFFFFF"/>
                                    <w:sz w:val="18"/>
                                    <w:szCs w:val="21"/>
                                  </w:rPr>
                                </w:pPr>
                                <w:r>
                                  <w:rPr>
                                    <w:color w:val="FFFFFF"/>
                                    <w:sz w:val="18"/>
                                    <w:szCs w:val="21"/>
                                  </w:rPr>
                                  <w:t>Klimato kaitos priemonių įgyvendinimas</w:t>
                                </w:r>
                              </w:p>
                            </w:txbxContent>
                          </v:textbox>
                        </v:rect>
                      </v:group>
                      <v:group id="Group 121" o:spid="_x0000_s1124" style="position:absolute;left:49601;width:6465;height:11665" coordorigin="49601" coordsize="6464,116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R7voxAAAANwAAAAPAAAAZHJzL2Rvd25yZXYueG1sRE9La8JA EL4X/A/LCL3VTWyrErOKiC09iOADxNuQnTwwOxuy2yT++26h0Nt8fM9J14OpRUetqywriCcRCOLM 6ooLBZfzx8sChPPIGmvLpOBBDtar0VOKibY9H6k7+UKEEHYJKii9bxIpXVaSQTexDXHgctsa9AG2 hdQt9iHc1HIaRTNpsOLQUGJD25Ky++nbKPjssd+8xrtuf8+3j9v5/XDdx6TU83jYLEF4Gvy/+M/9 pcP8tzn8PhMukKsfAAAA//8DAFBLAQItABQABgAIAAAAIQDb4fbL7gAAAIUBAAATAAAAAAAAAAAA AAAAAAAAAABbQ29udGVudF9UeXBlc10ueG1sUEsBAi0AFAAGAAgAAAAhAFr0LFu/AAAAFQEAAAsA AAAAAAAAAAAAAAAAHwEAAF9yZWxzLy5yZWxzUEsBAi0AFAAGAAgAAAAhAFJHu+jEAAAA3AAAAA8A AAAAAAAAAAAAAAAABwIAAGRycy9kb3ducmV2LnhtbFBLBQYAAAAAAwADALcAAAD4AgAAAAA= ">
                        <v:rect id="Rectangle 116" o:spid="_x0000_s1125" style="position:absolute;left:49688;width:6378;height:70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4HwexAAAANwAAAAPAAAAZHJzL2Rvd25yZXYueG1sRI9Lb8JA DITvlfofVq7EDTY8VNGUBfEQ0CNQaK9W1k0ist4ou0D49/iA1JutGc98nsxaV6krNaH0bKDfS0AR Z96WnBs4fq+7Y1AhIlusPJOBOwWYTV9fJphaf+M9XQ8xVxLCIUUDRYx1qnXICnIYer4mFu3PNw6j rE2ubYM3CXeVHiTJu3ZYsjQUWNOyoOx8uDgDl2yz+M3r+W61HvJW+/6HO/1YYzpv7fwTVKQ2/puf 119W8EdCK8/IBHr6AAAA//8DAFBLAQItABQABgAIAAAAIQDb4fbL7gAAAIUBAAATAAAAAAAAAAAA AAAAAAAAAABbQ29udGVudF9UeXBlc10ueG1sUEsBAi0AFAAGAAgAAAAhAFr0LFu/AAAAFQEAAAsA AAAAAAAAAAAAAAAAHwEAAF9yZWxzLy5yZWxzUEsBAi0AFAAGAAgAAAAhAIDgfB7EAAAA3AAAAA8A AAAAAAAAAAAAAAAABwIAAGRycy9kb3ducmV2LnhtbFBLBQYAAAAAAwADALcAAAD4AgAAAAA= " fillcolor="white [3201]" strokecolor="#f79646 [3209]" strokeweight="1pt">
                          <v:textbox>
                            <w:txbxContent>
                              <w:p w:rsidR="003C3EA6" w:rsidRDefault="003C3EA6">
                                <w:pPr>
                                  <w:jc w:val="both"/>
                                  <w:rPr>
                                    <w:color w:val="000000"/>
                                    <w:sz w:val="16"/>
                                    <w:szCs w:val="21"/>
                                  </w:rPr>
                                </w:pPr>
                                <w:r>
                                  <w:rPr>
                                    <w:color w:val="000000"/>
                                    <w:sz w:val="16"/>
                                    <w:szCs w:val="21"/>
                                  </w:rPr>
                                  <w:t xml:space="preserve">Valstybės lygiu </w:t>
                                </w:r>
                              </w:p>
                            </w:txbxContent>
                          </v:textbox>
                        </v:rect>
                        <v:rect id="Rectangle 117" o:spid="_x0000_s1126" style="position:absolute;left:49601;top:7926;width:6465;height:373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rNmFwQAAANwAAAAPAAAAZHJzL2Rvd25yZXYueG1sRE9Li8Iw EL4L+x/CLHjT1AeiXaP4QN2j1sdeh2a2LdtMShO1/vuNIHibj+8503ljSnGj2hWWFfS6EQji1OqC MwWn46YzBuE8ssbSMil4kIP57KM1xVjbOx/olvhMhBB2MSrIva9iKV2ak0HXtRVx4H5tbdAHWGdS 13gP4aaU/SgaSYMFh4YcK1rllP4lV6Pgmm6XP1m12K83A95J25uY80Ur1f5sFl8gPDX+LX65v3WY P5zA85lwgZz9AwAA//8DAFBLAQItABQABgAIAAAAIQDb4fbL7gAAAIUBAAATAAAAAAAAAAAAAAAA AAAAAABbQ29udGVudF9UeXBlc10ueG1sUEsBAi0AFAAGAAgAAAAhAFr0LFu/AAAAFQEAAAsAAAAA AAAAAAAAAAAAHwEAAF9yZWxzLy5yZWxzUEsBAi0AFAAGAAgAAAAhAO+s2YXBAAAA3AAAAA8AAAAA AAAAAAAAAAAABwIAAGRycy9kb3ducmV2LnhtbFBLBQYAAAAAAwADALcAAAD1AgAAAAA= " fillcolor="white [3201]" strokecolor="#f79646 [3209]" strokeweight="1pt">
                          <v:textbox>
                            <w:txbxContent>
                              <w:p w:rsidR="003C3EA6" w:rsidRDefault="003C3EA6">
                                <w:pPr>
                                  <w:spacing w:line="360" w:lineRule="atLeast"/>
                                  <w:jc w:val="both"/>
                                  <w:rPr>
                                    <w:color w:val="000000"/>
                                    <w:sz w:val="14"/>
                                    <w:szCs w:val="21"/>
                                  </w:rPr>
                                </w:pPr>
                                <w:r>
                                  <w:rPr>
                                    <w:color w:val="000000"/>
                                    <w:sz w:val="14"/>
                                    <w:szCs w:val="21"/>
                                  </w:rPr>
                                  <w:t>Vietos lygiu</w:t>
                                </w:r>
                              </w:p>
                            </w:txbxContent>
                          </v:textbox>
                        </v:rect>
                      </v:group>
                    </v:group>
                    <v:rect id="Rectangle 125" o:spid="_x0000_s1127" style="position:absolute;left:49684;top:12243;width:6458;height:4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RO5vwQAAANwAAAAPAAAAZHJzL2Rvd25yZXYueG1sRE9Li8Iw EL4L+x/CLHjT1Aeydo3iAx9Ht+rudWhm22IzKU3U+u+NIHibj+85k1ljSnGl2hWWFfS6EQji1OqC MwXHw7rzBcJ5ZI2lZVJwJwez6UdrgrG2N/6ha+IzEULYxagg976KpXRpTgZd11bEgfu3tUEfYJ1J XeMthJtS9qNoJA0WHBpyrGiZU3pOLkbBJd0s/rJqvl+tB7yVtjc2p1+tVPuzmX+D8NT4t/jl3ukw fziA5zPhAjl9AAAA//8DAFBLAQItABQABgAIAAAAIQDb4fbL7gAAAIUBAAATAAAAAAAAAAAAAAAA AAAAAABbQ29udGVudF9UeXBlc10ueG1sUEsBAi0AFAAGAAgAAAAhAFr0LFu/AAAAFQEAAAsAAAAA AAAAAAAAAAAAHwEAAF9yZWxzLy5yZWxzUEsBAi0AFAAGAAgAAAAhAI5E7m/BAAAA3AAAAA8AAAAA AAAAAAAAAAAABwIAAGRycy9kb3ducmV2LnhtbFBLBQYAAAAAAwADALcAAAD1AgAAAAA= " fillcolor="white [3201]" strokecolor="#f79646 [3209]" strokeweight="1pt">
                      <v:textbox>
                        <w:txbxContent>
                          <w:p w:rsidR="003C3EA6" w:rsidRDefault="003C3EA6">
                            <w:pPr>
                              <w:spacing w:line="360" w:lineRule="atLeast"/>
                              <w:jc w:val="both"/>
                              <w:rPr>
                                <w:color w:val="000000"/>
                                <w:sz w:val="14"/>
                                <w:szCs w:val="21"/>
                              </w:rPr>
                            </w:pPr>
                            <w:r>
                              <w:rPr>
                                <w:color w:val="000000"/>
                                <w:sz w:val="14"/>
                                <w:szCs w:val="21"/>
                              </w:rPr>
                              <w:t>Vietos lygiu</w:t>
                            </w:r>
                          </w:p>
                        </w:txbxContent>
                      </v:textbox>
                    </v:rect>
                    <v:rect id="Rectangle 129" o:spid="_x0000_s1128" style="position:absolute;left:49698;top:17741;width:6458;height:543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rXYbwAAAANwAAAAPAAAAZHJzL2Rvd25yZXYueG1sRE9Li8Iw EL4v+B/CCN7W1Aei1Sg+0PXo2+vQjG2xmZQmavffG2Fhb/PxPWcyq00hnlS53LKCTjsCQZxYnXOq 4HRcfw9BOI+ssbBMCn7JwWza+JpgrO2L9/Q8+FSEEHYxKsi8L2MpXZKRQde2JXHgbrYy6AOsUqkr fIVwU8huFA2kwZxDQ4YlLTNK7oeHUfBINotrWs53q3WPf6TtjMz5opVqNev5GISn2v+L/9xbHeb3 +/B5Jlwgp28AAAD//wMAUEsBAi0AFAAGAAgAAAAhANvh9svuAAAAhQEAABMAAAAAAAAAAAAAAAAA AAAAAFtDb250ZW50X1R5cGVzXS54bWxQSwECLQAUAAYACAAAACEAWvQsW78AAAAVAQAACwAAAAAA AAAAAAAAAAAfAQAAX3JlbHMvLnJlbHNQSwECLQAUAAYACAAAACEAAa12G8AAAADcAAAADwAAAAAA AAAAAAAAAAAHAgAAZHJzL2Rvd25yZXYueG1sUEsFBgAAAAADAAMAtwAAAPQCAAAAAA== " fillcolor="white [3201]" strokecolor="#f79646 [3209]" strokeweight="1pt">
                      <v:textbox>
                        <w:txbxContent>
                          <w:p w:rsidR="003C3EA6" w:rsidRDefault="003C3EA6">
                            <w:pPr>
                              <w:jc w:val="both"/>
                              <w:rPr>
                                <w:color w:val="000000"/>
                                <w:sz w:val="16"/>
                                <w:szCs w:val="21"/>
                              </w:rPr>
                            </w:pPr>
                            <w:r>
                              <w:rPr>
                                <w:color w:val="000000"/>
                                <w:sz w:val="16"/>
                                <w:szCs w:val="21"/>
                              </w:rPr>
                              <w:t xml:space="preserve">Valstybės lygiu </w:t>
                            </w:r>
                          </w:p>
                        </w:txbxContent>
                      </v:textbox>
                    </v:rect>
                    <v:rect id="Rectangle 130" o:spid="_x0000_s1129" style="position:absolute;left:49688;top:24163;width:6458;height:344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4dOAwgAAANwAAAAPAAAAZHJzL2Rvd25yZXYueG1sRE9Na8JA EL0X/A/LCL3pRttKja6StsR6tLbqdciOSTA7G7KbGP99tyD0No/3Oct1byrRUeNKywom4wgEcWZ1 ybmCn+909ArCeWSNlWVScCMH69XgYYmxtlf+om7vcxFC2MWooPC+jqV0WUEG3djWxIE728agD7DJ pW7wGsJNJadRNJMGSw4NBdb0XlB22bdGQZtt3k55new+0if+lHYyN4ejVupx2CcLEJ56/y++u7c6 zH9+gb9nwgVy9QsAAP//AwBQSwECLQAUAAYACAAAACEA2+H2y+4AAACFAQAAEwAAAAAAAAAAAAAA AAAAAAAAW0NvbnRlbnRfVHlwZXNdLnhtbFBLAQItABQABgAIAAAAIQBa9CxbvwAAABUBAAALAAAA AAAAAAAAAAAAAB8BAABfcmVscy8ucmVsc1BLAQItABQABgAIAAAAIQBu4dOAwgAAANwAAAAPAAAA AAAAAAAAAAAAAAcCAABkcnMvZG93bnJldi54bWxQSwUGAAAAAAMAAwC3AAAA9gIAAAAA " fillcolor="white [3201]" strokecolor="#f79646 [3209]" strokeweight="1pt">
                      <v:textbox>
                        <w:txbxContent>
                          <w:p w:rsidR="003C3EA6" w:rsidRDefault="003C3EA6">
                            <w:pPr>
                              <w:spacing w:line="360" w:lineRule="atLeast"/>
                              <w:jc w:val="both"/>
                              <w:rPr>
                                <w:color w:val="000000"/>
                                <w:sz w:val="14"/>
                                <w:szCs w:val="21"/>
                              </w:rPr>
                            </w:pPr>
                            <w:r>
                              <w:rPr>
                                <w:color w:val="000000"/>
                                <w:sz w:val="14"/>
                                <w:szCs w:val="21"/>
                              </w:rPr>
                              <w:t>Vietos lygiu</w:t>
                            </w:r>
                          </w:p>
                        </w:txbxContent>
                      </v:textbox>
                    </v:rect>
                  </v:group>
                  <v:group id="Group 153" o:spid="_x0000_s1130" style="position:absolute;left:26700;width:21507;height:11560" coordorigin="26700" coordsize="22328,115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qFDhxQAAANwAAAAPAAAAZHJzL2Rvd25yZXYueG1sRI9Ba8JA EIXvgv9hGaE33aSiSOoqIm3pQQS1UHobsmMSzM6G7DaJ/75zELzN8N689816O7haddSGyrOBdJaA Is69rbgw8H35mK5AhYhssfZMBu4UYLsZj9aYWd/zibpzLJSEcMjQQBljk2kd8pIchplviEW7+tZh lLUttG2xl3BX69ckWWqHFUtDiQ3tS8pv5z9n4LPHfjdP37vD7bq//14Wx59DSsa8TIbdG6hIQ3ya H9dfVvDngi/PyAR68w8AAP//AwBQSwECLQAUAAYACAAAACEA2+H2y+4AAACFAQAAEwAAAAAAAAAA AAAAAAAAAAAAW0NvbnRlbnRfVHlwZXNdLnhtbFBLAQItABQABgAIAAAAIQBa9CxbvwAAABUBAAAL AAAAAAAAAAAAAAAAAB8BAABfcmVscy8ucmVsc1BLAQItABQABgAIAAAAIQCFqFDhxQAAANwAAAAP AAAAAAAAAAAAAAAAAAcCAABkcnMvZG93bnJldi54bWxQSwUGAAAAAAMAAwC3AAAA+QIAAAAA ">
                    <v:rect id="Rectangle 106" o:spid="_x0000_s1131" style="position:absolute;left:26700;width:22250;height:238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t4KgwQAAANwAAAAPAAAAZHJzL2Rvd25yZXYueG1sRE9LawIx EL4X/A9hBG81a4VSt0YRweJBkK6P85BMd7dNJusmruu/bwoFb/PxPWe+7J0VHbWh9qxgMs5AEGtv ai4VHA+b5zcQISIbtJ5JwZ0CLBeDpznmxt/4k7oiliKFcMhRQRVjk0sZdEUOw9g3xIn78q3DmGBb StPiLYU7K1+y7FU6rDk1VNjQuiL9U1ydgkO3devTmQMF/RGL/be97LRVajTsV+8gIvXxIf53b02a P53B3zPpArn4BQAA//8DAFBLAQItABQABgAIAAAAIQDb4fbL7gAAAIUBAAATAAAAAAAAAAAAAAAA AAAAAABbQ29udGVudF9UeXBlc10ueG1sUEsBAi0AFAAGAAgAAAAhAFr0LFu/AAAAFQEAAAsAAAAA AAAAAAAAAAAAHwEAAF9yZWxzLy5yZWxzUEsBAi0AFAAGAAgAAAAhAAK3gqDBAAAA3AAAAA8AAAAA AAAAAAAAAAAABwIAAGRycy9kb3ducmV2LnhtbFBLBQYAAAAAAwADALcAAAD1AgAAAAA= " filled="f" strokecolor="#1f497d [3215]" strokeweight="1pt">
                      <v:textbox>
                        <w:txbxContent>
                          <w:p w:rsidR="003C3EA6" w:rsidRDefault="003C3EA6">
                            <w:pPr>
                              <w:rPr>
                                <w:color w:val="000000"/>
                                <w:sz w:val="18"/>
                                <w:szCs w:val="21"/>
                              </w:rPr>
                            </w:pPr>
                            <w:r>
                              <w:rPr>
                                <w:color w:val="000000"/>
                                <w:sz w:val="18"/>
                                <w:szCs w:val="21"/>
                              </w:rPr>
                              <w:t>Aplinkos ministerija</w:t>
                            </w:r>
                          </w:p>
                        </w:txbxContent>
                      </v:textbox>
                    </v:rect>
                    <v:rect id="Rectangle 110" o:spid="_x0000_s1132" style="position:absolute;left:26700;top:2857;width:22250;height:423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i1hAxAAAANwAAAAPAAAAZHJzL2Rvd25yZXYueG1sRI9BS8NA EIXvBf/DMoK3ZqOIlNhtkYLSgyBNq+dhd0zS7s7G7JrGf985CL3N8N68981yPQWvRhpSF9nAfVGC IrbRddwYOOxf5wtQKSM79JHJwB8lWK9uZkusXDzzjsY6N0pCOFVooM25r7ROtqWAqYg9sWjfcQiY ZR0a7QY8S3jw+qEsn3TAjqWhxZ42LdlT/RsM7Mdt2Hx+caJk33L9cfQ/79Ybc3c7vTyDyjTlq/n/ eusE/1Hw5RmZQK8uAAAA//8DAFBLAQItABQABgAIAAAAIQDb4fbL7gAAAIUBAAATAAAAAAAAAAAA AAAAAAAAAABbQ29udGVudF9UeXBlc10ueG1sUEsBAi0AFAAGAAgAAAAhAFr0LFu/AAAAFQEAAAsA AAAAAAAAAAAAAAAAHwEAAF9yZWxzLy5yZWxzUEsBAi0AFAAGAAgAAAAhAMuLWEDEAAAA3AAAAA8A AAAAAAAAAAAAAAAABwIAAGRycy9kb3ducmV2LnhtbFBLBQYAAAAAAwADALcAAAD4AgAAAAA= " filled="f" strokecolor="#1f497d [3215]" strokeweight="1pt">
                      <v:textbox>
                        <w:txbxContent>
                          <w:p w:rsidR="003C3EA6" w:rsidRDefault="003C3EA6">
                            <w:pPr>
                              <w:rPr>
                                <w:color w:val="000000"/>
                                <w:sz w:val="18"/>
                                <w:szCs w:val="21"/>
                              </w:rPr>
                            </w:pPr>
                            <w:r>
                              <w:rPr>
                                <w:color w:val="000000"/>
                                <w:sz w:val="18"/>
                                <w:szCs w:val="21"/>
                              </w:rPr>
                              <w:t xml:space="preserve">Kitos ministerijos ir institucijos pagal jų kompetencijas </w:t>
                            </w:r>
                          </w:p>
                        </w:txbxContent>
                      </v:textbox>
                    </v:rect>
                    <v:rect id="Rectangle 114" o:spid="_x0000_s1133" style="position:absolute;left:26778;top:7845;width:22251;height:371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x/3bwQAAANwAAAAPAAAAZHJzL2Rvd25yZXYueG1sRE9LawIx EL4X/A9hhN5q1iKlrEYRQfEglK6P85CMu6vJZN2k6/bfN4LQ23x8z5ktemdFR22oPSsYjzIQxNqb mksFh/367RNEiMgGrWdS8EsBFvPBywxz4+/8TV0RS5FCOOSooIqxyaUMuiKHYeQb4sSdfeswJtiW 0rR4T+HOyvcs+5AOa04NFTa0qkhfix+nYN9t3ep44kBBb2LxdbG3nbZKvQ775RREpD7+i5/urUnz J2N4PJMukPM/AAAA//8DAFBLAQItABQABgAIAAAAIQDb4fbL7gAAAIUBAAATAAAAAAAAAAAAAAAA AAAAAABbQ29udGVudF9UeXBlc10ueG1sUEsBAi0AFAAGAAgAAAAhAFr0LFu/AAAAFQEAAAsAAAAA AAAAAAAAAAAAHwEAAF9yZWxzLy5yZWxzUEsBAi0AFAAGAAgAAAAhAKTH/dvBAAAA3AAAAA8AAAAA AAAAAAAAAAAABwIAAGRycy9kb3ducmV2LnhtbFBLBQYAAAAAAwADALcAAAD1AgAAAAA= " filled="f" strokecolor="#1f497d [3215]" strokeweight="1pt">
                      <v:textbox>
                        <w:txbxContent>
                          <w:p w:rsidR="003C3EA6" w:rsidRDefault="003C3EA6">
                            <w:pPr>
                              <w:rPr>
                                <w:color w:val="000000"/>
                                <w:sz w:val="18"/>
                                <w:szCs w:val="21"/>
                              </w:rPr>
                            </w:pPr>
                            <w:r>
                              <w:rPr>
                                <w:color w:val="000000"/>
                                <w:sz w:val="18"/>
                                <w:szCs w:val="21"/>
                              </w:rPr>
                              <w:t>Savivaldybės pagal joms priskirtas kompetencijas, ūkio subjektai</w:t>
                            </w:r>
                          </w:p>
                        </w:txbxContent>
                      </v:textbox>
                    </v:rect>
                  </v:group>
                  <v:rect id="Rectangle 169" o:spid="_x0000_s1134" style="position:absolute;left:26698;top:12245;width:21431;height:451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Yfl4wQAAANwAAAAPAAAAZHJzL2Rvd25yZXYueG1sRE9Li8Iw EL4v+B/CCN7WtMouUo2igiDixQeIt6EZ22ozCU3U+u/NgrC3+fieM5m1phYPanxlWUHaT0AQ51ZX XCg4HlbfIxA+IGusLZOCF3mYTTtfE8y0ffKOHvtQiBjCPkMFZQguk9LnJRn0feuII3exjcEQYVNI 3eAzhptaDpLkVxqsODaU6GhZUn7b342Cq3eLV+qvG307be3xfHZ6OPhRqtdt52MQgdrwL/641zrO H6bw90y8QE7fAAAA//8DAFBLAQItABQABgAIAAAAIQDb4fbL7gAAAIUBAAATAAAAAAAAAAAAAAAA AAAAAABbQ29udGVudF9UeXBlc10ueG1sUEsBAi0AFAAGAAgAAAAhAFr0LFu/AAAAFQEAAAsAAAAA AAAAAAAAAAAAHwEAAF9yZWxzLy5yZWxzUEsBAi0AFAAGAAgAAAAhAGlh+XjBAAAA3AAAAA8AAAAA AAAAAAAAAAAABwIAAGRycy9kb3ducmV2LnhtbFBLBQYAAAAAAwADALcAAAD1AgAAAAA= " filled="f" strokecolor="#1f497d [3215]" strokeweight="1pt">
                    <v:textbox>
                      <w:txbxContent>
                        <w:p w:rsidR="003C3EA6" w:rsidRDefault="003C3EA6">
                          <w:pPr>
                            <w:rPr>
                              <w:color w:val="000000"/>
                              <w:sz w:val="18"/>
                              <w:szCs w:val="21"/>
                            </w:rPr>
                          </w:pPr>
                          <w:r>
                            <w:rPr>
                              <w:color w:val="000000"/>
                              <w:sz w:val="18"/>
                              <w:szCs w:val="21"/>
                            </w:rPr>
                            <w:t>Savivaldybės pagal joms priskirtas kompetencijas</w:t>
                          </w:r>
                        </w:p>
                      </w:txbxContent>
                    </v:textbox>
                  </v:rect>
                  <v:shape id="Left Arrow 188" o:spid="_x0000_s1135" type="#_x0000_t66" style="position:absolute;left:48134;top:658;width:1486;height:114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feoJwgAAANwAAAAPAAAAZHJzL2Rvd25yZXYueG1sRE/bisIw EH0X/Icwwr5pahdEqlFkQRAvLOqyvo7N2NZtJqWJtv79RhB8m8O5znTemlLcqXaFZQXDQQSCOLW6 4EzBz3HZH4NwHlljaZkUPMjBfNbtTDHRtuE93Q8+EyGEXYIKcu+rREqX5mTQDWxFHLiLrQ36AOtM 6hqbEG5KGUfRSBosODTkWNFXTunf4WYUVPHV/d6u59P6e7vj1WaRjveNU+qj1y4mIDy1/i1+uVc6 zP+M4flMuEDO/gEAAP//AwBQSwECLQAUAAYACAAAACEA2+H2y+4AAACFAQAAEwAAAAAAAAAAAAAA AAAAAAAAW0NvbnRlbnRfVHlwZXNdLnhtbFBLAQItABQABgAIAAAAIQBa9CxbvwAAABUBAAALAAAA AAAAAAAAAAAAAB8BAABfcmVscy8ucmVsc1BLAQItABQABgAIAAAAIQC1feoJwgAAANwAAAAPAAAA AAAAAAAAAAAAAAcCAABkcnMvZG93bnJldi54bWxQSwUGAAAAAAMAAwC3AAAA9gIAAAAA " adj="8304" fillcolor="white [3201]" strokecolor="#f79646 [3209]" strokeweight="1pt"/>
                  <v:shape id="Left Arrow 193" o:spid="_x0000_s1136" type="#_x0000_t66" style="position:absolute;left:48134;top:3438;width:1486;height:114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MU+SwgAAANwAAAAPAAAAZHJzL2Rvd25yZXYueG1sRE/bisIw EH0X/Icwgm+aqrBINYoIgnhBvOC+zjazbd1mUppou39vBMG3OZzrTOeNKcSDKpdbVjDoRyCIE6tz ThVczqveGITzyBoLy6TgnxzMZ+3WFGNtaz7S4+RTEULYxagg876MpXRJRgZd35bEgfu1lUEfYJVK XWEdwk0hh1H0JQ3mHBoyLGmZUfJ3uhsF5fDmrvfbz/fmsNvzertIxsfaKdXtNIsJCE+N/4jf7rUO 80cjeD0TLpCzJwAAAP//AwBQSwECLQAUAAYACAAAACEA2+H2y+4AAACFAQAAEwAAAAAAAAAAAAAA AAAAAAAAW0NvbnRlbnRfVHlwZXNdLnhtbFBLAQItABQABgAIAAAAIQBa9CxbvwAAABUBAAALAAAA AAAAAAAAAAAAAB8BAABfcmVscy8ucmVsc1BLAQItABQABgAIAAAAIQDaMU+SwgAAANwAAAAPAAAA AAAAAAAAAAAAAAcCAABkcnMvZG93bnJldi54bWxQSwUGAAAAAAMAAwC3AAAA9gIAAAAA " adj="8304" fillcolor="white [3201]" strokecolor="#f79646 [3209]" strokeweight="1pt"/>
                  <v:shape id="Left Arrow 209" o:spid="_x0000_s1137" type="#_x0000_t66" style="position:absolute;left:48207;top:12850;width:1486;height:114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Zz+LwAAAANwAAAAPAAAAZHJzL2Rvd25yZXYueG1sRE9Li8Iw EL4L+x/CLHjTdFVk6RpFFkQPIvjY+9DMNsFmUppYq7/eCIK3+fieM1t0rhItNcF6VvA1zEAQF15b LhWcjqvBN4gQkTVWnknBjQIs5h+9GebaX3lP7SGWIoVwyFGBibHOpQyFIYdh6GvixP37xmFMsCml bvCawl0lR1k2lQ4tpwaDNf0aKs6Hi1Nwt7rc29YU69V2d4qT2gb8uynV/+yWPyAidfEtfrk3Os0f T+D5TLpAzh8AAAD//wMAUEsBAi0AFAAGAAgAAAAhANvh9svuAAAAhQEAABMAAAAAAAAAAAAAAAAA AAAAAFtDb250ZW50X1R5cGVzXS54bWxQSwECLQAUAAYACAAAACEAWvQsW78AAAAVAQAACwAAAAAA AAAAAAAAAAAfAQAAX3JlbHMvLnJlbHNQSwECLQAUAAYACAAAACEAYmc/i8AAAADcAAAADwAAAAAA AAAAAAAAAAAHAgAAZHJzL2Rvd25yZXYueG1sUEsFBgAAAAADAAMAtwAAAPQCAAAAAA== " adj="8308" fillcolor="white [3201]" strokecolor="#f79646 [3209]" strokeweight="1pt"/>
                  <v:shape id="Left Arrow 211" o:spid="_x0000_s1138" type="#_x0000_t66" style="position:absolute;left:48134;top:21653;width:1485;height:114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K5oQwQAAANwAAAAPAAAAZHJzL2Rvd25yZXYueG1sRE9LawIx EL4L/Q9hCt40W62lbDcrRRB7KIKP3ofNuAluJssmrmt/fVMQvM3H95xiObhG9NQF61nByzQDQVx5 bblWcDysJ+8gQkTW2HgmBTcKsCyfRgXm2l95R/0+1iKFcMhRgYmxzaUMlSGHYepb4sSdfOcwJtjV Und4TeGukbMse5MOLacGgy2tDFXn/cUp+LW63tneVJv19/YYX1sb8Oem1Ph5+PwAEWmID/Hd/aXT /PkC/p9JF8jyDwAA//8DAFBLAQItABQABgAIAAAAIQDb4fbL7gAAAIUBAAATAAAAAAAAAAAAAAAA AAAAAABbQ29udGVudF9UeXBlc10ueG1sUEsBAi0AFAAGAAgAAAAhAFr0LFu/AAAAFQEAAAsAAAAA AAAAAAAAAAAAHwEAAF9yZWxzLy5yZWxzUEsBAi0AFAAGAAgAAAAhAA0rmhDBAAAA3AAAAA8AAAAA AAAAAAAAAAAABwIAAGRycy9kb3ducmV2LnhtbFBLBQYAAAAAAwADALcAAAD1AgAAAAA= " adj="8308" fillcolor="white [3201]" strokecolor="#f79646 [3209]" strokeweight="1pt"/>
                  <v:shape id="Left Arrow 212" o:spid="_x0000_s1139" type="#_x0000_t66" style="position:absolute;left:48134;top:24505;width:1485;height:114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QRnwAAAANwAAAAPAAAAZHJzL2Rvd25yZXYueG1sRE9Li8Iw EL4L+x/CLHjTdFVk6RpFFkQPIvjY+9DMNsFmUppYq7/eCIK3+fieM1t0rhItNcF6VvA1zEAQF15b LhWcjqvBN4gQkTVWnknBjQIs5h+9GebaX3lP7SGWIoVwyFGBibHOpQyFIYdh6GvixP37xmFMsCml bvCawl0lR1k2lQ4tpwaDNf0aKs6Hi1Nwt7rc29YU69V2d4qT2gb8uynV/+yWPyAidfEtfrk3Os0f T+H5TLpAzh8AAAD//wMAUEsBAi0AFAAGAAgAAAAhANvh9svuAAAAhQEAABMAAAAAAAAAAAAAAAAA AAAAAFtDb250ZW50X1R5cGVzXS54bWxQSwECLQAUAAYACAAAACEAWvQsW78AAAAVAQAACwAAAAAA AAAAAAAAAAAfAQAAX3JlbHMvLnJlbHNQSwECLQAUAAYACAAAACEA/fkEZ8AAAADcAAAADwAAAAAA AAAAAAAAAAAHAgAAZHJzL2Rvd25yZXYueG1sUEsFBgAAAAADAAMAtwAAAPQCAAAAAA== " adj="8308" fillcolor="white [3201]" strokecolor="#f79646 [3209]" strokeweight="1pt"/>
                  <v:shape id="Left Arrow 213" o:spid="_x0000_s1140" type="#_x0000_t66" style="position:absolute;left:48131;top:18228;width:1486;height:114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taH8wQAAANwAAAAPAAAAZHJzL2Rvd25yZXYueG1sRE9LawIx EL4L/Q9hCt40Wy22bDcrRRB7KIKP3ofNuAluJssmrmt/fVMQvM3H95xiObhG9NQF61nByzQDQVx5 bblWcDysJ+8gQkTW2HgmBTcKsCyfRgXm2l95R/0+1iKFcMhRgYmxzaUMlSGHYepb4sSdfOcwJtjV Und4TeGukbMsW0iHllODwZZWhqrz/uIU/Fpd72xvqs36e3uMr60N+HNTavw8fH6AiDTEh/ju/tJp /vwN/p9JF8jyDwAA//8DAFBLAQItABQABgAIAAAAIQDb4fbL7gAAAIUBAAATAAAAAAAAAAAAAAAA AAAAAABbQ29udGVudF9UeXBlc10ueG1sUEsBAi0AFAAGAAgAAAAhAFr0LFu/AAAAFQEAAAsAAAAA AAAAAAAAAAAAHwEAAF9yZWxzLy5yZWxzUEsBAi0AFAAGAAgAAAAhAJK1ofzBAAAA3AAAAA8AAAAA AAAAAAAAAAAABwIAAGRycy9kb3ducmV2LnhtbFBLBQYAAAAAAwADALcAAAD1AgAAAAA= " adj="8308" fillcolor="white [3201]" strokecolor="#f79646 [3209]" strokeweight="1pt"/>
                  <v:shape id="Left Arrow 214" o:spid="_x0000_s1141" type="#_x0000_t66" style="position:absolute;left:48110;top:9525;width:1486;height:114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KjWOwwAAANwAAAAPAAAAZHJzL2Rvd25yZXYueG1sRI9PawIx EMXvBb9DGKG3mrUVka1RiiB6KAX/3YfNdBO6mSybdF376TsHwdsM7817v1muh9ConrrkIxuYTgpQ xFW0nmsD59P2ZQEqZWSLTWQycKME69XoaYmljVc+UH/MtZIQTiUacDm3pdapchQwTWJLLNp37AJm Wbta2w6vEh4a/VoUcx3QszQ4bGnjqPo5/gYDf97WB9+7arf9/DrnWesTXm7GPI+Hj3dQmYb8MN+v 91bw34RWnpEJ9OofAAD//wMAUEsBAi0AFAAGAAgAAAAhANvh9svuAAAAhQEAABMAAAAAAAAAAAAA AAAAAAAAAFtDb250ZW50X1R5cGVzXS54bWxQSwECLQAUAAYACAAAACEAWvQsW78AAAAVAQAACwAA AAAAAAAAAAAAAAAfAQAAX3JlbHMvLnJlbHNQSwECLQAUAAYACAAAACEA4yo1jsMAAADcAAAADwAA AAAAAAAAAAAAAAAHAgAAZHJzL2Rvd25yZXYueG1sUEsFBgAAAAADAAMAtwAAAPcCAAAAAA== " adj="8308" fillcolor="white [3201]" strokecolor="#f79646 [3209]" strokeweight="1pt"/>
                </v:group>
                <w10:wrap anchorx="margin"/>
              </v:group>
            </w:pict>
          </mc:Fallback>
        </mc:AlternateContent>
      </w:r>
    </w:p>
    <w:p w:rsidR="000E7C4C" w:rsidRDefault="000E7C4C">
      <w:pPr>
        <w:jc w:val="both"/>
        <w:rPr>
          <w:bCs/>
          <w:color w:val="000000"/>
          <w:szCs w:val="21"/>
        </w:rPr>
      </w:pPr>
    </w:p>
    <w:p w:rsidR="000E7C4C" w:rsidRDefault="000E7C4C">
      <w:pPr>
        <w:jc w:val="both"/>
        <w:rPr>
          <w:bCs/>
          <w:color w:val="000000"/>
          <w:szCs w:val="21"/>
        </w:rPr>
      </w:pPr>
    </w:p>
    <w:p w:rsidR="000E7C4C" w:rsidRDefault="000E7C4C">
      <w:pPr>
        <w:jc w:val="both"/>
        <w:rPr>
          <w:bCs/>
          <w:color w:val="000000"/>
          <w:szCs w:val="21"/>
        </w:rPr>
      </w:pPr>
    </w:p>
    <w:p w:rsidR="000E7C4C" w:rsidRDefault="000E7C4C">
      <w:pPr>
        <w:jc w:val="both"/>
        <w:rPr>
          <w:bCs/>
          <w:color w:val="000000"/>
          <w:szCs w:val="21"/>
        </w:rPr>
      </w:pPr>
    </w:p>
    <w:p w:rsidR="000E7C4C" w:rsidRDefault="000E7C4C">
      <w:pPr>
        <w:jc w:val="both"/>
        <w:rPr>
          <w:bCs/>
          <w:color w:val="000000"/>
          <w:szCs w:val="21"/>
        </w:rPr>
      </w:pPr>
    </w:p>
    <w:p w:rsidR="000E7C4C" w:rsidRDefault="000E7C4C">
      <w:pPr>
        <w:jc w:val="both"/>
        <w:rPr>
          <w:bCs/>
          <w:color w:val="000000"/>
          <w:szCs w:val="21"/>
        </w:rPr>
      </w:pPr>
    </w:p>
    <w:p w:rsidR="000E7C4C" w:rsidRDefault="000E7C4C">
      <w:pPr>
        <w:jc w:val="both"/>
        <w:rPr>
          <w:bCs/>
          <w:color w:val="000000"/>
          <w:szCs w:val="21"/>
        </w:rPr>
      </w:pPr>
    </w:p>
    <w:p w:rsidR="000E7C4C" w:rsidRDefault="000E7C4C">
      <w:pPr>
        <w:jc w:val="both"/>
        <w:rPr>
          <w:bCs/>
          <w:color w:val="000000"/>
          <w:szCs w:val="21"/>
        </w:rPr>
      </w:pPr>
    </w:p>
    <w:p w:rsidR="000E7C4C" w:rsidRDefault="000E7C4C">
      <w:pPr>
        <w:jc w:val="both"/>
        <w:rPr>
          <w:bCs/>
          <w:color w:val="000000"/>
          <w:szCs w:val="21"/>
        </w:rPr>
      </w:pPr>
    </w:p>
    <w:p w:rsidR="000E7C4C" w:rsidRDefault="000E7C4C">
      <w:pPr>
        <w:jc w:val="both"/>
        <w:rPr>
          <w:bCs/>
          <w:color w:val="000000"/>
          <w:szCs w:val="21"/>
        </w:rPr>
      </w:pPr>
    </w:p>
    <w:p w:rsidR="000E7C4C" w:rsidRDefault="000E7C4C">
      <w:pPr>
        <w:jc w:val="both"/>
        <w:rPr>
          <w:bCs/>
          <w:color w:val="000000"/>
          <w:szCs w:val="21"/>
        </w:rPr>
      </w:pPr>
    </w:p>
    <w:p w:rsidR="000E7C4C" w:rsidRDefault="000E7C4C">
      <w:pPr>
        <w:jc w:val="both"/>
        <w:rPr>
          <w:bCs/>
          <w:color w:val="000000"/>
          <w:szCs w:val="21"/>
        </w:rPr>
      </w:pPr>
    </w:p>
    <w:p w:rsidR="000E7C4C" w:rsidRDefault="000E7C4C">
      <w:pPr>
        <w:jc w:val="both"/>
        <w:rPr>
          <w:bCs/>
          <w:color w:val="000000"/>
          <w:szCs w:val="21"/>
        </w:rPr>
      </w:pPr>
    </w:p>
    <w:p w:rsidR="000E7C4C" w:rsidRDefault="000E7C4C">
      <w:pPr>
        <w:jc w:val="both"/>
        <w:rPr>
          <w:bCs/>
          <w:color w:val="000000"/>
          <w:szCs w:val="21"/>
        </w:rPr>
      </w:pPr>
    </w:p>
    <w:p w:rsidR="000E7C4C" w:rsidRDefault="000E7C4C">
      <w:pPr>
        <w:jc w:val="both"/>
        <w:rPr>
          <w:bCs/>
          <w:color w:val="000000"/>
          <w:szCs w:val="21"/>
        </w:rPr>
      </w:pPr>
    </w:p>
    <w:p w:rsidR="000E7C4C" w:rsidRDefault="000E7C4C">
      <w:pPr>
        <w:tabs>
          <w:tab w:val="left" w:pos="993"/>
        </w:tabs>
        <w:jc w:val="center"/>
        <w:rPr>
          <w:color w:val="000000"/>
          <w:sz w:val="20"/>
        </w:rPr>
      </w:pPr>
    </w:p>
    <w:p w:rsidR="000E7C4C" w:rsidRDefault="003C3EA6">
      <w:pPr>
        <w:tabs>
          <w:tab w:val="left" w:pos="993"/>
        </w:tabs>
        <w:jc w:val="center"/>
        <w:rPr>
          <w:color w:val="000000"/>
          <w:sz w:val="20"/>
        </w:rPr>
      </w:pPr>
      <w:r>
        <w:rPr>
          <w:color w:val="000000"/>
          <w:sz w:val="20"/>
        </w:rPr>
        <w:t>2 paveikslas. Pareigos ir atsakomybės, nustatytos institucijoms įgyvendinančioms priemones oro taršos mažinimo ir oro kokybės valdymo srityje</w:t>
      </w:r>
    </w:p>
    <w:p w:rsidR="000E7C4C" w:rsidRDefault="003C3EA6">
      <w:pPr>
        <w:ind w:left="720"/>
        <w:jc w:val="both"/>
        <w:rPr>
          <w:b/>
          <w:color w:val="000000"/>
          <w:sz w:val="20"/>
          <w:highlight w:val="green"/>
        </w:rPr>
      </w:pPr>
    </w:p>
    <w:p w:rsidR="000E7C4C" w:rsidRDefault="003C3EA6">
      <w:pPr>
        <w:tabs>
          <w:tab w:val="left" w:pos="851"/>
        </w:tabs>
        <w:ind w:firstLine="567"/>
        <w:jc w:val="both"/>
        <w:rPr>
          <w:color w:val="000000"/>
          <w:szCs w:val="21"/>
        </w:rPr>
      </w:pPr>
      <w:r>
        <w:rPr>
          <w:color w:val="000000"/>
          <w:szCs w:val="21"/>
        </w:rPr>
        <w:t>9</w:t>
      </w:r>
      <w:r>
        <w:rPr>
          <w:color w:val="000000"/>
          <w:szCs w:val="21"/>
        </w:rPr>
        <w:t>.</w:t>
      </w:r>
      <w:r>
        <w:rPr>
          <w:color w:val="000000"/>
          <w:szCs w:val="21"/>
        </w:rPr>
        <w:tab/>
        <w:t>Lietuvos Respublikos sveikatos apsaugos ministerija prisideda prie oro taršą ir oro kokybės valdymą reguliuojančių teisės aktų kūrimo (kartu su Aplinkos ministerija tvirtina sąrašą teršalų, kurių kiekis aplinkos ore ribojamas, nustato ribines aplinkos oro užterštumo vertes, informavimo apie aplinkos oro užterštumo lygius tvarką), reglamentuoja taršos poveikio sveikatai vertinimą ir jį vertina, atlieka visuomenės informavimą apie taršos neigiamą poveikį sveikatai ir kt.</w:t>
      </w:r>
    </w:p>
    <w:p w:rsidR="000E7C4C" w:rsidRDefault="003C3EA6">
      <w:pPr>
        <w:tabs>
          <w:tab w:val="left" w:pos="709"/>
        </w:tabs>
        <w:ind w:firstLine="567"/>
        <w:jc w:val="both"/>
        <w:rPr>
          <w:color w:val="000000"/>
          <w:szCs w:val="21"/>
        </w:rPr>
      </w:pPr>
      <w:r>
        <w:rPr>
          <w:color w:val="000000"/>
          <w:szCs w:val="21"/>
        </w:rPr>
        <w:t>10</w:t>
      </w:r>
      <w:r>
        <w:rPr>
          <w:color w:val="000000"/>
          <w:szCs w:val="21"/>
        </w:rPr>
        <w:t>. Lietuvos Respublikos ekonomikos ir inovacijų ministerija įgyvendina priemones, kuriomis siekiama prisidėti prie oro taršos mažinimo pramonės sektoriuje, pavyzdžiui, skatinant efektyvesnį energijos ir žaliavų naudojimą, naujų technologijų kūrimą ir taikymą, kt.</w:t>
      </w:r>
    </w:p>
    <w:p w:rsidR="000E7C4C" w:rsidRDefault="003C3EA6">
      <w:pPr>
        <w:tabs>
          <w:tab w:val="num" w:pos="0"/>
        </w:tabs>
        <w:jc w:val="both"/>
        <w:rPr>
          <w:color w:val="000000"/>
          <w:szCs w:val="21"/>
        </w:rPr>
      </w:pPr>
    </w:p>
    <w:p w:rsidR="000E7C4C" w:rsidRDefault="003C3EA6">
      <w:pPr>
        <w:jc w:val="center"/>
        <w:rPr>
          <w:b/>
          <w:color w:val="000000"/>
          <w:szCs w:val="24"/>
        </w:rPr>
      </w:pPr>
      <w:r>
        <w:rPr>
          <w:b/>
          <w:color w:val="000000"/>
          <w:szCs w:val="24"/>
        </w:rPr>
        <w:t>III</w:t>
      </w:r>
      <w:r>
        <w:rPr>
          <w:b/>
          <w:color w:val="000000"/>
          <w:szCs w:val="24"/>
        </w:rPr>
        <w:t xml:space="preserve"> SKYRIUS</w:t>
      </w:r>
    </w:p>
    <w:p w:rsidR="000E7C4C" w:rsidRDefault="003C3EA6">
      <w:pPr>
        <w:keepNext/>
        <w:keepLines/>
        <w:jc w:val="center"/>
        <w:outlineLvl w:val="2"/>
        <w:rPr>
          <w:b/>
          <w:bCs/>
          <w:color w:val="000000"/>
          <w:szCs w:val="28"/>
        </w:rPr>
      </w:pPr>
      <w:r>
        <w:rPr>
          <w:b/>
          <w:bCs/>
          <w:color w:val="000000"/>
          <w:szCs w:val="28"/>
        </w:rPr>
        <w:t>PRIEVOLĖS ĮGYVENDINTI PRIEMONES NUSTATYMAS IR KONTROLĖ</w:t>
      </w:r>
    </w:p>
    <w:p w:rsidR="000E7C4C" w:rsidRDefault="000E7C4C">
      <w:pPr>
        <w:tabs>
          <w:tab w:val="num" w:pos="360"/>
        </w:tabs>
        <w:spacing w:line="360" w:lineRule="atLeast"/>
        <w:jc w:val="both"/>
        <w:rPr>
          <w:color w:val="000000"/>
          <w:szCs w:val="21"/>
        </w:rPr>
      </w:pPr>
    </w:p>
    <w:p w:rsidR="000E7C4C" w:rsidRDefault="003C3EA6">
      <w:pPr>
        <w:tabs>
          <w:tab w:val="left" w:pos="851"/>
        </w:tabs>
        <w:ind w:firstLine="567"/>
        <w:jc w:val="both"/>
        <w:rPr>
          <w:color w:val="000000"/>
          <w:szCs w:val="21"/>
        </w:rPr>
      </w:pPr>
      <w:r>
        <w:rPr>
          <w:color w:val="000000"/>
          <w:szCs w:val="21"/>
        </w:rPr>
        <w:t>11</w:t>
      </w:r>
      <w:r>
        <w:rPr>
          <w:color w:val="000000"/>
          <w:szCs w:val="21"/>
        </w:rPr>
        <w:t>. Plane numatytos priemonės, kuriomis siekiama mažinti taršą įvairiose sektoriuose. Dalis priemonių yra skatinamosios, kurios įgyvendinamos per finansavimo mechanizmus, kita dalis – informuotumo didinimo, reguliuojamojo pobūdžio priemonės.</w:t>
      </w:r>
    </w:p>
    <w:p w:rsidR="000E7C4C" w:rsidRDefault="003C3EA6">
      <w:pPr>
        <w:tabs>
          <w:tab w:val="left" w:pos="851"/>
        </w:tabs>
        <w:ind w:firstLine="567"/>
        <w:jc w:val="both"/>
        <w:rPr>
          <w:color w:val="000000"/>
          <w:szCs w:val="21"/>
        </w:rPr>
      </w:pPr>
      <w:r>
        <w:rPr>
          <w:color w:val="000000"/>
          <w:szCs w:val="21"/>
        </w:rPr>
        <w:t>12</w:t>
      </w:r>
      <w:r>
        <w:rPr>
          <w:color w:val="000000"/>
          <w:szCs w:val="21"/>
        </w:rPr>
        <w:t xml:space="preserve">. Remiantis Aplinkos oro apsaugos įstatymo 4 straipsnio 3 dalimi ir 7 straipsnio 2 dalimi, savivaldybės savo strateginiuose plėtros planuose ir (ar) strateginiuose veiklos planuose privalo numatyti aplinkos oro kokybės valdymo priemones (minimalias numatytinas priemones nustato Aplinkos ministerija kartu su Sveikatos apsaugos ministerija) ir jas įgyvendinti pagal savo kompetencijas. Aplinkos oro apsaugos įstatymo 10 straipsnio 2 dalyje </w:t>
      </w:r>
      <w:r>
        <w:rPr>
          <w:color w:val="000000"/>
          <w:szCs w:val="24"/>
        </w:rPr>
        <w:t xml:space="preserve">savivaldybėms suteikta teisė priimti sprendimus dėl transporto priemonių eismo laikino apribojimo arba uždraudimo tam tikroje savivaldybės teritorijoje. Aplinkos apsaugos įstatymo 6 straipsnio 7 dalyje vietos savivaldos institucijoms nustatyta pareiga dalyvauti ir teikti išvadas bei pasiūlymus planuojamos ūkinės veiklos poveikio aplinkai vertinimo ir atrankos dėl poveikio aplinkai vertinimo procesuose, rengti, tvirtinti ir įgyvendinti savivaldybių aplinkos apsaugos ir gamtos išteklių naudojimo programas, schemas ir kitas aplinkos apsaugos priemones, naudoti Savivaldybių aplinkos apsaugos rėmimo specialiosios programos lėšas, tvirtinti </w:t>
      </w:r>
      <w:proofErr w:type="spellStart"/>
      <w:r>
        <w:rPr>
          <w:color w:val="000000"/>
          <w:szCs w:val="24"/>
        </w:rPr>
        <w:t>asignavimus</w:t>
      </w:r>
      <w:proofErr w:type="spellEnd"/>
      <w:r>
        <w:rPr>
          <w:color w:val="000000"/>
          <w:szCs w:val="24"/>
        </w:rPr>
        <w:t xml:space="preserve"> aplinkos apsaugai, nustatyti savo teritorijoje griežtesnius už valstybinius normatyvus, suderinus su juos patvirtinusiomis valstybės institucijomis.</w:t>
      </w:r>
    </w:p>
    <w:p w:rsidR="000E7C4C" w:rsidRDefault="003C3EA6">
      <w:pPr>
        <w:tabs>
          <w:tab w:val="left" w:pos="851"/>
          <w:tab w:val="left" w:pos="5812"/>
        </w:tabs>
        <w:ind w:firstLine="567"/>
        <w:jc w:val="both"/>
        <w:rPr>
          <w:color w:val="000000"/>
          <w:szCs w:val="24"/>
        </w:rPr>
      </w:pPr>
      <w:r>
        <w:rPr>
          <w:color w:val="000000"/>
          <w:szCs w:val="21"/>
        </w:rPr>
        <w:t>13</w:t>
      </w:r>
      <w:r>
        <w:rPr>
          <w:color w:val="000000"/>
          <w:szCs w:val="21"/>
        </w:rPr>
        <w:t>. Remiantis Aplinkos apsaugos įstatymo 19</w:t>
      </w:r>
      <w:r>
        <w:rPr>
          <w:color w:val="000000"/>
          <w:szCs w:val="21"/>
          <w:vertAlign w:val="superscript"/>
        </w:rPr>
        <w:t>1</w:t>
      </w:r>
      <w:r>
        <w:rPr>
          <w:color w:val="000000"/>
          <w:szCs w:val="21"/>
        </w:rPr>
        <w:t>, 19</w:t>
      </w:r>
      <w:r>
        <w:rPr>
          <w:color w:val="000000"/>
          <w:szCs w:val="21"/>
          <w:vertAlign w:val="superscript"/>
        </w:rPr>
        <w:t>2</w:t>
      </w:r>
      <w:r>
        <w:rPr>
          <w:color w:val="000000"/>
          <w:szCs w:val="21"/>
        </w:rPr>
        <w:t xml:space="preserve"> straipsniais, aplinkos ministras tvirtina taršos integruotos prevencijos ir kontrolės leidimų išdavimo, pakeitimo ir galiojimo panaikinimo taisykles (toliau – TIPK taisyklės, TIPK leidimas), taršos leidimų išdavimo, pakeitimo ir galiojimo panaikinimo taisykles (toliau – taršos leidimų taisyklės, taršos leidimas); </w:t>
      </w:r>
      <w:r>
        <w:rPr>
          <w:color w:val="000000"/>
          <w:szCs w:val="24"/>
        </w:rPr>
        <w:t>TIPK leidimus ir taršos leidimus išduoda, keičia ir jų galiojimą panaikina aplinkos ministro įgaliota institucija; TIPK paraiškas derina ir pagal kompetenciją dalyvauja nustatant TIPK leidimo sąlygas Nacionalinis visuomenės sveikatos centras prie Sveikatos apsaugos ministerijos (toliau – Nacionalinis visuomenės sveikatos centras); savivaldybių vykdomosioms institucijoms suteikta teisė susipažinti su ūkio subjektų parengtomis paraiškomis TIPK leidimams gauti ir teikti dėl jų pastabas. Remiantis Aplinkos apsaugos įstatymo 19</w:t>
      </w:r>
      <w:r>
        <w:rPr>
          <w:color w:val="000000"/>
          <w:szCs w:val="24"/>
          <w:vertAlign w:val="superscript"/>
        </w:rPr>
        <w:t xml:space="preserve">3 </w:t>
      </w:r>
      <w:r>
        <w:rPr>
          <w:color w:val="000000"/>
          <w:szCs w:val="24"/>
        </w:rPr>
        <w:t>straipsniu, aplinkos ministras nustato tame straipsnyje apibrėžtų įrenginių įregistravimo, registracijos duomenų teikimo, tikslinimo ir įrenginių išregistravimo tvarką. Įrenginius įregistruoja, registracijos duomenis tikslina ir išregistruoja aplinkos ministro įgaliota institucija.</w:t>
      </w:r>
    </w:p>
    <w:p w:rsidR="000E7C4C" w:rsidRDefault="003C3EA6">
      <w:pPr>
        <w:tabs>
          <w:tab w:val="left" w:pos="851"/>
          <w:tab w:val="left" w:pos="5812"/>
        </w:tabs>
        <w:ind w:firstLine="567"/>
        <w:jc w:val="both"/>
        <w:rPr>
          <w:color w:val="000000"/>
          <w:szCs w:val="21"/>
        </w:rPr>
      </w:pPr>
      <w:r>
        <w:rPr>
          <w:color w:val="000000"/>
          <w:szCs w:val="21"/>
        </w:rPr>
        <w:t>14</w:t>
      </w:r>
      <w:r>
        <w:rPr>
          <w:color w:val="000000"/>
          <w:szCs w:val="21"/>
        </w:rPr>
        <w:t xml:space="preserve">. Remiantis Aplinkos oro apsaugos įstatymo 15 straipsnio 3 dalimi, Aplinkos ministerija nustato stacionarių taršos šaltinių naudotojams leidžiamus išmesti į aplinkos orą iš stacionarių taršos šaltinių teršalų kiekius pagal naudojamų technologinių įrenginių </w:t>
      </w:r>
      <w:proofErr w:type="spellStart"/>
      <w:r>
        <w:rPr>
          <w:color w:val="000000"/>
          <w:szCs w:val="21"/>
        </w:rPr>
        <w:t>pajėgumus</w:t>
      </w:r>
      <w:proofErr w:type="spellEnd"/>
      <w:r>
        <w:rPr>
          <w:color w:val="000000"/>
          <w:szCs w:val="21"/>
        </w:rPr>
        <w:t xml:space="preserve"> ir kitas su aplinkos oro taršos reguliavimu susijusias sąlygas.</w:t>
      </w:r>
    </w:p>
    <w:p w:rsidR="000E7C4C" w:rsidRDefault="003C3EA6">
      <w:pPr>
        <w:tabs>
          <w:tab w:val="left" w:pos="993"/>
        </w:tabs>
        <w:ind w:left="720"/>
        <w:jc w:val="both"/>
        <w:rPr>
          <w:color w:val="000000"/>
          <w:szCs w:val="21"/>
        </w:rPr>
      </w:pPr>
      <w:r>
        <w:rPr>
          <w:noProof/>
          <w:lang w:eastAsia="lt-LT"/>
        </w:rPr>
        <mc:AlternateContent>
          <mc:Choice Requires="wpg">
            <w:drawing>
              <wp:anchor distT="0" distB="0" distL="114300" distR="114300" simplePos="0" relativeHeight="251672576" behindDoc="0" locked="0" layoutInCell="1" allowOverlap="1" wp14:anchorId="13C62D68" wp14:editId="52AEB8B8">
                <wp:simplePos x="0" y="0"/>
                <wp:positionH relativeFrom="margin">
                  <wp:posOffset>38100</wp:posOffset>
                </wp:positionH>
                <wp:positionV relativeFrom="paragraph">
                  <wp:posOffset>154305</wp:posOffset>
                </wp:positionV>
                <wp:extent cx="5614670" cy="1424305"/>
                <wp:effectExtent l="0" t="0" r="24130" b="23495"/>
                <wp:wrapNone/>
                <wp:docPr id="223" name="Grupė 223"/>
                <wp:cNvGraphicFramePr/>
                <a:graphic xmlns:a="http://schemas.openxmlformats.org/drawingml/2006/main">
                  <a:graphicData uri="http://schemas.microsoft.com/office/word/2010/wordprocessingGroup">
                    <wpg:wgp>
                      <wpg:cNvGrpSpPr/>
                      <wpg:grpSpPr>
                        <a:xfrm>
                          <a:off x="0" y="0"/>
                          <a:ext cx="5614670" cy="1424305"/>
                          <a:chOff x="0" y="0"/>
                          <a:chExt cx="5614670" cy="1424306"/>
                        </a:xfrm>
                      </wpg:grpSpPr>
                      <wpg:grpSp>
                        <wpg:cNvPr id="111" name="Group 139"/>
                        <wpg:cNvGrpSpPr/>
                        <wpg:grpSpPr>
                          <a:xfrm>
                            <a:off x="0" y="0"/>
                            <a:ext cx="5614670" cy="1424306"/>
                            <a:chOff x="0" y="0"/>
                            <a:chExt cx="5615611" cy="1424817"/>
                          </a:xfrm>
                        </wpg:grpSpPr>
                        <wpg:grpSp>
                          <wpg:cNvPr id="118" name="Group 140"/>
                          <wpg:cNvGrpSpPr/>
                          <wpg:grpSpPr>
                            <a:xfrm>
                              <a:off x="0" y="0"/>
                              <a:ext cx="5606297" cy="1424817"/>
                              <a:chOff x="0" y="0"/>
                              <a:chExt cx="5606297" cy="1424954"/>
                            </a:xfrm>
                          </wpg:grpSpPr>
                          <wpg:grpSp>
                            <wpg:cNvPr id="120" name="Group 141"/>
                            <wpg:cNvGrpSpPr/>
                            <wpg:grpSpPr>
                              <a:xfrm>
                                <a:off x="0" y="0"/>
                                <a:ext cx="4811331" cy="1424954"/>
                                <a:chOff x="0" y="0"/>
                                <a:chExt cx="4811431" cy="1425346"/>
                              </a:xfrm>
                            </wpg:grpSpPr>
                            <wps:wsp>
                              <wps:cNvPr id="122" name="Rectangle 142"/>
                              <wps:cNvSpPr/>
                              <wps:spPr>
                                <a:xfrm>
                                  <a:off x="0" y="8619"/>
                                  <a:ext cx="387985" cy="1396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ind w:left="720"/>
                                      <w:jc w:val="both"/>
                                      <w:rPr>
                                        <w:color w:val="FFFFFF"/>
                                        <w:sz w:val="18"/>
                                        <w:szCs w:val="21"/>
                                      </w:rPr>
                                    </w:pPr>
                                    <w:r>
                                      <w:rPr>
                                        <w:color w:val="FFFFFF"/>
                                        <w:sz w:val="18"/>
                                        <w:szCs w:val="21"/>
                                      </w:rPr>
                                      <w:t>Vykdymas</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23" name="Rectangle 143"/>
                              <wps:cNvSpPr/>
                              <wps:spPr>
                                <a:xfrm>
                                  <a:off x="500981" y="985912"/>
                                  <a:ext cx="2052698" cy="439434"/>
                                </a:xfrm>
                                <a:prstGeom prst="rect">
                                  <a:avLst/>
                                </a:prstGeom>
                                <a:solidFill>
                                  <a:schemeClr val="tx2"/>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FFFFFF"/>
                                        <w:sz w:val="18"/>
                                        <w:szCs w:val="21"/>
                                      </w:rPr>
                                    </w:pPr>
                                    <w:r>
                                      <w:rPr>
                                        <w:color w:val="FFFFFF"/>
                                        <w:sz w:val="18"/>
                                        <w:szCs w:val="21"/>
                                      </w:rPr>
                                      <w:t xml:space="preserve">Ūkio subjektų patikrinimai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ectangle 144"/>
                              <wps:cNvSpPr/>
                              <wps:spPr>
                                <a:xfrm>
                                  <a:off x="2676229" y="8609"/>
                                  <a:ext cx="2134985" cy="223506"/>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21"/>
                                      </w:rPr>
                                    </w:pPr>
                                    <w:r>
                                      <w:rPr>
                                        <w:color w:val="000000"/>
                                        <w:sz w:val="18"/>
                                        <w:szCs w:val="21"/>
                                      </w:rPr>
                                      <w:t xml:space="preserve">Aplinkos ministerija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 name="Rectangle 145"/>
                              <wps:cNvSpPr/>
                              <wps:spPr>
                                <a:xfrm>
                                  <a:off x="500444" y="0"/>
                                  <a:ext cx="2052967" cy="935264"/>
                                </a:xfrm>
                                <a:prstGeom prst="rect">
                                  <a:avLst/>
                                </a:prstGeom>
                                <a:solidFill>
                                  <a:schemeClr val="tx2"/>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FFFFFF"/>
                                        <w:sz w:val="18"/>
                                        <w:szCs w:val="21"/>
                                      </w:rPr>
                                    </w:pPr>
                                    <w:r>
                                      <w:rPr>
                                        <w:color w:val="FFFFFF"/>
                                        <w:sz w:val="18"/>
                                        <w:szCs w:val="21"/>
                                      </w:rPr>
                                      <w:t>Leidimai ūkio subjektams, tam tikrų įrenginių registravimas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Rectangle 147"/>
                              <wps:cNvSpPr/>
                              <wps:spPr>
                                <a:xfrm>
                                  <a:off x="2681770" y="985262"/>
                                  <a:ext cx="2129661" cy="439778"/>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21"/>
                                      </w:rPr>
                                    </w:pPr>
                                    <w:r>
                                      <w:rPr>
                                        <w:color w:val="000000"/>
                                        <w:sz w:val="18"/>
                                        <w:szCs w:val="21"/>
                                      </w:rPr>
                                      <w:t>Aplinkos apsaugos departamentas prie Aplinkos ministerijos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21" name="Rectangle 149"/>
                            <wps:cNvSpPr/>
                            <wps:spPr>
                              <a:xfrm>
                                <a:off x="4959867" y="1"/>
                                <a:ext cx="646430" cy="934743"/>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3C3EA6" w:rsidRDefault="003C3EA6">
                                  <w:pPr>
                                    <w:jc w:val="both"/>
                                    <w:rPr>
                                      <w:color w:val="000000"/>
                                      <w:sz w:val="16"/>
                                      <w:szCs w:val="21"/>
                                    </w:rPr>
                                  </w:pPr>
                                  <w:r>
                                    <w:rPr>
                                      <w:color w:val="000000"/>
                                      <w:sz w:val="16"/>
                                      <w:szCs w:val="21"/>
                                    </w:rPr>
                                    <w:t xml:space="preserve">Valstybės lygiu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19" name="Rectangle 154"/>
                          <wps:cNvSpPr/>
                          <wps:spPr>
                            <a:xfrm>
                              <a:off x="4969816" y="996350"/>
                              <a:ext cx="645795" cy="408448"/>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3C3EA6" w:rsidRDefault="003C3EA6">
                                <w:pPr>
                                  <w:jc w:val="both"/>
                                  <w:rPr>
                                    <w:color w:val="000000"/>
                                    <w:sz w:val="16"/>
                                    <w:szCs w:val="21"/>
                                  </w:rPr>
                                </w:pPr>
                                <w:r>
                                  <w:rPr>
                                    <w:color w:val="000000"/>
                                    <w:sz w:val="16"/>
                                    <w:szCs w:val="21"/>
                                  </w:rPr>
                                  <w:t xml:space="preserve">Regionų lygiu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12" name="Rectangle 217"/>
                        <wps:cNvSpPr/>
                        <wps:spPr>
                          <a:xfrm>
                            <a:off x="2681785" y="559559"/>
                            <a:ext cx="2128737" cy="375285"/>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18"/>
                                </w:rPr>
                              </w:pPr>
                              <w:r>
                                <w:rPr>
                                  <w:color w:val="000000"/>
                                  <w:sz w:val="18"/>
                                  <w:szCs w:val="18"/>
                                </w:rPr>
                                <w:t>Nacionalinis visuomenės sveikatos centras, vietos savivaldos institucijos (derinama)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 name="Rectangle 218"/>
                        <wps:cNvSpPr/>
                        <wps:spPr>
                          <a:xfrm>
                            <a:off x="2681785" y="266132"/>
                            <a:ext cx="2128520" cy="242570"/>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21"/>
                                </w:rPr>
                              </w:pPr>
                              <w:r>
                                <w:rPr>
                                  <w:color w:val="000000"/>
                                  <w:sz w:val="18"/>
                                  <w:szCs w:val="21"/>
                                </w:rPr>
                                <w:t>Aplinkos apsaugos agentūra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 name="Left Arrow 219"/>
                        <wps:cNvSpPr/>
                        <wps:spPr>
                          <a:xfrm>
                            <a:off x="4810836" y="54592"/>
                            <a:ext cx="148200" cy="177354"/>
                          </a:xfrm>
                          <a:prstGeom prst="leftArrow">
                            <a:avLst/>
                          </a:prstGeom>
                          <a:ln w="1270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 name="Left Arrow 220"/>
                        <wps:cNvSpPr/>
                        <wps:spPr>
                          <a:xfrm>
                            <a:off x="4810836" y="266132"/>
                            <a:ext cx="147955" cy="177165"/>
                          </a:xfrm>
                          <a:prstGeom prst="leftArrow">
                            <a:avLst/>
                          </a:prstGeom>
                          <a:ln w="1270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 name="Left Arrow 221"/>
                        <wps:cNvSpPr/>
                        <wps:spPr>
                          <a:xfrm>
                            <a:off x="4810836" y="641445"/>
                            <a:ext cx="147955" cy="177165"/>
                          </a:xfrm>
                          <a:prstGeom prst="leftArrow">
                            <a:avLst/>
                          </a:prstGeom>
                          <a:ln w="1270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 name="Left Arrow 222"/>
                        <wps:cNvSpPr/>
                        <wps:spPr>
                          <a:xfrm>
                            <a:off x="4810836" y="1112293"/>
                            <a:ext cx="147955" cy="177165"/>
                          </a:xfrm>
                          <a:prstGeom prst="leftArrow">
                            <a:avLst/>
                          </a:prstGeom>
                          <a:ln w="1270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13C62D68" id="Grupė 223" o:spid="_x0000_s1142" style="position:absolute;left:0;text-align:left;margin-left:3pt;margin-top:12.15pt;width:442.1pt;height:112.15pt;z-index:251672576;mso-position-horizontal-relative:margin;mso-height-relative:margin" coordsize="56146,142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ogKuVwYAANk1AAAOAAAAZHJzL2Uyb0RvYy54bWzsW+9u2zYQ/z5g7yDo+2qRov4ZdYogXYMB QVe0HfqZkSlbmCRqFBM7e5G90B5sR1KiFdtNZKfJEkRF4VgSSR2P/N3v7nh++25dFs41E03Oq5mL 3niuw6qUz/NqMXP/+Prhl9h1GkmrOS14xWbuDWvcdyc///R2VU8Z5ktezJlwYJCqma7qmbuUsp5O Jk26ZCVt3vCaVfAw46KkEi7FYjIXdAWjl8UEe144WXExrwVPWdPA3ffmoXuix88ylsrfs6xh0ilm Lsgm9afQn5fqc3Lylk4XgtbLPG3FoEdIUdK8gpfaod5TSZ0rke8MVeap4A3P5JuUlxOeZXnK9Bxg Nsjbms254Fe1nstiulrUVk2g2i09HT1s+vH6k3Dy+czF2HedipawSOfiqv73H0fdAf2s6sUUmp2L +kv9SbQ3FuZKTXmdiVL9hck4a63ZG6tZtpZOCjeDEJEwggVI4RkimPheYHSfLmGBdvqly1+/3zNU PSfdiydKPiuOvbByt9NDCG2mB2p1kJ884uy0jHQ6YHagGpCs00uMouNmBzjrFk/Pjui9/WPWzgtx Eu3IOGR2Wz2TgBw1Oww75/bs0I9aOxIj5Pu9FWhlvH92qifp9Qx8cvfOBAvXbEDcPAzEX5a0Zto2 NAqd3S7HuNPUZ7B9tFoUzAG8GW3plhbEzbQBPH8XwXGINEDotAOxH0dJHLT7wE/CCC76SKTTWjTy nPHSUV9mrgARtFWk1xeNNE27JoDgVd2JoL/Jm4IpaYrqM8vAJIHZwLq3JgN2VgjnmoIZp2nKKonM oyWdM3M78OBfK4/toe2EHlCNnOVFYcduB1BEszu2kbVtr7oyzSW2s3eXYKaz7aHfzCtpO5d5xcW+ AQqYVftm075TklGN0pJcX661uQZjCk3VrUs+v4HlF9yQW1OnH3JQ/wVt5CcqgM0APMDQ8FR9YmWF V0B4M7f564oK5jrFbxVsxgQRsBmO1BckiBTmRP/JZf9JdVWecVgMAA68UH9V7WXRfc0EL78BN5+q F8MjWqVLDsSbStFdnElDxMDuKTs91c2AFWsqL6ovdaoGV7pTO+br+hsVdbutJGzIj7wDAJ1u7S7T VvWs+OmV5Fmut95GVa1WAYxGgU+ASkutfVS27DoQlbC/kxjUDQQKKEyQxvQGnNgLcJgACygmIX5C /Num9kBw0mnDi3z+ARCjNGkBZbAm1/rtwMG3WhWVs4JVgy3W4uPQIWDAouo2vTZOo2XQNu8gy9By 4yGWAaD592gWNCM9pVkg+8ha41bte6D1+8kah1GIcaLtQhx6W5SNkU8sZ4M/H3i3XZSDrULFlUkA 5lFIHdH+DPwA69sN9wP+d7TLV+gCgONsQpi+C6Ad6MFYBxeAELAZu/G1Yn9wyA37Jz64AiP7v9K4 wHqVL8gevM6gINxnEXT6Z7BFwCEkjFREZ6ICHG5HBQjMQthmNyAqiKL4ISG7CqlG/k83ofwz4H/r Lo5476WYDkoCbFLIT5YQAEjuegNtQnqg50+SIIkV5wP2dci3SQaEJIQMe+cNkIhoUrAp84O9/r6r rxJUOio/Nj7vIpAD0nK98Nek8FT8YRNsJld4BxS7N9oeqns2KCU3//OAlJz15kYovhwoQpZ7F4rm nGIwDZMEUm8I+FzRcBJCmK1Yto/HIErazDnxYkIeyMIjHi1+O2u0L0Wuca8WccTjC8LjnhMsbE5F B+NRu8XqqArwGAQJ/L+NR4xwHPltuOxHAX7YSdboFltmvZeLOzq1PYZzcc8LuP94zMZRLwj7rzAt hvacjGGk6fEotGOIdv3dIDgO1HGmOhrDBAfm7PR4d3gMglVhlT3PvsPzfiq02w0zoh0cov6ZuTKv z+YcHNkDrwuWSedUCL5ysKkzGQx3qLvxYt842wEJki20IxJDYaABO+TG/K2So53YtwBJtCC62GCr lkAVsygNjg73HQ73C8Lcq0w0I3v01EcdEGJbQDTonLmPun0kiwhEuG2IC7BD4T21YSPsVIHbd0vB BuSdRtgdG9Qqqnn8oi+VDzI53luw0y7RUWQXEijR07DaZJZG2O2Wbz5uuneE3TOHHaR19sDOlskc zHbwywEosNInKCPuoJRX+cNb9aCmJHvE3fOscdbHm/D7IR0Ztr91Uj9Q6l/rNPrmF1kn/wEAAP// AwBQSwMEFAAGAAgAAAAhAOpcqNPfAAAACAEAAA8AAABkcnMvZG93bnJldi54bWxMj0FLw0AQhe+C /2EZwZvdJNUQYzalFPVUBFtBvE2z0yQ0Oxuy2yT9925Penzzhve+V6xm04mRBtdaVhAvIhDEldUt 1wq+9m8PGQjnkTV2lknBhRysytubAnNtJ/6kcedrEULY5aig8b7PpXRVQwbdwvbEwTvawaAPcqil HnAK4aaTSRSl0mDLoaHBnjYNVafd2Sh4n3BaL+PXcXs6bi4/+6eP721MSt3fzesXEJ5m//cMV/yA DmVgOtgzayc6BWlY4hUkj0sQwc6eowTE4XrIUpBlIf8PKH8BAAD//wMAUEsBAi0AFAAGAAgAAAAh ALaDOJL+AAAA4QEAABMAAAAAAAAAAAAAAAAAAAAAAFtDb250ZW50X1R5cGVzXS54bWxQSwECLQAU AAYACAAAACEAOP0h/9YAAACUAQAACwAAAAAAAAAAAAAAAAAvAQAAX3JlbHMvLnJlbHNQSwECLQAU AAYACAAAACEAhqICrlcGAADZNQAADgAAAAAAAAAAAAAAAAAuAgAAZHJzL2Uyb0RvYy54bWxQSwEC LQAUAAYACAAAACEA6lyo098AAAAIAQAADwAAAAAAAAAAAAAAAACxCAAAZHJzL2Rvd25yZXYueG1s UEsFBgAAAAAEAAQA8wAAAL0JAAAAAA== ">
                <v:group id="Group 139" o:spid="_x0000_s1143" style="position:absolute;width:56146;height:14243" coordsize="56156,142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UakawgAAANwAAAAPAAAAZHJzL2Rvd25yZXYueG1sRE9Ni8Iw EL0v+B/CCHtb0yguUo0i4soeRFgVxNvQjG2xmZQm29Z/b4SFvc3jfc5i1dtKtNT40rEGNUpAEGfO lJxrOJ++PmYgfEA2WDkmDQ/ysFoO3haYGtfxD7XHkIsYwj5FDUUIdSqlzwqy6EeuJo7czTUWQ4RN Lk2DXQy3lRwnyae0WHJsKLCmTUHZ/fhrNew67NYTtW3399vmcT1ND5e9Iq3fh/16DiJQH/7Ff+5v E+crBa9n4gVy+QQAAP//AwBQSwECLQAUAAYACAAAACEA2+H2y+4AAACFAQAAEwAAAAAAAAAAAAAA AAAAAAAAW0NvbnRlbnRfVHlwZXNdLnhtbFBLAQItABQABgAIAAAAIQBa9CxbvwAAABUBAAALAAAA AAAAAAAAAAAAAB8BAABfcmVscy8ucmVsc1BLAQItABQABgAIAAAAIQChUakawgAAANwAAAAPAAAA AAAAAAAAAAAAAAcCAABkcnMvZG93bnJldi54bWxQSwUGAAAAAAMAAwC3AAAA9gIAAAAA ">
                  <v:group id="Group 140" o:spid="_x0000_s1144" style="position:absolute;width:56062;height:14248" coordsize="56062,142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awCHxgAAANwAAAAPAAAAZHJzL2Rvd25yZXYueG1sRI9Pa8JA EMXvQr/DMoXedBNLS0ndiEiVHqRQLYi3ITv5g9nZkF2T+O07h0JvM7w37/1mtZ5cqwbqQ+PZQLpI QBEX3jZcGfg57eZvoEJEtth6JgN3CrDOH2YrzKwf+ZuGY6yUhHDI0EAdY5dpHYqaHIaF74hFK33v MMraV9r2OEq4a/UySV61w4alocaOtjUV1+PNGdiPOG6e04/hcC2398vp5et8SMmYp8dp8w4q0hT/ zX/Xn1bwU6GVZ2QCnf8CAAD//wMAUEsBAi0AFAAGAAgAAAAhANvh9svuAAAAhQEAABMAAAAAAAAA AAAAAAAAAAAAAFtDb250ZW50X1R5cGVzXS54bWxQSwECLQAUAAYACAAAACEAWvQsW78AAAAVAQAA CwAAAAAAAAAAAAAAAAAfAQAAX3JlbHMvLnJlbHNQSwECLQAUAAYACAAAACEAMGsAh8YAAADcAAAA DwAAAAAAAAAAAAAAAAAHAgAAZHJzL2Rvd25yZXYueG1sUEsFBgAAAAADAAMAtwAAAPoCAAAAAA== ">
                    <v:group id="Group 141" o:spid="_x0000_s1145" style="position:absolute;width:48113;height:14249" coordsize="48114,1425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ccY8xQAAANwAAAAPAAAAZHJzL2Rvd25yZXYueG1sRI9Ba8JA EIXvgv9hGaE33cSiSOoqIm3pQQS1UHobsmMSzM6G7DaJ/75zELzN8N689816O7haddSGyrOBdJaA Is69rbgw8H35mK5AhYhssfZMBu4UYLsZj9aYWd/zibpzLJSEcMjQQBljk2kd8pIchplviEW7+tZh lLUttG2xl3BX63mSLLXDiqWhxIb2JeW3858z8Nljv3tN37vD7bq//14Wx59DSsa8TIbdG6hIQ3ya H9dfVvDngi/PyAR68w8AAP//AwBQSwECLQAUAAYACAAAACEA2+H2y+4AAACFAQAAEwAAAAAAAAAA AAAAAAAAAAAAW0NvbnRlbnRfVHlwZXNdLnhtbFBLAQItABQABgAIAAAAIQBa9CxbvwAAABUBAAAL AAAAAAAAAAAAAAAAAB8BAABfcmVscy8ucmVsc1BLAQItABQABgAIAAAAIQAAccY8xQAAANwAAAAP AAAAAAAAAAAAAAAAAAcCAABkcnMvZG93bnJldi54bWxQSwUGAAAAAAMAAwC3AAAA+QIAAAAA ">
                      <v:rect id="Rectangle 142" o:spid="_x0000_s1146" style="position:absolute;top:86;width:3879;height:1396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uQh1wgAAANwAAAAPAAAAZHJzL2Rvd25yZXYueG1sRE9Na8JA EL0X+h+WKXirm+YgmrqKLQS9eDAKpbchO02C2dk0O2r8964geJvH+5z5cnCtOlMfGs8GPsYJKOLS 24YrA4d9/j4FFQTZYuuZDFwpwHLx+jLHzPoL7+hcSKViCIcMDdQiXaZ1KGtyGMa+I47cn+8dSoR9 pW2PlxjuWp0myUQ7bDg21NjRd03lsTg5A8VsLe10Mtv9fB3+i3zrT/mvkDGjt2H1CUpokKf44d7Y OD9N4f5MvEAvbgAAAP//AwBQSwECLQAUAAYACAAAACEA2+H2y+4AAACFAQAAEwAAAAAAAAAAAAAA AAAAAAAAW0NvbnRlbnRfVHlwZXNdLnhtbFBLAQItABQABgAIAAAAIQBa9CxbvwAAABUBAAALAAAA AAAAAAAAAAAAAB8BAABfcmVscy8ucmVsc1BLAQItABQABgAIAAAAIQDuuQh1wgAAANwAAAAPAAAA AAAAAAAAAAAAAAcCAABkcnMvZG93bnJldi54bWxQSwUGAAAAAAMAAwC3AAAA9gIAAAAA " fillcolor="#4f81bd [3204]" strokecolor="#243f60 [1604]" strokeweight="2pt">
                        <v:textbox style="layout-flow:vertical;mso-layout-flow-alt:bottom-to-top">
                          <w:txbxContent>
                            <w:p w:rsidR="003C3EA6" w:rsidRDefault="003C3EA6">
                              <w:pPr>
                                <w:ind w:left="720"/>
                                <w:jc w:val="both"/>
                                <w:rPr>
                                  <w:color w:val="FFFFFF"/>
                                  <w:sz w:val="18"/>
                                  <w:szCs w:val="21"/>
                                </w:rPr>
                              </w:pPr>
                              <w:r>
                                <w:rPr>
                                  <w:color w:val="FFFFFF"/>
                                  <w:sz w:val="18"/>
                                  <w:szCs w:val="21"/>
                                </w:rPr>
                                <w:t>Vykdymas</w:t>
                              </w:r>
                            </w:p>
                          </w:txbxContent>
                        </v:textbox>
                      </v:rect>
                      <v:rect id="Rectangle 143" o:spid="_x0000_s1147" style="position:absolute;left:5009;top:9859;width:20527;height:439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rfzIwQAAANwAAAAPAAAAZHJzL2Rvd25yZXYueG1sRE9Na8JA EL0L/Q/LCN7qRotBUleRarWgILX1PmTHJJiZDdlV03/fLRS8zeN9zmzRca1u1PrKiYHRMAFFkjtb SWHg++v9eQrKBxSLtRMy8EMeFvOn3gwz6+7ySbdjKFQMEZ+hgTKEJtPa5yUx+qFrSCJ3di1jiLAt tG3xHsO51uMkSTVjJbGhxIbeSsovxysbSE9hw+tatqz3abri3aTZHSbGDPrd8hVUoC48xP/uDxvn j1/g75l4gZ7/AgAA//8DAFBLAQItABQABgAIAAAAIQDb4fbL7gAAAIUBAAATAAAAAAAAAAAAAAAA AAAAAABbQ29udGVudF9UeXBlc10ueG1sUEsBAi0AFAAGAAgAAAAhAFr0LFu/AAAAFQEAAAsAAAAA AAAAAAAAAAAAHwEAAF9yZWxzLy5yZWxzUEsBAi0AFAAGAAgAAAAhAG2t/MjBAAAA3AAAAA8AAAAA AAAAAAAAAAAABwIAAGRycy9kb3ducmV2LnhtbFBLBQYAAAAAAwADALcAAAD1AgAAAAA= " fillcolor="#1f497d [3215]" strokecolor="#1f497d [3215]" strokeweight="1pt">
                        <v:textbox>
                          <w:txbxContent>
                            <w:p w:rsidR="003C3EA6" w:rsidRDefault="003C3EA6">
                              <w:pPr>
                                <w:rPr>
                                  <w:color w:val="FFFFFF"/>
                                  <w:sz w:val="18"/>
                                  <w:szCs w:val="21"/>
                                </w:rPr>
                              </w:pPr>
                              <w:r>
                                <w:rPr>
                                  <w:color w:val="FFFFFF"/>
                                  <w:sz w:val="18"/>
                                  <w:szCs w:val="21"/>
                                </w:rPr>
                                <w:t xml:space="preserve">Ūkio subjektų patikrinimai </w:t>
                              </w:r>
                            </w:p>
                          </w:txbxContent>
                        </v:textbox>
                      </v:rect>
                      <v:rect id="Rectangle 144" o:spid="_x0000_s1148" style="position:absolute;left:26762;top:86;width:21350;height:22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b7vjwQAAANwAAAAPAAAAZHJzL2Rvd25yZXYueG1sRE9LawIx EL4X+h/CFLzVbEWkrEYpgsWDIK6P85CMu6vJZN2k6/bfN4LQ23x8z5ktemdFR22oPSv4GGYgiLU3 NZcKDvvV+yeIEJENWs+k4JcCLOavLzPMjb/zjroiliKFcMhRQRVjk0sZdEUOw9A3xIk7+9ZhTLAt pWnxnsKdlaMsm0iHNaeGChtaVqSvxY9TsO/Wbnk8caCgv2OxvdjbRlulBm/91xREpD7+i5/utUnz R2N4PJMukPM/AAAA//8DAFBLAQItABQABgAIAAAAIQDb4fbL7gAAAIUBAAATAAAAAAAAAAAAAAAA AAAAAABbQ29udGVudF9UeXBlc10ueG1sUEsBAi0AFAAGAAgAAAAhAFr0LFu/AAAAFQEAAAsAAAAA AAAAAAAAAAAAHwEAAF9yZWxzLy5yZWxzUEsBAi0AFAAGAAgAAAAhAGlvu+PBAAAA3AAAAA8AAAAA AAAAAAAAAAAABwIAAGRycy9kb3ducmV2LnhtbFBLBQYAAAAAAwADALcAAAD1AgAAAAA= " filled="f" strokecolor="#1f497d [3215]" strokeweight="1pt">
                        <v:textbox>
                          <w:txbxContent>
                            <w:p w:rsidR="003C3EA6" w:rsidRDefault="003C3EA6">
                              <w:pPr>
                                <w:rPr>
                                  <w:color w:val="000000"/>
                                  <w:sz w:val="18"/>
                                  <w:szCs w:val="21"/>
                                </w:rPr>
                              </w:pPr>
                              <w:r>
                                <w:rPr>
                                  <w:color w:val="000000"/>
                                  <w:sz w:val="18"/>
                                  <w:szCs w:val="21"/>
                                </w:rPr>
                                <w:t xml:space="preserve">Aplinkos ministerija </w:t>
                              </w:r>
                            </w:p>
                          </w:txbxContent>
                        </v:textbox>
                      </v:rect>
                      <v:rect id="Rectangle 145" o:spid="_x0000_s1149" style="position:absolute;left:5004;width:20530;height:93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CMEnwQAAANwAAAAPAAAAZHJzL2Rvd25yZXYueG1sRE/basJA EH0v9B+WEXzTjUKCpK5SWm+gINr2fchOk9DMbMiuGv++WxD6Nodznfmy50ZdqfO1EwOTcQKKpHC2 ltLA58d6NAPlA4rFxgkZuJOH5eL5aY65dTc50fUcShVDxOdooAqhzbX2RUWMfuxaksh9u44xRNiV 2nZ4i+Hc6GmSZJqxlthQYUtvFRU/5wsbyL7ChleNbFkfsuyd92m7P6bGDAf96wuoQH34Fz/cOxvn T1P4eyZeoBe/AAAA//8DAFBLAQItABQABgAIAAAAIQDb4fbL7gAAAIUBAAATAAAAAAAAAAAAAAAA AAAAAABbQ29udGVudF9UeXBlc10ueG1sUEsBAi0AFAAGAAgAAAAhAFr0LFu/AAAAFQEAAAsAAAAA AAAAAAAAAAAAHwEAAF9yZWxzLy5yZWxzUEsBAi0AFAAGAAgAAAAhAI0IwSfBAAAA3AAAAA8AAAAA AAAAAAAAAAAABwIAAGRycy9kb3ducmV2LnhtbFBLBQYAAAAAAwADALcAAAD1AgAAAAA= " fillcolor="#1f497d [3215]" strokecolor="#1f497d [3215]" strokeweight="1pt">
                        <v:textbox>
                          <w:txbxContent>
                            <w:p w:rsidR="003C3EA6" w:rsidRDefault="003C3EA6">
                              <w:pPr>
                                <w:rPr>
                                  <w:color w:val="FFFFFF"/>
                                  <w:sz w:val="18"/>
                                  <w:szCs w:val="21"/>
                                </w:rPr>
                              </w:pPr>
                              <w:r>
                                <w:rPr>
                                  <w:color w:val="FFFFFF"/>
                                  <w:sz w:val="18"/>
                                  <w:szCs w:val="21"/>
                                </w:rPr>
                                <w:t>Leidimai ūkio subjektams, tam tikrų įrenginių registravimas</w:t>
                              </w:r>
                            </w:p>
                          </w:txbxContent>
                        </v:textbox>
                      </v:rect>
                      <v:rect id="Rectangle 147" o:spid="_x0000_s1150" style="position:absolute;left:26817;top:9852;width:21297;height:439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UffRwQAAANwAAAAPAAAAZHJzL2Rvd25yZXYueG1sRE9Li8Iw EL4v+B/CCN7W1MqKVKPowoLIXnyAeBuasa02k9BErf/eCIK3+fieM523phY3anxlWcGgn4Agzq2u uFCw3/19j0H4gKyxtkwKHuRhPut8TTHT9s4bum1DIWII+wwVlCG4TEqfl2TQ960jjtzJNgZDhE0h dYP3GG5qmSbJSBqsODaU6Oi3pPyyvRoFZ++Wj4E/r/Xl8G/3x6PTw/RHqV63XUxABGrDR/x2r3Sc n47g9Uy8QM6eAAAA//8DAFBLAQItABQABgAIAAAAIQDb4fbL7gAAAIUBAAATAAAAAAAAAAAAAAAA AAAAAABbQ29udGVudF9UeXBlc10ueG1sUEsBAi0AFAAGAAgAAAAhAFr0LFu/AAAAFQEAAAsAAAAA AAAAAAAAAAAAHwEAAF9yZWxzLy5yZWxzUEsBAi0AFAAGAAgAAAAhAGNR99HBAAAA3AAAAA8AAAAA AAAAAAAAAAAABwIAAGRycy9kb3ducmV2LnhtbFBLBQYAAAAAAwADALcAAAD1AgAAAAA= " filled="f" strokecolor="#1f497d [3215]" strokeweight="1pt">
                        <v:textbox>
                          <w:txbxContent>
                            <w:p w:rsidR="003C3EA6" w:rsidRDefault="003C3EA6">
                              <w:pPr>
                                <w:rPr>
                                  <w:color w:val="000000"/>
                                  <w:sz w:val="18"/>
                                  <w:szCs w:val="21"/>
                                </w:rPr>
                              </w:pPr>
                              <w:r>
                                <w:rPr>
                                  <w:color w:val="000000"/>
                                  <w:sz w:val="18"/>
                                  <w:szCs w:val="21"/>
                                </w:rPr>
                                <w:t>Aplinkos apsaugos departamentas prie Aplinkos ministerijos</w:t>
                              </w:r>
                            </w:p>
                          </w:txbxContent>
                        </v:textbox>
                      </v:rect>
                    </v:group>
                    <v:rect id="Rectangle 149" o:spid="_x0000_s1151" style="position:absolute;left:49598;width:6464;height:93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BTAjwQAAANwAAAAPAAAAZHJzL2Rvd25yZXYueG1sRE9Na8JA EL0X+h+WKXjTTSwUja5iW2I9qq16HbLTJDQ7G3Y3Gv+9Kwi9zeN9znzZm0acyfnasoJ0lIAgLqyu uVTw850PJyB8QNbYWCYFV/KwXDw/zTHT9sI7Ou9DKWII+wwVVCG0mZS+qMigH9mWOHK/1hkMEbpS aoeXGG4aOU6SN2mw5thQYUsfFRV/+84o6Ir1+6lsV9vP/JW/pE2n5nDUSg1e+tUMRKA+/Isf7o2O 88cp3J+JF8jFDQAA//8DAFBLAQItABQABgAIAAAAIQDb4fbL7gAAAIUBAAATAAAAAAAAAAAAAAAA AAAAAABbQ29udGVudF9UeXBlc10ueG1sUEsBAi0AFAAGAAgAAAAhAFr0LFu/AAAAFQEAAAsAAAAA AAAAAAAAAAAAHwEAAF9yZWxzLy5yZWxzUEsBAi0AFAAGAAgAAAAhAMwFMCPBAAAA3AAAAA8AAAAA AAAAAAAAAAAABwIAAGRycy9kb3ducmV2LnhtbFBLBQYAAAAAAwADALcAAAD1AgAAAAA= " fillcolor="white [3201]" strokecolor="#f79646 [3209]" strokeweight="1pt">
                      <v:textbox>
                        <w:txbxContent>
                          <w:p w:rsidR="003C3EA6" w:rsidRDefault="003C3EA6">
                            <w:pPr>
                              <w:jc w:val="both"/>
                              <w:rPr>
                                <w:color w:val="000000"/>
                                <w:sz w:val="16"/>
                                <w:szCs w:val="21"/>
                              </w:rPr>
                            </w:pPr>
                            <w:r>
                              <w:rPr>
                                <w:color w:val="000000"/>
                                <w:sz w:val="16"/>
                                <w:szCs w:val="21"/>
                              </w:rPr>
                              <w:t xml:space="preserve">Valstybės lygiu </w:t>
                            </w:r>
                          </w:p>
                        </w:txbxContent>
                      </v:textbox>
                    </v:rect>
                  </v:group>
                  <v:rect id="Rectangle 154" o:spid="_x0000_s1152" style="position:absolute;left:49698;top:9963;width:6458;height:408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H/aYwQAAANwAAAAPAAAAZHJzL2Rvd25yZXYueG1sRE9Li8Iw EL4L+x/CLHjTtAqi1Sg+UPeo3VWvQzPblm0mpYla//1GELzNx/ec2aI1lbhR40rLCuJ+BII4s7rk XMHP97Y3BuE8ssbKMil4kIPF/KMzw0TbOx/plvpchBB2CSoovK8TKV1WkEHXtzVx4H5tY9AH2ORS N3gP4aaSgygaSYMlh4YCa1oXlP2lV6Pgmu1Wl7xeHjbbIe+ljSfmdNZKdT/b5RSEp9a/xS/3lw7z 4wk8nwkXyPk/AAAA//8DAFBLAQItABQABgAIAAAAIQDb4fbL7gAAAIUBAAATAAAAAAAAAAAAAAAA AAAAAABbQ29udGVudF9UeXBlc10ueG1sUEsBAi0AFAAGAAgAAAAhAFr0LFu/AAAAFQEAAAsAAAAA AAAAAAAAAAAAHwEAAF9yZWxzLy5yZWxzUEsBAi0AFAAGAAgAAAAhAPwf9pjBAAAA3AAAAA8AAAAA AAAAAAAAAAAABwIAAGRycy9kb3ducmV2LnhtbFBLBQYAAAAAAwADALcAAAD1AgAAAAA= " fillcolor="white [3201]" strokecolor="#f79646 [3209]" strokeweight="1pt">
                    <v:textbox>
                      <w:txbxContent>
                        <w:p w:rsidR="003C3EA6" w:rsidRDefault="003C3EA6">
                          <w:pPr>
                            <w:jc w:val="both"/>
                            <w:rPr>
                              <w:color w:val="000000"/>
                              <w:sz w:val="16"/>
                              <w:szCs w:val="21"/>
                            </w:rPr>
                          </w:pPr>
                          <w:r>
                            <w:rPr>
                              <w:color w:val="000000"/>
                              <w:sz w:val="16"/>
                              <w:szCs w:val="21"/>
                            </w:rPr>
                            <w:t xml:space="preserve">Regionų lygiu </w:t>
                          </w:r>
                        </w:p>
                      </w:txbxContent>
                    </v:textbox>
                  </v:rect>
                </v:group>
                <v:rect id="Rectangle 217" o:spid="_x0000_s1153" style="position:absolute;left:26817;top:5595;width:21288;height:375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pkyxwQAAANwAAAAPAAAAZHJzL2Rvd25yZXYueG1sRE9NawIx EL0L/Q9hCt7crB5EtkYpQsVDobhqz0My3d02mWw3cV3/vREEb/N4n7NcD86KnrrQeFYwzXIQxNqb hisFx8PHZAEiRGSD1jMpuFKA9epltMTC+AvvqS9jJVIIhwIV1DG2hZRB1+QwZL4lTtyP7xzGBLtK mg4vKdxZOcvzuXTYcGqosaVNTfqvPDsFh37nNqdvDhT0NpZfv/b/U1ulxq/D+xuISEN8ih/unUnz pzO4P5MukKsbAAAA//8DAFBLAQItABQABgAIAAAAIQDb4fbL7gAAAIUBAAATAAAAAAAAAAAAAAAA AAAAAABbQ29udGVudF9UeXBlc10ueG1sUEsBAi0AFAAGAAgAAAAhAFr0LFu/AAAAFQEAAAsAAAAA AAAAAAAAAAAAHwEAAF9yZWxzLy5yZWxzUEsBAi0AFAAGAAgAAAAhAEemTLHBAAAA3AAAAA8AAAAA AAAAAAAAAAAABwIAAGRycy9kb3ducmV2LnhtbFBLBQYAAAAAAwADALcAAAD1AgAAAAA= " filled="f" strokecolor="#1f497d [3215]" strokeweight="1pt">
                  <v:textbox>
                    <w:txbxContent>
                      <w:p w:rsidR="003C3EA6" w:rsidRDefault="003C3EA6">
                        <w:pPr>
                          <w:rPr>
                            <w:color w:val="000000"/>
                            <w:sz w:val="18"/>
                            <w:szCs w:val="18"/>
                          </w:rPr>
                        </w:pPr>
                        <w:r>
                          <w:rPr>
                            <w:color w:val="000000"/>
                            <w:sz w:val="18"/>
                            <w:szCs w:val="18"/>
                          </w:rPr>
                          <w:t>Nacionalinis visuomenės sveikatos centras, vietos savivaldos institucijos (derinama)</w:t>
                        </w:r>
                      </w:p>
                    </w:txbxContent>
                  </v:textbox>
                </v:rect>
                <v:rect id="Rectangle 218" o:spid="_x0000_s1154" style="position:absolute;left:26817;top:2661;width:21286;height:242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6ukqwQAAANwAAAAPAAAAZHJzL2Rvd25yZXYueG1sRE9LawIx EL4X/A9hhN5q1gqlrEYRQfEglK6P85CMu6vJZN2k6/bfN4LQ23x8z5ktemdFR22oPSsYjzIQxNqb mksFh/367RNEiMgGrWdS8EsBFvPBywxz4+/8TV0RS5FCOOSooIqxyaUMuiKHYeQb4sSdfeswJtiW 0rR4T+HOyvcs+5AOa04NFTa0qkhfix+nYN9t3ep44kBBb2LxdbG3nbZKvQ775RREpD7+i5/urUnz xxN4PJMukPM/AAAA//8DAFBLAQItABQABgAIAAAAIQDb4fbL7gAAAIUBAAATAAAAAAAAAAAAAAAA AAAAAABbQ29udGVudF9UeXBlc10ueG1sUEsBAi0AFAAGAAgAAAAhAFr0LFu/AAAAFQEAAAsAAAAA AAAAAAAAAAAAHwEAAF9yZWxzLy5yZWxzUEsBAi0AFAAGAAgAAAAhACjq6SrBAAAA3AAAAA8AAAAA AAAAAAAAAAAABwIAAGRycy9kb3ducmV2LnhtbFBLBQYAAAAAAwADALcAAAD1AgAAAAA= " filled="f" strokecolor="#1f497d [3215]" strokeweight="1pt">
                  <v:textbox>
                    <w:txbxContent>
                      <w:p w:rsidR="003C3EA6" w:rsidRDefault="003C3EA6">
                        <w:pPr>
                          <w:rPr>
                            <w:color w:val="000000"/>
                            <w:sz w:val="18"/>
                            <w:szCs w:val="21"/>
                          </w:rPr>
                        </w:pPr>
                        <w:r>
                          <w:rPr>
                            <w:color w:val="000000"/>
                            <w:sz w:val="18"/>
                            <w:szCs w:val="21"/>
                          </w:rPr>
                          <w:t>Aplinkos apsaugos agentūra</w:t>
                        </w:r>
                      </w:p>
                    </w:txbxContent>
                  </v:textbox>
                </v:rect>
                <v:shape id="Left Arrow 219" o:spid="_x0000_s1155" type="#_x0000_t66" style="position:absolute;left:48108;top:545;width:1482;height:177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rusdwgAAANwAAAAPAAAAZHJzL2Rvd25yZXYueG1sRE9La8JA EL4X/A/LCN7qJhpEoqsURWx7KT4OOQ7ZMQnNzobsmse/7xYKvc3H95ztfjC16Kh1lWUF8TwCQZxb XXGh4H47va5BOI+ssbZMCkZysN9NXraYatvzhbqrL0QIYZeigtL7JpXS5SUZdHPbEAfuYVuDPsC2 kLrFPoSbWi6iaCUNVhwaSmzoUFL+fX0aBe74GOtlFn89z6ePzxXapLFZptRsOrxtQHga/L/4z/2u w/w4gd9nwgVy9wMAAP//AwBQSwECLQAUAAYACAAAACEA2+H2y+4AAACFAQAAEwAAAAAAAAAAAAAA AAAAAAAAW0NvbnRlbnRfVHlwZXNdLnhtbFBLAQItABQABgAIAAAAIQBa9CxbvwAAABUBAAALAAAA AAAAAAAAAAAAAB8BAABfcmVscy8ucmVsc1BLAQItABQABgAIAAAAIQBIrusdwgAAANwAAAAPAAAA AAAAAAAAAAAAAAcCAABkcnMvZG93bnJldi54bWxQSwUGAAAAAAMAAwC3AAAA9gIAAAAA " adj="10800" fillcolor="white [3201]" strokecolor="#f79646 [3209]" strokeweight="1pt"/>
                <v:shape id="Left Arrow 220" o:spid="_x0000_s1156" type="#_x0000_t66" style="position:absolute;left:48108;top:2661;width:1479;height:177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4k6GwQAAANwAAAAPAAAAZHJzL2Rvd25yZXYueG1sRE9Li8Iw EL4L/ocwgjdN64ulaxRRRN2LqHvocWjGtmwzKU3U+u+NsOBtPr7nzJetqcSdGldaVhAPIxDEmdUl 5wp+L9vBFwjnkTVWlknBkxwsF93OHBNtH3yi+9nnIoSwS1BB4X2dSOmyggy6oa2JA3e1jUEfYJNL 3eAjhJtKjqJoJg2WHBoKrGldUPZ3vhkFbnN9VuM0Pt5228PPDO2ktmmqVL/Xrr5BeGr9R/zv3usw P57C+5lwgVy8AAAA//8DAFBLAQItABQABgAIAAAAIQDb4fbL7gAAAIUBAAATAAAAAAAAAAAAAAAA AAAAAABbQ29udGVudF9UeXBlc10ueG1sUEsBAi0AFAAGAAgAAAAhAFr0LFu/AAAAFQEAAAsAAAAA AAAAAAAAAAAAHwEAAF9yZWxzLy5yZWxzUEsBAi0AFAAGAAgAAAAhACfiTobBAAAA3AAAAA8AAAAA AAAAAAAAAAAABwIAAGRycy9kb3ducmV2LnhtbFBLBQYAAAAAAwADALcAAAD1AgAAAAA= " adj="10800" fillcolor="white [3201]" strokecolor="#f79646 [3209]" strokeweight="1pt"/>
                <v:shape id="Left Arrow 221" o:spid="_x0000_s1157" type="#_x0000_t66" style="position:absolute;left:48108;top:6414;width:1479;height:177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MNDxwgAAANwAAAAPAAAAZHJzL2Rvd25yZXYueG1sRE9Li8Iw EL4v+B/CLHhb06oU6RplUcTHZbF66HFoxrZsMylN1PrvjSDsbT6+58yXvWnEjTpXW1YQjyIQxIXV NZcKzqfN1wyE88gaG8uk4EEOlovBxxxTbe98pFvmSxFC2KWooPK+TaV0RUUG3ci2xIG72M6gD7Ar pe7wHsJNI8dRlEiDNYeGCltaVVT8ZVejwK0vj2aSx7/X7WZ/SNBOW5vnSg0/+59vEJ56/y9+u3c6 zI8TeD0TLpCLJwAAAP//AwBQSwECLQAUAAYACAAAACEA2+H2y+4AAACFAQAAEwAAAAAAAAAAAAAA AAAAAAAAW0NvbnRlbnRfVHlwZXNdLnhtbFBLAQItABQABgAIAAAAIQBa9CxbvwAAABUBAAALAAAA AAAAAAAAAAAAAB8BAABfcmVscy8ucmVsc1BLAQItABQABgAIAAAAIQDXMNDxwgAAANwAAAAPAAAA AAAAAAAAAAAAAAcCAABkcnMvZG93bnJldi54bWxQSwUGAAAAAAMAAwC3AAAA9gIAAAAA " adj="10800" fillcolor="white [3201]" strokecolor="#f79646 [3209]" strokeweight="1pt"/>
                <v:shape id="Left Arrow 222" o:spid="_x0000_s1158" type="#_x0000_t66" style="position:absolute;left:48108;top:11122;width:1479;height:177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fHVqwwAAANwAAAAPAAAAZHJzL2Rvd25yZXYueG1sRE9Na8JA EL0X/A/LCN7qJlq0pK4iSrDtRbQ95DhkxySYnQ27a4z/vlso9DaP9zmrzWBa0ZPzjWUF6TQBQVxa 3XCl4Psrf34F4QOyxtYyKXiQh8169LTCTNs7n6g/h0rEEPYZKqhD6DIpfVmTQT+1HXHkLtYZDBG6 SmqH9xhuWjlLkoU02HBsqLGjXU3l9XwzCvz+8mjnRXq8HfKPzwXal84WhVKT8bB9AxFoCP/iP/e7 jvPTJfw+Ey+Q6x8AAAD//wMAUEsBAi0AFAAGAAgAAAAhANvh9svuAAAAhQEAABMAAAAAAAAAAAAA AAAAAAAAAFtDb250ZW50X1R5cGVzXS54bWxQSwECLQAUAAYACAAAACEAWvQsW78AAAAVAQAACwAA AAAAAAAAAAAAAAAfAQAAX3JlbHMvLnJlbHNQSwECLQAUAAYACAAAACEAuHx1asMAAADcAAAADwAA AAAAAAAAAAAAAAAHAgAAZHJzL2Rvd25yZXYueG1sUEsFBgAAAAADAAMAtwAAAPcCAAAAAA== " adj="10800" fillcolor="white [3201]" strokecolor="#f79646 [3209]" strokeweight="1pt"/>
                <w10:wrap anchorx="margin"/>
              </v:group>
            </w:pict>
          </mc:Fallback>
        </mc:AlternateContent>
      </w:r>
    </w:p>
    <w:p w:rsidR="000E7C4C" w:rsidRDefault="000E7C4C">
      <w:pPr>
        <w:tabs>
          <w:tab w:val="left" w:pos="993"/>
        </w:tabs>
        <w:ind w:left="720"/>
        <w:jc w:val="both"/>
        <w:rPr>
          <w:color w:val="000000"/>
          <w:szCs w:val="21"/>
        </w:rPr>
      </w:pPr>
    </w:p>
    <w:p w:rsidR="000E7C4C" w:rsidRDefault="000E7C4C">
      <w:pPr>
        <w:tabs>
          <w:tab w:val="left" w:pos="993"/>
        </w:tabs>
        <w:ind w:left="720"/>
        <w:jc w:val="both"/>
        <w:rPr>
          <w:color w:val="000000"/>
          <w:szCs w:val="21"/>
        </w:rPr>
      </w:pPr>
    </w:p>
    <w:p w:rsidR="000E7C4C" w:rsidRDefault="000E7C4C">
      <w:pPr>
        <w:tabs>
          <w:tab w:val="left" w:pos="993"/>
        </w:tabs>
        <w:ind w:left="720"/>
        <w:jc w:val="both"/>
        <w:rPr>
          <w:color w:val="000000"/>
          <w:szCs w:val="21"/>
        </w:rPr>
      </w:pPr>
    </w:p>
    <w:p w:rsidR="000E7C4C" w:rsidRDefault="000E7C4C">
      <w:pPr>
        <w:tabs>
          <w:tab w:val="left" w:pos="993"/>
        </w:tabs>
        <w:ind w:left="720"/>
        <w:jc w:val="both"/>
        <w:rPr>
          <w:color w:val="000000"/>
          <w:szCs w:val="21"/>
        </w:rPr>
      </w:pPr>
    </w:p>
    <w:p w:rsidR="000E7C4C" w:rsidRDefault="000E7C4C">
      <w:pPr>
        <w:tabs>
          <w:tab w:val="left" w:pos="993"/>
        </w:tabs>
        <w:ind w:left="720"/>
        <w:jc w:val="both"/>
        <w:rPr>
          <w:color w:val="000000"/>
          <w:szCs w:val="21"/>
        </w:rPr>
      </w:pPr>
    </w:p>
    <w:p w:rsidR="000E7C4C" w:rsidRDefault="000E7C4C">
      <w:pPr>
        <w:tabs>
          <w:tab w:val="left" w:pos="993"/>
        </w:tabs>
        <w:ind w:left="720"/>
        <w:jc w:val="both"/>
        <w:rPr>
          <w:color w:val="000000"/>
          <w:szCs w:val="21"/>
        </w:rPr>
      </w:pPr>
    </w:p>
    <w:p w:rsidR="000E7C4C" w:rsidRDefault="000E7C4C">
      <w:pPr>
        <w:tabs>
          <w:tab w:val="left" w:pos="993"/>
        </w:tabs>
        <w:ind w:left="720"/>
        <w:jc w:val="both"/>
        <w:rPr>
          <w:color w:val="000000"/>
          <w:szCs w:val="21"/>
        </w:rPr>
      </w:pPr>
    </w:p>
    <w:p w:rsidR="000E7C4C" w:rsidRDefault="000E7C4C">
      <w:pPr>
        <w:tabs>
          <w:tab w:val="left" w:pos="993"/>
        </w:tabs>
        <w:ind w:left="720"/>
        <w:jc w:val="both"/>
        <w:rPr>
          <w:color w:val="000000"/>
          <w:szCs w:val="21"/>
        </w:rPr>
      </w:pPr>
    </w:p>
    <w:p w:rsidR="000E7C4C" w:rsidRDefault="003C3EA6">
      <w:pPr>
        <w:tabs>
          <w:tab w:val="left" w:pos="993"/>
        </w:tabs>
        <w:jc w:val="center"/>
        <w:rPr>
          <w:color w:val="000000"/>
          <w:sz w:val="20"/>
        </w:rPr>
      </w:pPr>
      <w:r>
        <w:rPr>
          <w:color w:val="000000"/>
          <w:sz w:val="20"/>
        </w:rPr>
        <w:t>3 paveikslas. Pareigos ir atsakomybės, nustatytos institucijoms, vykdančioms ūkio subjektų patikrinimus ir leidimų išdavimą oro taršos ir oro kokybės valdymo srityje</w:t>
      </w:r>
    </w:p>
    <w:p w:rsidR="000E7C4C" w:rsidRDefault="003C3EA6">
      <w:pPr>
        <w:ind w:left="720"/>
        <w:jc w:val="both"/>
        <w:rPr>
          <w:color w:val="000000"/>
          <w:sz w:val="20"/>
        </w:rPr>
      </w:pPr>
    </w:p>
    <w:p w:rsidR="000E7C4C" w:rsidRDefault="003C3EA6">
      <w:pPr>
        <w:tabs>
          <w:tab w:val="left" w:pos="851"/>
        </w:tabs>
        <w:ind w:firstLine="567"/>
        <w:jc w:val="both"/>
        <w:rPr>
          <w:color w:val="000000"/>
          <w:szCs w:val="21"/>
        </w:rPr>
      </w:pPr>
      <w:r>
        <w:rPr>
          <w:color w:val="000000"/>
          <w:szCs w:val="21"/>
        </w:rPr>
        <w:t>15</w:t>
      </w:r>
      <w:r>
        <w:rPr>
          <w:color w:val="000000"/>
          <w:szCs w:val="21"/>
        </w:rPr>
        <w:t>. Pagal TIPK taisykles, patvirtintas Lietuvos Respublikos aplinkos ministro 2013 m. liepos 15 d. įsakymu Nr. D1-528 „Dėl Taršos integruotos prevencijos ir kontrolės leidimų išdavimo, pakeitimo ir galiojimo panaikinimo taisyklių patvirtinimo“, Taršos leidimų taisykles, patvirtintas Lietuvos Respublikos aplinkos ministro 2014 m. kovo 6 d. įsakymu Nr. D1-259 „Dėl Taršos leidimų išdavimo, pakeitimo ir galiojimo panaikinimo taisyklių patvirtinimo“, Lakiųjų organinių junginių, susidarančių naudojant organinius tirpiklius tam tikrų veiklos rūšių įrenginiuose, išmetimo ribojimo ir įrenginių registravimo taisykles, patvirtintas Lietuvos Respublikos aplinkos ministro 2002 m. gruodžio 5 d. įsakymu Nr. 620 „Dėl Lakiųjų organinių junginių, susidarančių naudojant organinius tirpiklius tam tikrų veiklos rūšių įrenginiuose, išmetimo ribojimo ir įrenginių registravimo taisyklių patvirtinimo“ (toliau – LOJ taisyklės), Aplinkos apsaugos agentūra (toliau – AAA) yra įgaliota išduoti TIPK ir taršos leidimus, juos pakeisti ir panaikinti jų galiojimą, įregistruoti LOJ taisyklėse apibrėžtus įrenginius, patikslinti jų registracijos duomenis ir įrenginius išregistruoti.</w:t>
      </w:r>
    </w:p>
    <w:p w:rsidR="000E7C4C" w:rsidRDefault="003C3EA6">
      <w:pPr>
        <w:tabs>
          <w:tab w:val="left" w:pos="851"/>
        </w:tabs>
        <w:ind w:firstLine="567"/>
        <w:jc w:val="both"/>
        <w:rPr>
          <w:color w:val="000000"/>
          <w:szCs w:val="21"/>
        </w:rPr>
      </w:pPr>
      <w:r>
        <w:rPr>
          <w:color w:val="000000"/>
          <w:szCs w:val="21"/>
        </w:rPr>
        <w:t>16</w:t>
      </w:r>
      <w:r>
        <w:rPr>
          <w:color w:val="000000"/>
          <w:szCs w:val="21"/>
        </w:rPr>
        <w:t xml:space="preserve">. TIPK leidimai ir taršos </w:t>
      </w:r>
      <w:r>
        <w:rPr>
          <w:color w:val="000000"/>
          <w:szCs w:val="24"/>
        </w:rPr>
        <w:t xml:space="preserve">leidimai su juose nustatytomis </w:t>
      </w:r>
      <w:r>
        <w:rPr>
          <w:color w:val="000000"/>
          <w:szCs w:val="21"/>
        </w:rPr>
        <w:t xml:space="preserve">eksploatuojantys organinius tirpiklius naudojančius įrenginius </w:t>
      </w:r>
      <w:r>
        <w:rPr>
          <w:color w:val="000000"/>
          <w:szCs w:val="24"/>
        </w:rPr>
        <w:t>sąlygomis privalomi eksp</w:t>
      </w:r>
      <w:r>
        <w:rPr>
          <w:color w:val="000000"/>
          <w:szCs w:val="21"/>
        </w:rPr>
        <w:t>loatuojant TIPK taisyklėse ir taršos leidimų taisyklėse apibrėžtus įrenginius, kurie atitinka tų taisyklių prieduose nustatytus kriterijus; LOJ taisyklėse apibrėžti ir tose taisyklėse nustatytus kriterijus atitinkantys organinius tirpiklius naudojantys įrenginiai, kuriems nereikia gauti TIPK leidimo arba taršos leidimo, turi būti eksploatuojami tik juos įregistravus ir laikantis registracijos duomenis atitinkančių sąlygų. Leidimų sąlygų laikymosi kontrolę, išskyrus triukšmo ir kvapų sklidimo kontrolę, įregistruotų organinius tirpiklius naudojančių įrenginių eksploatavimo sąlygų laikymosi kontrolę vykdo Aplinkos apsaugos departamentas prie Aplinkos ministerijos (toliau – AAD) (iki 2018 m. liepos 1 d. šias funkcijas vykdė 8 Aplinkos ministerijos regionų aplinkos apsaugos departamentai).</w:t>
      </w:r>
    </w:p>
    <w:p w:rsidR="000E7C4C" w:rsidRDefault="003C3EA6">
      <w:pPr>
        <w:ind w:left="720"/>
        <w:jc w:val="both"/>
        <w:rPr>
          <w:color w:val="000000"/>
          <w:szCs w:val="24"/>
        </w:rPr>
      </w:pPr>
    </w:p>
    <w:p w:rsidR="000E7C4C" w:rsidRDefault="003C3EA6">
      <w:pPr>
        <w:keepNext/>
        <w:keepLines/>
        <w:jc w:val="center"/>
        <w:outlineLvl w:val="2"/>
        <w:rPr>
          <w:b/>
          <w:bCs/>
          <w:caps/>
          <w:color w:val="000000"/>
          <w:szCs w:val="24"/>
        </w:rPr>
      </w:pPr>
      <w:r>
        <w:rPr>
          <w:b/>
          <w:bCs/>
          <w:caps/>
          <w:color w:val="000000"/>
          <w:szCs w:val="24"/>
        </w:rPr>
        <w:t>IV</w:t>
      </w:r>
      <w:r>
        <w:rPr>
          <w:b/>
          <w:bCs/>
          <w:caps/>
          <w:color w:val="000000"/>
          <w:szCs w:val="24"/>
        </w:rPr>
        <w:t xml:space="preserve"> skyrius</w:t>
      </w:r>
    </w:p>
    <w:p w:rsidR="000E7C4C" w:rsidRDefault="003C3EA6">
      <w:pPr>
        <w:keepNext/>
        <w:keepLines/>
        <w:jc w:val="center"/>
        <w:outlineLvl w:val="2"/>
        <w:rPr>
          <w:b/>
          <w:bCs/>
          <w:caps/>
          <w:color w:val="000000"/>
          <w:szCs w:val="24"/>
        </w:rPr>
      </w:pPr>
      <w:r>
        <w:rPr>
          <w:b/>
          <w:bCs/>
          <w:caps/>
          <w:color w:val="000000"/>
          <w:szCs w:val="24"/>
        </w:rPr>
        <w:t>MONITORINGAS ir ATASKAITŲ TEIKIMAS</w:t>
      </w:r>
    </w:p>
    <w:p w:rsidR="000E7C4C" w:rsidRDefault="000E7C4C">
      <w:pPr>
        <w:keepNext/>
        <w:keepLines/>
        <w:jc w:val="center"/>
        <w:outlineLvl w:val="2"/>
        <w:rPr>
          <w:b/>
          <w:bCs/>
          <w:caps/>
          <w:color w:val="000000"/>
          <w:szCs w:val="24"/>
        </w:rPr>
      </w:pPr>
    </w:p>
    <w:p w:rsidR="000E7C4C" w:rsidRDefault="003C3EA6">
      <w:pPr>
        <w:tabs>
          <w:tab w:val="left" w:pos="851"/>
        </w:tabs>
        <w:ind w:firstLine="567"/>
        <w:jc w:val="both"/>
        <w:rPr>
          <w:color w:val="000000"/>
          <w:szCs w:val="21"/>
          <w:highlight w:val="yellow"/>
        </w:rPr>
      </w:pPr>
      <w:r>
        <w:rPr>
          <w:color w:val="000000"/>
          <w:szCs w:val="21"/>
        </w:rPr>
        <w:t>17</w:t>
      </w:r>
      <w:r>
        <w:rPr>
          <w:color w:val="000000"/>
          <w:szCs w:val="21"/>
        </w:rPr>
        <w:t xml:space="preserve">. Siekiant įvertinti padarytą pažangą įgyvendinant oro taršos mažinimo tikslus ir Plane numatytų priemonių pakankamumą mažinimo tikslams pasiekti ir nustatytais terminais atnaujinti Planą, būtina vykdyti valstybinį aplinkos monitoringą, t. y. vykdyti išmetamo į aplinkos orą teršalų kiekio apskaitą ir išmetamo teršalų kiekio </w:t>
      </w:r>
      <w:proofErr w:type="spellStart"/>
      <w:r>
        <w:rPr>
          <w:color w:val="000000"/>
          <w:szCs w:val="21"/>
        </w:rPr>
        <w:t>prognozavimus</w:t>
      </w:r>
      <w:proofErr w:type="spellEnd"/>
      <w:r>
        <w:rPr>
          <w:color w:val="000000"/>
          <w:szCs w:val="21"/>
        </w:rPr>
        <w:t>, aplinkos oro kokybės ir oro taršos poveikio ekosistemoms monitoringą. Būtina vykdyti reguliarų oro taršos poveikio sveikatai vertinimą, rinkti, kaupti ir sisteminti kitus duomenis, reikalingus plano įgyvendinimo priemonių vykdymo efektyvumui pagrįsti.</w:t>
      </w:r>
    </w:p>
    <w:p w:rsidR="000E7C4C" w:rsidRDefault="003C3EA6">
      <w:pPr>
        <w:tabs>
          <w:tab w:val="left" w:pos="851"/>
        </w:tabs>
        <w:ind w:firstLine="567"/>
        <w:jc w:val="both"/>
        <w:rPr>
          <w:color w:val="000000"/>
          <w:szCs w:val="21"/>
        </w:rPr>
      </w:pPr>
      <w:r>
        <w:rPr>
          <w:color w:val="000000"/>
          <w:szCs w:val="21"/>
        </w:rPr>
        <w:t>18</w:t>
      </w:r>
      <w:r>
        <w:rPr>
          <w:color w:val="000000"/>
          <w:szCs w:val="21"/>
        </w:rPr>
        <w:t>. Pagal Lietuvos Respublikos aplinkos monitoringo įstatymo (toliau – Aplinkos monitoringo įstatymas) 7 straipsnį, Aplinkos ministerija organizuoja valstybinį aplinkos monitoringą. Aplinkos monitoringas apima sistemingą gamtinės aplinkos bei jos elementų (įskaitant aplinkos oro) būklės kitimo ir antropogeninio poveikio stebėjimą, vertinimą ir prognozę. Aplinkos monitoringą vykdo pagal Valstybinę aplinkos monitoringo programą Aplinkos ministerija ir jos įgaliotos institucijos, Žemės ūkio ministerija ar jos įgaliotos institucijos, Valstybinė maisto ir veterinarijos tarnyba ir kitos valstybės institucijos.</w:t>
      </w:r>
    </w:p>
    <w:p w:rsidR="000E7C4C" w:rsidRDefault="003C3EA6">
      <w:pPr>
        <w:tabs>
          <w:tab w:val="left" w:pos="851"/>
        </w:tabs>
        <w:ind w:firstLine="567"/>
        <w:jc w:val="both"/>
        <w:rPr>
          <w:color w:val="000000"/>
          <w:szCs w:val="21"/>
        </w:rPr>
      </w:pPr>
      <w:r>
        <w:rPr>
          <w:color w:val="000000"/>
          <w:szCs w:val="21"/>
        </w:rPr>
        <w:t>19</w:t>
      </w:r>
      <w:r>
        <w:rPr>
          <w:color w:val="000000"/>
          <w:szCs w:val="21"/>
        </w:rPr>
        <w:t xml:space="preserve">. Pagal Aplinkos oro apsaugos įstatymo 5 straipsnio 3 dalį, Aplinkos ministerija ar jos įgaliota institucija kartu su suinteresuotomis institucijomis visoje šalies teritorijoje organizuoja oro kokybės rodiklių </w:t>
      </w:r>
      <w:proofErr w:type="spellStart"/>
      <w:r>
        <w:rPr>
          <w:color w:val="000000"/>
          <w:szCs w:val="21"/>
        </w:rPr>
        <w:t>matavimus</w:t>
      </w:r>
      <w:proofErr w:type="spellEnd"/>
      <w:r>
        <w:rPr>
          <w:color w:val="000000"/>
          <w:szCs w:val="21"/>
        </w:rPr>
        <w:t xml:space="preserve"> ir kitus tyrimus, reikalingus aplinkos oro kokybei įvertinti, nustato minimalų matavimų skaičių, leidžiantį gauti informaciją, reikalingą aplinkos oro būklei įvertinti, aplinkos oro kokybės vertinimo tvarką.</w:t>
      </w:r>
    </w:p>
    <w:p w:rsidR="000E7C4C" w:rsidRDefault="000E7C4C">
      <w:pPr>
        <w:tabs>
          <w:tab w:val="left" w:pos="851"/>
        </w:tabs>
        <w:ind w:firstLine="567"/>
        <w:jc w:val="both"/>
        <w:rPr>
          <w:color w:val="000000"/>
          <w:szCs w:val="21"/>
        </w:rPr>
      </w:pPr>
    </w:p>
    <w:p w:rsidR="000E7C4C" w:rsidRDefault="003C3EA6">
      <w:pPr>
        <w:jc w:val="both"/>
        <w:rPr>
          <w:color w:val="000000"/>
          <w:szCs w:val="21"/>
        </w:rPr>
      </w:pPr>
      <w:r>
        <w:rPr>
          <w:noProof/>
          <w:lang w:eastAsia="lt-LT"/>
        </w:rPr>
        <mc:AlternateContent>
          <mc:Choice Requires="wps">
            <w:drawing>
              <wp:anchor distT="0" distB="0" distL="114300" distR="114300" simplePos="0" relativeHeight="251673600" behindDoc="0" locked="0" layoutInCell="1" allowOverlap="1" wp14:anchorId="34C8B298" wp14:editId="23779FE3">
                <wp:simplePos x="0" y="0"/>
                <wp:positionH relativeFrom="column">
                  <wp:posOffset>4902835</wp:posOffset>
                </wp:positionH>
                <wp:positionV relativeFrom="paragraph">
                  <wp:posOffset>356870</wp:posOffset>
                </wp:positionV>
                <wp:extent cx="147955" cy="177165"/>
                <wp:effectExtent l="0" t="0" r="23495" b="13335"/>
                <wp:wrapNone/>
                <wp:docPr id="228" name="Rodyklė kairėn 228"/>
                <wp:cNvGraphicFramePr/>
                <a:graphic xmlns:a="http://schemas.openxmlformats.org/drawingml/2006/main">
                  <a:graphicData uri="http://schemas.microsoft.com/office/word/2010/wordprocessingShape">
                    <wps:wsp>
                      <wps:cNvSpPr/>
                      <wps:spPr>
                        <a:xfrm>
                          <a:off x="0" y="0"/>
                          <a:ext cx="147955" cy="177165"/>
                        </a:xfrm>
                        <a:prstGeom prst="leftArrow">
                          <a:avLst/>
                        </a:prstGeom>
                        <a:ln w="127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shape w14:anchorId="37CA8281" id="Rodyklė kairėn 228" o:spid="_x0000_s1026" type="#_x0000_t66" style="position:absolute;margin-left:386.05pt;margin-top:28.1pt;width:11.65pt;height:1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LTMRegIAADIFAAAOAAAAZHJzL2Uyb0RvYy54bWysVN1O2zAUvp+0d7B8P9JELR0VKapATJMQ IGDi2jg2jXB8vGO3afcivBAPtmMnDR3r1bQb55yc/8/f8enZpjFsrdDXYEueH404U1ZCVdvnkv94 uPzylTMfhK2EAatKvlWen80/fzpt3UwVsARTKWSUxPpZ60q+DMHNsszLpWqEPwKnLBk1YCMCqfic VShayt6YrBiNjrMWsHIIUnlPfy86I5+n/ForGW609iowU3LqLaQT0/kUz2x+KmbPKNyyln0b4h+6 aERtqeiQ6kIEwVZY/5WqqSWCBx2OJDQZaF1LlWagafLRh2nul8KpNAuB490Ak/9/aeX1+hZZXZW8 KOiqrGjoku6g2r6Yt1f2Imp8e7Us2gip1vkZBdy7W+w1T2Ice6OxiV8aiG0SutsBXbUJTNLPfDw9 mUw4k2TKp9P8eBJzZu/BDn34pqBhUSi5UTosEKFNwIr1lQ+d/84vFjSWtZSumI7SXWaxxa6pJIWt UZ3bndI0JrVRpHSJYOrcIFsLooaQUtlw3DdkLHnHMF0bMwTmhwJNyPug3jeGqUS8IXB0KPDPikNE qgo2DMFNbQEPJahehsqdP2G5N3MUn+ge6XYROtp7Jy9rgvZK+HArkHhOG0G7G27o0AYISOglzpaA vw79j/5EP7Jy1tLelNz/XAlUnJnvloh5ko/HcdGSMp5MC1Jw3/K0b7Gr5hwI/5xeCSeTGP2D2Yka oXmkFV/EqmQSVlLtksuAO+U8dPtMj4RUi0Vyo+VyIlzZeydj8ohqZM3D5lGg6/kViJjXsNsxMfvA sM43RlpYrALoOtHvHdceb1rMxOL+EYmbv68nr/enbv4bAAD//wMAUEsDBBQABgAIAAAAIQAydEjt 4AAAAAkBAAAPAAAAZHJzL2Rvd25yZXYueG1sTI/BTsMwEETvSPyDtUjcqJOQJm2IUyFQhegFUXrI 0Y23SYS9jmKnTf8ec4Ljap5m3pab2Wh2xtH1lgTEiwgYUmNVT62Aw9f2YQXMeUlKakso4IoONtXt TSkLZS/0iee9b1koIVdIAZ33Q8G5azo00i3sgBSykx2N9OEcW65GeQnlRvMkijJuZE9hoZMDvnTY fO8nI8C9nq76sY4/prft+y6TNh1sXQtxfzc/PwHzOPs/GH71gzpUweloJ1KOaQF5nsQBFbDMEmAB yNfLFNhRwCqNgVcl//9B9QMAAP//AwBQSwECLQAUAAYACAAAACEAtoM4kv4AAADhAQAAEwAAAAAA AAAAAAAAAAAAAAAAW0NvbnRlbnRfVHlwZXNdLnhtbFBLAQItABQABgAIAAAAIQA4/SH/1gAAAJQB AAALAAAAAAAAAAAAAAAAAC8BAABfcmVscy8ucmVsc1BLAQItABQABgAIAAAAIQCpLTMRegIAADIF AAAOAAAAAAAAAAAAAAAAAC4CAABkcnMvZTJvRG9jLnhtbFBLAQItABQABgAIAAAAIQAydEjt4AAA AAkBAAAPAAAAAAAAAAAAAAAAANQEAABkcnMvZG93bnJldi54bWxQSwUGAAAAAAQABADzAAAA4QUA AAAA " adj="10800" fillcolor="white [3201]" strokecolor="#f79646 [3209]" strokeweight="1pt"/>
            </w:pict>
          </mc:Fallback>
        </mc:AlternateContent>
      </w:r>
      <w:r>
        <w:rPr>
          <w:noProof/>
          <w:lang w:eastAsia="lt-LT"/>
        </w:rPr>
        <mc:AlternateContent>
          <mc:Choice Requires="wpg">
            <w:drawing>
              <wp:anchor distT="0" distB="0" distL="114300" distR="114300" simplePos="0" relativeHeight="251674624" behindDoc="0" locked="0" layoutInCell="1" allowOverlap="1" wp14:anchorId="12783375" wp14:editId="59B602CD">
                <wp:simplePos x="0" y="0"/>
                <wp:positionH relativeFrom="margin">
                  <wp:posOffset>96520</wp:posOffset>
                </wp:positionH>
                <wp:positionV relativeFrom="paragraph">
                  <wp:posOffset>39370</wp:posOffset>
                </wp:positionV>
                <wp:extent cx="5606415" cy="2431415"/>
                <wp:effectExtent l="0" t="0" r="13335" b="26035"/>
                <wp:wrapNone/>
                <wp:docPr id="234" name="Grupė 234"/>
                <wp:cNvGraphicFramePr/>
                <a:graphic xmlns:a="http://schemas.openxmlformats.org/drawingml/2006/main">
                  <a:graphicData uri="http://schemas.microsoft.com/office/word/2010/wordprocessingGroup">
                    <wpg:wgp>
                      <wpg:cNvGrpSpPr/>
                      <wpg:grpSpPr>
                        <a:xfrm>
                          <a:off x="0" y="0"/>
                          <a:ext cx="5606415" cy="2431415"/>
                          <a:chOff x="-1" y="0"/>
                          <a:chExt cx="5606415" cy="2431760"/>
                        </a:xfrm>
                      </wpg:grpSpPr>
                      <wpg:grpSp>
                        <wpg:cNvPr id="83" name="Group 208"/>
                        <wpg:cNvGrpSpPr/>
                        <wpg:grpSpPr>
                          <a:xfrm>
                            <a:off x="-1" y="0"/>
                            <a:ext cx="5606415" cy="2431760"/>
                            <a:chOff x="0" y="0"/>
                            <a:chExt cx="5606619" cy="2432042"/>
                          </a:xfrm>
                        </wpg:grpSpPr>
                        <wps:wsp>
                          <wps:cNvPr id="93" name="Rectangle 189"/>
                          <wps:cNvSpPr/>
                          <wps:spPr>
                            <a:xfrm>
                              <a:off x="2675719" y="1464985"/>
                              <a:ext cx="2137960" cy="372500"/>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21"/>
                                  </w:rPr>
                                </w:pPr>
                                <w:r>
                                  <w:rPr>
                                    <w:color w:val="000000"/>
                                    <w:sz w:val="18"/>
                                    <w:szCs w:val="21"/>
                                  </w:rPr>
                                  <w:t>AAA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Rectangle 190"/>
                          <wps:cNvSpPr/>
                          <wps:spPr>
                            <a:xfrm>
                              <a:off x="2674189" y="1888776"/>
                              <a:ext cx="2139526" cy="534837"/>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21"/>
                                  </w:rPr>
                                </w:pPr>
                                <w:r>
                                  <w:rPr>
                                    <w:color w:val="000000"/>
                                    <w:sz w:val="18"/>
                                    <w:szCs w:val="21"/>
                                  </w:rPr>
                                  <w:t>Aplinkos ministerija</w:t>
                                </w:r>
                              </w:p>
                              <w:p w:rsidR="003C3EA6" w:rsidRDefault="003C3EA6">
                                <w:pPr>
                                  <w:rPr>
                                    <w:color w:val="000000"/>
                                    <w:sz w:val="18"/>
                                    <w:szCs w:val="21"/>
                                  </w:rPr>
                                </w:pPr>
                                <w:r>
                                  <w:rPr>
                                    <w:color w:val="000000"/>
                                    <w:sz w:val="18"/>
                                    <w:szCs w:val="21"/>
                                  </w:rPr>
                                  <w:t>AAA</w:t>
                                </w:r>
                              </w:p>
                              <w:p w:rsidR="003C3EA6" w:rsidRDefault="003C3EA6">
                                <w:pPr>
                                  <w:rPr>
                                    <w:color w:val="000000"/>
                                    <w:sz w:val="18"/>
                                    <w:szCs w:val="21"/>
                                  </w:rPr>
                                </w:pPr>
                                <w:r>
                                  <w:rPr>
                                    <w:color w:val="000000"/>
                                    <w:sz w:val="18"/>
                                    <w:szCs w:val="21"/>
                                  </w:rPr>
                                  <w:t>Energetikos ministerija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95" name="Group 207"/>
                          <wpg:cNvGrpSpPr/>
                          <wpg:grpSpPr>
                            <a:xfrm>
                              <a:off x="0" y="0"/>
                              <a:ext cx="5606619" cy="2432042"/>
                              <a:chOff x="0" y="0"/>
                              <a:chExt cx="5606619" cy="2432042"/>
                            </a:xfrm>
                          </wpg:grpSpPr>
                          <wpg:grpSp>
                            <wpg:cNvPr id="96" name="Group 172"/>
                            <wpg:cNvGrpSpPr/>
                            <wpg:grpSpPr>
                              <a:xfrm>
                                <a:off x="0" y="0"/>
                                <a:ext cx="5606415" cy="2432042"/>
                                <a:chOff x="0" y="0"/>
                                <a:chExt cx="5606895" cy="2432325"/>
                              </a:xfrm>
                            </wpg:grpSpPr>
                            <wpg:grpSp>
                              <wpg:cNvPr id="102" name="Group 173"/>
                              <wpg:cNvGrpSpPr/>
                              <wpg:grpSpPr>
                                <a:xfrm>
                                  <a:off x="0" y="0"/>
                                  <a:ext cx="4807645" cy="2432325"/>
                                  <a:chOff x="0" y="0"/>
                                  <a:chExt cx="4807645" cy="2432325"/>
                                </a:xfrm>
                              </wpg:grpSpPr>
                              <wps:wsp>
                                <wps:cNvPr id="104" name="Rectangle 174"/>
                                <wps:cNvSpPr/>
                                <wps:spPr>
                                  <a:xfrm>
                                    <a:off x="0" y="8675"/>
                                    <a:ext cx="387985" cy="24152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jc w:val="center"/>
                                        <w:rPr>
                                          <w:color w:val="FFFFFF"/>
                                          <w:sz w:val="18"/>
                                          <w:szCs w:val="21"/>
                                        </w:rPr>
                                      </w:pPr>
                                      <w:r>
                                        <w:rPr>
                                          <w:color w:val="FFFFFF"/>
                                          <w:sz w:val="18"/>
                                          <w:szCs w:val="21"/>
                                        </w:rPr>
                                        <w:t>Ataskaitų teikimas ir monitoringas</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05" name="Rectangle 175"/>
                                <wps:cNvSpPr/>
                                <wps:spPr>
                                  <a:xfrm>
                                    <a:off x="500271" y="49"/>
                                    <a:ext cx="2053097" cy="655148"/>
                                  </a:xfrm>
                                  <a:prstGeom prst="rect">
                                    <a:avLst/>
                                  </a:prstGeom>
                                  <a:solidFill>
                                    <a:schemeClr val="tx2"/>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FFFFFF"/>
                                          <w:sz w:val="18"/>
                                          <w:szCs w:val="21"/>
                                        </w:rPr>
                                      </w:pPr>
                                      <w:r>
                                        <w:rPr>
                                          <w:color w:val="FFFFFF"/>
                                          <w:sz w:val="18"/>
                                          <w:szCs w:val="18"/>
                                        </w:rPr>
                                        <w:t>Išmetamųjų teršalų kiekio apskaitos  ir prognozių rengimas ir ataskaitų teikimas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Rectangle 176"/>
                                <wps:cNvSpPr/>
                                <wps:spPr>
                                  <a:xfrm>
                                    <a:off x="2669467" y="0"/>
                                    <a:ext cx="2138178" cy="370979"/>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21"/>
                                        </w:rPr>
                                      </w:pPr>
                                      <w:r>
                                        <w:rPr>
                                          <w:color w:val="000000"/>
                                          <w:sz w:val="18"/>
                                          <w:szCs w:val="21"/>
                                        </w:rPr>
                                        <w:t>AAA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 name="Rectangle 177"/>
                                <wps:cNvSpPr/>
                                <wps:spPr>
                                  <a:xfrm>
                                    <a:off x="500531" y="724835"/>
                                    <a:ext cx="2053042" cy="672388"/>
                                  </a:xfrm>
                                  <a:prstGeom prst="rect">
                                    <a:avLst/>
                                  </a:prstGeom>
                                  <a:solidFill>
                                    <a:schemeClr val="tx2"/>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FFFFFF"/>
                                          <w:sz w:val="18"/>
                                          <w:szCs w:val="21"/>
                                        </w:rPr>
                                      </w:pPr>
                                      <w:r>
                                        <w:rPr>
                                          <w:color w:val="FFFFFF"/>
                                          <w:sz w:val="18"/>
                                          <w:szCs w:val="18"/>
                                        </w:rPr>
                                        <w:t>Išmetamo šiltnamio efektą sukeliančių dujų (toliau – ŠESD) kiekio apskaitos  ir prognozių rengimas ir ataskaitų teikimas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Rectangle 178"/>
                                <wps:cNvSpPr/>
                                <wps:spPr>
                                  <a:xfrm>
                                    <a:off x="500585" y="1465335"/>
                                    <a:ext cx="2052988" cy="380745"/>
                                  </a:xfrm>
                                  <a:prstGeom prst="rect">
                                    <a:avLst/>
                                  </a:prstGeom>
                                  <a:solidFill>
                                    <a:schemeClr val="tx2"/>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FFFFFF"/>
                                          <w:sz w:val="18"/>
                                          <w:szCs w:val="21"/>
                                        </w:rPr>
                                      </w:pPr>
                                      <w:r>
                                        <w:rPr>
                                          <w:color w:val="FFFFFF"/>
                                          <w:sz w:val="18"/>
                                          <w:szCs w:val="18"/>
                                        </w:rPr>
                                        <w:t>Oro kokybės vertinimas ir ataskaitų rengimas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Rectangle 179"/>
                                <wps:cNvSpPr/>
                                <wps:spPr>
                                  <a:xfrm>
                                    <a:off x="509020" y="1897056"/>
                                    <a:ext cx="2052933" cy="535269"/>
                                  </a:xfrm>
                                  <a:prstGeom prst="rect">
                                    <a:avLst/>
                                  </a:prstGeom>
                                  <a:solidFill>
                                    <a:schemeClr val="tx2"/>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FFFFFF"/>
                                          <w:sz w:val="18"/>
                                          <w:szCs w:val="21"/>
                                        </w:rPr>
                                      </w:pPr>
                                      <w:r>
                                        <w:rPr>
                                          <w:color w:val="FFFFFF"/>
                                          <w:sz w:val="18"/>
                                          <w:szCs w:val="18"/>
                                        </w:rPr>
                                        <w:t>Ataskaitų apie klimato ir energetikos politikos tikslus rengimas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03" name="Rectangle 182"/>
                              <wps:cNvSpPr/>
                              <wps:spPr>
                                <a:xfrm>
                                  <a:off x="4960189" y="48"/>
                                  <a:ext cx="646706" cy="370931"/>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3C3EA6" w:rsidRDefault="003C3EA6">
                                    <w:pPr>
                                      <w:jc w:val="both"/>
                                      <w:rPr>
                                        <w:color w:val="000000"/>
                                        <w:sz w:val="14"/>
                                        <w:szCs w:val="21"/>
                                      </w:rPr>
                                    </w:pPr>
                                    <w:r>
                                      <w:rPr>
                                        <w:color w:val="000000"/>
                                        <w:sz w:val="14"/>
                                        <w:szCs w:val="21"/>
                                      </w:rPr>
                                      <w:t xml:space="preserve">Valstybės lygis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97" name="Rectangle 191"/>
                            <wps:cNvSpPr/>
                            <wps:spPr>
                              <a:xfrm>
                                <a:off x="4960189" y="439393"/>
                                <a:ext cx="646430" cy="224283"/>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3C3EA6" w:rsidRDefault="003C3EA6">
                                  <w:pPr>
                                    <w:jc w:val="both"/>
                                    <w:rPr>
                                      <w:color w:val="000000"/>
                                      <w:sz w:val="14"/>
                                      <w:szCs w:val="21"/>
                                    </w:rPr>
                                  </w:pPr>
                                  <w:r>
                                    <w:rPr>
                                      <w:color w:val="000000"/>
                                      <w:sz w:val="14"/>
                                      <w:szCs w:val="21"/>
                                    </w:rPr>
                                    <w:t xml:space="preserve">Vietos lygis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Rectangle 195"/>
                            <wps:cNvSpPr/>
                            <wps:spPr>
                              <a:xfrm>
                                <a:off x="4960189" y="724751"/>
                                <a:ext cx="646430" cy="37087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3C3EA6" w:rsidRDefault="003C3EA6">
                                  <w:pPr>
                                    <w:jc w:val="both"/>
                                    <w:rPr>
                                      <w:color w:val="000000"/>
                                      <w:sz w:val="14"/>
                                      <w:szCs w:val="21"/>
                                    </w:rPr>
                                  </w:pPr>
                                  <w:r>
                                    <w:rPr>
                                      <w:color w:val="000000"/>
                                      <w:sz w:val="14"/>
                                      <w:szCs w:val="21"/>
                                    </w:rPr>
                                    <w:t xml:space="preserve">Valstybės lygis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Rectangle 197"/>
                            <wps:cNvSpPr/>
                            <wps:spPr>
                              <a:xfrm>
                                <a:off x="4960189" y="1172889"/>
                                <a:ext cx="646430" cy="224155"/>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3C3EA6" w:rsidRDefault="003C3EA6">
                                  <w:pPr>
                                    <w:jc w:val="both"/>
                                    <w:rPr>
                                      <w:color w:val="000000"/>
                                      <w:sz w:val="14"/>
                                      <w:szCs w:val="21"/>
                                    </w:rPr>
                                  </w:pPr>
                                  <w:r>
                                    <w:rPr>
                                      <w:color w:val="000000"/>
                                      <w:sz w:val="14"/>
                                      <w:szCs w:val="21"/>
                                    </w:rPr>
                                    <w:t xml:space="preserve">Vietos lygis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 name="Rectangle 201"/>
                            <wps:cNvSpPr/>
                            <wps:spPr>
                              <a:xfrm>
                                <a:off x="4960189" y="1464983"/>
                                <a:ext cx="646430" cy="372446"/>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3C3EA6" w:rsidRDefault="003C3EA6">
                                  <w:pPr>
                                    <w:jc w:val="both"/>
                                    <w:rPr>
                                      <w:color w:val="000000"/>
                                      <w:sz w:val="14"/>
                                      <w:szCs w:val="21"/>
                                    </w:rPr>
                                  </w:pPr>
                                  <w:r>
                                    <w:rPr>
                                      <w:color w:val="000000"/>
                                      <w:sz w:val="14"/>
                                      <w:szCs w:val="21"/>
                                    </w:rPr>
                                    <w:t xml:space="preserve">Valstybės lygis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 name="Rectangle 203"/>
                            <wps:cNvSpPr/>
                            <wps:spPr>
                              <a:xfrm>
                                <a:off x="4960189" y="1896603"/>
                                <a:ext cx="646430" cy="517838"/>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3C3EA6" w:rsidRDefault="003C3EA6">
                                  <w:pPr>
                                    <w:jc w:val="both"/>
                                    <w:rPr>
                                      <w:color w:val="000000"/>
                                      <w:sz w:val="14"/>
                                      <w:szCs w:val="21"/>
                                    </w:rPr>
                                  </w:pPr>
                                  <w:r>
                                    <w:rPr>
                                      <w:color w:val="000000"/>
                                      <w:sz w:val="14"/>
                                      <w:szCs w:val="21"/>
                                    </w:rPr>
                                    <w:t xml:space="preserve">Valstybės lygis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84" name="Rectangle 224"/>
                        <wps:cNvSpPr/>
                        <wps:spPr>
                          <a:xfrm>
                            <a:off x="2663238" y="405491"/>
                            <a:ext cx="2139350" cy="249555"/>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21"/>
                                </w:rPr>
                              </w:pPr>
                              <w:r>
                                <w:rPr>
                                  <w:color w:val="000000"/>
                                  <w:sz w:val="18"/>
                                  <w:szCs w:val="21"/>
                                </w:rPr>
                                <w:t>Savivaldybių atitinkamos institucijos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 name="Rectangle 226"/>
                        <wps:cNvSpPr/>
                        <wps:spPr>
                          <a:xfrm>
                            <a:off x="2674189" y="724667"/>
                            <a:ext cx="2139315" cy="370840"/>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21"/>
                                </w:rPr>
                              </w:pPr>
                              <w:r>
                                <w:rPr>
                                  <w:color w:val="000000"/>
                                  <w:sz w:val="18"/>
                                  <w:szCs w:val="21"/>
                                </w:rPr>
                                <w:t>Aplinkos ministerija</w:t>
                              </w:r>
                            </w:p>
                            <w:p w:rsidR="003C3EA6" w:rsidRDefault="003C3EA6">
                              <w:pPr>
                                <w:rPr>
                                  <w:color w:val="000000"/>
                                  <w:sz w:val="18"/>
                                  <w:szCs w:val="21"/>
                                </w:rPr>
                              </w:pPr>
                              <w:r>
                                <w:rPr>
                                  <w:color w:val="000000"/>
                                  <w:sz w:val="18"/>
                                  <w:szCs w:val="21"/>
                                </w:rPr>
                                <w:t>AAA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 name="Rectangle 227"/>
                        <wps:cNvSpPr/>
                        <wps:spPr>
                          <a:xfrm>
                            <a:off x="2674189" y="1147361"/>
                            <a:ext cx="2139315" cy="249555"/>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EA6" w:rsidRDefault="003C3EA6">
                              <w:pPr>
                                <w:rPr>
                                  <w:color w:val="000000"/>
                                  <w:sz w:val="18"/>
                                  <w:szCs w:val="21"/>
                                </w:rPr>
                              </w:pPr>
                              <w:r>
                                <w:rPr>
                                  <w:color w:val="000000"/>
                                  <w:sz w:val="18"/>
                                  <w:szCs w:val="21"/>
                                </w:rPr>
                                <w:t>Savivaldybių atitinkamos institucijos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 name="Left Arrow 229"/>
                        <wps:cNvSpPr/>
                        <wps:spPr>
                          <a:xfrm>
                            <a:off x="4813539" y="819558"/>
                            <a:ext cx="147955" cy="177165"/>
                          </a:xfrm>
                          <a:prstGeom prst="leftArrow">
                            <a:avLst/>
                          </a:prstGeom>
                          <a:ln w="1270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Left Arrow 230"/>
                        <wps:cNvSpPr/>
                        <wps:spPr>
                          <a:xfrm>
                            <a:off x="4813539" y="1164614"/>
                            <a:ext cx="147955" cy="177165"/>
                          </a:xfrm>
                          <a:prstGeom prst="leftArrow">
                            <a:avLst/>
                          </a:prstGeom>
                          <a:ln w="1270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Left Arrow 231"/>
                        <wps:cNvSpPr/>
                        <wps:spPr>
                          <a:xfrm>
                            <a:off x="4813539" y="1570056"/>
                            <a:ext cx="147955" cy="177165"/>
                          </a:xfrm>
                          <a:prstGeom prst="leftArrow">
                            <a:avLst/>
                          </a:prstGeom>
                          <a:ln w="1270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Left Arrow 232"/>
                        <wps:cNvSpPr/>
                        <wps:spPr>
                          <a:xfrm>
                            <a:off x="4813539" y="2070388"/>
                            <a:ext cx="147955" cy="177165"/>
                          </a:xfrm>
                          <a:prstGeom prst="leftArrow">
                            <a:avLst/>
                          </a:prstGeom>
                          <a:ln w="1270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Left Arrow 233"/>
                        <wps:cNvSpPr/>
                        <wps:spPr>
                          <a:xfrm>
                            <a:off x="4813539" y="90095"/>
                            <a:ext cx="147955" cy="177165"/>
                          </a:xfrm>
                          <a:prstGeom prst="leftArrow">
                            <a:avLst/>
                          </a:prstGeom>
                          <a:ln w="1270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2783375" id="Grupė 234" o:spid="_x0000_s1159" style="position:absolute;left:0;text-align:left;margin-left:7.6pt;margin-top:3.1pt;width:441.45pt;height:191.45pt;z-index:251674624;mso-position-horizontal-relative:margin" coordorigin="" coordsize="56064,2431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lH1QLggAAFFYAAAOAAAAZHJzL2Uyb0RvYy54bWzsXN1u2zYUvh+wdxB031qk/o06RdCuwYBg K9oOvVZkyTYmixqlxM5eZC+0B9s5pETLjpxKduM6C1EglSyJ4qH4nfOdH/LN2/UyM+4SXi5YPjHJ a8s0kjxm00U+m5h/fPnwKjCNsoryaZSxPJmY90lpvr34+ac3q2KcUDZn2TThBjSSl+NVMTHnVVWM R6MynifLqHzNiiSHiynjy6iCUz4bTXm0gtaX2YhaljdaMT4tOIuTsoRf38uL5oVoP02TuPo9Tcuk MrKJCX2rxF8u/t7g39HFm2g841ExX8R1N6IDerGMFjm8VDX1Pqoi45YvHjS1XMSclSytXsdsOWJp uogTIQNIQ6wdaa44uy2ELLPxalaoYYKh3Rmng5uNf7v7yI3FdGJS2zGNPFrCR7rit8W//xj4C4zP qpiN4bYrXnwuPvL6h5k8Q5HXKV/i/yCMsRYje69GNllXRgw/up7lOcQ1jRiuUccmeCLGPp7DB8Ln XhHT2DwYz3/Z96jvic82at48wg6q/qgT1fFavsDeiAfDalArOEC67V7uFa/uYzRW4sHk2yedR0I1 MNRyKHZrr3QAk3IzE8rjZsLneVQkYoKV+InrkQrVSH0C/ET5LEsMEoRytMSNaiKU4xLmRMcsoJ7v +igXCE0czwmD+ns3Q0aJ7YfwJcWMsH3qWttfNRoXvKyuErY08GBicuiLgFh0d11WcoiaW7ADOfuw yDIxp7LcWMFrqQ9t4qWSZYspXhUnqFqSdxk37iJQCtW6Ge/WXTD6WQ4fYVU0Aoqj6j5LsIks/5Sk ABqYtVS+YLvNKI6TvCLy0jyaJvJVIKISUig47IX41KJBbDmFTqq26wa625YDUN+PjyZC26mHa8kf e1g9Id7M8ko9vFzkjHdJloFU9Zvl/c0gyaHBUarWN2uhUHw1Y27Y9B7mFmdS/ZZF/GEB3/Q6KquP EQd9C9MAbAhcnTP+t2msQB9PzPKv24gnppH9msM0D4njoAIXJ47rUzjh7Ss37Sv57fIdg68LOgXe Jg7x/iprDlPOll/BdFziW+FSlMfw7okZV7w5eVdJOwHGJ04uL8VtoLSLqLrOPxcxNo4Dh3Pwy/pr xIt6olYwxX9jDbSi8c58lffikzm7vK1YuhCTGYdOjlM9pABzVGGnwLtS/C28hwKO+H5QDL3w7qCO EHgPgsD3PZwoMC1rNQ54D13qSby7thPY/pae03iv55PSDFJpNLrk/PEeqBmj8d6yTwPxXlOZXfYS AndqyJlkLwI+34ubdVGQJyAv+4QDtdAWjvjCJn8v4drEs+FX/YQLcNhrykptKijMXma2Rzhi0V3p bEmljqfVTmD5nvOwj9+Wbt+Te6U7gR0iVpch8msnpKchAlsOlDMA+rltf+zARw5af03iUiAQUqc2 /ktDJnvxTU0NxzuGagg1DASL3FCePtQQCSIwes0OxdQ7HTskljI9LXoo4dWbHoLrQ33p4DvCLWgR Q8u1rdCXyPRclzjCL1eKaDAxbPlx4PptO0Cd3h46dNph/PEOY1Bb/cYR6qMVtMOI4ZeTqwRF2Noq QXh8vVUC9bzQ8QD3m7BYy1cMiA+RY6Retg/aQeiMw1WCjg1hJFyFd84A6jUFflZQr15cZIhAjLz2 zNpAr13PnowcbL9rS9vvU4j77BBzivYfgt4C7J5P7UDb/5cZMA6Up6cDSIcHkE7iqEOgVwZs2mqh zqcNUAvokMsEkWt36AUagi6QJAACHRDnOMJhPyALpP0CzHCdAVkQH35YtED7BT/CLyAQnnmoF1Qe sFcmybVCC5N7qBeC0Lfc3USS5dLQhhQ1OgeuDTmlI50DHS/YSog/o4STcjg1XziUL0DkoJW3OAl3 6KwuUaGfXjrCgcqRJtssw4WbeKIHQQWrzjNj7ABcj6NoQzs2iA2hHZJFL+JoWE2ImLEQxxhQ8NGK q8viEJFV713s0bzxgGKP6Z/N0KXfLPYIlE+osfhssIhR9wfmOlS5meFQtEP4t513Azg6NphzkUWl DoUyPA3HVrUWormGl6wo21t7NQiOyhfTcDwUjqjen77WsivABlUHgBF8/2AIQoTNdwWCtyyigiBY xACSqBqCTw9B5fZoCJ43BLuCWWAaD4UggfKlQJZLd2OQUqhIOjKYpVmpMpsNJ+8oQd4UsWoMnjUG CRTGP6CisCLmcBCKNQePcFFYcuA4jXN0UAnYdngYLap2DcsuEKqvqEF45iCELO2uP0gtlaofTEYh RON58vluS+hClYd9ZLpXW8JellAF2DQIDwVhO1baPj6JowjJ8YfYpCpj3gubUHJlQ32FyK04luvI UM8GmrhGx3abYI0TuseyVF13dWZ1VzI6hxP2GamBl1d3hXURDwwxLJ4b4pLCCly1Ig+4rgellvD4 DtibJdkYFoLllUhim2XVg+uuNdjPDezKOmiwi4m9WaqLQDiX5beQOusA+7D4UxvshDi+7e3EgIVp b9BOtWlPUpF4+R8tt98kDTTazxntKuFznaSVcck5WxmUqmRBLyLvBMR2bbnaPiDA04UPvbHtoAHg R5l0Jb5PvG9EmzPoiuiJ2NFgZ8MC3IMDwaId7Ucc7WeEuZe4xQXuTCEJdRt1UJcwhFG3UUcIFDYQ QbA07B6rEW5C7E9Tf6Rhd2gw6yRBK8i/dcFOJQQGGzviwp5OuxXB2tq1N7SS9bsadi95QyeVx9my dioFMBh21PKtel2etnba2ul91Lr3TVQb/WzBbmD+tOXahZYlvXoNOg265wc6kSOFfWtFNKbeYxc3 xm2fw3F7J+CL/wAAAP//AwBQSwMEFAAGAAgAAAAhAIZqeBHfAAAACAEAAA8AAABkcnMvZG93bnJl di54bWxMj8FqwzAQRO+F/oPYQm+NrIQEx7UcQmh7CoUmhdLbxtrYJpZkLMV2/r7bU3tahhlm3+Sb ybZioD403mlQswQEudKbxlUaPo+vTymIENEZbL0jDTcKsCnu73LMjB/dBw2HWAkucSFDDXWMXSZl KGuyGGa+I8fe2fcWI8u+kqbHkcttK+dJspIWG8cfauxoV1N5OVythrcRx+1CvQz7y3l3+z4u37/2 irR+fJi2zyAiTfEvDL/4jA4FM5381ZkgWtbLOSc1rPiwna5TBeKkYZGuFcgil/8HFD8AAAD//wMA UEsBAi0AFAAGAAgAAAAhALaDOJL+AAAA4QEAABMAAAAAAAAAAAAAAAAAAAAAAFtDb250ZW50X1R5 cGVzXS54bWxQSwECLQAUAAYACAAAACEAOP0h/9YAAACUAQAACwAAAAAAAAAAAAAAAAAvAQAAX3Jl bHMvLnJlbHNQSwECLQAUAAYACAAAACEABZR9UC4IAABRWAAADgAAAAAAAAAAAAAAAAAuAgAAZHJz L2Uyb0RvYy54bWxQSwECLQAUAAYACAAAACEAhmp4Ed8AAAAIAQAADwAAAAAAAAAAAAAAAACICgAA ZHJzL2Rvd25yZXYueG1sUEsFBgAAAAAEAAQA8wAAAJQLAAAAAA== ">
                <v:group id="Group 208" o:spid="_x0000_s1160" style="position:absolute;width:56064;height:24317" coordsize="56066,24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5cnqxAAAANsAAAAPAAAAZHJzL2Rvd25yZXYueG1sRI9Bi8Iw FITvwv6H8Ba8aVplRbpGEVnFgyxYBfH2aJ5tsXkpTWzrv98sCB6HmfmGWax6U4mWGldaVhCPIxDE mdUl5wrOp+1oDsJ5ZI2VZVLwJAer5cdggYm2HR+pTX0uAoRdggoK7+tESpcVZNCNbU0cvJttDPog m1zqBrsAN5WcRNFMGiw5LBRY06ag7J4+jIJdh916Gv+0h/tt87yevn4vh5iUGn72628Qnnr/Dr/a e61gPoX/L+EHyOUfAAAA//8DAFBLAQItABQABgAIAAAAIQDb4fbL7gAAAIUBAAATAAAAAAAAAAAA AAAAAAAAAABbQ29udGVudF9UeXBlc10ueG1sUEsBAi0AFAAGAAgAAAAhAFr0LFu/AAAAFQEAAAsA AAAAAAAAAAAAAAAAHwEAAF9yZWxzLy5yZWxzUEsBAi0AFAAGAAgAAAAhAPXlyerEAAAA2wAAAA8A AAAAAAAAAAAAAAAABwIAAGRycy9kb3ducmV2LnhtbFBLBQYAAAAAAwADALcAAAD4AgAAAAA= ">
                  <v:rect id="Rectangle 189" o:spid="_x0000_s1161" style="position:absolute;left:26757;top:14649;width:21379;height:37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tUlWwwAAANsAAAAPAAAAZHJzL2Rvd25yZXYueG1sRI9Bi8Iw FITvgv8hPMGbpiq7aDWKCoIse1ktiLdH82yrzUtootZ/v1lY8DjMzDfMYtWaWjyo8ZVlBaNhAoI4 t7riQkF23A2mIHxA1lhbJgUv8rBadjsLTLV98g89DqEQEcI+RQVlCC6V0uclGfRD64ijd7GNwRBl U0jd4DPCTS3HSfIpDVYcF0p0tC0pvx3uRsHVu81r5K9f+nb6ttn57PRk/KFUv9eu5yACteEd/m/v tYLZBP6+xB8gl78AAAD//wMAUEsBAi0AFAAGAAgAAAAhANvh9svuAAAAhQEAABMAAAAAAAAAAAAA AAAAAAAAAFtDb250ZW50X1R5cGVzXS54bWxQSwECLQAUAAYACAAAACEAWvQsW78AAAAVAQAACwAA AAAAAAAAAAAAAAAfAQAAX3JlbHMvLnJlbHNQSwECLQAUAAYACAAAACEAs7VJVsMAAADbAAAADwAA AAAAAAAAAAAAAAAHAgAAZHJzL2Rvd25yZXYueG1sUEsFBgAAAAADAAMAtwAAAPcCAAAAAA== " filled="f" strokecolor="#1f497d [3215]" strokeweight="1pt">
                    <v:textbox>
                      <w:txbxContent>
                        <w:p w:rsidR="003C3EA6" w:rsidRDefault="003C3EA6">
                          <w:pPr>
                            <w:rPr>
                              <w:color w:val="000000"/>
                              <w:sz w:val="18"/>
                              <w:szCs w:val="21"/>
                            </w:rPr>
                          </w:pPr>
                          <w:r>
                            <w:rPr>
                              <w:color w:val="000000"/>
                              <w:sz w:val="18"/>
                              <w:szCs w:val="21"/>
                            </w:rPr>
                            <w:t>AAA</w:t>
                          </w:r>
                        </w:p>
                      </w:txbxContent>
                    </v:textbox>
                  </v:rect>
                  <v:rect id="Rectangle 190" o:spid="_x0000_s1162" style="position:absolute;left:26741;top:18887;width:21396;height:534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XNEixAAAANsAAAAPAAAAZHJzL2Rvd25yZXYueG1sRI9LiwIx EITvC/6H0MLe1oyPFR2NooIgshcfIN6aSTszOumESVbHf2+EhT0WVfUVNZ03phJ3qn1pWUG3k4Ag zqwuOVdwPKy/RiB8QNZYWSYFT/Iwn7U+pphq++Ad3fchFxHCPkUFRQguldJnBRn0HeuIo3extcEQ ZZ1LXeMjwk0le0kylAZLjgsFOloVlN32v0bB1bvls+uvW307/djj+ex0v/et1Ge7WUxABGrCf/iv vdEKxgN4f4k/QM5eAAAA//8DAFBLAQItABQABgAIAAAAIQDb4fbL7gAAAIUBAAATAAAAAAAAAAAA AAAAAAAAAABbQ29udGVudF9UeXBlc10ueG1sUEsBAi0AFAAGAAgAAAAhAFr0LFu/AAAAFQEAAAsA AAAAAAAAAAAAAAAAHwEAAF9yZWxzLy5yZWxzUEsBAi0AFAAGAAgAAAAhADxc0SLEAAAA2wAAAA8A AAAAAAAAAAAAAAAABwIAAGRycy9kb3ducmV2LnhtbFBLBQYAAAAAAwADALcAAAD4AgAAAAA= " filled="f" strokecolor="#1f497d [3215]" strokeweight="1pt">
                    <v:textbox>
                      <w:txbxContent>
                        <w:p w:rsidR="003C3EA6" w:rsidRDefault="003C3EA6">
                          <w:pPr>
                            <w:rPr>
                              <w:color w:val="000000"/>
                              <w:sz w:val="18"/>
                              <w:szCs w:val="21"/>
                            </w:rPr>
                          </w:pPr>
                          <w:r>
                            <w:rPr>
                              <w:color w:val="000000"/>
                              <w:sz w:val="18"/>
                              <w:szCs w:val="21"/>
                            </w:rPr>
                            <w:t>Aplinkos ministerija</w:t>
                          </w:r>
                        </w:p>
                        <w:p w:rsidR="003C3EA6" w:rsidRDefault="003C3EA6">
                          <w:pPr>
                            <w:rPr>
                              <w:color w:val="000000"/>
                              <w:sz w:val="18"/>
                              <w:szCs w:val="21"/>
                            </w:rPr>
                          </w:pPr>
                          <w:r>
                            <w:rPr>
                              <w:color w:val="000000"/>
                              <w:sz w:val="18"/>
                              <w:szCs w:val="21"/>
                            </w:rPr>
                            <w:t>AAA</w:t>
                          </w:r>
                        </w:p>
                        <w:p w:rsidR="003C3EA6" w:rsidRDefault="003C3EA6">
                          <w:pPr>
                            <w:rPr>
                              <w:color w:val="000000"/>
                              <w:sz w:val="18"/>
                              <w:szCs w:val="21"/>
                            </w:rPr>
                          </w:pPr>
                          <w:r>
                            <w:rPr>
                              <w:color w:val="000000"/>
                              <w:sz w:val="18"/>
                              <w:szCs w:val="21"/>
                            </w:rPr>
                            <w:t>Energetikos ministerija</w:t>
                          </w:r>
                        </w:p>
                      </w:txbxContent>
                    </v:textbox>
                  </v:rect>
                  <v:group id="Group 207" o:spid="_x0000_s1163" style="position:absolute;width:56066;height:24320" coordsize="56066,24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mWLYxQAAANsAAAAPAAAAZHJzL2Rvd25yZXYueG1sRI9Pa8JA FMTvQr/D8gq91U1aUmp0FZG29CAFk4J4e2SfSTD7NmS3+fPtXaHgcZiZ3zCrzWga0VPnassK4nkE griwuuZSwW/++fwOwnlkjY1lUjCRg836YbbCVNuBD9RnvhQBwi5FBZX3bSqlKyoy6Oa2JQ7e2XYG fZBdKXWHQ4CbRr5E0Zs0WHNYqLClXUXFJfszCr4GHLav8Ue/v5x30ylPfo77mJR6ehy3SxCeRn8P /7e/tYJFArcv4QfI9RUAAP//AwBQSwECLQAUAAYACAAAACEA2+H2y+4AAACFAQAAEwAAAAAAAAAA AAAAAAAAAAAAW0NvbnRlbnRfVHlwZXNdLnhtbFBLAQItABQABgAIAAAAIQBa9CxbvwAAABUBAAAL AAAAAAAAAAAAAAAAAB8BAABfcmVscy8ucmVsc1BLAQItABQABgAIAAAAIQCQmWLYxQAAANsAAAAP AAAAAAAAAAAAAAAAAAcCAABkcnMvZG93bnJldi54bWxQSwUGAAAAAAMAAwC3AAAA+QIAAAAA ">
                    <v:group id="Group 172" o:spid="_x0000_s1164" style="position:absolute;width:56064;height:24320" coordsize="56068,2432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S/yvxQAAANsAAAAPAAAAZHJzL2Rvd25yZXYueG1sRI9Pa8JA FMTvhX6H5RV6M5u0KDVmFZG29BAEtSDeHtlnEsy+Ddlt/nx7t1DocZiZ3zDZZjSN6KlztWUFSRSD IC6srrlU8H36mL2BcB5ZY2OZFEzkYLN+fMgw1XbgA/VHX4oAYZeigsr7NpXSFRUZdJFtiYN3tZ1B H2RXSt3hEOCmkS9xvJAGaw4LFba0q6i4HX+Mgs8Bh+1r8t7nt+tuupzm+3OekFLPT+N2BcLT6P/D f+0vrWC5gN8v4QfI9R0AAP//AwBQSwECLQAUAAYACAAAACEA2+H2y+4AAACFAQAAEwAAAAAAAAAA AAAAAAAAAAAAW0NvbnRlbnRfVHlwZXNdLnhtbFBLAQItABQABgAIAAAAIQBa9CxbvwAAABUBAAAL AAAAAAAAAAAAAAAAAB8BAABfcmVscy8ucmVsc1BLAQItABQABgAIAAAAIQBgS/yvxQAAANsAAAAP AAAAAAAAAAAAAAAAAAcCAABkcnMvZG93bnJldi54bWxQSwUGAAAAAAMAAwC3AAAA+QIAAAAA ">
                      <v:group id="Group 173" o:spid="_x0000_s1165" style="position:absolute;width:48076;height:24323" coordsize="48076,2432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WqGwwwAAANwAAAAPAAAAZHJzL2Rvd25yZXYueG1sRE9La8JA EL4X/A/LCN7qJkpLia4hiBUPoVAtiLchOybB7GzIbvP4991Cobf5+J6zTUfTiJ46V1tWEC8jEMSF 1TWXCr4u789vIJxH1thYJgUTOUh3s6ctJtoO/En92ZcihLBLUEHlfZtI6YqKDLqlbYkDd7edQR9g V0rd4RDCTSNXUfQqDdYcGipsaV9R8Th/GwXHAYdsHR/6/HHfT7fLy8c1j0mpxXzMNiA8jf5f/Oc+ 6TA/WsHvM+ECufsBAAD//wMAUEsBAi0AFAAGAAgAAAAhANvh9svuAAAAhQEAABMAAAAAAAAAAAAA AAAAAAAAAFtDb250ZW50X1R5cGVzXS54bWxQSwECLQAUAAYACAAAACEAWvQsW78AAAAVAQAACwAA AAAAAAAAAAAAAAAfAQAAX3JlbHMvLnJlbHNQSwECLQAUAAYACAAAACEA1FqhsMMAAADcAAAADwAA AAAAAAAAAAAAAAAHAgAAZHJzL2Rvd25yZXYueG1sUEsFBgAAAAADAAMAtwAAAPcCAAAAAA== ">
                        <v:rect id="Rectangle 174" o:spid="_x0000_s1166" style="position:absolute;top:86;width:3879;height:241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qWn6wgAAANwAAAAPAAAAZHJzL2Rvd25yZXYueG1sRE9Na8JA EL0X/A/LCL3VjaWIRlfRQmgvPZgKxduQHZNgdjZmR43/3i0I3ubxPmex6l2jLtSF2rOB8SgBRVx4 W3NpYPebvU1BBUG22HgmAzcKsFoOXhaYWn/lLV1yKVUM4ZCigUqkTbUORUUOw8i3xJE7+M6hRNiV 2nZ4jeGu0e9JMtEOa44NFbb0WVFxzM/OQD77kmY6mW3/NrtTnv34c7YXMuZ12K/noIR6eYof7m8b 5ycf8P9MvEAv7wAAAP//AwBQSwECLQAUAAYACAAAACEA2+H2y+4AAACFAQAAEwAAAAAAAAAAAAAA AAAAAAAAW0NvbnRlbnRfVHlwZXNdLnhtbFBLAQItABQABgAIAAAAIQBa9CxbvwAAABUBAAALAAAA AAAAAAAAAAAAAB8BAABfcmVscy8ucmVsc1BLAQItABQABgAIAAAAIQBFqWn6wgAAANwAAAAPAAAA AAAAAAAAAAAAAAcCAABkcnMvZG93bnJldi54bWxQSwUGAAAAAAMAAwC3AAAA9gIAAAAA " fillcolor="#4f81bd [3204]" strokecolor="#243f60 [1604]" strokeweight="2pt">
                          <v:textbox style="layout-flow:vertical;mso-layout-flow-alt:bottom-to-top">
                            <w:txbxContent>
                              <w:p w:rsidR="003C3EA6" w:rsidRDefault="003C3EA6">
                                <w:pPr>
                                  <w:jc w:val="center"/>
                                  <w:rPr>
                                    <w:color w:val="FFFFFF"/>
                                    <w:sz w:val="18"/>
                                    <w:szCs w:val="21"/>
                                  </w:rPr>
                                </w:pPr>
                                <w:r>
                                  <w:rPr>
                                    <w:color w:val="FFFFFF"/>
                                    <w:sz w:val="18"/>
                                    <w:szCs w:val="21"/>
                                  </w:rPr>
                                  <w:t>Ataskaitų teikimas ir monitoringas</w:t>
                                </w:r>
                              </w:p>
                            </w:txbxContent>
                          </v:textbox>
                        </v:rect>
                        <v:rect id="Rectangle 175" o:spid="_x0000_s1167" style="position:absolute;left:5002;width:20531;height:655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vZ1HwAAAANwAAAAPAAAAZHJzL2Rvd25yZXYueG1sRE/basJA EH0v+A/LCL7VjYWEEl1F7EXBgnh7H7JjEszMhuxW4993C4W+zeFcZ7bouVE36nztxMBknIAiKZyt pTRwOn48v4LyAcVi44QMPMjDYj54mmFu3V32dDuEUsUQ8TkaqEJoc619URGjH7uWJHIX1zGGCLtS 2w7vMZwb/ZIkmWasJTZU2NKqouJ6+GYD2Tl88nsja9ZfWfbG27Td7lJjRsN+OQUVqA//4j/3xsb5 SQq/z8QL9PwHAAD//wMAUEsBAi0AFAAGAAgAAAAhANvh9svuAAAAhQEAABMAAAAAAAAAAAAAAAAA AAAAAFtDb250ZW50X1R5cGVzXS54bWxQSwECLQAUAAYACAAAACEAWvQsW78AAAAVAQAACwAAAAAA AAAAAAAAAAAfAQAAX3JlbHMvLnJlbHNQSwECLQAUAAYACAAAACEAxr2dR8AAAADcAAAADwAAAAAA AAAAAAAAAAAHAgAAZHJzL2Rvd25yZXYueG1sUEsFBgAAAAADAAMAtwAAAPQCAAAAAA== " fillcolor="#1f497d [3215]" strokecolor="#1f497d [3215]" strokeweight="1pt">
                          <v:textbox>
                            <w:txbxContent>
                              <w:p w:rsidR="003C3EA6" w:rsidRDefault="003C3EA6">
                                <w:pPr>
                                  <w:rPr>
                                    <w:color w:val="FFFFFF"/>
                                    <w:sz w:val="18"/>
                                    <w:szCs w:val="21"/>
                                  </w:rPr>
                                </w:pPr>
                                <w:r>
                                  <w:rPr>
                                    <w:color w:val="FFFFFF"/>
                                    <w:sz w:val="18"/>
                                    <w:szCs w:val="18"/>
                                  </w:rPr>
                                  <w:t>Išmetamųjų teršalų kiekio apskaitos  ir prognozių rengimas ir ataskaitų teikimas</w:t>
                                </w:r>
                              </w:p>
                            </w:txbxContent>
                          </v:textbox>
                        </v:rect>
                        <v:rect id="Rectangle 176" o:spid="_x0000_s1168" style="position:absolute;left:26694;width:21382;height:370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RNxvwAAAANwAAAAPAAAAZHJzL2Rvd25yZXYueG1sRE9Ni8Iw EL0v+B/CCN7W1D3IUo0igosHQba6ex6Ssa0mk9rE2v33G0HwNo/3OfNl76zoqA21ZwWTcQaCWHtT c6ngeNi8f4IIEdmg9UwK/ijAcjF4m2Nu/J2/qStiKVIIhxwVVDE2uZRBV+QwjH1DnLiTbx3GBNtS mhbvKdxZ+ZFlU+mw5tRQYUPrivSluDkFh27r1j+/HCjor1jsz/a601ap0bBfzUBE6uNL/HRvTZqf TeHxTLpALv4BAAD//wMAUEsBAi0AFAAGAAgAAAAhANvh9svuAAAAhQEAABMAAAAAAAAAAAAAAAAA AAAAAFtDb250ZW50X1R5cGVzXS54bWxQSwECLQAUAAYACAAAACEAWvQsW78AAAAVAQAACwAAAAAA AAAAAAAAAAAfAQAAX3JlbHMvLnJlbHNQSwECLQAUAAYACAAAACEAvUTcb8AAAADcAAAADwAAAAAA AAAAAAAAAAAHAgAAZHJzL2Rvd25yZXYueG1sUEsFBgAAAAADAAMAtwAAAPQCAAAAAA== " filled="f" strokecolor="#1f497d [3215]" strokeweight="1pt">
                          <v:textbox>
                            <w:txbxContent>
                              <w:p w:rsidR="003C3EA6" w:rsidRDefault="003C3EA6">
                                <w:pPr>
                                  <w:rPr>
                                    <w:color w:val="000000"/>
                                    <w:sz w:val="18"/>
                                    <w:szCs w:val="21"/>
                                  </w:rPr>
                                </w:pPr>
                                <w:r>
                                  <w:rPr>
                                    <w:color w:val="000000"/>
                                    <w:sz w:val="18"/>
                                    <w:szCs w:val="21"/>
                                  </w:rPr>
                                  <w:t>AAA</w:t>
                                </w:r>
                              </w:p>
                            </w:txbxContent>
                          </v:textbox>
                        </v:rect>
                        <v:rect id="Rectangle 177" o:spid="_x0000_s1169" style="position:absolute;left:5005;top:7248;width:20530;height:672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vDLZxAAAANwAAAAPAAAAZHJzL2Rvd25yZXYueG1sRI9Ba8JA EIXvBf/DMkJvdaNgKKmrlKq1YEG07X3ITpPQzGzIrhr/fedQ6G2G9+a9bxargVtzoT42QRxMJxkY kjL4RioHnx/bh0cwMaF4bIOQgxtFWC1HdwssfLjKkS6nVBkNkViggzqlrrA2ljUxxknoSFT7Dj1j 0rWvrO/xquHc2lmW5ZaxEW2osaOXmsqf05kd5F/plTet7Ni+5/ma9/Nuf5g7dz8enp/AJBrSv/nv +s0rfqa0+oxOYJe/AAAA//8DAFBLAQItABQABgAIAAAAIQDb4fbL7gAAAIUBAAATAAAAAAAAAAAA AAAAAAAAAABbQ29udGVudF9UeXBlc10ueG1sUEsBAi0AFAAGAAgAAAAhAFr0LFu/AAAAFQEAAAsA AAAAAAAAAAAAAAAAHwEAAF9yZWxzLy5yZWxzUEsBAi0AFAAGAAgAAAAhACi8MtnEAAAA3AAAAA8A AAAAAAAAAAAAAAAABwIAAGRycy9kb3ducmV2LnhtbFBLBQYAAAAAAwADALcAAAD4AgAAAAA= " fillcolor="#1f497d [3215]" strokecolor="#1f497d [3215]" strokeweight="1pt">
                          <v:textbox>
                            <w:txbxContent>
                              <w:p w:rsidR="003C3EA6" w:rsidRDefault="003C3EA6">
                                <w:pPr>
                                  <w:rPr>
                                    <w:color w:val="FFFFFF"/>
                                    <w:sz w:val="18"/>
                                    <w:szCs w:val="21"/>
                                  </w:rPr>
                                </w:pPr>
                                <w:r>
                                  <w:rPr>
                                    <w:color w:val="FFFFFF"/>
                                    <w:sz w:val="18"/>
                                    <w:szCs w:val="18"/>
                                  </w:rPr>
                                  <w:t>Išmetamo šiltnamio efektą sukeliančių dujų (toliau – ŠESD) kiekio apskaitos  ir prognozių rengimas ir ataskaitų teikimas</w:t>
                                </w:r>
                              </w:p>
                            </w:txbxContent>
                          </v:textbox>
                        </v:rect>
                        <v:rect id="Rectangle 178" o:spid="_x0000_s1170" style="position:absolute;left:5005;top:14653;width:20530;height:380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8JdCwQAAANwAAAAPAAAAZHJzL2Rvd25yZXYueG1sRE9Na8JA EL0L/odlhN7qxoJBo6uItrVgoZjW+5CdJqGZ2ZDdavz3XaHgbR7vc5brnht1ps7XTgxMxgkoksLZ WkoDX58vjzNQPqBYbJyQgSt5WK+GgyVm1l3kSOc8lCqGiM/QQBVCm2nti4oY/di1JJH7dh1jiLAr te3wEsO50U9JkmrGWmJDhS1tKyp+8l82kJ7CKz83smf9nqY7Pkzbw8fUmIdRv1mACtSHu/jf/Wbj /GQOt2fiBXr1BwAA//8DAFBLAQItABQABgAIAAAAIQDb4fbL7gAAAIUBAAATAAAAAAAAAAAAAAAA AAAAAABbQ29udGVudF9UeXBlc10ueG1sUEsBAi0AFAAGAAgAAAAhAFr0LFu/AAAAFQEAAAsAAAAA AAAAAAAAAAAAHwEAAF9yZWxzLy5yZWxzUEsBAi0AFAAGAAgAAAAhAEfwl0LBAAAA3AAAAA8AAAAA AAAAAAAAAAAABwIAAGRycy9kb3ducmV2LnhtbFBLBQYAAAAAAwADALcAAAD1AgAAAAA= " fillcolor="#1f497d [3215]" strokecolor="#1f497d [3215]" strokeweight="1pt">
                          <v:textbox>
                            <w:txbxContent>
                              <w:p w:rsidR="003C3EA6" w:rsidRDefault="003C3EA6">
                                <w:pPr>
                                  <w:rPr>
                                    <w:color w:val="FFFFFF"/>
                                    <w:sz w:val="18"/>
                                    <w:szCs w:val="21"/>
                                  </w:rPr>
                                </w:pPr>
                                <w:r>
                                  <w:rPr>
                                    <w:color w:val="FFFFFF"/>
                                    <w:sz w:val="18"/>
                                    <w:szCs w:val="18"/>
                                  </w:rPr>
                                  <w:t>Oro kokybės vertinimas ir ataskaitų rengimas</w:t>
                                </w:r>
                              </w:p>
                            </w:txbxContent>
                          </v:textbox>
                        </v:rect>
                        <v:rect id="Rectangle 179" o:spid="_x0000_s1171" style="position:absolute;left:5090;top:18970;width:20529;height:535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E6gCxAAAANwAAAAPAAAAZHJzL2Rvd25yZXYueG1sRI9Ba8JA EIXvBf/DMoXe6kbBUFJXKdXWggWprfchOyahmdmQ3Wr8952D4G2G9+a9b+bLgVtzoj42QRxMxhkY kjL4RioHP99vj09gYkLx2AYhBxeKsFyM7uZY+HCWLzrtU2U0RGKBDuqUusLaWNbEGMehI1HtGHrG pGtfWd/jWcO5tdMsyy1jI9pQY0evNZW/+z92kB/SO69b2bD9zPMVb2fddjdz7uF+eHkGk2hIN/P1 +sMr/kTx9RmdwC7+AQAA//8DAFBLAQItABQABgAIAAAAIQDb4fbL7gAAAIUBAAATAAAAAAAAAAAA AAAAAAAAAABbQ29udGVudF9UeXBlc10ueG1sUEsBAi0AFAAGAAgAAAAhAFr0LFu/AAAAFQEAAAsA AAAAAAAAAAAAAAAAHwEAAF9yZWxzLy5yZWxzUEsBAi0AFAAGAAgAAAAhAFMTqALEAAAA3AAAAA8A AAAAAAAAAAAAAAAABwIAAGRycy9kb3ducmV2LnhtbFBLBQYAAAAAAwADALcAAAD4AgAAAAA= " fillcolor="#1f497d [3215]" strokecolor="#1f497d [3215]" strokeweight="1pt">
                          <v:textbox>
                            <w:txbxContent>
                              <w:p w:rsidR="003C3EA6" w:rsidRDefault="003C3EA6">
                                <w:pPr>
                                  <w:rPr>
                                    <w:color w:val="FFFFFF"/>
                                    <w:sz w:val="18"/>
                                    <w:szCs w:val="21"/>
                                  </w:rPr>
                                </w:pPr>
                                <w:r>
                                  <w:rPr>
                                    <w:color w:val="FFFFFF"/>
                                    <w:sz w:val="18"/>
                                    <w:szCs w:val="18"/>
                                  </w:rPr>
                                  <w:t>Ataskaitų apie klimato ir energetikos politikos tikslus rengimas</w:t>
                                </w:r>
                              </w:p>
                            </w:txbxContent>
                          </v:textbox>
                        </v:rect>
                      </v:group>
                      <v:rect id="Rectangle 182" o:spid="_x0000_s1172" style="position:absolute;left:49601;width:6467;height:370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LlevwAAAANwAAAAPAAAAZHJzL2Rvd25yZXYueG1sRE9Ni8Iw EL0L+x/CLOxNUxVEq7F0V1w9qrvqdWjGtthMShO1/nsjCN7m8T5nlrSmEldqXGlZQb8XgSDOrC45 V/D/t+yOQTiPrLGyTAru5CCZf3RmGGt74y1ddz4XIYRdjAoK7+tYSpcVZND1bE0cuJNtDPoAm1zq Bm8h3FRyEEUjabDk0FBgTT8FZefdxSi4ZL/fx7xON4vlkFfS9idmf9BKfX226RSEp9a/xS/3Wof5 0RCez4QL5PwBAAD//wMAUEsBAi0AFAAGAAgAAAAhANvh9svuAAAAhQEAABMAAAAAAAAAAAAAAAAA AAAAAFtDb250ZW50X1R5cGVzXS54bWxQSwECLQAUAAYACAAAACEAWvQsW78AAAAVAQAACwAAAAAA AAAAAAAAAAAfAQAAX3JlbHMvLnJlbHNQSwECLQAUAAYACAAAACEAGC5Xr8AAAADcAAAADwAAAAAA AAAAAAAAAAAHAgAAZHJzL2Rvd25yZXYueG1sUEsFBgAAAAADAAMAtwAAAPQCAAAAAA== " fillcolor="white [3201]" strokecolor="#f79646 [3209]" strokeweight="1pt">
                        <v:textbox>
                          <w:txbxContent>
                            <w:p w:rsidR="003C3EA6" w:rsidRDefault="003C3EA6">
                              <w:pPr>
                                <w:jc w:val="both"/>
                                <w:rPr>
                                  <w:color w:val="000000"/>
                                  <w:sz w:val="14"/>
                                  <w:szCs w:val="21"/>
                                </w:rPr>
                              </w:pPr>
                              <w:r>
                                <w:rPr>
                                  <w:color w:val="000000"/>
                                  <w:sz w:val="14"/>
                                  <w:szCs w:val="21"/>
                                </w:rPr>
                                <w:t xml:space="preserve">Valstybės lygis </w:t>
                              </w:r>
                            </w:p>
                          </w:txbxContent>
                        </v:textbox>
                      </v:rect>
                    </v:group>
                    <v:rect id="Rectangle 191" o:spid="_x0000_s1173" style="position:absolute;left:49601;top:4393;width:6465;height:224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eiDZwwAAANsAAAAPAAAAZHJzL2Rvd25yZXYueG1sRI/NbsIw EITvlXgHa5G4FQeQWggYFEC0HIH+cF3FSxIRr63YgfTtcaVKPY5m5hvNYtWZWtyo8ZVlBaNhAoI4 t7riQsHnx+55CsIHZI21ZVLwQx5Wy97TAlNt73yk2ykUIkLYp6igDMGlUvq8JIN+aB1x9C62MRii bAqpG7xHuKnlOElepMGK40KJjjYl5ddTaxS0+dv6XLjssN1N+F3a0cx8fWulBv0um4MI1IX/8F97 rxXMXuH3S/wBcvkAAAD//wMAUEsBAi0AFAAGAAgAAAAhANvh9svuAAAAhQEAABMAAAAAAAAAAAAA AAAAAAAAAFtDb250ZW50X1R5cGVzXS54bWxQSwECLQAUAAYACAAAACEAWvQsW78AAAAVAQAACwAA AAAAAAAAAAAAAAAfAQAAX3JlbHMvLnJlbHNQSwECLQAUAAYACAAAACEAHHog2cMAAADbAAAADwAA AAAAAAAAAAAAAAAHAgAAZHJzL2Rvd25yZXYueG1sUEsFBgAAAAADAAMAtwAAAPcCAAAAAA== " fillcolor="white [3201]" strokecolor="#f79646 [3209]" strokeweight="1pt">
                      <v:textbox>
                        <w:txbxContent>
                          <w:p w:rsidR="003C3EA6" w:rsidRDefault="003C3EA6">
                            <w:pPr>
                              <w:jc w:val="both"/>
                              <w:rPr>
                                <w:color w:val="000000"/>
                                <w:sz w:val="14"/>
                                <w:szCs w:val="21"/>
                              </w:rPr>
                            </w:pPr>
                            <w:r>
                              <w:rPr>
                                <w:color w:val="000000"/>
                                <w:sz w:val="14"/>
                                <w:szCs w:val="21"/>
                              </w:rPr>
                              <w:t xml:space="preserve">Vietos lygis </w:t>
                            </w:r>
                          </w:p>
                        </w:txbxContent>
                      </v:textbox>
                    </v:rect>
                    <v:rect id="Rectangle 195" o:spid="_x0000_s1174" style="position:absolute;left:49601;top:7247;width:6465;height:370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5bSrvwAAANsAAAAPAAAAZHJzL2Rvd25yZXYueG1sRE/LasJA FN0L/YfhCu7MRAulxoxiLVqX9dntJXObBDN3QmZM4t87C8Hl4bzTZW8q0VLjSssKJlEMgjizuuRc wem4GX+CcB5ZY2WZFNzJwXLxNkgx0bbjPbUHn4sQwi5BBYX3dSKlywoy6CJbEwfu3zYGfYBNLnWD XQg3lZzG8Yc0WHJoKLCmdUHZ9XAzCm7Z9usvr1e/35t3/pF2MjPni1ZqNOxXcxCeev8SP907rWAW xoYv4QfIxQMAAP//AwBQSwECLQAUAAYACAAAACEA2+H2y+4AAACFAQAAEwAAAAAAAAAAAAAAAAAA AAAAW0NvbnRlbnRfVHlwZXNdLnhtbFBLAQItABQABgAIAAAAIQBa9CxbvwAAABUBAAALAAAAAAAA AAAAAAAAAB8BAABfcmVscy8ucmVsc1BLAQItABQABgAIAAAAIQBt5bSrvwAAANsAAAAPAAAAAAAA AAAAAAAAAAcCAABkcnMvZG93bnJldi54bWxQSwUGAAAAAAMAAwC3AAAA8wIAAAAA " fillcolor="white [3201]" strokecolor="#f79646 [3209]" strokeweight="1pt">
                      <v:textbox>
                        <w:txbxContent>
                          <w:p w:rsidR="003C3EA6" w:rsidRDefault="003C3EA6">
                            <w:pPr>
                              <w:jc w:val="both"/>
                              <w:rPr>
                                <w:color w:val="000000"/>
                                <w:sz w:val="14"/>
                                <w:szCs w:val="21"/>
                              </w:rPr>
                            </w:pPr>
                            <w:r>
                              <w:rPr>
                                <w:color w:val="000000"/>
                                <w:sz w:val="14"/>
                                <w:szCs w:val="21"/>
                              </w:rPr>
                              <w:t xml:space="preserve">Valstybės lygis </w:t>
                            </w:r>
                          </w:p>
                        </w:txbxContent>
                      </v:textbox>
                    </v:rect>
                    <v:rect id="Rectangle 197" o:spid="_x0000_s1175" style="position:absolute;left:49601;top:11728;width:6465;height:224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qREwwgAAANsAAAAPAAAAZHJzL2Rvd25yZXYueG1sRI9Pi8Iw FMTvgt8hPMGbpiostmsUd8U/R63u7vXRPNti81KaqN1vbwTB4zAzv2Fmi9ZU4kaNKy0rGA0jEMSZ 1SXnCk7H9WAKwnlkjZVlUvBPDhbzbmeGibZ3PtAt9bkIEHYJKii8rxMpXVaQQTe0NXHwzrYx6INs cqkbvAe4qeQ4ij6kwZLDQoE1fReUXdKrUXDNNl9/eb3cr9YT3ko7is3Pr1aq32uXnyA8tf4dfrV3 WkEcw/NL+AFy/gAAAP//AwBQSwECLQAUAAYACAAAACEA2+H2y+4AAACFAQAAEwAAAAAAAAAAAAAA AAAAAAAAW0NvbnRlbnRfVHlwZXNdLnhtbFBLAQItABQABgAIAAAAIQBa9CxbvwAAABUBAAALAAAA AAAAAAAAAAAAAB8BAABfcmVscy8ucmVsc1BLAQItABQABgAIAAAAIQACqREwwgAAANsAAAAPAAAA AAAAAAAAAAAAAAcCAABkcnMvZG93bnJldi54bWxQSwUGAAAAAAMAAwC3AAAA9gIAAAAA " fillcolor="white [3201]" strokecolor="#f79646 [3209]" strokeweight="1pt">
                      <v:textbox>
                        <w:txbxContent>
                          <w:p w:rsidR="003C3EA6" w:rsidRDefault="003C3EA6">
                            <w:pPr>
                              <w:jc w:val="both"/>
                              <w:rPr>
                                <w:color w:val="000000"/>
                                <w:sz w:val="14"/>
                                <w:szCs w:val="21"/>
                              </w:rPr>
                            </w:pPr>
                            <w:r>
                              <w:rPr>
                                <w:color w:val="000000"/>
                                <w:sz w:val="14"/>
                                <w:szCs w:val="21"/>
                              </w:rPr>
                              <w:t xml:space="preserve">Vietos lygis </w:t>
                            </w:r>
                          </w:p>
                        </w:txbxContent>
                      </v:textbox>
                    </v:rect>
                    <v:rect id="Rectangle 201" o:spid="_x0000_s1176" style="position:absolute;left:49601;top:14649;width:6465;height:37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MnYwwAAANwAAAAPAAAAZHJzL2Rvd25yZXYueG1sRI9Bb8Iw DIXvSPyHyEjcIGVIE+sICJjYOLLCtqvVmLaicaomQPfv8QGJm633/N7n+bJztbpSGyrPBibjBBRx 7m3FhYHjYTuagQoR2WLtmQz8U4Dlot+bY2r9jb/pmsVCSQiHFA2UMTap1iEvyWEY+4ZYtJNvHUZZ 20LbFm8S7mr9kiSv2mHF0lBiQ5uS8nN2cQYu+ef6r2hW+4/tlL+0n7y5n19rzHDQrd5BReri0/y4 3lnBTwRfnpEJ9OIOAAD//wMAUEsBAi0AFAAGAAgAAAAhANvh9svuAAAAhQEAABMAAAAAAAAAAAAA AAAAAAAAAFtDb250ZW50X1R5cGVzXS54bWxQSwECLQAUAAYACAAAACEAWvQsW78AAAAVAQAACwAA AAAAAAAAAAAAAAAfAQAAX3JlbHMvLnJlbHNQSwECLQAUAAYACAAAACEA6PzJ2MMAAADcAAAADwAA AAAAAAAAAAAAAAAHAgAAZHJzL2Rvd25yZXYueG1sUEsFBgAAAAADAAMAtwAAAPcCAAAAAA== " fillcolor="white [3201]" strokecolor="#f79646 [3209]" strokeweight="1pt">
                      <v:textbox>
                        <w:txbxContent>
                          <w:p w:rsidR="003C3EA6" w:rsidRDefault="003C3EA6">
                            <w:pPr>
                              <w:jc w:val="both"/>
                              <w:rPr>
                                <w:color w:val="000000"/>
                                <w:sz w:val="14"/>
                                <w:szCs w:val="21"/>
                              </w:rPr>
                            </w:pPr>
                            <w:r>
                              <w:rPr>
                                <w:color w:val="000000"/>
                                <w:sz w:val="14"/>
                                <w:szCs w:val="21"/>
                              </w:rPr>
                              <w:t xml:space="preserve">Valstybės lygis </w:t>
                            </w:r>
                          </w:p>
                        </w:txbxContent>
                      </v:textbox>
                    </v:rect>
                    <v:rect id="Rectangle 203" o:spid="_x0000_s1177" style="position:absolute;left:49601;top:18966;width:6465;height:517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sGxDwQAAANwAAAAPAAAAZHJzL2Rvd25yZXYueG1sRE9La8JA EL4L/Q/LFHozmyiITbOKVaw9avq6DtlpEpqdDdlNjP/eLQje5uN7TrYeTSMG6lxtWUESxSCIC6tr LhV8fuynSxDOI2tsLJOCCzlYrx4mGabanvlEQ+5LEULYpaig8r5NpXRFRQZdZFviwP3azqAPsCul 7vAcwk0jZ3G8kAZrDg0VtrStqPjLe6OgL95ef8p2c9zt53yQNnk2X99aqafHcfMCwtPo7+Kb+12H +XEC/8+EC+TqCgAA//8DAFBLAQItABQABgAIAAAAIQDb4fbL7gAAAIUBAAATAAAAAAAAAAAAAAAA AAAAAABbQ29udGVudF9UeXBlc10ueG1sUEsBAi0AFAAGAAgAAAAhAFr0LFu/AAAAFQEAAAsAAAAA AAAAAAAAAAAAHwEAAF9yZWxzLy5yZWxzUEsBAi0AFAAGAAgAAAAhAIewbEPBAAAA3AAAAA8AAAAA AAAAAAAAAAAABwIAAGRycy9kb3ducmV2LnhtbFBLBQYAAAAAAwADALcAAAD1AgAAAAA= " fillcolor="white [3201]" strokecolor="#f79646 [3209]" strokeweight="1pt">
                      <v:textbox>
                        <w:txbxContent>
                          <w:p w:rsidR="003C3EA6" w:rsidRDefault="003C3EA6">
                            <w:pPr>
                              <w:jc w:val="both"/>
                              <w:rPr>
                                <w:color w:val="000000"/>
                                <w:sz w:val="14"/>
                                <w:szCs w:val="21"/>
                              </w:rPr>
                            </w:pPr>
                            <w:r>
                              <w:rPr>
                                <w:color w:val="000000"/>
                                <w:sz w:val="14"/>
                                <w:szCs w:val="21"/>
                              </w:rPr>
                              <w:t xml:space="preserve">Valstybės lygis </w:t>
                            </w:r>
                          </w:p>
                        </w:txbxContent>
                      </v:textbox>
                    </v:rect>
                  </v:group>
                </v:group>
                <v:rect id="Rectangle 224" o:spid="_x0000_s1178" style="position:absolute;left:26632;top:4054;width:21393;height:24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1XkzwwAAANsAAAAPAAAAZHJzL2Rvd25yZXYueG1sRI9Ba8JA FITvhf6H5RW81U1FRKKbUISKB6E02p4fu88kuvs2za4x/fddodDjMDPfMOtydFYM1IfWs4KXaQaC WHvTcq3geHh7XoIIEdmg9UwKfihAWTw+rDE3/sYfNFSxFgnCIUcFTYxdLmXQDTkMU98RJ+/ke4cx yb6WpsdbgjsrZ1m2kA5bTgsNdrRpSF+qq1NwGHZu8/nFgYLexur9bL/32io1eRpfVyAijfE//Nfe GQXLOdy/pB8gi18AAAD//wMAUEsBAi0AFAAGAAgAAAAhANvh9svuAAAAhQEAABMAAAAAAAAAAAAA AAAAAAAAAFtDb250ZW50X1R5cGVzXS54bWxQSwECLQAUAAYACAAAACEAWvQsW78AAAAVAQAACwAA AAAAAAAAAAAAAAAfAQAAX3JlbHMvLnJlbHNQSwECLQAUAAYACAAAACEAVNV5M8MAAADbAAAADwAA AAAAAAAAAAAAAAAHAgAAZHJzL2Rvd25yZXYueG1sUEsFBgAAAAADAAMAtwAAAPcCAAAAAA== " filled="f" strokecolor="#1f497d [3215]" strokeweight="1pt">
                  <v:textbox>
                    <w:txbxContent>
                      <w:p w:rsidR="003C3EA6" w:rsidRDefault="003C3EA6">
                        <w:pPr>
                          <w:rPr>
                            <w:color w:val="000000"/>
                            <w:sz w:val="18"/>
                            <w:szCs w:val="21"/>
                          </w:rPr>
                        </w:pPr>
                        <w:r>
                          <w:rPr>
                            <w:color w:val="000000"/>
                            <w:sz w:val="18"/>
                            <w:szCs w:val="21"/>
                          </w:rPr>
                          <w:t>Savivaldybių atitinkamos institucijos</w:t>
                        </w:r>
                      </w:p>
                    </w:txbxContent>
                  </v:textbox>
                </v:rect>
                <v:rect id="Rectangle 226" o:spid="_x0000_s1179" style="position:absolute;left:26741;top:7246;width:21394;height:370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mdyowwAAANsAAAAPAAAAZHJzL2Rvd25yZXYueG1sRI9Ba8JA FITvhf6H5RW81U0FRaKbUISKB6E02p4fu88kuvs2za4x/fddodDjMDPfMOtydFYM1IfWs4KXaQaC WHvTcq3geHh7XoIIEdmg9UwKfihAWTw+rDE3/sYfNFSxFgnCIUcFTYxdLmXQDTkMU98RJ+/ke4cx yb6WpsdbgjsrZ1m2kA5bTgsNdrRpSF+qq1NwGHZu8/nFgYLexur9bL/32io1eRpfVyAijfE//Nfe GQXLOdy/pB8gi18AAAD//wMAUEsBAi0AFAAGAAgAAAAhANvh9svuAAAAhQEAABMAAAAAAAAAAAAA AAAAAAAAAFtDb250ZW50X1R5cGVzXS54bWxQSwECLQAUAAYACAAAACEAWvQsW78AAAAVAQAACwAA AAAAAAAAAAAAAAAfAQAAX3JlbHMvLnJlbHNQSwECLQAUAAYACAAAACEAO5ncqMMAAADbAAAADwAA AAAAAAAAAAAAAAAHAgAAZHJzL2Rvd25yZXYueG1sUEsFBgAAAAADAAMAtwAAAPcCAAAAAA== " filled="f" strokecolor="#1f497d [3215]" strokeweight="1pt">
                  <v:textbox>
                    <w:txbxContent>
                      <w:p w:rsidR="003C3EA6" w:rsidRDefault="003C3EA6">
                        <w:pPr>
                          <w:rPr>
                            <w:color w:val="000000"/>
                            <w:sz w:val="18"/>
                            <w:szCs w:val="21"/>
                          </w:rPr>
                        </w:pPr>
                        <w:r>
                          <w:rPr>
                            <w:color w:val="000000"/>
                            <w:sz w:val="18"/>
                            <w:szCs w:val="21"/>
                          </w:rPr>
                          <w:t>Aplinkos ministerija</w:t>
                        </w:r>
                      </w:p>
                      <w:p w:rsidR="003C3EA6" w:rsidRDefault="003C3EA6">
                        <w:pPr>
                          <w:rPr>
                            <w:color w:val="000000"/>
                            <w:sz w:val="18"/>
                            <w:szCs w:val="21"/>
                          </w:rPr>
                        </w:pPr>
                        <w:r>
                          <w:rPr>
                            <w:color w:val="000000"/>
                            <w:sz w:val="18"/>
                            <w:szCs w:val="21"/>
                          </w:rPr>
                          <w:t>AAA</w:t>
                        </w:r>
                      </w:p>
                    </w:txbxContent>
                  </v:textbox>
                </v:rect>
                <v:rect id="Rectangle 227" o:spid="_x0000_s1180" style="position:absolute;left:26741;top:11473;width:21394;height:24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B+dEwwAAANsAAAAPAAAAZHJzL2Rvd25yZXYueG1sRI9Ba8JA FITvhf6H5RW81U09qEQ3oQgVD0JptD0/dp9JdPdtml1j+u+7QqHHYWa+Ydbl6KwYqA+tZwUv0wwE sfam5VrB8fD2vAQRIrJB65kU/FCAsnh8WGNu/I0/aKhiLRKEQ44Kmhi7XMqgG3IYpr4jTt7J9w5j kn0tTY+3BHdWzrJsLh22nBYa7GjTkL5UV6fgMOzc5vOLAwW9jdX72X7vtVVq8jS+rkBEGuN/+K+9 MwqWC7h/ST9AFr8AAAD//wMAUEsBAi0AFAAGAAgAAAAhANvh9svuAAAAhQEAABMAAAAAAAAAAAAA AAAAAAAAAFtDb250ZW50X1R5cGVzXS54bWxQSwECLQAUAAYACAAAACEAWvQsW78AAAAVAQAACwAA AAAAAAAAAAAAAAAfAQAAX3JlbHMvLnJlbHNQSwECLQAUAAYACAAAACEApAfnRMMAAADbAAAADwAA AAAAAAAAAAAAAAAHAgAAZHJzL2Rvd25yZXYueG1sUEsFBgAAAAADAAMAtwAAAPcCAAAAAA== " filled="f" strokecolor="#1f497d [3215]" strokeweight="1pt">
                  <v:textbox>
                    <w:txbxContent>
                      <w:p w:rsidR="003C3EA6" w:rsidRDefault="003C3EA6">
                        <w:pPr>
                          <w:rPr>
                            <w:color w:val="000000"/>
                            <w:sz w:val="18"/>
                            <w:szCs w:val="21"/>
                          </w:rPr>
                        </w:pPr>
                        <w:r>
                          <w:rPr>
                            <w:color w:val="000000"/>
                            <w:sz w:val="18"/>
                            <w:szCs w:val="21"/>
                          </w:rPr>
                          <w:t>Savivaldybių atitinkamos institucijos</w:t>
                        </w:r>
                      </w:p>
                    </w:txbxContent>
                  </v:textbox>
                </v:rect>
                <v:shape id="Left Arrow 229" o:spid="_x0000_s1181" type="#_x0000_t66" style="position:absolute;left:48135;top:8195;width:1479;height:177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HTfFvQAAANsAAAAPAAAAZHJzL2Rvd25yZXYueG1sRE/JCsIw EL0L/kMYwZumLohUo4giLhdxOfQ4NGNbbCaliVr/3hwEj4+3z5eNKcWLaldYVjDoRyCIU6sLzhTc rtveFITzyBpLy6TgQw6Wi3ZrjrG2bz7T6+IzEULYxagg976KpXRpTgZd31bEgbvb2qAPsM6krvEd wk0ph1E0kQYLDg05VrTOKX1cnkaB29w/5SgZnJ677eE4QTuubJIo1e00qxkIT43/i3/uvVYwDWPD l/AD5OILAAD//wMAUEsBAi0AFAAGAAgAAAAhANvh9svuAAAAhQEAABMAAAAAAAAAAAAAAAAAAAAA AFtDb250ZW50X1R5cGVzXS54bWxQSwECLQAUAAYACAAAACEAWvQsW78AAAAVAQAACwAAAAAAAAAA AAAAAAAfAQAAX3JlbHMvLnJlbHNQSwECLQAUAAYACAAAACEAvR03xb0AAADbAAAADwAAAAAAAAAA AAAAAAAHAgAAZHJzL2Rvd25yZXYueG1sUEsFBgAAAAADAAMAtwAAAPECAAAAAA== " adj="10800" fillcolor="white [3201]" strokecolor="#f79646 [3209]" strokeweight="1pt"/>
                <v:shape id="Left Arrow 230" o:spid="_x0000_s1182" type="#_x0000_t66" style="position:absolute;left:48135;top:11646;width:1479;height:177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UZJexAAAANsAAAAPAAAAZHJzL2Rvd25yZXYueG1sRI9Ba8JA FITvBf/D8gRvdRMtotE1iCK2vZSqhxwf2WcSzL4N2TWJ/75bKPQ4zMw3zCYdTC06al1lWUE8jUAQ 51ZXXCi4Xo6vSxDOI2usLZOCJzlIt6OXDSba9vxN3dkXIkDYJaig9L5JpHR5SQbd1DbEwbvZ1qAP si2kbrEPcFPLWRQtpMGKw0KJDe1Lyu/nh1HgDrdnPc/ir8fp+PG5QPvW2CxTajIedmsQngb/H/5r v2sFyxX8fgk/QG5/AAAA//8DAFBLAQItABQABgAIAAAAIQDb4fbL7gAAAIUBAAATAAAAAAAAAAAA AAAAAAAAAABbQ29udGVudF9UeXBlc10ueG1sUEsBAi0AFAAGAAgAAAAhAFr0LFu/AAAAFQEAAAsA AAAAAAAAAAAAAAAAHwEAAF9yZWxzLy5yZWxzUEsBAi0AFAAGAAgAAAAhANJRkl7EAAAA2wAAAA8A AAAAAAAAAAAAAAAABwIAAGRycy9kb3ducmV2LnhtbFBLBQYAAAAAAwADALcAAAD4AgAAAAA= " adj="10800" fillcolor="white [3201]" strokecolor="#f79646 [3209]" strokeweight="1pt"/>
                <v:shape id="Left Arrow 231" o:spid="_x0000_s1183" type="#_x0000_t66" style="position:absolute;left:48135;top:15700;width:1479;height:177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sq0ewQAAANsAAAAPAAAAZHJzL2Rvd25yZXYueG1sRE/LasJA FN0X/IfhCt3VSWwJGh2DKKLtRnwssrxkrkkwcydkxhj/vrModHk472U2mEb01LnasoJ4EoEgLqyu uVRwvew+ZiCcR9bYWCYFL3KQrUZvS0y1ffKJ+rMvRQhhl6KCyvs2ldIVFRl0E9sSB+5mO4M+wK6U usNnCDeNnEZRIg3WHBoqbGlTUXE/P4wCt729ms88Pj72u++fBO1Xa/NcqffxsF6A8DT4f/Gf+6AV zMP68CX8ALn6BQAA//8DAFBLAQItABQABgAIAAAAIQDb4fbL7gAAAIUBAAATAAAAAAAAAAAAAAAA AAAAAABbQ29udGVudF9UeXBlc10ueG1sUEsBAi0AFAAGAAgAAAAhAFr0LFu/AAAAFQEAAAsAAAAA AAAAAAAAAAAAHwEAAF9yZWxzLy5yZWxzUEsBAi0AFAAGAAgAAAAhAMayrR7BAAAA2wAAAA8AAAAA AAAAAAAAAAAABwIAAGRycy9kb3ducmV2LnhtbFBLBQYAAAAAAwADALcAAAD1AgAAAAA= " adj="10800" fillcolor="white [3201]" strokecolor="#f79646 [3209]" strokeweight="1pt"/>
                <v:shape id="Left Arrow 232" o:spid="_x0000_s1184" type="#_x0000_t66" style="position:absolute;left:48135;top:20703;width:1479;height:177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giFxAAAANsAAAAPAAAAZHJzL2Rvd25yZXYueG1sRI9Ba8JA FITvBf/D8gRvdRMtYlNXESXY9iLaHnJ8ZJ9JMPs27K4x/vtuodDjMDPfMKvNYFrRk/ONZQXpNAFB XFrdcKXg+yt/XoLwAVlja5kUPMjDZj16WmGm7Z1P1J9DJSKEfYYK6hC6TEpf1mTQT21HHL2LdQZD lK6S2uE9wk0rZ0mykAYbjgs1drSrqbyeb0aB318e7bxIj7dD/vG5QPvS2aJQajIetm8gAg3hP/zX ftcKXlP4/RJ/gFz/AAAA//8DAFBLAQItABQABgAIAAAAIQDb4fbL7gAAAIUBAAATAAAAAAAAAAAA AAAAAAAAAABbQ29udGVudF9UeXBlc10ueG1sUEsBAi0AFAAGAAgAAAAhAFr0LFu/AAAAFQEAAAsA AAAAAAAAAAAAAAAAHwEAAF9yZWxzLy5yZWxzUEsBAi0AFAAGAAgAAAAhAKn+CIXEAAAA2wAAAA8A AAAAAAAAAAAAAAAABwIAAGRycy9kb3ducmV2LnhtbFBLBQYAAAAAAwADALcAAAD4AgAAAAA= " adj="10800" fillcolor="white [3201]" strokecolor="#f79646 [3209]" strokeweight="1pt"/>
                <v:shape id="Left Arrow 233" o:spid="_x0000_s1185" type="#_x0000_t66" style="position:absolute;left:48135;top:900;width:1479;height:177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LJbyxAAAANsAAAAPAAAAZHJzL2Rvd25yZXYueG1sRI9Ba8JA FITvBf/D8gRvdaMtQaOriCXY9lKqHnJ8ZJ9JMPs2ZDea/PuuIPQ4zMw3zHrbm1rcqHWVZQWzaQSC OLe64kLB+ZS+LkA4j6yxtkwKBnKw3Yxe1phoe+dfuh19IQKEXYIKSu+bREqXl2TQTW1DHLyLbQ36 INtC6hbvAW5qOY+iWBqsOCyU2NC+pPx67IwC93EZ6rds9tMd0q/vGO17Y7NMqcm4361AeOr9f/jZ /tQKlnN4fAk/QG7+AAAA//8DAFBLAQItABQABgAIAAAAIQDb4fbL7gAAAIUBAAATAAAAAAAAAAAA AAAAAAAAAABbQ29udGVudF9UeXBlc10ueG1sUEsBAi0AFAAGAAgAAAAhAFr0LFu/AAAAFQEAAAsA AAAAAAAAAAAAAAAAHwEAAF9yZWxzLy5yZWxzUEsBAi0AFAAGAAgAAAAhAFkslvLEAAAA2wAAAA8A AAAAAAAAAAAAAAAABwIAAGRycy9kb3ducmV2LnhtbFBLBQYAAAAAAwADALcAAAD4AgAAAAA= " adj="10800" fillcolor="white [3201]" strokecolor="#f79646 [3209]" strokeweight="1pt"/>
                <w10:wrap anchorx="margin"/>
              </v:group>
            </w:pict>
          </mc:Fallback>
        </mc:AlternateContent>
      </w: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jc w:val="both"/>
        <w:rPr>
          <w:color w:val="000000"/>
          <w:szCs w:val="21"/>
        </w:rPr>
      </w:pPr>
    </w:p>
    <w:p w:rsidR="000E7C4C" w:rsidRDefault="000E7C4C">
      <w:pPr>
        <w:tabs>
          <w:tab w:val="left" w:pos="993"/>
        </w:tabs>
        <w:jc w:val="center"/>
        <w:rPr>
          <w:color w:val="000000"/>
          <w:sz w:val="20"/>
        </w:rPr>
      </w:pPr>
    </w:p>
    <w:p w:rsidR="000E7C4C" w:rsidRDefault="003C3EA6">
      <w:pPr>
        <w:tabs>
          <w:tab w:val="left" w:pos="993"/>
        </w:tabs>
        <w:jc w:val="center"/>
        <w:rPr>
          <w:color w:val="000000"/>
          <w:sz w:val="20"/>
        </w:rPr>
      </w:pPr>
      <w:r>
        <w:rPr>
          <w:color w:val="000000"/>
          <w:sz w:val="20"/>
        </w:rPr>
        <w:t>4 paveikslas. Pareigos ir atsakomybės, nustatytos institucijoms, vykdančioms monitoringą ir rengiančioms ataskaitas oro taršos ir oro kokybės srityje</w:t>
      </w:r>
    </w:p>
    <w:p w:rsidR="000E7C4C" w:rsidRDefault="003C3EA6">
      <w:pPr>
        <w:ind w:left="720"/>
        <w:jc w:val="both"/>
        <w:rPr>
          <w:color w:val="000000"/>
          <w:szCs w:val="21"/>
        </w:rPr>
      </w:pPr>
    </w:p>
    <w:p w:rsidR="000E7C4C" w:rsidRDefault="003C3EA6">
      <w:pPr>
        <w:tabs>
          <w:tab w:val="left" w:pos="851"/>
          <w:tab w:val="left" w:pos="5812"/>
        </w:tabs>
        <w:ind w:firstLine="567"/>
        <w:jc w:val="both"/>
        <w:rPr>
          <w:color w:val="000000"/>
          <w:szCs w:val="21"/>
        </w:rPr>
      </w:pPr>
      <w:r>
        <w:rPr>
          <w:color w:val="000000"/>
          <w:szCs w:val="21"/>
        </w:rPr>
        <w:t>20</w:t>
      </w:r>
      <w:r>
        <w:rPr>
          <w:color w:val="000000"/>
          <w:szCs w:val="21"/>
        </w:rPr>
        <w:t xml:space="preserve">. Minėtų įstatymų įgyvendinamaisiais aplinkos ministro patvirtintais įsakymais AAA yra įgaliota vertinti aplinkos oro kokybę ir vykdyti nacionalinę išmetamo į aplinkos orą teršalų kiekio apskaitą, nacionalinę išmetamo ŠESD kiekio apskaitą bei prognozuoti numatomą išmesti jų kiekį, t. y. vykdyti valstybinį aplinkos monitoringą, teikti ataskaitas Europos Komisijai, susijusių konvencijų sekretoriatams, Pasaulinei sveikatos organizacijai (per Europos aplinkos agentūrą), </w:t>
      </w:r>
      <w:proofErr w:type="spellStart"/>
      <w:r>
        <w:rPr>
          <w:color w:val="000000"/>
          <w:szCs w:val="21"/>
        </w:rPr>
        <w:t>Eurostat</w:t>
      </w:r>
      <w:proofErr w:type="spellEnd"/>
      <w:r>
        <w:rPr>
          <w:color w:val="000000"/>
          <w:szCs w:val="21"/>
        </w:rPr>
        <w:t>, informuoti visuomenę.</w:t>
      </w:r>
    </w:p>
    <w:p w:rsidR="000E7C4C" w:rsidRDefault="003C3EA6">
      <w:pPr>
        <w:tabs>
          <w:tab w:val="left" w:pos="851"/>
          <w:tab w:val="left" w:pos="5812"/>
        </w:tabs>
        <w:ind w:firstLine="567"/>
        <w:jc w:val="both"/>
        <w:rPr>
          <w:color w:val="000000"/>
          <w:szCs w:val="21"/>
        </w:rPr>
      </w:pPr>
      <w:r>
        <w:rPr>
          <w:color w:val="000000"/>
          <w:szCs w:val="21"/>
        </w:rPr>
        <w:t>21</w:t>
      </w:r>
      <w:r>
        <w:rPr>
          <w:color w:val="000000"/>
          <w:szCs w:val="21"/>
        </w:rPr>
        <w:t>. Pagal Aplinkos monitoringo įstatymo 8 straipsnį, vietos lygiu aplinkos monitoringą organizuoja ir vykdo savivaldybių atitinkamos institucijos. Pagal Aplinkos monitoringo įstatymo 4 straipsnio 4 dalį, informaciją apie aplinkos orą savivaldybių lygiu renka savivaldybės.</w:t>
      </w:r>
    </w:p>
    <w:p w:rsidR="000E7C4C" w:rsidRDefault="003C3EA6">
      <w:pPr>
        <w:tabs>
          <w:tab w:val="left" w:pos="851"/>
        </w:tabs>
        <w:ind w:firstLine="567"/>
        <w:jc w:val="both"/>
        <w:rPr>
          <w:color w:val="000000"/>
          <w:szCs w:val="21"/>
        </w:rPr>
      </w:pPr>
      <w:r>
        <w:rPr>
          <w:color w:val="000000"/>
          <w:szCs w:val="21"/>
        </w:rPr>
        <w:t>22</w:t>
      </w:r>
      <w:r>
        <w:rPr>
          <w:color w:val="000000"/>
          <w:szCs w:val="21"/>
        </w:rPr>
        <w:t>. Aplinkos monitoringo įstatymo 9 straipsnis reglamentuoja ūkio subjektų aplinkos monitoringo vykdymą siekiant nustatyti ūkio subjektų taršos šaltinių išmetamų teršalų kiekį ir ūkinės veiklos poveikį gamtinei aplinkai, užtikrinti jų sukeliamos taršos ar kito neigiamo poveikio mažinimą.</w:t>
      </w:r>
      <w:r>
        <w:rPr>
          <w:color w:val="000000"/>
          <w:szCs w:val="21"/>
          <w:vertAlign w:val="superscript"/>
        </w:rPr>
        <w:t xml:space="preserve"> </w:t>
      </w:r>
      <w:r>
        <w:rPr>
          <w:color w:val="000000"/>
          <w:szCs w:val="21"/>
        </w:rPr>
        <w:t>Ūkio subjektai aplinkos monitoringą vykdo vadovaudamiesi Ūkio subjektų aplinkos monitoringo nuostatais, kuriuos rengia ir tvirtina Aplinkos ministerija. Pagal Ūkio subjektų aplinkos monitoringo nuostatus, patvirtintus Lietuvos Respublikos aplinkos ministro 2009 m. rugsėjo 16 d. įsakymu Nr. D1-546 „Dėl Ūkio subjektų aplinkos monitoringo nuostatų patvirtinimo“, aplinkos oro apsaugos srityje turi būti vykdomas: ūkio subjektų technologinių procesų monitoringas, ūkio subjektų taršos šaltinių išmetamų teršalų monitoringas, ūkio subjektų poveikio aplinkos kokybei (poveikio aplinkai) monitoringas. Ūkio subjektų aplinkos monitoringo nuostatuose apibrėžta, kokie ūkio subjektai turi vykdyti tam tikros rūšies aplinkos monitoringą.</w:t>
      </w:r>
    </w:p>
    <w:p w:rsidR="000E7C4C" w:rsidRDefault="003C3EA6">
      <w:pPr>
        <w:ind w:left="720"/>
        <w:jc w:val="both"/>
        <w:rPr>
          <w:color w:val="000000"/>
          <w:szCs w:val="21"/>
        </w:rPr>
      </w:pPr>
    </w:p>
    <w:p w:rsidR="000E7C4C" w:rsidRDefault="003C3EA6">
      <w:pPr>
        <w:keepNext/>
        <w:keepLines/>
        <w:jc w:val="center"/>
        <w:outlineLvl w:val="2"/>
        <w:rPr>
          <w:b/>
          <w:bCs/>
          <w:caps/>
          <w:color w:val="000000"/>
          <w:szCs w:val="28"/>
        </w:rPr>
      </w:pPr>
      <w:r>
        <w:rPr>
          <w:b/>
          <w:bCs/>
          <w:caps/>
          <w:color w:val="000000"/>
          <w:szCs w:val="28"/>
        </w:rPr>
        <w:t>V</w:t>
      </w:r>
      <w:r>
        <w:rPr>
          <w:b/>
          <w:bCs/>
          <w:caps/>
          <w:color w:val="000000"/>
          <w:szCs w:val="28"/>
        </w:rPr>
        <w:t xml:space="preserve"> SKYRIUS</w:t>
      </w:r>
    </w:p>
    <w:p w:rsidR="000E7C4C" w:rsidRDefault="003C3EA6">
      <w:pPr>
        <w:keepNext/>
        <w:keepLines/>
        <w:jc w:val="center"/>
        <w:outlineLvl w:val="2"/>
        <w:rPr>
          <w:b/>
          <w:bCs/>
          <w:caps/>
          <w:color w:val="000000"/>
          <w:szCs w:val="28"/>
        </w:rPr>
      </w:pPr>
      <w:r>
        <w:rPr>
          <w:b/>
          <w:bCs/>
          <w:caps/>
          <w:color w:val="000000"/>
          <w:szCs w:val="28"/>
        </w:rPr>
        <w:t>KOORDINAVIMAS</w:t>
      </w:r>
    </w:p>
    <w:p w:rsidR="000E7C4C" w:rsidRDefault="000E7C4C">
      <w:pPr>
        <w:ind w:left="720"/>
        <w:jc w:val="both"/>
        <w:rPr>
          <w:color w:val="000000"/>
          <w:szCs w:val="21"/>
        </w:rPr>
      </w:pPr>
    </w:p>
    <w:p w:rsidR="000E7C4C" w:rsidRDefault="003C3EA6">
      <w:pPr>
        <w:tabs>
          <w:tab w:val="left" w:pos="851"/>
        </w:tabs>
        <w:ind w:firstLine="567"/>
        <w:jc w:val="both"/>
        <w:rPr>
          <w:color w:val="000000"/>
          <w:szCs w:val="21"/>
        </w:rPr>
      </w:pPr>
      <w:r>
        <w:rPr>
          <w:color w:val="000000"/>
          <w:szCs w:val="21"/>
        </w:rPr>
        <w:t>23</w:t>
      </w:r>
      <w:r>
        <w:rPr>
          <w:color w:val="000000"/>
          <w:szCs w:val="21"/>
        </w:rPr>
        <w:t>. Oro taršos ir oro kokybės vertinimo ir valdymo srityje formuojant politiką ir ją įgyvendinant koordinavimo funkcija valstybės lygiu priskirta Aplinkos ministerijai. Aplinkos ministerija koordinuoja Plano rengimą, jo įgyvendinimą, prievolių įgyvendinti priemones nustatymą, ataskaitų apie Plano įgyvendinimo pažangą teikimą, Plano peržiūrą ir atnaujinimą. Aplinkos ministerija inicijuoja priežiūros komiteto, kuris yra atsakingas už Plano rengimo priežiūrą, sudarymą, įtraukiant įvairias suinteresuotas šalis: ministerijas pagal jų kompetencijas, savivaldos atstovus, verslo sektoriaus atstovus; organizuoja priežiūros komiteto susitikimus, koordinuoja diskusijas, pastabų aptarimą, informacijos apie Plano rengimo eigą sklaidą.</w:t>
      </w:r>
    </w:p>
    <w:p w:rsidR="000E7C4C" w:rsidRDefault="003C3EA6">
      <w:pPr>
        <w:tabs>
          <w:tab w:val="left" w:pos="851"/>
        </w:tabs>
        <w:ind w:firstLine="567"/>
        <w:jc w:val="both"/>
        <w:rPr>
          <w:color w:val="000000"/>
          <w:szCs w:val="21"/>
        </w:rPr>
      </w:pPr>
      <w:r>
        <w:rPr>
          <w:color w:val="000000"/>
          <w:szCs w:val="21"/>
        </w:rPr>
        <w:t>24</w:t>
      </w:r>
      <w:r>
        <w:rPr>
          <w:color w:val="000000"/>
          <w:szCs w:val="21"/>
        </w:rPr>
        <w:t>. Oro taršos ir oro kokybės valdymas yra sudėtingas ir integruojantis įvairias institucijas. Siekiant įgyvendinti strateginiuose dokumentuose numatytus tikslus ir priemones, būtinas įvairaus lygio (valstybės, savivaldos ir ūkio subjektų) subjektų bendradarbiavimas ir uždavinių efektyvus paskirstymas tiek teisės aktuose, tiek juos įgyvendinant. Įvairių institucijų, savivaldybių ir net atitinkamų veiklos sričių ūkio subjektų įtraukimas, priskiriant jiems tam tikras atsakomybes, leidžia užtikrinti, kad būtų tinkamai įgyvendinami valstybei keliami tikslai ir kartu atsižvelgiama į suinteresuotų grupių, įskaitant visuomenės, poreikius aplinkos oro apsaugos kontekste. Visų pagal kompetencijas suinteresuotų šalių įtraukimas į valdymą leidžia tiksliau ir išsamiau išnagrinėti oro taršos mažinimo ir oro kokybės valdymo poreikius ir parengti įgyvendintinų priemonių rinkinį.</w:t>
      </w:r>
    </w:p>
    <w:p w:rsidR="000E7C4C" w:rsidRDefault="003C3EA6">
      <w:pPr>
        <w:tabs>
          <w:tab w:val="num" w:pos="360"/>
        </w:tabs>
        <w:jc w:val="both"/>
        <w:rPr>
          <w:color w:val="000000"/>
          <w:szCs w:val="21"/>
        </w:rPr>
      </w:pPr>
    </w:p>
    <w:p w:rsidR="000E7C4C" w:rsidRDefault="003C3EA6">
      <w:pPr>
        <w:tabs>
          <w:tab w:val="num" w:pos="360"/>
        </w:tabs>
        <w:spacing w:line="360" w:lineRule="atLeast"/>
        <w:jc w:val="center"/>
        <w:rPr>
          <w:color w:val="000000"/>
          <w:szCs w:val="21"/>
        </w:rPr>
      </w:pPr>
      <w:r>
        <w:rPr>
          <w:color w:val="000000"/>
          <w:szCs w:val="21"/>
        </w:rPr>
        <w:t>____________________________</w:t>
      </w:r>
    </w:p>
    <w:p w:rsidR="000E7C4C" w:rsidRDefault="000E7C4C">
      <w:pPr>
        <w:tabs>
          <w:tab w:val="left" w:pos="540"/>
          <w:tab w:val="left" w:pos="1296"/>
        </w:tabs>
        <w:rPr>
          <w:szCs w:val="24"/>
        </w:rPr>
      </w:pPr>
    </w:p>
    <w:p w:rsidR="000E7C4C" w:rsidRDefault="003C3EA6">
      <w:pPr>
        <w:tabs>
          <w:tab w:val="center" w:pos="4819"/>
          <w:tab w:val="right" w:pos="9638"/>
        </w:tabs>
        <w:jc w:val="both"/>
        <w:rPr>
          <w:color w:val="000000"/>
          <w:szCs w:val="21"/>
          <w:lang w:val="en-US"/>
        </w:rPr>
      </w:pPr>
    </w:p>
    <w:p w:rsidR="003C3EA6" w:rsidRDefault="003C3EA6">
      <w:pPr>
        <w:ind w:left="7088"/>
        <w:sectPr w:rsidR="003C3EA6" w:rsidSect="003C3EA6">
          <w:pgSz w:w="11906" w:h="16838"/>
          <w:pgMar w:top="1134" w:right="567" w:bottom="1134" w:left="1134" w:header="567" w:footer="567" w:gutter="0"/>
          <w:pgNumType w:start="1"/>
          <w:cols w:space="1296"/>
          <w:titlePg/>
          <w:docGrid w:linePitch="326"/>
        </w:sectPr>
      </w:pPr>
    </w:p>
    <w:p w:rsidR="000E7C4C" w:rsidRDefault="003C3EA6">
      <w:pPr>
        <w:ind w:left="7088"/>
        <w:rPr>
          <w:color w:val="000000"/>
          <w:szCs w:val="24"/>
        </w:rPr>
      </w:pPr>
      <w:r>
        <w:rPr>
          <w:color w:val="000000"/>
          <w:szCs w:val="24"/>
        </w:rPr>
        <w:t xml:space="preserve">Nacionalinio oro taršos </w:t>
      </w:r>
    </w:p>
    <w:p w:rsidR="000E7C4C" w:rsidRDefault="003C3EA6">
      <w:pPr>
        <w:ind w:left="7088"/>
        <w:rPr>
          <w:color w:val="000000"/>
          <w:szCs w:val="24"/>
        </w:rPr>
      </w:pPr>
      <w:r>
        <w:rPr>
          <w:color w:val="000000"/>
          <w:szCs w:val="24"/>
        </w:rPr>
        <w:t>mažinimo plano</w:t>
      </w:r>
    </w:p>
    <w:p w:rsidR="000E7C4C" w:rsidRDefault="003C3EA6">
      <w:pPr>
        <w:ind w:left="7088"/>
        <w:rPr>
          <w:color w:val="000000"/>
          <w:szCs w:val="24"/>
        </w:rPr>
      </w:pPr>
      <w:r>
        <w:rPr>
          <w:color w:val="000000"/>
          <w:szCs w:val="24"/>
        </w:rPr>
        <w:t>9</w:t>
      </w:r>
      <w:r>
        <w:rPr>
          <w:color w:val="000000"/>
          <w:szCs w:val="24"/>
        </w:rPr>
        <w:t xml:space="preserve"> priedas</w:t>
      </w:r>
    </w:p>
    <w:p w:rsidR="000E7C4C" w:rsidRDefault="000E7C4C">
      <w:pPr>
        <w:keepNext/>
        <w:keepLines/>
        <w:jc w:val="center"/>
        <w:outlineLvl w:val="2"/>
        <w:rPr>
          <w:b/>
          <w:bCs/>
          <w:caps/>
          <w:color w:val="000000"/>
          <w:szCs w:val="28"/>
        </w:rPr>
      </w:pPr>
    </w:p>
    <w:p w:rsidR="000E7C4C" w:rsidRDefault="003C3EA6">
      <w:pPr>
        <w:keepNext/>
        <w:keepLines/>
        <w:jc w:val="center"/>
        <w:outlineLvl w:val="2"/>
        <w:rPr>
          <w:b/>
          <w:bCs/>
          <w:caps/>
          <w:color w:val="000000"/>
          <w:szCs w:val="24"/>
        </w:rPr>
      </w:pPr>
      <w:r>
        <w:rPr>
          <w:b/>
          <w:bCs/>
          <w:caps/>
          <w:color w:val="000000"/>
          <w:szCs w:val="24"/>
        </w:rPr>
        <w:t>PAŽANGA, PADARYTA VYKDANT ESAMĄ POLITIKĄ IR TAIKANT DABARTINES PRIEMONES MAŽINANT IŠMETAMŲJŲ TERŠALŲ KIEKĮ Nacionaliniu mastu</w:t>
      </w:r>
    </w:p>
    <w:p w:rsidR="000E7C4C" w:rsidRDefault="000E7C4C">
      <w:pPr>
        <w:tabs>
          <w:tab w:val="num" w:pos="360"/>
        </w:tabs>
        <w:jc w:val="both"/>
        <w:rPr>
          <w:color w:val="000000"/>
          <w:szCs w:val="24"/>
        </w:rPr>
      </w:pPr>
    </w:p>
    <w:p w:rsidR="000E7C4C" w:rsidRDefault="003C3EA6">
      <w:pPr>
        <w:keepNext/>
        <w:keepLines/>
        <w:jc w:val="center"/>
        <w:outlineLvl w:val="2"/>
        <w:rPr>
          <w:b/>
          <w:bCs/>
          <w:color w:val="000000"/>
          <w:szCs w:val="24"/>
        </w:rPr>
      </w:pPr>
      <w:r>
        <w:rPr>
          <w:b/>
          <w:bCs/>
          <w:color w:val="000000"/>
          <w:szCs w:val="24"/>
        </w:rPr>
        <w:t>I</w:t>
      </w:r>
      <w:r>
        <w:rPr>
          <w:b/>
          <w:bCs/>
          <w:color w:val="000000"/>
          <w:szCs w:val="24"/>
        </w:rPr>
        <w:t xml:space="preserve"> SKYRIUS</w:t>
      </w:r>
    </w:p>
    <w:p w:rsidR="000E7C4C" w:rsidRDefault="003C3EA6">
      <w:pPr>
        <w:keepNext/>
        <w:keepLines/>
        <w:jc w:val="center"/>
        <w:outlineLvl w:val="2"/>
        <w:rPr>
          <w:b/>
          <w:bCs/>
          <w:caps/>
          <w:color w:val="000000"/>
          <w:szCs w:val="24"/>
        </w:rPr>
      </w:pPr>
      <w:r>
        <w:rPr>
          <w:b/>
          <w:bCs/>
          <w:color w:val="000000"/>
          <w:szCs w:val="24"/>
        </w:rPr>
        <w:t>IŠMESTO</w:t>
      </w:r>
      <w:r>
        <w:rPr>
          <w:b/>
          <w:bCs/>
          <w:caps/>
          <w:color w:val="000000"/>
          <w:szCs w:val="24"/>
        </w:rPr>
        <w:t xml:space="preserve"> SIEROS DIOKSIDO </w:t>
      </w:r>
      <w:r>
        <w:rPr>
          <w:b/>
          <w:bCs/>
          <w:color w:val="000000"/>
          <w:szCs w:val="24"/>
        </w:rPr>
        <w:t>KIEKIO ANALIZĖ</w:t>
      </w:r>
    </w:p>
    <w:p w:rsidR="000E7C4C" w:rsidRDefault="000E7C4C">
      <w:pPr>
        <w:ind w:left="720"/>
        <w:jc w:val="both"/>
        <w:rPr>
          <w:color w:val="000000"/>
          <w:szCs w:val="21"/>
        </w:rPr>
      </w:pPr>
    </w:p>
    <w:p w:rsidR="000E7C4C" w:rsidRDefault="003C3EA6">
      <w:pPr>
        <w:tabs>
          <w:tab w:val="left" w:pos="851"/>
        </w:tabs>
        <w:ind w:firstLine="567"/>
        <w:jc w:val="both"/>
        <w:rPr>
          <w:color w:val="000000"/>
          <w:szCs w:val="21"/>
        </w:rPr>
      </w:pPr>
      <w:r>
        <w:rPr>
          <w:color w:val="000000"/>
          <w:szCs w:val="21"/>
        </w:rPr>
        <w:t>1</w:t>
      </w:r>
      <w:r>
        <w:rPr>
          <w:color w:val="000000"/>
          <w:szCs w:val="21"/>
        </w:rPr>
        <w:t>.</w:t>
      </w:r>
      <w:r>
        <w:rPr>
          <w:color w:val="000000"/>
          <w:szCs w:val="21"/>
        </w:rPr>
        <w:tab/>
        <w:t>Išmestas į aplinkos orą sieros dioksido (toliau – SO</w:t>
      </w:r>
      <w:r>
        <w:rPr>
          <w:color w:val="000000"/>
          <w:szCs w:val="21"/>
          <w:vertAlign w:val="subscript"/>
        </w:rPr>
        <w:t>2</w:t>
      </w:r>
      <w:r>
        <w:rPr>
          <w:color w:val="000000"/>
          <w:szCs w:val="21"/>
        </w:rPr>
        <w:t>) kiekis 2005–2015 m. laikotarpiu pasižymėjo mažėjimo tendencija. 2015 m., palyginus su 2005 m., išmesto SO</w:t>
      </w:r>
      <w:r>
        <w:rPr>
          <w:color w:val="000000"/>
          <w:szCs w:val="21"/>
          <w:vertAlign w:val="subscript"/>
        </w:rPr>
        <w:t xml:space="preserve">2 </w:t>
      </w:r>
      <w:r>
        <w:rPr>
          <w:color w:val="000000"/>
          <w:szCs w:val="21"/>
        </w:rPr>
        <w:t>kiekis sumažėjo apie 41 proc. Vidutiniškai per metus išmestas SO</w:t>
      </w:r>
      <w:r>
        <w:rPr>
          <w:color w:val="000000"/>
          <w:szCs w:val="21"/>
          <w:vertAlign w:val="subscript"/>
        </w:rPr>
        <w:t xml:space="preserve">2 </w:t>
      </w:r>
      <w:r>
        <w:rPr>
          <w:color w:val="000000"/>
          <w:szCs w:val="21"/>
        </w:rPr>
        <w:t>kiekis mažėjo 5,1 proc. Nacionalinėje aplinkos apsaugos strategijoje, patvirtintoje Lietuvos Respublikos Seimo 2015 m. balandžio 16 d. nutarimu Nr. XII-1626 „Dėl Nacionalinės aplinkos apsaugos strategijos patvirtinimo“ (toliau – NAAS), nustatyti išmetamo į aplinkos orą SO</w:t>
      </w:r>
      <w:r>
        <w:rPr>
          <w:color w:val="000000"/>
          <w:szCs w:val="21"/>
          <w:vertAlign w:val="subscript"/>
        </w:rPr>
        <w:t xml:space="preserve">2 </w:t>
      </w:r>
      <w:r>
        <w:rPr>
          <w:color w:val="000000"/>
          <w:szCs w:val="21"/>
        </w:rPr>
        <w:t>kiekio mažinimo tikslai (skaitine išraiška) yra daug mažesni nei nagrinėjamu laikotarpiu užfiksuotas išmestas SO</w:t>
      </w:r>
      <w:r>
        <w:rPr>
          <w:color w:val="000000"/>
          <w:szCs w:val="21"/>
          <w:vertAlign w:val="subscript"/>
        </w:rPr>
        <w:t xml:space="preserve">2 </w:t>
      </w:r>
      <w:r>
        <w:rPr>
          <w:color w:val="000000"/>
          <w:szCs w:val="21"/>
        </w:rPr>
        <w:t>kiekis (žr. 1 pav.).</w:t>
      </w:r>
    </w:p>
    <w:p w:rsidR="000E7C4C" w:rsidRDefault="000E7C4C">
      <w:pPr>
        <w:jc w:val="center"/>
        <w:rPr>
          <w:color w:val="000000"/>
          <w:szCs w:val="21"/>
        </w:rPr>
      </w:pPr>
    </w:p>
    <w:p w:rsidR="000E7C4C" w:rsidRDefault="003C3EA6">
      <w:pPr>
        <w:jc w:val="center"/>
        <w:rPr>
          <w:color w:val="000000"/>
          <w:szCs w:val="21"/>
        </w:rPr>
      </w:pPr>
      <w:r>
        <w:rPr>
          <w:noProof/>
          <w:color w:val="000000"/>
          <w:szCs w:val="21"/>
          <w:lang w:eastAsia="lt-LT"/>
        </w:rPr>
        <w:drawing>
          <wp:inline distT="0" distB="0" distL="0" distR="0" wp14:anchorId="67B3B85F" wp14:editId="64B60C8F">
            <wp:extent cx="5410200" cy="2914650"/>
            <wp:effectExtent l="0" t="0" r="0" b="0"/>
            <wp:docPr id="231" name="Diagrama 231"/>
            <wp:cNvGraphicFramePr/>
            <a:graphic xmlns:a="http://schemas.openxmlformats.org/drawingml/2006/main">
              <a:graphicData uri="http://schemas.openxmlformats.org/drawingml/2006/chart">
                <c:chart xmlns:c="http://schemas.openxmlformats.org/drawingml/2006/chart" r:id="rId18"/>
              </a:graphicData>
            </a:graphic>
          </wp:inline>
        </w:drawing>
      </w:r>
    </w:p>
    <w:p w:rsidR="000E7C4C" w:rsidRDefault="003C3EA6">
      <w:pPr>
        <w:keepNext/>
        <w:tabs>
          <w:tab w:val="left" w:pos="993"/>
          <w:tab w:val="left" w:pos="1134"/>
        </w:tabs>
        <w:jc w:val="center"/>
        <w:rPr>
          <w:color w:val="000000"/>
          <w:sz w:val="22"/>
          <w:szCs w:val="22"/>
        </w:rPr>
      </w:pPr>
      <w:r>
        <w:rPr>
          <w:color w:val="000000"/>
          <w:sz w:val="22"/>
          <w:szCs w:val="22"/>
        </w:rPr>
        <w:t>1 paveikslas. Išmesto į aplinkos orą SO</w:t>
      </w:r>
      <w:r>
        <w:rPr>
          <w:color w:val="000000"/>
          <w:sz w:val="22"/>
          <w:szCs w:val="22"/>
          <w:vertAlign w:val="subscript"/>
        </w:rPr>
        <w:t>2</w:t>
      </w:r>
      <w:r>
        <w:rPr>
          <w:color w:val="000000"/>
          <w:sz w:val="22"/>
          <w:szCs w:val="22"/>
        </w:rPr>
        <w:t xml:space="preserve"> kiekio dinamika Lietuvoje 2005–2015 m.</w:t>
      </w:r>
    </w:p>
    <w:p w:rsidR="000E7C4C" w:rsidRDefault="003C3EA6">
      <w:pPr>
        <w:keepNext/>
        <w:tabs>
          <w:tab w:val="left" w:pos="1296"/>
        </w:tabs>
        <w:jc w:val="center"/>
        <w:rPr>
          <w:color w:val="000000"/>
          <w:sz w:val="22"/>
          <w:szCs w:val="22"/>
        </w:rPr>
      </w:pPr>
      <w:r>
        <w:rPr>
          <w:color w:val="000000"/>
          <w:sz w:val="22"/>
          <w:szCs w:val="22"/>
        </w:rPr>
        <w:t>(Duomenų šaltinis: Aplinkos apsaugos agentūra (toliau – AAA)</w:t>
      </w:r>
    </w:p>
    <w:p w:rsidR="000E7C4C" w:rsidRDefault="003C3EA6">
      <w:pPr>
        <w:tabs>
          <w:tab w:val="left" w:pos="851"/>
        </w:tabs>
        <w:ind w:left="567"/>
        <w:jc w:val="both"/>
        <w:rPr>
          <w:color w:val="000000"/>
          <w:szCs w:val="21"/>
        </w:rPr>
      </w:pPr>
    </w:p>
    <w:p w:rsidR="000E7C4C" w:rsidRDefault="003C3EA6">
      <w:pPr>
        <w:tabs>
          <w:tab w:val="left" w:pos="851"/>
        </w:tabs>
        <w:ind w:firstLine="567"/>
        <w:jc w:val="both"/>
        <w:rPr>
          <w:color w:val="000000"/>
          <w:szCs w:val="21"/>
        </w:rPr>
      </w:pPr>
      <w:r>
        <w:rPr>
          <w:color w:val="000000"/>
          <w:szCs w:val="21"/>
        </w:rPr>
        <w:t>2</w:t>
      </w:r>
      <w:r>
        <w:rPr>
          <w:color w:val="000000"/>
          <w:szCs w:val="21"/>
        </w:rPr>
        <w:t>.</w:t>
      </w:r>
      <w:r>
        <w:rPr>
          <w:color w:val="000000"/>
          <w:szCs w:val="21"/>
        </w:rPr>
        <w:tab/>
        <w:t>Analizuojant išmesto SO</w:t>
      </w:r>
      <w:r>
        <w:rPr>
          <w:color w:val="000000"/>
          <w:szCs w:val="21"/>
          <w:vertAlign w:val="subscript"/>
        </w:rPr>
        <w:t xml:space="preserve">2 </w:t>
      </w:r>
      <w:r>
        <w:rPr>
          <w:color w:val="000000"/>
          <w:szCs w:val="21"/>
        </w:rPr>
        <w:t>kiekio į aplinkos orą struktūrą pagal pagrindinius teršiančius sektorius, nustatyta, kad išmesto SO</w:t>
      </w:r>
      <w:r>
        <w:rPr>
          <w:color w:val="000000"/>
          <w:szCs w:val="21"/>
          <w:vertAlign w:val="subscript"/>
        </w:rPr>
        <w:t>2</w:t>
      </w:r>
      <w:r>
        <w:rPr>
          <w:color w:val="000000"/>
          <w:szCs w:val="21"/>
        </w:rPr>
        <w:t xml:space="preserve"> kiekio struktūroje didžiausią dalį 2005 m. sudarė pramonė (37 proc.), tačiau 2015 m. pramonės dalis sumažėjo iki 19 proc. Viešosios energijos gamybos dalis sumažėjo nuo 32 proc. 2005 m. iki 22 proc. 2015 m. Tuo metu kito stacionaraus deginimo sektoriaus dalis bendroje išmesto SO</w:t>
      </w:r>
      <w:r>
        <w:rPr>
          <w:color w:val="000000"/>
          <w:szCs w:val="21"/>
          <w:vertAlign w:val="subscript"/>
        </w:rPr>
        <w:t>2</w:t>
      </w:r>
      <w:r>
        <w:rPr>
          <w:color w:val="000000"/>
          <w:szCs w:val="21"/>
        </w:rPr>
        <w:t xml:space="preserve"> kiekio struktūroje padidėjo nuo 15 proc. 2005 m. iki 22 proc. 2015 m. Naftos perdirbimo sektoriaus išmesto SO</w:t>
      </w:r>
      <w:r>
        <w:rPr>
          <w:color w:val="000000"/>
          <w:szCs w:val="21"/>
          <w:vertAlign w:val="subscript"/>
        </w:rPr>
        <w:t>2</w:t>
      </w:r>
      <w:r>
        <w:rPr>
          <w:color w:val="000000"/>
          <w:szCs w:val="21"/>
        </w:rPr>
        <w:t xml:space="preserve"> kiekio dalis bendroje išmesto SO</w:t>
      </w:r>
      <w:r>
        <w:rPr>
          <w:color w:val="000000"/>
          <w:szCs w:val="21"/>
          <w:vertAlign w:val="subscript"/>
        </w:rPr>
        <w:t>2</w:t>
      </w:r>
      <w:r>
        <w:rPr>
          <w:color w:val="000000"/>
          <w:szCs w:val="21"/>
        </w:rPr>
        <w:t xml:space="preserve"> kiekio struktūroje padidėjo nuo 15 proc. 2005 m. iki 36 proc. 2015 m. (žr. 2 pav.).</w:t>
      </w:r>
    </w:p>
    <w:p w:rsidR="000E7C4C" w:rsidRDefault="000E7C4C">
      <w:pPr>
        <w:ind w:left="720"/>
        <w:jc w:val="both"/>
        <w:rPr>
          <w:color w:val="000000"/>
          <w:szCs w:val="21"/>
        </w:rPr>
      </w:pPr>
    </w:p>
    <w:p w:rsidR="000E7C4C" w:rsidRDefault="003C3EA6">
      <w:pPr>
        <w:jc w:val="center"/>
        <w:rPr>
          <w:color w:val="000000"/>
          <w:szCs w:val="21"/>
        </w:rPr>
      </w:pPr>
      <w:r>
        <w:rPr>
          <w:noProof/>
          <w:color w:val="000000"/>
          <w:lang w:eastAsia="lt-LT"/>
        </w:rPr>
        <w:drawing>
          <wp:inline distT="0" distB="0" distL="0" distR="0" wp14:anchorId="74B50BA5" wp14:editId="37043885">
            <wp:extent cx="3905250" cy="2171700"/>
            <wp:effectExtent l="0" t="0" r="0" b="0"/>
            <wp:docPr id="230" name="Diagrama 230"/>
            <wp:cNvGraphicFramePr/>
            <a:graphic xmlns:a="http://schemas.openxmlformats.org/drawingml/2006/main">
              <a:graphicData uri="http://schemas.openxmlformats.org/drawingml/2006/chart">
                <c:chart xmlns:c="http://schemas.openxmlformats.org/drawingml/2006/chart" r:id="rId19"/>
              </a:graphicData>
            </a:graphic>
          </wp:inline>
        </w:drawing>
      </w:r>
    </w:p>
    <w:p w:rsidR="000E7C4C" w:rsidRDefault="003C3EA6">
      <w:pPr>
        <w:keepNext/>
        <w:tabs>
          <w:tab w:val="left" w:pos="993"/>
          <w:tab w:val="left" w:pos="1134"/>
        </w:tabs>
        <w:jc w:val="center"/>
        <w:rPr>
          <w:color w:val="000000"/>
          <w:sz w:val="22"/>
          <w:szCs w:val="22"/>
        </w:rPr>
      </w:pPr>
      <w:r>
        <w:rPr>
          <w:color w:val="000000"/>
          <w:sz w:val="22"/>
          <w:szCs w:val="22"/>
        </w:rPr>
        <w:t>2 paveikslas. Išmesto į aplinkos orą SO</w:t>
      </w:r>
      <w:r>
        <w:rPr>
          <w:color w:val="000000"/>
          <w:sz w:val="22"/>
          <w:szCs w:val="22"/>
          <w:vertAlign w:val="subscript"/>
        </w:rPr>
        <w:t>2</w:t>
      </w:r>
      <w:r>
        <w:rPr>
          <w:color w:val="000000"/>
          <w:sz w:val="22"/>
          <w:szCs w:val="22"/>
        </w:rPr>
        <w:t xml:space="preserve"> kiekio struktūros pagal taršos šaltinius dinamika 2005–2015 m. </w:t>
      </w:r>
    </w:p>
    <w:p w:rsidR="000E7C4C" w:rsidRDefault="003C3EA6">
      <w:pPr>
        <w:jc w:val="center"/>
        <w:rPr>
          <w:color w:val="000000"/>
          <w:sz w:val="22"/>
          <w:szCs w:val="22"/>
        </w:rPr>
      </w:pPr>
      <w:r>
        <w:rPr>
          <w:color w:val="000000"/>
          <w:sz w:val="22"/>
          <w:szCs w:val="22"/>
        </w:rPr>
        <w:t>(Duomenų šaltinis: AAA)</w:t>
      </w:r>
    </w:p>
    <w:p w:rsidR="000E7C4C" w:rsidRDefault="003C3EA6">
      <w:pPr>
        <w:jc w:val="both"/>
        <w:rPr>
          <w:color w:val="000000"/>
          <w:sz w:val="22"/>
          <w:szCs w:val="22"/>
        </w:rPr>
      </w:pPr>
    </w:p>
    <w:p w:rsidR="000E7C4C" w:rsidRDefault="003C3EA6">
      <w:pPr>
        <w:tabs>
          <w:tab w:val="left" w:pos="851"/>
        </w:tabs>
        <w:ind w:firstLine="567"/>
        <w:jc w:val="both"/>
        <w:rPr>
          <w:color w:val="000000"/>
          <w:szCs w:val="21"/>
        </w:rPr>
      </w:pPr>
      <w:r>
        <w:rPr>
          <w:color w:val="000000"/>
          <w:szCs w:val="21"/>
        </w:rPr>
        <w:t>3</w:t>
      </w:r>
      <w:r>
        <w:rPr>
          <w:color w:val="000000"/>
          <w:szCs w:val="21"/>
        </w:rPr>
        <w:t>.</w:t>
      </w:r>
      <w:r>
        <w:rPr>
          <w:color w:val="000000"/>
          <w:szCs w:val="21"/>
        </w:rPr>
        <w:tab/>
        <w:t xml:space="preserve">Siekiant detaliau išanalizuoti </w:t>
      </w:r>
      <w:proofErr w:type="spellStart"/>
      <w:r>
        <w:rPr>
          <w:color w:val="000000"/>
          <w:szCs w:val="21"/>
        </w:rPr>
        <w:t>išmetimus</w:t>
      </w:r>
      <w:proofErr w:type="spellEnd"/>
      <w:r>
        <w:rPr>
          <w:color w:val="000000"/>
          <w:szCs w:val="21"/>
        </w:rPr>
        <w:t xml:space="preserve"> pagal sektorius ir tiksliau nustatyti taršos šaltinius, pasitelkta pagrindinių kategorijų analizė (žr. 1 lent.). Įvairiuose sektoriuose išmesto SO</w:t>
      </w:r>
      <w:r>
        <w:rPr>
          <w:color w:val="000000"/>
          <w:szCs w:val="21"/>
          <w:vertAlign w:val="subscript"/>
        </w:rPr>
        <w:t>2</w:t>
      </w:r>
      <w:r>
        <w:rPr>
          <w:color w:val="000000"/>
          <w:szCs w:val="21"/>
        </w:rPr>
        <w:t xml:space="preserve"> kiekio pokyčiai buvo labai skirtingi, lyginant 2005 m. ir 2015 m. Išmestas SO</w:t>
      </w:r>
      <w:r>
        <w:rPr>
          <w:color w:val="000000"/>
          <w:szCs w:val="21"/>
          <w:vertAlign w:val="subscript"/>
        </w:rPr>
        <w:t xml:space="preserve">2 </w:t>
      </w:r>
      <w:r>
        <w:rPr>
          <w:color w:val="000000"/>
          <w:szCs w:val="21"/>
        </w:rPr>
        <w:t>kiekis daugiausiai sumažėjo pramonės sektoriuje – 69 proc. Tarp reikšmingiausių pramonės sektorių išskirtinas kuro deginimas naftos perdirbime, kurio išmestas SO</w:t>
      </w:r>
      <w:r>
        <w:rPr>
          <w:color w:val="000000"/>
          <w:szCs w:val="21"/>
          <w:vertAlign w:val="subscript"/>
        </w:rPr>
        <w:t>2</w:t>
      </w:r>
      <w:r>
        <w:rPr>
          <w:color w:val="000000"/>
          <w:szCs w:val="21"/>
        </w:rPr>
        <w:t xml:space="preserve"> kiekis sumažėjo net 83,7 proc. dėl naftos perdirbimo pramonės veiksmų aplinkos apsaugos srityje. Kaip matyti 1 lentelėje, šio sektoriaus išmesto SO</w:t>
      </w:r>
      <w:r>
        <w:rPr>
          <w:color w:val="000000"/>
          <w:szCs w:val="21"/>
          <w:vertAlign w:val="subscript"/>
        </w:rPr>
        <w:t>2</w:t>
      </w:r>
      <w:r>
        <w:rPr>
          <w:color w:val="000000"/>
          <w:szCs w:val="21"/>
        </w:rPr>
        <w:t xml:space="preserve"> kiekio dalis bendroje išmesto SO</w:t>
      </w:r>
      <w:r>
        <w:rPr>
          <w:color w:val="000000"/>
          <w:szCs w:val="21"/>
          <w:vertAlign w:val="subscript"/>
        </w:rPr>
        <w:t>2</w:t>
      </w:r>
      <w:r>
        <w:rPr>
          <w:color w:val="000000"/>
          <w:szCs w:val="21"/>
        </w:rPr>
        <w:t xml:space="preserve"> kiekio struktūroje sumažėjo nuo 26,2 proc. 2005 m. iki 7,3 proc. 2015 m.</w:t>
      </w:r>
    </w:p>
    <w:p w:rsidR="000E7C4C" w:rsidRDefault="000E7C4C">
      <w:pPr>
        <w:jc w:val="both"/>
        <w:rPr>
          <w:color w:val="000000"/>
          <w:szCs w:val="21"/>
        </w:rPr>
      </w:pPr>
    </w:p>
    <w:p w:rsidR="000E7C4C" w:rsidRDefault="003C3EA6">
      <w:pPr>
        <w:jc w:val="both"/>
        <w:rPr>
          <w:color w:val="000000"/>
        </w:rPr>
      </w:pPr>
      <w:r>
        <w:rPr>
          <w:color w:val="000000"/>
        </w:rPr>
        <w:t>1 lentelė. Išmestas SO</w:t>
      </w:r>
      <w:r>
        <w:rPr>
          <w:color w:val="000000"/>
          <w:vertAlign w:val="subscript"/>
        </w:rPr>
        <w:t>2</w:t>
      </w:r>
      <w:r>
        <w:rPr>
          <w:color w:val="000000"/>
        </w:rPr>
        <w:t xml:space="preserve"> kiekis: pagrindinių kategorijų analizė</w:t>
      </w:r>
    </w:p>
    <w:tbl>
      <w:tblPr>
        <w:tblW w:w="9667" w:type="dxa"/>
        <w:jc w:val="center"/>
        <w:tblBorders>
          <w:top w:val="single" w:sz="12" w:space="0" w:color="FFFFFF"/>
          <w:bottom w:val="single" w:sz="2" w:space="0" w:color="1F497D"/>
          <w:insideH w:val="single" w:sz="2" w:space="0" w:color="1F497D"/>
          <w:insideV w:val="single" w:sz="12" w:space="0" w:color="FFFFFF"/>
        </w:tblBorders>
        <w:tblCellMar>
          <w:top w:w="28" w:type="dxa"/>
          <w:left w:w="28" w:type="dxa"/>
          <w:bottom w:w="28" w:type="dxa"/>
          <w:right w:w="28" w:type="dxa"/>
        </w:tblCellMar>
        <w:tblLook w:val="04A0" w:firstRow="1" w:lastRow="0" w:firstColumn="1" w:lastColumn="0" w:noHBand="0" w:noVBand="1"/>
      </w:tblPr>
      <w:tblGrid>
        <w:gridCol w:w="1323"/>
        <w:gridCol w:w="1386"/>
        <w:gridCol w:w="1417"/>
        <w:gridCol w:w="1134"/>
        <w:gridCol w:w="1985"/>
        <w:gridCol w:w="1275"/>
        <w:gridCol w:w="1147"/>
      </w:tblGrid>
      <w:tr w:rsidR="000E7C4C">
        <w:trPr>
          <w:tblHeader/>
          <w:jc w:val="center"/>
        </w:trPr>
        <w:tc>
          <w:tcPr>
            <w:tcW w:w="1323" w:type="dxa"/>
            <w:tcBorders>
              <w:top w:val="single" w:sz="12" w:space="0" w:color="FFFFFF" w:themeColor="background1"/>
              <w:left w:val="nil"/>
              <w:bottom w:val="single" w:sz="2" w:space="0" w:color="1F497D" w:themeColor="text2"/>
              <w:right w:val="single" w:sz="12" w:space="0" w:color="FFFFFF" w:themeColor="background1"/>
            </w:tcBorders>
            <w:shd w:val="clear" w:color="auto" w:fill="002060"/>
            <w:hideMark/>
          </w:tcPr>
          <w:p w:rsidR="000E7C4C" w:rsidRDefault="003C3EA6">
            <w:pPr>
              <w:tabs>
                <w:tab w:val="left" w:pos="1296"/>
              </w:tabs>
              <w:jc w:val="center"/>
              <w:rPr>
                <w:color w:val="FFFFFF"/>
                <w:sz w:val="20"/>
              </w:rPr>
            </w:pPr>
            <w:r>
              <w:rPr>
                <w:noProof/>
                <w:lang w:eastAsia="lt-LT"/>
              </w:rPr>
              <mc:AlternateContent>
                <mc:Choice Requires="wps">
                  <w:drawing>
                    <wp:anchor distT="0" distB="0" distL="114300" distR="114300" simplePos="0" relativeHeight="251676672" behindDoc="1" locked="0" layoutInCell="1" allowOverlap="1" wp14:anchorId="407E3367" wp14:editId="12D592FC">
                      <wp:simplePos x="0" y="0"/>
                      <wp:positionH relativeFrom="column">
                        <wp:posOffset>-27305</wp:posOffset>
                      </wp:positionH>
                      <wp:positionV relativeFrom="paragraph">
                        <wp:posOffset>-13335</wp:posOffset>
                      </wp:positionV>
                      <wp:extent cx="5699760" cy="182880"/>
                      <wp:effectExtent l="0" t="0" r="0" b="7620"/>
                      <wp:wrapNone/>
                      <wp:docPr id="236" name="Stačiakampis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9760" cy="182880"/>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0ABB4F36" id="Stačiakampis 236" o:spid="_x0000_s1026" style="position:absolute;margin-left:-2.15pt;margin-top:-1.05pt;width:448.8pt;height:14.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nypgWAIAAJAEAAAOAAAAZHJzL2Uyb0RvYy54bWysVNtuEzEQfUfiHyy/090NJE1W2VRRSxFS gUoF8TzxerNWfWPsZFP+gb/iwxh7k1IuT4iXzdjjmTlzzkyWFwej2V5iUM42vDorOZNWuFbZbcM/ fbx+MecsRLAtaGdlwx9k4Ber58+Wg6/lxPVOtxIZJbGhHnzD+xh9XRRB9NJAOHNeWnJ2Dg1EOuK2 aBEGym50MSnLWTE4bD06IUOg26vRyVc5f9dJET90XZCR6YYTtpi/mL+b9C1WS6i3CL5X4ggD/gGF AWWp6GOqK4jAdqj+SGWUQBdcF8+EM4XrOiVk7oG6qcrfurnrwcvcC5ET/CNN4f+lFe/3t8hU2/DJ yxlnFgyJdBfh+zcF92C8Ciw5iKbBh5pe3/lbTI0Gf+PEfWDWXfZgt3KN6IZeQkvgqvS++CUgHQKF ss3wzrVUA3bRZcYOHZqUkLhghyzMw6Mw8hCZoMvpbLE4n5F+gnzVfDKfZ+UKqE/RHkN8I51hyWg4 kvA5O+xvQkxooD49OcrUXiutGbr4WcU+M53KZmegmNFg3lE/43XA7eZSI9tDmqWyrCbr3CeJHp6+ rshX/jVk+uo8U0lgUkj+OZbSyjKiMdViQYCWpMhIY56pDDYV0ZYNDV9MJ9MM1brURR5ioyJtklam 4fMRQb5Okry2bbYjKD3aVFrbo0ZJllHejWsfSCLiJOOgtSajd/iVs4FWpOHhyw5Qcqbf2kwLiycD T8bmZIAVFNrwyKmxZF7Gce92HtW2p8zVsYU1jUKnskppTEYUR3A09iNR44qmvXp6zq9+/pGsfgAA AP//AwBQSwMEFAAGAAgAAAAhAAqh3F7eAAAACAEAAA8AAABkcnMvZG93bnJldi54bWxMj0FPwzAM he9I/IfISNy2ZB3qutJ0QghuMIkx7llj2orG6Zqs6/j1mBOcLPs9PX+v2EyuEyMOofWkYTFXIJAq b1uqNezfn2cZiBANWdN5Qg0XDLApr68Kk1t/pjccd7EWHEIhNxqaGPtcylA16EyY+x6JtU8/OBN5 HWppB3PmcNfJRKlUOtMSf2hMj48NVl+7k9OgvtvtPtu+ro5PQ/Xxsh7To7qkWt/eTA/3ICJO8c8M v/iMDiUzHfyJbBCdhtndkp08kwUI1rP1kg8HDUm6AlkW8n+B8gcAAP//AwBQSwECLQAUAAYACAAA ACEAtoM4kv4AAADhAQAAEwAAAAAAAAAAAAAAAAAAAAAAW0NvbnRlbnRfVHlwZXNdLnhtbFBLAQIt ABQABgAIAAAAIQA4/SH/1gAAAJQBAAALAAAAAAAAAAAAAAAAAC8BAABfcmVscy8ucmVsc1BLAQIt ABQABgAIAAAAIQBHnypgWAIAAJAEAAAOAAAAAAAAAAAAAAAAAC4CAABkcnMvZTJvRG9jLnhtbFBL AQItABQABgAIAAAAIQAKodxe3gAAAAgBAAAPAAAAAAAAAAAAAAAAALIEAABkcnMvZG93bnJldi54 bWxQSwUGAAAAAAQABADzAAAAvQUAAAAA " fillcolor="#00012a" stroked="f">
                      <v:fill color2="#005476" angle="90" focus="100%" type="gradient"/>
                      <v:textbox inset="0,0,0,0"/>
                    </v:rect>
                  </w:pict>
                </mc:Fallback>
              </mc:AlternateContent>
            </w:r>
            <w:r>
              <w:rPr>
                <w:color w:val="FFFFFF"/>
                <w:sz w:val="20"/>
              </w:rPr>
              <w:t>Metai</w:t>
            </w:r>
          </w:p>
        </w:tc>
        <w:tc>
          <w:tcPr>
            <w:tcW w:w="7197" w:type="dxa"/>
            <w:gridSpan w:val="5"/>
            <w:tcBorders>
              <w:top w:val="single" w:sz="12" w:space="0" w:color="FFFFFF" w:themeColor="background1"/>
              <w:left w:val="single" w:sz="12" w:space="0" w:color="FFFFFF" w:themeColor="background1"/>
              <w:bottom w:val="single" w:sz="2" w:space="0" w:color="1F497D" w:themeColor="text2"/>
              <w:right w:val="single" w:sz="12" w:space="0" w:color="FFFFFF" w:themeColor="background1"/>
            </w:tcBorders>
            <w:shd w:val="clear" w:color="auto" w:fill="002060"/>
            <w:hideMark/>
          </w:tcPr>
          <w:p w:rsidR="000E7C4C" w:rsidRDefault="003C3EA6">
            <w:pPr>
              <w:jc w:val="center"/>
              <w:rPr>
                <w:bCs/>
                <w:color w:val="FFFFFF"/>
                <w:sz w:val="20"/>
                <w:lang w:eastAsia="en-GB"/>
              </w:rPr>
            </w:pPr>
            <w:r>
              <w:rPr>
                <w:bCs/>
                <w:color w:val="FFFFFF"/>
                <w:sz w:val="20"/>
                <w:lang w:eastAsia="en-GB"/>
              </w:rPr>
              <w:t>Pagrindinės kategorijos (surūšiuotos nuo aukščiausios iki žemiausios, iš kairės į dešinę)</w:t>
            </w:r>
          </w:p>
        </w:tc>
        <w:tc>
          <w:tcPr>
            <w:tcW w:w="1147" w:type="dxa"/>
            <w:tcBorders>
              <w:top w:val="single" w:sz="12" w:space="0" w:color="FFFFFF" w:themeColor="background1"/>
              <w:left w:val="single" w:sz="12" w:space="0" w:color="FFFFFF" w:themeColor="background1"/>
              <w:bottom w:val="single" w:sz="2" w:space="0" w:color="1F497D" w:themeColor="text2"/>
              <w:right w:val="nil"/>
            </w:tcBorders>
            <w:shd w:val="clear" w:color="auto" w:fill="002060"/>
            <w:hideMark/>
          </w:tcPr>
          <w:p w:rsidR="000E7C4C" w:rsidRDefault="003C3EA6">
            <w:pPr>
              <w:jc w:val="center"/>
              <w:rPr>
                <w:bCs/>
                <w:color w:val="FFFFFF"/>
                <w:sz w:val="20"/>
                <w:lang w:eastAsia="en-GB"/>
              </w:rPr>
            </w:pPr>
            <w:r>
              <w:rPr>
                <w:bCs/>
                <w:color w:val="FFFFFF"/>
                <w:sz w:val="20"/>
                <w:lang w:eastAsia="en-GB"/>
              </w:rPr>
              <w:t>Iš viso</w:t>
            </w:r>
          </w:p>
        </w:tc>
      </w:tr>
      <w:tr w:rsidR="000E7C4C">
        <w:trPr>
          <w:jc w:val="center"/>
        </w:trPr>
        <w:tc>
          <w:tcPr>
            <w:tcW w:w="1323" w:type="dxa"/>
            <w:vMerge w:val="restart"/>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2005</w:t>
            </w:r>
          </w:p>
        </w:tc>
        <w:tc>
          <w:tcPr>
            <w:tcW w:w="1386"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 xml:space="preserve">1A1a </w:t>
            </w:r>
          </w:p>
          <w:p w:rsidR="000E7C4C" w:rsidRDefault="003C3EA6">
            <w:pPr>
              <w:jc w:val="center"/>
              <w:rPr>
                <w:color w:val="000000"/>
                <w:sz w:val="20"/>
                <w:lang w:eastAsia="lt-LT"/>
              </w:rPr>
            </w:pPr>
            <w:r>
              <w:rPr>
                <w:color w:val="000000"/>
                <w:sz w:val="20"/>
                <w:lang w:eastAsia="lt-LT"/>
              </w:rPr>
              <w:t>Viešoji elektros energijos ir šilumos gamyba</w:t>
            </w:r>
          </w:p>
        </w:tc>
        <w:tc>
          <w:tcPr>
            <w:tcW w:w="1417"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1A1b</w:t>
            </w:r>
          </w:p>
          <w:p w:rsidR="000E7C4C" w:rsidRDefault="003C3EA6">
            <w:pPr>
              <w:jc w:val="center"/>
              <w:rPr>
                <w:color w:val="000000"/>
                <w:sz w:val="20"/>
                <w:lang w:eastAsia="lt-LT"/>
              </w:rPr>
            </w:pPr>
            <w:r>
              <w:rPr>
                <w:color w:val="000000"/>
                <w:sz w:val="20"/>
                <w:lang w:eastAsia="lt-LT"/>
              </w:rPr>
              <w:t>Kuro deginimas naftos perdirbime</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1B2aiv</w:t>
            </w:r>
          </w:p>
          <w:p w:rsidR="000E7C4C" w:rsidRDefault="003C3EA6">
            <w:pPr>
              <w:jc w:val="center"/>
              <w:rPr>
                <w:color w:val="000000"/>
                <w:sz w:val="20"/>
                <w:lang w:eastAsia="lt-LT"/>
              </w:rPr>
            </w:pPr>
            <w:r>
              <w:rPr>
                <w:color w:val="000000"/>
                <w:sz w:val="20"/>
                <w:lang w:eastAsia="lt-LT"/>
              </w:rPr>
              <w:t>Garavimo emisijos naftos perdirbime ir saugojime</w:t>
            </w:r>
          </w:p>
        </w:tc>
        <w:tc>
          <w:tcPr>
            <w:tcW w:w="198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1A4ai</w:t>
            </w:r>
          </w:p>
          <w:p w:rsidR="000E7C4C" w:rsidRDefault="003C3EA6">
            <w:pPr>
              <w:jc w:val="center"/>
              <w:rPr>
                <w:color w:val="000000"/>
                <w:sz w:val="20"/>
                <w:lang w:eastAsia="lt-LT"/>
              </w:rPr>
            </w:pPr>
            <w:r>
              <w:rPr>
                <w:color w:val="000000"/>
                <w:sz w:val="20"/>
                <w:lang w:eastAsia="lt-LT"/>
              </w:rPr>
              <w:t>Komercinis/institucinis stacionarus deginimas</w:t>
            </w:r>
          </w:p>
        </w:tc>
        <w:tc>
          <w:tcPr>
            <w:tcW w:w="127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tcPr>
          <w:p w:rsidR="000E7C4C" w:rsidRDefault="000E7C4C">
            <w:pPr>
              <w:jc w:val="center"/>
              <w:rPr>
                <w:color w:val="000000"/>
                <w:sz w:val="20"/>
                <w:lang w:eastAsia="lt-LT"/>
              </w:rPr>
            </w:pPr>
          </w:p>
        </w:tc>
        <w:tc>
          <w:tcPr>
            <w:tcW w:w="1147" w:type="dxa"/>
            <w:vMerge w:val="restart"/>
            <w:tcBorders>
              <w:top w:val="single" w:sz="2" w:space="0" w:color="1F497D" w:themeColor="text2"/>
              <w:left w:val="single" w:sz="12" w:space="0" w:color="FFFFFF" w:themeColor="background1"/>
              <w:bottom w:val="single" w:sz="2" w:space="0" w:color="1F497D" w:themeColor="text2"/>
              <w:right w:val="nil"/>
            </w:tcBorders>
            <w:vAlign w:val="center"/>
          </w:tcPr>
          <w:p w:rsidR="000E7C4C" w:rsidRDefault="003C3EA6">
            <w:pPr>
              <w:jc w:val="center"/>
              <w:rPr>
                <w:color w:val="000000"/>
                <w:sz w:val="20"/>
                <w:lang w:eastAsia="lt-LT"/>
              </w:rPr>
            </w:pPr>
            <w:r>
              <w:rPr>
                <w:color w:val="000000"/>
                <w:sz w:val="20"/>
                <w:lang w:eastAsia="lt-LT"/>
              </w:rPr>
              <w:t>81,9%</w:t>
            </w:r>
          </w:p>
          <w:p w:rsidR="000E7C4C" w:rsidRDefault="000E7C4C">
            <w:pPr>
              <w:jc w:val="center"/>
              <w:rPr>
                <w:color w:val="000000"/>
                <w:sz w:val="20"/>
                <w:lang w:eastAsia="lt-LT"/>
              </w:rPr>
            </w:pPr>
          </w:p>
        </w:tc>
      </w:tr>
      <w:tr w:rsidR="000E7C4C">
        <w:trPr>
          <w:jc w:val="center"/>
        </w:trPr>
        <w:tc>
          <w:tcPr>
            <w:tcW w:w="0" w:type="auto"/>
            <w:vMerge/>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0E7C4C">
            <w:pPr>
              <w:rPr>
                <w:color w:val="000000"/>
                <w:sz w:val="20"/>
                <w:lang w:eastAsia="lt-LT"/>
              </w:rPr>
            </w:pPr>
          </w:p>
        </w:tc>
        <w:tc>
          <w:tcPr>
            <w:tcW w:w="1386"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32,2%</w:t>
            </w:r>
          </w:p>
        </w:tc>
        <w:tc>
          <w:tcPr>
            <w:tcW w:w="1417"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26,2%</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14,7%</w:t>
            </w:r>
          </w:p>
        </w:tc>
        <w:tc>
          <w:tcPr>
            <w:tcW w:w="198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8,8%</w:t>
            </w:r>
          </w:p>
        </w:tc>
        <w:tc>
          <w:tcPr>
            <w:tcW w:w="127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tcPr>
          <w:p w:rsidR="000E7C4C" w:rsidRDefault="000E7C4C">
            <w:pPr>
              <w:jc w:val="center"/>
              <w:rPr>
                <w:color w:val="000000"/>
                <w:sz w:val="20"/>
                <w:lang w:eastAsia="lt-LT"/>
              </w:rPr>
            </w:pPr>
          </w:p>
        </w:tc>
        <w:tc>
          <w:tcPr>
            <w:tcW w:w="0" w:type="auto"/>
            <w:vMerge/>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0E7C4C">
            <w:pPr>
              <w:rPr>
                <w:color w:val="000000"/>
                <w:sz w:val="20"/>
                <w:lang w:eastAsia="lt-LT"/>
              </w:rPr>
            </w:pPr>
          </w:p>
        </w:tc>
      </w:tr>
      <w:tr w:rsidR="000E7C4C">
        <w:trPr>
          <w:jc w:val="center"/>
        </w:trPr>
        <w:tc>
          <w:tcPr>
            <w:tcW w:w="1323" w:type="dxa"/>
            <w:vMerge w:val="restart"/>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2015</w:t>
            </w:r>
          </w:p>
        </w:tc>
        <w:tc>
          <w:tcPr>
            <w:tcW w:w="1386"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1B2aiv</w:t>
            </w:r>
          </w:p>
          <w:p w:rsidR="000E7C4C" w:rsidRDefault="003C3EA6">
            <w:pPr>
              <w:jc w:val="center"/>
              <w:rPr>
                <w:color w:val="000000"/>
                <w:sz w:val="20"/>
                <w:lang w:eastAsia="lt-LT"/>
              </w:rPr>
            </w:pPr>
            <w:r>
              <w:rPr>
                <w:color w:val="000000"/>
                <w:sz w:val="20"/>
                <w:lang w:eastAsia="lt-LT"/>
              </w:rPr>
              <w:t>Garavimo emisijos naftos perdirbime ir saugojime</w:t>
            </w:r>
          </w:p>
        </w:tc>
        <w:tc>
          <w:tcPr>
            <w:tcW w:w="1417"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 xml:space="preserve">1A1a </w:t>
            </w:r>
          </w:p>
          <w:p w:rsidR="000E7C4C" w:rsidRDefault="003C3EA6">
            <w:pPr>
              <w:jc w:val="center"/>
              <w:rPr>
                <w:color w:val="000000"/>
                <w:sz w:val="20"/>
                <w:lang w:eastAsia="lt-LT"/>
              </w:rPr>
            </w:pPr>
            <w:r>
              <w:rPr>
                <w:color w:val="000000"/>
                <w:sz w:val="20"/>
                <w:lang w:eastAsia="lt-LT"/>
              </w:rPr>
              <w:t>Viešoji elektros energijos ir šilumos gamyba</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1A4bi</w:t>
            </w:r>
          </w:p>
          <w:p w:rsidR="000E7C4C" w:rsidRDefault="003C3EA6">
            <w:pPr>
              <w:jc w:val="center"/>
              <w:rPr>
                <w:color w:val="000000"/>
                <w:sz w:val="20"/>
                <w:lang w:eastAsia="lt-LT"/>
              </w:rPr>
            </w:pPr>
            <w:r>
              <w:rPr>
                <w:color w:val="000000"/>
                <w:sz w:val="20"/>
                <w:lang w:eastAsia="lt-LT"/>
              </w:rPr>
              <w:t>Namų ūkių stacionarus deginimas</w:t>
            </w:r>
          </w:p>
        </w:tc>
        <w:tc>
          <w:tcPr>
            <w:tcW w:w="198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1A4ai</w:t>
            </w:r>
          </w:p>
          <w:p w:rsidR="000E7C4C" w:rsidRDefault="003C3EA6">
            <w:pPr>
              <w:jc w:val="center"/>
              <w:rPr>
                <w:color w:val="000000"/>
                <w:sz w:val="20"/>
                <w:lang w:eastAsia="lt-LT"/>
              </w:rPr>
            </w:pPr>
            <w:r>
              <w:rPr>
                <w:color w:val="000000"/>
                <w:sz w:val="20"/>
                <w:lang w:eastAsia="lt-LT"/>
              </w:rPr>
              <w:t>Komercinis/institucinis stacionarus deginimas</w:t>
            </w:r>
          </w:p>
        </w:tc>
        <w:tc>
          <w:tcPr>
            <w:tcW w:w="127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1A1b</w:t>
            </w:r>
          </w:p>
          <w:p w:rsidR="000E7C4C" w:rsidRDefault="003C3EA6">
            <w:pPr>
              <w:jc w:val="center"/>
              <w:rPr>
                <w:color w:val="000000"/>
                <w:sz w:val="20"/>
                <w:lang w:eastAsia="lt-LT"/>
              </w:rPr>
            </w:pPr>
            <w:r>
              <w:rPr>
                <w:color w:val="000000"/>
                <w:sz w:val="20"/>
                <w:lang w:eastAsia="lt-LT"/>
              </w:rPr>
              <w:t>Kuro deginimas naftos perdirbime</w:t>
            </w:r>
          </w:p>
        </w:tc>
        <w:tc>
          <w:tcPr>
            <w:tcW w:w="1147" w:type="dxa"/>
            <w:vMerge w:val="restart"/>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3C3EA6">
            <w:pPr>
              <w:jc w:val="center"/>
              <w:rPr>
                <w:color w:val="000000"/>
                <w:sz w:val="20"/>
                <w:lang w:eastAsia="lt-LT"/>
              </w:rPr>
            </w:pPr>
            <w:r>
              <w:rPr>
                <w:color w:val="000000"/>
                <w:sz w:val="20"/>
                <w:lang w:eastAsia="lt-LT"/>
              </w:rPr>
              <w:t>86,2%</w:t>
            </w:r>
          </w:p>
        </w:tc>
      </w:tr>
      <w:tr w:rsidR="000E7C4C">
        <w:trPr>
          <w:jc w:val="center"/>
        </w:trPr>
        <w:tc>
          <w:tcPr>
            <w:tcW w:w="0" w:type="auto"/>
            <w:vMerge/>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0E7C4C">
            <w:pPr>
              <w:rPr>
                <w:color w:val="000000"/>
                <w:sz w:val="20"/>
                <w:lang w:eastAsia="lt-LT"/>
              </w:rPr>
            </w:pPr>
          </w:p>
        </w:tc>
        <w:tc>
          <w:tcPr>
            <w:tcW w:w="1386"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bottom"/>
            <w:hideMark/>
          </w:tcPr>
          <w:p w:rsidR="000E7C4C" w:rsidRDefault="003C3EA6">
            <w:pPr>
              <w:jc w:val="center"/>
              <w:rPr>
                <w:color w:val="000000"/>
                <w:sz w:val="20"/>
                <w:lang w:eastAsia="lt-LT"/>
              </w:rPr>
            </w:pPr>
            <w:r>
              <w:rPr>
                <w:color w:val="000000"/>
                <w:sz w:val="20"/>
                <w:lang w:eastAsia="lt-LT"/>
              </w:rPr>
              <w:t>35,9%</w:t>
            </w:r>
          </w:p>
        </w:tc>
        <w:tc>
          <w:tcPr>
            <w:tcW w:w="1417"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bottom"/>
            <w:hideMark/>
          </w:tcPr>
          <w:p w:rsidR="000E7C4C" w:rsidRDefault="003C3EA6">
            <w:pPr>
              <w:jc w:val="center"/>
              <w:rPr>
                <w:color w:val="000000"/>
                <w:sz w:val="20"/>
                <w:lang w:eastAsia="lt-LT"/>
              </w:rPr>
            </w:pPr>
            <w:r>
              <w:rPr>
                <w:color w:val="000000"/>
                <w:sz w:val="20"/>
                <w:lang w:eastAsia="lt-LT"/>
              </w:rPr>
              <w:t>22,2%</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bottom"/>
            <w:hideMark/>
          </w:tcPr>
          <w:p w:rsidR="000E7C4C" w:rsidRDefault="003C3EA6">
            <w:pPr>
              <w:jc w:val="center"/>
              <w:rPr>
                <w:color w:val="000000"/>
                <w:sz w:val="20"/>
                <w:lang w:eastAsia="lt-LT"/>
              </w:rPr>
            </w:pPr>
            <w:r>
              <w:rPr>
                <w:color w:val="000000"/>
                <w:sz w:val="20"/>
                <w:lang w:eastAsia="lt-LT"/>
              </w:rPr>
              <w:t>12,6%</w:t>
            </w:r>
          </w:p>
        </w:tc>
        <w:tc>
          <w:tcPr>
            <w:tcW w:w="198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bottom"/>
            <w:hideMark/>
          </w:tcPr>
          <w:p w:rsidR="000E7C4C" w:rsidRDefault="003C3EA6">
            <w:pPr>
              <w:jc w:val="center"/>
              <w:rPr>
                <w:color w:val="000000"/>
                <w:sz w:val="20"/>
                <w:lang w:eastAsia="lt-LT"/>
              </w:rPr>
            </w:pPr>
            <w:r>
              <w:rPr>
                <w:color w:val="000000"/>
                <w:sz w:val="20"/>
                <w:lang w:eastAsia="lt-LT"/>
              </w:rPr>
              <w:t>8,2%</w:t>
            </w:r>
          </w:p>
        </w:tc>
        <w:tc>
          <w:tcPr>
            <w:tcW w:w="127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bottom"/>
            <w:hideMark/>
          </w:tcPr>
          <w:p w:rsidR="000E7C4C" w:rsidRDefault="003C3EA6">
            <w:pPr>
              <w:jc w:val="center"/>
              <w:rPr>
                <w:color w:val="000000"/>
                <w:sz w:val="20"/>
                <w:lang w:eastAsia="lt-LT"/>
              </w:rPr>
            </w:pPr>
            <w:r>
              <w:rPr>
                <w:color w:val="000000"/>
                <w:sz w:val="20"/>
                <w:lang w:eastAsia="lt-LT"/>
              </w:rPr>
              <w:t>7,3%</w:t>
            </w:r>
          </w:p>
        </w:tc>
        <w:tc>
          <w:tcPr>
            <w:tcW w:w="0" w:type="auto"/>
            <w:vMerge/>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0E7C4C">
            <w:pPr>
              <w:rPr>
                <w:color w:val="000000"/>
                <w:sz w:val="20"/>
                <w:lang w:eastAsia="lt-LT"/>
              </w:rPr>
            </w:pPr>
          </w:p>
        </w:tc>
      </w:tr>
    </w:tbl>
    <w:p w:rsidR="000E7C4C" w:rsidRDefault="000E7C4C"/>
    <w:p w:rsidR="000E7C4C" w:rsidRDefault="003C3EA6">
      <w:pPr>
        <w:jc w:val="center"/>
        <w:rPr>
          <w:color w:val="000000"/>
          <w:sz w:val="22"/>
          <w:szCs w:val="22"/>
        </w:rPr>
      </w:pPr>
      <w:r>
        <w:rPr>
          <w:color w:val="000000"/>
          <w:sz w:val="22"/>
          <w:szCs w:val="22"/>
        </w:rPr>
        <w:t>(Duomenų šaltinis: AAA)</w:t>
      </w:r>
    </w:p>
    <w:p w:rsidR="000E7C4C" w:rsidRDefault="003C3EA6">
      <w:pPr>
        <w:jc w:val="both"/>
        <w:rPr>
          <w:color w:val="000000"/>
          <w:szCs w:val="21"/>
        </w:rPr>
      </w:pPr>
    </w:p>
    <w:p w:rsidR="000E7C4C" w:rsidRDefault="003C3EA6">
      <w:pPr>
        <w:tabs>
          <w:tab w:val="left" w:pos="851"/>
        </w:tabs>
        <w:ind w:firstLine="567"/>
        <w:jc w:val="both"/>
        <w:rPr>
          <w:color w:val="000000"/>
          <w:szCs w:val="21"/>
        </w:rPr>
      </w:pPr>
      <w:r>
        <w:rPr>
          <w:color w:val="000000"/>
          <w:szCs w:val="21"/>
        </w:rPr>
        <w:t>4</w:t>
      </w:r>
      <w:r>
        <w:rPr>
          <w:color w:val="000000"/>
          <w:szCs w:val="21"/>
        </w:rPr>
        <w:t>.</w:t>
      </w:r>
      <w:r>
        <w:rPr>
          <w:color w:val="000000"/>
          <w:szCs w:val="21"/>
        </w:rPr>
        <w:tab/>
        <w:t>Viešosios energijos gamybos sektoriuje, kuris apima viešą elektros energijos ir šilumos energijos gamybą, išmestas SO</w:t>
      </w:r>
      <w:r>
        <w:rPr>
          <w:color w:val="000000"/>
          <w:szCs w:val="21"/>
          <w:vertAlign w:val="subscript"/>
        </w:rPr>
        <w:t xml:space="preserve">2 </w:t>
      </w:r>
      <w:r>
        <w:rPr>
          <w:color w:val="000000"/>
          <w:szCs w:val="21"/>
        </w:rPr>
        <w:t>kiekis sumažėjo 59 proc. Nepaisant reikšmingo išmesto SO</w:t>
      </w:r>
      <w:r>
        <w:rPr>
          <w:color w:val="000000"/>
          <w:szCs w:val="21"/>
          <w:vertAlign w:val="subscript"/>
        </w:rPr>
        <w:t>2</w:t>
      </w:r>
      <w:r>
        <w:rPr>
          <w:color w:val="000000"/>
          <w:szCs w:val="21"/>
        </w:rPr>
        <w:t xml:space="preserve"> kiekio sumažėjimo, viešosios elektros energijos ir šilumos gamybos sektorius išliko vienas reikšmingiausių išmesto SO</w:t>
      </w:r>
      <w:r>
        <w:rPr>
          <w:color w:val="000000"/>
          <w:szCs w:val="21"/>
          <w:vertAlign w:val="subscript"/>
        </w:rPr>
        <w:t>2</w:t>
      </w:r>
      <w:r>
        <w:rPr>
          <w:color w:val="000000"/>
          <w:szCs w:val="21"/>
        </w:rPr>
        <w:t xml:space="preserve"> kiekio struktūroje ir 2015 m. sudarė 22,2 proc. viso išmesto SO</w:t>
      </w:r>
      <w:r>
        <w:rPr>
          <w:color w:val="000000"/>
          <w:szCs w:val="21"/>
          <w:vertAlign w:val="subscript"/>
        </w:rPr>
        <w:t>2</w:t>
      </w:r>
      <w:r>
        <w:rPr>
          <w:color w:val="000000"/>
          <w:szCs w:val="21"/>
        </w:rPr>
        <w:t xml:space="preserve"> kiekio (2005 m. ši dalis sudarė 32,2 proc.). Kito stacionaraus deginimo išmestas SO</w:t>
      </w:r>
      <w:r>
        <w:rPr>
          <w:color w:val="000000"/>
          <w:szCs w:val="21"/>
          <w:vertAlign w:val="subscript"/>
        </w:rPr>
        <w:t>2</w:t>
      </w:r>
      <w:r>
        <w:rPr>
          <w:color w:val="000000"/>
          <w:szCs w:val="21"/>
        </w:rPr>
        <w:t xml:space="preserve"> kiekis nuo 2005 iki 2015 m. sumažėjo 15 proc.</w:t>
      </w:r>
    </w:p>
    <w:p w:rsidR="000E7C4C" w:rsidRDefault="003C3EA6">
      <w:pPr>
        <w:tabs>
          <w:tab w:val="left" w:pos="851"/>
        </w:tabs>
        <w:ind w:firstLine="567"/>
        <w:jc w:val="both"/>
        <w:rPr>
          <w:color w:val="000000"/>
          <w:szCs w:val="21"/>
        </w:rPr>
      </w:pPr>
      <w:r>
        <w:rPr>
          <w:color w:val="000000"/>
          <w:szCs w:val="21"/>
        </w:rPr>
        <w:t>5</w:t>
      </w:r>
      <w:r>
        <w:rPr>
          <w:color w:val="000000"/>
          <w:szCs w:val="21"/>
        </w:rPr>
        <w:t>.</w:t>
      </w:r>
      <w:r>
        <w:rPr>
          <w:color w:val="000000"/>
          <w:szCs w:val="21"/>
        </w:rPr>
        <w:tab/>
        <w:t>Pažymėtina, kad 2005 m. namų ūkių stacionarus deginimas (toliau – namų ūkis) nebuvo tarp reikšmingiausių teršėjų ir sudarė 5,7 proc. viso išmesto SO</w:t>
      </w:r>
      <w:r>
        <w:rPr>
          <w:color w:val="000000"/>
          <w:szCs w:val="21"/>
          <w:vertAlign w:val="subscript"/>
        </w:rPr>
        <w:t>2</w:t>
      </w:r>
      <w:r>
        <w:rPr>
          <w:color w:val="000000"/>
          <w:szCs w:val="21"/>
        </w:rPr>
        <w:t xml:space="preserve"> kiekio. 2015 m. namų ūkių išmestas SO</w:t>
      </w:r>
      <w:r>
        <w:rPr>
          <w:color w:val="000000"/>
          <w:szCs w:val="21"/>
          <w:vertAlign w:val="subscript"/>
        </w:rPr>
        <w:t>2</w:t>
      </w:r>
      <w:r>
        <w:rPr>
          <w:color w:val="000000"/>
          <w:szCs w:val="21"/>
        </w:rPr>
        <w:t xml:space="preserve"> kiekis sudarė jau net 12,6 proc. viso išmesto SO</w:t>
      </w:r>
      <w:r>
        <w:rPr>
          <w:color w:val="000000"/>
          <w:szCs w:val="21"/>
          <w:vertAlign w:val="subscript"/>
        </w:rPr>
        <w:t>2</w:t>
      </w:r>
      <w:r>
        <w:rPr>
          <w:color w:val="000000"/>
          <w:szCs w:val="21"/>
        </w:rPr>
        <w:t xml:space="preserve"> kiekio. Tokį padidėjimą lėmė ne tik kitų sektorių išmesto SO</w:t>
      </w:r>
      <w:r>
        <w:rPr>
          <w:color w:val="000000"/>
          <w:szCs w:val="21"/>
          <w:vertAlign w:val="subscript"/>
        </w:rPr>
        <w:t>2</w:t>
      </w:r>
      <w:r>
        <w:rPr>
          <w:color w:val="000000"/>
          <w:szCs w:val="21"/>
        </w:rPr>
        <w:t xml:space="preserve"> kiekio sumažėjimas, lyginant 2005 m. ir 2015 m., tačiau ir namų ūkių išmesto SO</w:t>
      </w:r>
      <w:r>
        <w:rPr>
          <w:color w:val="000000"/>
          <w:szCs w:val="21"/>
          <w:vertAlign w:val="subscript"/>
        </w:rPr>
        <w:t>2</w:t>
      </w:r>
      <w:r>
        <w:rPr>
          <w:color w:val="000000"/>
          <w:szCs w:val="21"/>
        </w:rPr>
        <w:t xml:space="preserve"> kiekio padidėjimas 29,7 proc. (nuo 1,77 </w:t>
      </w:r>
      <w:proofErr w:type="spellStart"/>
      <w:r>
        <w:rPr>
          <w:color w:val="000000"/>
          <w:szCs w:val="21"/>
        </w:rPr>
        <w:t>kt</w:t>
      </w:r>
      <w:proofErr w:type="spellEnd"/>
      <w:r>
        <w:rPr>
          <w:color w:val="000000"/>
          <w:szCs w:val="21"/>
        </w:rPr>
        <w:t xml:space="preserve"> 2005 m. iki 2,30 </w:t>
      </w:r>
      <w:proofErr w:type="spellStart"/>
      <w:r>
        <w:rPr>
          <w:color w:val="000000"/>
          <w:szCs w:val="21"/>
        </w:rPr>
        <w:t>kt</w:t>
      </w:r>
      <w:proofErr w:type="spellEnd"/>
      <w:r>
        <w:rPr>
          <w:color w:val="000000"/>
          <w:szCs w:val="21"/>
        </w:rPr>
        <w:t xml:space="preserve"> 2015 m.). 2005–2015 m. naftos perdirbimo sektoriuje dėl garavimo išmestas SO</w:t>
      </w:r>
      <w:r>
        <w:rPr>
          <w:color w:val="000000"/>
          <w:szCs w:val="21"/>
          <w:vertAlign w:val="subscript"/>
        </w:rPr>
        <w:t>2</w:t>
      </w:r>
      <w:r>
        <w:rPr>
          <w:color w:val="000000"/>
          <w:szCs w:val="21"/>
        </w:rPr>
        <w:t xml:space="preserve"> kiekis padidėjo net 44 proc., o jo dalis išmesto SO</w:t>
      </w:r>
      <w:r>
        <w:rPr>
          <w:color w:val="000000"/>
          <w:szCs w:val="21"/>
          <w:vertAlign w:val="subscript"/>
        </w:rPr>
        <w:t>2</w:t>
      </w:r>
      <w:r>
        <w:rPr>
          <w:color w:val="000000"/>
          <w:szCs w:val="21"/>
        </w:rPr>
        <w:t xml:space="preserve"> kiekio struktūroje padidėjo nuo 14,7 proc. 2005 m. iki 35,9 proc. 2015 m.</w:t>
      </w:r>
    </w:p>
    <w:p w:rsidR="000E7C4C" w:rsidRDefault="003C3EA6">
      <w:pPr>
        <w:jc w:val="both"/>
        <w:rPr>
          <w:color w:val="000000"/>
          <w:szCs w:val="21"/>
        </w:rPr>
      </w:pPr>
    </w:p>
    <w:p w:rsidR="000E7C4C" w:rsidRDefault="003C3EA6">
      <w:pPr>
        <w:keepNext/>
        <w:keepLines/>
        <w:jc w:val="center"/>
        <w:outlineLvl w:val="2"/>
        <w:rPr>
          <w:b/>
          <w:bCs/>
          <w:caps/>
          <w:color w:val="000000"/>
          <w:szCs w:val="28"/>
        </w:rPr>
      </w:pPr>
      <w:r>
        <w:rPr>
          <w:b/>
          <w:bCs/>
          <w:caps/>
          <w:color w:val="000000"/>
          <w:szCs w:val="28"/>
        </w:rPr>
        <w:t>II</w:t>
      </w:r>
      <w:r>
        <w:rPr>
          <w:b/>
          <w:bCs/>
          <w:caps/>
          <w:color w:val="000000"/>
          <w:szCs w:val="28"/>
        </w:rPr>
        <w:t xml:space="preserve"> SKYRIUS</w:t>
      </w:r>
    </w:p>
    <w:p w:rsidR="000E7C4C" w:rsidRDefault="003C3EA6">
      <w:pPr>
        <w:keepNext/>
        <w:keepLines/>
        <w:jc w:val="center"/>
        <w:outlineLvl w:val="2"/>
        <w:rPr>
          <w:b/>
          <w:bCs/>
          <w:caps/>
          <w:color w:val="000000"/>
          <w:szCs w:val="28"/>
        </w:rPr>
      </w:pPr>
      <w:r>
        <w:rPr>
          <w:b/>
          <w:bCs/>
          <w:caps/>
          <w:color w:val="000000"/>
          <w:szCs w:val="28"/>
        </w:rPr>
        <w:t>IŠMESTO AZOTO OKSIDŲ KIEKIO ANALIZĖ</w:t>
      </w:r>
    </w:p>
    <w:p w:rsidR="000E7C4C" w:rsidRDefault="000E7C4C">
      <w:pPr>
        <w:ind w:firstLine="720"/>
        <w:jc w:val="both"/>
        <w:rPr>
          <w:color w:val="000000"/>
          <w:szCs w:val="21"/>
        </w:rPr>
      </w:pPr>
    </w:p>
    <w:p w:rsidR="000E7C4C" w:rsidRDefault="003C3EA6">
      <w:pPr>
        <w:tabs>
          <w:tab w:val="left" w:pos="851"/>
        </w:tabs>
        <w:ind w:firstLine="567"/>
        <w:jc w:val="both"/>
        <w:rPr>
          <w:color w:val="000000"/>
          <w:szCs w:val="21"/>
        </w:rPr>
      </w:pPr>
      <w:r>
        <w:rPr>
          <w:color w:val="000000"/>
          <w:szCs w:val="21"/>
        </w:rPr>
        <w:t>6</w:t>
      </w:r>
      <w:r>
        <w:rPr>
          <w:color w:val="000000"/>
          <w:szCs w:val="21"/>
        </w:rPr>
        <w:t>.</w:t>
      </w:r>
      <w:r>
        <w:rPr>
          <w:color w:val="000000"/>
          <w:szCs w:val="21"/>
        </w:rPr>
        <w:tab/>
        <w:t xml:space="preserve">Išmestas azoto oksidų (toliau – </w:t>
      </w:r>
      <w:proofErr w:type="spellStart"/>
      <w:r>
        <w:rPr>
          <w:color w:val="000000"/>
          <w:szCs w:val="21"/>
        </w:rPr>
        <w:t>NO</w:t>
      </w:r>
      <w:r>
        <w:rPr>
          <w:color w:val="000000"/>
          <w:szCs w:val="21"/>
          <w:vertAlign w:val="subscript"/>
        </w:rPr>
        <w:t>x</w:t>
      </w:r>
      <w:proofErr w:type="spellEnd"/>
      <w:r>
        <w:rPr>
          <w:color w:val="000000"/>
          <w:szCs w:val="21"/>
        </w:rPr>
        <w:t xml:space="preserve">) kiekis 2005–2015 m. laikotarpiu pasižymėjo mažėjimo tendencija. Išmestas </w:t>
      </w:r>
      <w:proofErr w:type="spellStart"/>
      <w:r>
        <w:rPr>
          <w:color w:val="000000"/>
          <w:szCs w:val="21"/>
        </w:rPr>
        <w:t>NO</w:t>
      </w:r>
      <w:r>
        <w:rPr>
          <w:color w:val="000000"/>
          <w:szCs w:val="21"/>
          <w:vertAlign w:val="subscript"/>
        </w:rPr>
        <w:t>x</w:t>
      </w:r>
      <w:proofErr w:type="spellEnd"/>
      <w:r>
        <w:rPr>
          <w:color w:val="000000"/>
          <w:szCs w:val="21"/>
        </w:rPr>
        <w:t xml:space="preserve"> kiekis sumažėjo apie 8,8 proc., vidutiniškai per metus mažėdamas 0,9 proc. (žr. 3 pav.). NAAS nustatyti išmesto </w:t>
      </w:r>
      <w:proofErr w:type="spellStart"/>
      <w:r>
        <w:rPr>
          <w:color w:val="000000"/>
          <w:szCs w:val="21"/>
        </w:rPr>
        <w:t>NO</w:t>
      </w:r>
      <w:r>
        <w:rPr>
          <w:color w:val="000000"/>
          <w:szCs w:val="21"/>
          <w:vertAlign w:val="subscript"/>
        </w:rPr>
        <w:t>x</w:t>
      </w:r>
      <w:proofErr w:type="spellEnd"/>
      <w:r>
        <w:rPr>
          <w:color w:val="000000"/>
          <w:szCs w:val="21"/>
        </w:rPr>
        <w:t xml:space="preserve"> kiekio tikslai (skaitine išraiška) yra daug mažesni nei nagrinėjamu laikotarpiu užfiksuotas išmestas </w:t>
      </w:r>
      <w:proofErr w:type="spellStart"/>
      <w:r>
        <w:rPr>
          <w:color w:val="000000"/>
          <w:szCs w:val="21"/>
        </w:rPr>
        <w:t>NO</w:t>
      </w:r>
      <w:r>
        <w:rPr>
          <w:color w:val="000000"/>
          <w:szCs w:val="21"/>
          <w:vertAlign w:val="subscript"/>
        </w:rPr>
        <w:t>x</w:t>
      </w:r>
      <w:proofErr w:type="spellEnd"/>
      <w:r>
        <w:rPr>
          <w:color w:val="000000"/>
          <w:szCs w:val="21"/>
        </w:rPr>
        <w:t xml:space="preserve"> kiekis. Tai reiškia, jog turi būti imamasi priemonių, padėsiančių sumažinti į aplinkos orą išmetamą </w:t>
      </w:r>
      <w:proofErr w:type="spellStart"/>
      <w:r>
        <w:rPr>
          <w:color w:val="000000"/>
          <w:szCs w:val="21"/>
        </w:rPr>
        <w:t>NO</w:t>
      </w:r>
      <w:r>
        <w:rPr>
          <w:color w:val="000000"/>
          <w:szCs w:val="21"/>
          <w:vertAlign w:val="subscript"/>
        </w:rPr>
        <w:t>x</w:t>
      </w:r>
      <w:proofErr w:type="spellEnd"/>
      <w:r>
        <w:rPr>
          <w:color w:val="000000"/>
          <w:szCs w:val="21"/>
          <w:vertAlign w:val="subscript"/>
        </w:rPr>
        <w:t xml:space="preserve"> </w:t>
      </w:r>
      <w:r>
        <w:rPr>
          <w:color w:val="000000"/>
          <w:szCs w:val="21"/>
        </w:rPr>
        <w:t>kiekį.</w:t>
      </w:r>
    </w:p>
    <w:p w:rsidR="000E7C4C" w:rsidRDefault="000E7C4C">
      <w:pPr>
        <w:jc w:val="both"/>
        <w:rPr>
          <w:color w:val="000000"/>
          <w:szCs w:val="21"/>
        </w:rPr>
      </w:pPr>
    </w:p>
    <w:p w:rsidR="000E7C4C" w:rsidRDefault="003C3EA6">
      <w:pPr>
        <w:jc w:val="center"/>
        <w:rPr>
          <w:color w:val="000000"/>
          <w:szCs w:val="21"/>
        </w:rPr>
      </w:pPr>
      <w:r>
        <w:rPr>
          <w:noProof/>
          <w:color w:val="000000"/>
          <w:szCs w:val="21"/>
          <w:lang w:eastAsia="lt-LT"/>
        </w:rPr>
        <w:drawing>
          <wp:inline distT="0" distB="0" distL="0" distR="0" wp14:anchorId="608CB1CD" wp14:editId="4A08599F">
            <wp:extent cx="4476750" cy="2409825"/>
            <wp:effectExtent l="0" t="0" r="0" b="0"/>
            <wp:docPr id="229" name="Diagrama 229"/>
            <wp:cNvGraphicFramePr/>
            <a:graphic xmlns:a="http://schemas.openxmlformats.org/drawingml/2006/main">
              <a:graphicData uri="http://schemas.openxmlformats.org/drawingml/2006/chart">
                <c:chart xmlns:c="http://schemas.openxmlformats.org/drawingml/2006/chart" r:id="rId20"/>
              </a:graphicData>
            </a:graphic>
          </wp:inline>
        </w:drawing>
      </w:r>
    </w:p>
    <w:p w:rsidR="000E7C4C" w:rsidRDefault="003C3EA6">
      <w:pPr>
        <w:keepNext/>
        <w:tabs>
          <w:tab w:val="left" w:pos="993"/>
          <w:tab w:val="left" w:pos="1134"/>
        </w:tabs>
        <w:jc w:val="center"/>
        <w:rPr>
          <w:color w:val="000000"/>
          <w:sz w:val="22"/>
          <w:szCs w:val="22"/>
        </w:rPr>
      </w:pPr>
      <w:r>
        <w:rPr>
          <w:color w:val="000000"/>
          <w:sz w:val="22"/>
          <w:szCs w:val="22"/>
        </w:rPr>
        <w:t xml:space="preserve">3 paveikslas. Išmesto į aplinkos orą </w:t>
      </w:r>
      <w:proofErr w:type="spellStart"/>
      <w:r>
        <w:rPr>
          <w:color w:val="000000"/>
          <w:sz w:val="22"/>
          <w:szCs w:val="22"/>
        </w:rPr>
        <w:t>NO</w:t>
      </w:r>
      <w:r>
        <w:rPr>
          <w:color w:val="000000"/>
          <w:sz w:val="22"/>
          <w:szCs w:val="22"/>
          <w:vertAlign w:val="subscript"/>
        </w:rPr>
        <w:t>x</w:t>
      </w:r>
      <w:proofErr w:type="spellEnd"/>
      <w:r>
        <w:rPr>
          <w:color w:val="000000"/>
          <w:sz w:val="22"/>
          <w:szCs w:val="22"/>
        </w:rPr>
        <w:t xml:space="preserve"> kiekio dinamika Lietuvoje 2005–2015 m.</w:t>
      </w:r>
    </w:p>
    <w:p w:rsidR="000E7C4C" w:rsidRDefault="003C3EA6">
      <w:pPr>
        <w:jc w:val="center"/>
        <w:rPr>
          <w:color w:val="000000"/>
          <w:sz w:val="22"/>
          <w:szCs w:val="22"/>
        </w:rPr>
      </w:pPr>
      <w:r>
        <w:rPr>
          <w:color w:val="000000"/>
          <w:sz w:val="22"/>
          <w:szCs w:val="22"/>
        </w:rPr>
        <w:t>(Duomenų šaltinis: AAA)</w:t>
      </w:r>
    </w:p>
    <w:p w:rsidR="000E7C4C" w:rsidRDefault="003C3EA6">
      <w:pPr>
        <w:ind w:left="720"/>
        <w:jc w:val="both"/>
        <w:rPr>
          <w:color w:val="000000"/>
          <w:szCs w:val="21"/>
        </w:rPr>
      </w:pPr>
    </w:p>
    <w:p w:rsidR="000E7C4C" w:rsidRDefault="003C3EA6">
      <w:pPr>
        <w:tabs>
          <w:tab w:val="left" w:pos="851"/>
        </w:tabs>
        <w:ind w:firstLine="567"/>
        <w:jc w:val="both"/>
        <w:rPr>
          <w:color w:val="000000"/>
          <w:szCs w:val="21"/>
        </w:rPr>
      </w:pPr>
      <w:r>
        <w:rPr>
          <w:color w:val="000000"/>
          <w:szCs w:val="21"/>
        </w:rPr>
        <w:t>7</w:t>
      </w:r>
      <w:r>
        <w:rPr>
          <w:color w:val="000000"/>
          <w:szCs w:val="21"/>
        </w:rPr>
        <w:t>.</w:t>
      </w:r>
      <w:r>
        <w:rPr>
          <w:color w:val="000000"/>
          <w:szCs w:val="21"/>
        </w:rPr>
        <w:tab/>
        <w:t xml:space="preserve">Didžiausią dalį išmesto </w:t>
      </w:r>
      <w:proofErr w:type="spellStart"/>
      <w:r>
        <w:rPr>
          <w:color w:val="000000"/>
          <w:szCs w:val="21"/>
        </w:rPr>
        <w:t>NO</w:t>
      </w:r>
      <w:r>
        <w:rPr>
          <w:color w:val="000000"/>
          <w:szCs w:val="21"/>
          <w:vertAlign w:val="subscript"/>
        </w:rPr>
        <w:t>x</w:t>
      </w:r>
      <w:proofErr w:type="spellEnd"/>
      <w:r>
        <w:rPr>
          <w:color w:val="000000"/>
          <w:szCs w:val="21"/>
        </w:rPr>
        <w:t xml:space="preserve"> kiekio struktūroje sudaro kelių transporto išmestas </w:t>
      </w:r>
      <w:proofErr w:type="spellStart"/>
      <w:r>
        <w:rPr>
          <w:color w:val="000000"/>
          <w:szCs w:val="21"/>
        </w:rPr>
        <w:t>NO</w:t>
      </w:r>
      <w:r>
        <w:rPr>
          <w:color w:val="000000"/>
          <w:szCs w:val="21"/>
          <w:vertAlign w:val="subscript"/>
        </w:rPr>
        <w:t>x</w:t>
      </w:r>
      <w:proofErr w:type="spellEnd"/>
      <w:r>
        <w:rPr>
          <w:color w:val="000000"/>
          <w:szCs w:val="21"/>
        </w:rPr>
        <w:t xml:space="preserve"> kiekis – jo dalis visais nagrinėjamo laikotarpio metais sudarė 48 proc. bendro išmesto </w:t>
      </w:r>
      <w:proofErr w:type="spellStart"/>
      <w:r>
        <w:rPr>
          <w:color w:val="000000"/>
          <w:szCs w:val="21"/>
        </w:rPr>
        <w:t>NO</w:t>
      </w:r>
      <w:r>
        <w:rPr>
          <w:color w:val="000000"/>
          <w:szCs w:val="21"/>
          <w:vertAlign w:val="subscript"/>
        </w:rPr>
        <w:t>x</w:t>
      </w:r>
      <w:proofErr w:type="spellEnd"/>
      <w:r>
        <w:rPr>
          <w:color w:val="000000"/>
          <w:szCs w:val="21"/>
        </w:rPr>
        <w:t xml:space="preserve"> kiekio (žr. 4 pav.). Ypatingas dėmesys šiuo atveju turėtų būti skiriamas sunkvežimiams ir autobusams, kadangi sunkvežimių ir autobusų išmestas </w:t>
      </w:r>
      <w:proofErr w:type="spellStart"/>
      <w:r>
        <w:rPr>
          <w:color w:val="000000"/>
          <w:szCs w:val="21"/>
        </w:rPr>
        <w:t>NO</w:t>
      </w:r>
      <w:r>
        <w:rPr>
          <w:color w:val="000000"/>
          <w:szCs w:val="21"/>
          <w:vertAlign w:val="subscript"/>
        </w:rPr>
        <w:t>x</w:t>
      </w:r>
      <w:proofErr w:type="spellEnd"/>
      <w:r>
        <w:rPr>
          <w:color w:val="000000"/>
          <w:szCs w:val="21"/>
        </w:rPr>
        <w:t xml:space="preserve"> kiekis padidėjo 11 proc., lyginant 2005 iki 2015 m., o jų išmesto </w:t>
      </w:r>
      <w:proofErr w:type="spellStart"/>
      <w:r>
        <w:rPr>
          <w:color w:val="000000"/>
          <w:szCs w:val="21"/>
        </w:rPr>
        <w:t>NO</w:t>
      </w:r>
      <w:r>
        <w:rPr>
          <w:color w:val="000000"/>
          <w:szCs w:val="21"/>
          <w:vertAlign w:val="subscript"/>
        </w:rPr>
        <w:t>x</w:t>
      </w:r>
      <w:proofErr w:type="spellEnd"/>
      <w:r>
        <w:rPr>
          <w:color w:val="000000"/>
          <w:szCs w:val="21"/>
        </w:rPr>
        <w:t xml:space="preserve"> kiekio dalis bendroje </w:t>
      </w:r>
      <w:proofErr w:type="spellStart"/>
      <w:r>
        <w:rPr>
          <w:color w:val="000000"/>
          <w:szCs w:val="21"/>
        </w:rPr>
        <w:t>NO</w:t>
      </w:r>
      <w:r>
        <w:rPr>
          <w:color w:val="000000"/>
          <w:szCs w:val="21"/>
          <w:vertAlign w:val="subscript"/>
        </w:rPr>
        <w:t>x</w:t>
      </w:r>
      <w:proofErr w:type="spellEnd"/>
      <w:r>
        <w:rPr>
          <w:color w:val="000000"/>
          <w:szCs w:val="21"/>
        </w:rPr>
        <w:t xml:space="preserve"> išmesto kiekio struktūroje 2015 m. sudarė net trečdalį. Nepaisant to, kad lengvųjų automobilių išmestas </w:t>
      </w:r>
      <w:proofErr w:type="spellStart"/>
      <w:r>
        <w:rPr>
          <w:color w:val="000000"/>
          <w:szCs w:val="21"/>
        </w:rPr>
        <w:t>NO</w:t>
      </w:r>
      <w:r>
        <w:rPr>
          <w:color w:val="000000"/>
          <w:szCs w:val="21"/>
          <w:vertAlign w:val="subscript"/>
        </w:rPr>
        <w:t>x</w:t>
      </w:r>
      <w:proofErr w:type="spellEnd"/>
      <w:r>
        <w:rPr>
          <w:color w:val="000000"/>
          <w:szCs w:val="21"/>
        </w:rPr>
        <w:t xml:space="preserve"> kiekis sumažėjo net 38,3 proc. (lyginant 2005 iki 2015 m.), jų išmetimų dalis kelių transporto išmesto </w:t>
      </w:r>
      <w:proofErr w:type="spellStart"/>
      <w:r>
        <w:rPr>
          <w:color w:val="000000"/>
          <w:szCs w:val="21"/>
        </w:rPr>
        <w:t>NO</w:t>
      </w:r>
      <w:r>
        <w:rPr>
          <w:color w:val="000000"/>
          <w:szCs w:val="21"/>
          <w:vertAlign w:val="subscript"/>
        </w:rPr>
        <w:t>x</w:t>
      </w:r>
      <w:proofErr w:type="spellEnd"/>
      <w:r>
        <w:rPr>
          <w:color w:val="000000"/>
          <w:szCs w:val="21"/>
        </w:rPr>
        <w:t xml:space="preserve"> kiekio struktūroje išliko labai reikšminga ir 2015 m. sudarė apie 48 proc.; viso išmesto </w:t>
      </w:r>
      <w:proofErr w:type="spellStart"/>
      <w:r>
        <w:rPr>
          <w:color w:val="000000"/>
          <w:szCs w:val="21"/>
        </w:rPr>
        <w:t>NO</w:t>
      </w:r>
      <w:r>
        <w:rPr>
          <w:color w:val="000000"/>
          <w:szCs w:val="21"/>
          <w:vertAlign w:val="subscript"/>
        </w:rPr>
        <w:t>x</w:t>
      </w:r>
      <w:proofErr w:type="spellEnd"/>
      <w:r>
        <w:rPr>
          <w:color w:val="000000"/>
          <w:szCs w:val="21"/>
        </w:rPr>
        <w:t xml:space="preserve"> kiekio struktūroje lengvųjų automobilių išmestas </w:t>
      </w:r>
      <w:proofErr w:type="spellStart"/>
      <w:r>
        <w:rPr>
          <w:color w:val="000000"/>
          <w:szCs w:val="21"/>
        </w:rPr>
        <w:t>NO</w:t>
      </w:r>
      <w:r>
        <w:rPr>
          <w:color w:val="000000"/>
          <w:szCs w:val="21"/>
          <w:vertAlign w:val="subscript"/>
        </w:rPr>
        <w:t>x</w:t>
      </w:r>
      <w:proofErr w:type="spellEnd"/>
      <w:r>
        <w:rPr>
          <w:color w:val="000000"/>
          <w:szCs w:val="21"/>
        </w:rPr>
        <w:t xml:space="preserve"> kiekis 2015 m. sudarė 13 proc. Dėl šios priežasties, siekiant mažinti oro taršą </w:t>
      </w:r>
      <w:proofErr w:type="spellStart"/>
      <w:r>
        <w:rPr>
          <w:color w:val="000000"/>
          <w:szCs w:val="21"/>
        </w:rPr>
        <w:t>NO</w:t>
      </w:r>
      <w:r>
        <w:rPr>
          <w:color w:val="000000"/>
          <w:szCs w:val="21"/>
          <w:vertAlign w:val="subscript"/>
        </w:rPr>
        <w:t>x</w:t>
      </w:r>
      <w:proofErr w:type="spellEnd"/>
      <w:r>
        <w:rPr>
          <w:color w:val="000000"/>
          <w:szCs w:val="21"/>
        </w:rPr>
        <w:t>, labai svarbu taikyti priemones, susijusias su sunkvežimiais ir autobusais, taip pat su lengvaisiais automobiliais, t. y. priemones, skirtas kelių transporto sektoriui.</w:t>
      </w:r>
    </w:p>
    <w:p w:rsidR="000E7C4C" w:rsidRDefault="000E7C4C">
      <w:pPr>
        <w:ind w:left="720"/>
        <w:jc w:val="both"/>
        <w:rPr>
          <w:color w:val="000000"/>
          <w:szCs w:val="21"/>
        </w:rPr>
      </w:pPr>
    </w:p>
    <w:p w:rsidR="000E7C4C" w:rsidRDefault="003C3EA6">
      <w:pPr>
        <w:jc w:val="center"/>
        <w:rPr>
          <w:color w:val="000000"/>
          <w:szCs w:val="21"/>
        </w:rPr>
      </w:pPr>
      <w:r>
        <w:rPr>
          <w:noProof/>
          <w:color w:val="000000"/>
          <w:lang w:eastAsia="lt-LT"/>
        </w:rPr>
        <w:drawing>
          <wp:inline distT="0" distB="0" distL="0" distR="0" wp14:anchorId="108DDEDE" wp14:editId="05AC5761">
            <wp:extent cx="4162425" cy="2352675"/>
            <wp:effectExtent l="0" t="0" r="0" b="0"/>
            <wp:docPr id="227" name="Diagrama 227"/>
            <wp:cNvGraphicFramePr/>
            <a:graphic xmlns:a="http://schemas.openxmlformats.org/drawingml/2006/main">
              <a:graphicData uri="http://schemas.openxmlformats.org/drawingml/2006/chart">
                <c:chart xmlns:c="http://schemas.openxmlformats.org/drawingml/2006/chart" r:id="rId21"/>
              </a:graphicData>
            </a:graphic>
          </wp:inline>
        </w:drawing>
      </w:r>
    </w:p>
    <w:p w:rsidR="000E7C4C" w:rsidRDefault="003C3EA6">
      <w:pPr>
        <w:keepNext/>
        <w:tabs>
          <w:tab w:val="left" w:pos="993"/>
          <w:tab w:val="left" w:pos="1134"/>
        </w:tabs>
        <w:jc w:val="center"/>
        <w:rPr>
          <w:color w:val="000000"/>
          <w:sz w:val="22"/>
          <w:szCs w:val="22"/>
        </w:rPr>
      </w:pPr>
      <w:r>
        <w:rPr>
          <w:color w:val="000000"/>
          <w:sz w:val="22"/>
          <w:szCs w:val="22"/>
        </w:rPr>
        <w:t xml:space="preserve">4 paveikslas. Išmesto į aplinkos orą </w:t>
      </w:r>
      <w:proofErr w:type="spellStart"/>
      <w:r>
        <w:rPr>
          <w:color w:val="000000"/>
          <w:sz w:val="22"/>
          <w:szCs w:val="22"/>
        </w:rPr>
        <w:t>NO</w:t>
      </w:r>
      <w:r>
        <w:rPr>
          <w:color w:val="000000"/>
          <w:sz w:val="22"/>
          <w:szCs w:val="22"/>
          <w:vertAlign w:val="subscript"/>
        </w:rPr>
        <w:t>x</w:t>
      </w:r>
      <w:proofErr w:type="spellEnd"/>
      <w:r>
        <w:rPr>
          <w:color w:val="000000"/>
          <w:sz w:val="22"/>
          <w:szCs w:val="22"/>
        </w:rPr>
        <w:t xml:space="preserve"> kiekio struktūros pagal taršos šaltinius dinamika 2005–2015 m.</w:t>
      </w:r>
    </w:p>
    <w:p w:rsidR="000E7C4C" w:rsidRDefault="003C3EA6">
      <w:pPr>
        <w:jc w:val="center"/>
        <w:rPr>
          <w:color w:val="000000"/>
          <w:sz w:val="22"/>
          <w:szCs w:val="22"/>
        </w:rPr>
      </w:pPr>
      <w:r>
        <w:rPr>
          <w:color w:val="000000"/>
          <w:sz w:val="22"/>
          <w:szCs w:val="22"/>
        </w:rPr>
        <w:t>(Duomenų šaltinis: AAA)</w:t>
      </w:r>
    </w:p>
    <w:p w:rsidR="000E7C4C" w:rsidRDefault="003C3EA6">
      <w:pPr>
        <w:jc w:val="both"/>
        <w:rPr>
          <w:color w:val="000000"/>
          <w:szCs w:val="21"/>
        </w:rPr>
      </w:pPr>
    </w:p>
    <w:p w:rsidR="000E7C4C" w:rsidRDefault="003C3EA6">
      <w:pPr>
        <w:tabs>
          <w:tab w:val="left" w:pos="851"/>
        </w:tabs>
        <w:ind w:firstLine="567"/>
        <w:jc w:val="both"/>
        <w:rPr>
          <w:color w:val="000000"/>
          <w:szCs w:val="21"/>
        </w:rPr>
      </w:pPr>
      <w:r>
        <w:rPr>
          <w:color w:val="000000"/>
          <w:szCs w:val="21"/>
        </w:rPr>
        <w:t>8</w:t>
      </w:r>
      <w:r>
        <w:rPr>
          <w:color w:val="000000"/>
          <w:szCs w:val="21"/>
        </w:rPr>
        <w:t>.</w:t>
      </w:r>
      <w:r>
        <w:rPr>
          <w:color w:val="000000"/>
          <w:szCs w:val="21"/>
        </w:rPr>
        <w:tab/>
        <w:t xml:space="preserve">2 lentelėje pateikti pagrindiniai sektoriai, kurių išmesto </w:t>
      </w:r>
      <w:proofErr w:type="spellStart"/>
      <w:r>
        <w:rPr>
          <w:color w:val="000000"/>
          <w:szCs w:val="21"/>
        </w:rPr>
        <w:t>NO</w:t>
      </w:r>
      <w:r>
        <w:rPr>
          <w:color w:val="000000"/>
          <w:szCs w:val="21"/>
          <w:vertAlign w:val="subscript"/>
        </w:rPr>
        <w:t>x</w:t>
      </w:r>
      <w:proofErr w:type="spellEnd"/>
      <w:r>
        <w:rPr>
          <w:color w:val="000000"/>
          <w:szCs w:val="21"/>
        </w:rPr>
        <w:t xml:space="preserve"> kiekio dalis bendroje išmesto </w:t>
      </w:r>
      <w:proofErr w:type="spellStart"/>
      <w:r>
        <w:rPr>
          <w:color w:val="000000"/>
          <w:szCs w:val="21"/>
        </w:rPr>
        <w:t>NO</w:t>
      </w:r>
      <w:r>
        <w:rPr>
          <w:color w:val="000000"/>
          <w:szCs w:val="21"/>
          <w:vertAlign w:val="subscript"/>
        </w:rPr>
        <w:t>x</w:t>
      </w:r>
      <w:proofErr w:type="spellEnd"/>
      <w:r>
        <w:rPr>
          <w:color w:val="000000"/>
          <w:szCs w:val="21"/>
        </w:rPr>
        <w:t xml:space="preserve"> kiekio struktūroje sudaro daugiau nei 80 proc. Nors kelių transporto išmestas </w:t>
      </w:r>
      <w:proofErr w:type="spellStart"/>
      <w:r>
        <w:rPr>
          <w:color w:val="000000"/>
          <w:szCs w:val="21"/>
        </w:rPr>
        <w:t>NO</w:t>
      </w:r>
      <w:r>
        <w:rPr>
          <w:color w:val="000000"/>
          <w:szCs w:val="21"/>
          <w:vertAlign w:val="subscript"/>
        </w:rPr>
        <w:t>x</w:t>
      </w:r>
      <w:proofErr w:type="spellEnd"/>
      <w:r>
        <w:rPr>
          <w:color w:val="000000"/>
          <w:szCs w:val="21"/>
        </w:rPr>
        <w:t xml:space="preserve"> kiekis sumažėjo 10,2 proc. (lyginant 2005 m. ir 2015 m.), kelių transportas išlieka vienas reikšmingiausių teršėjų. Sunkvežimių ir autobusų išmestas </w:t>
      </w:r>
      <w:proofErr w:type="spellStart"/>
      <w:r>
        <w:rPr>
          <w:color w:val="000000"/>
          <w:szCs w:val="21"/>
        </w:rPr>
        <w:t>NO</w:t>
      </w:r>
      <w:r>
        <w:rPr>
          <w:color w:val="000000"/>
          <w:szCs w:val="21"/>
          <w:vertAlign w:val="subscript"/>
        </w:rPr>
        <w:t>x</w:t>
      </w:r>
      <w:proofErr w:type="spellEnd"/>
      <w:r>
        <w:rPr>
          <w:color w:val="000000"/>
          <w:szCs w:val="21"/>
        </w:rPr>
        <w:t xml:space="preserve"> kiekis tiek 2005 m., tiek 2015 m. sudarė didžiausią bendro išmesto </w:t>
      </w:r>
      <w:proofErr w:type="spellStart"/>
      <w:r>
        <w:rPr>
          <w:color w:val="000000"/>
          <w:szCs w:val="21"/>
        </w:rPr>
        <w:t>NO</w:t>
      </w:r>
      <w:r>
        <w:rPr>
          <w:color w:val="000000"/>
          <w:szCs w:val="21"/>
          <w:vertAlign w:val="subscript"/>
        </w:rPr>
        <w:t>x</w:t>
      </w:r>
      <w:proofErr w:type="spellEnd"/>
      <w:r>
        <w:rPr>
          <w:color w:val="000000"/>
          <w:szCs w:val="21"/>
        </w:rPr>
        <w:t xml:space="preserve"> kiekio dalį – atitinkamai 26,8 proc. ir 32,6 proc. Lengvųjų automobilių išmestas </w:t>
      </w:r>
      <w:proofErr w:type="spellStart"/>
      <w:r>
        <w:rPr>
          <w:color w:val="000000"/>
          <w:szCs w:val="21"/>
        </w:rPr>
        <w:t>NO</w:t>
      </w:r>
      <w:r>
        <w:rPr>
          <w:color w:val="000000"/>
          <w:szCs w:val="21"/>
          <w:vertAlign w:val="subscript"/>
        </w:rPr>
        <w:t>x</w:t>
      </w:r>
      <w:proofErr w:type="spellEnd"/>
      <w:r>
        <w:rPr>
          <w:color w:val="000000"/>
          <w:szCs w:val="21"/>
        </w:rPr>
        <w:t xml:space="preserve"> kiekis 2005 m. sudarė beveik penktadalį viso išmesto </w:t>
      </w:r>
      <w:proofErr w:type="spellStart"/>
      <w:r>
        <w:rPr>
          <w:color w:val="000000"/>
          <w:szCs w:val="21"/>
        </w:rPr>
        <w:t>NO</w:t>
      </w:r>
      <w:r>
        <w:rPr>
          <w:color w:val="000000"/>
          <w:szCs w:val="21"/>
          <w:vertAlign w:val="subscript"/>
        </w:rPr>
        <w:t>x</w:t>
      </w:r>
      <w:proofErr w:type="spellEnd"/>
      <w:r>
        <w:rPr>
          <w:color w:val="000000"/>
          <w:szCs w:val="21"/>
        </w:rPr>
        <w:t xml:space="preserve"> kiekio, tačiau 2015 m. lengvųjų automobilių išmesto </w:t>
      </w:r>
      <w:proofErr w:type="spellStart"/>
      <w:r>
        <w:rPr>
          <w:color w:val="000000"/>
          <w:szCs w:val="21"/>
        </w:rPr>
        <w:t>NO</w:t>
      </w:r>
      <w:r>
        <w:rPr>
          <w:color w:val="000000"/>
          <w:szCs w:val="21"/>
          <w:vertAlign w:val="subscript"/>
        </w:rPr>
        <w:t>x</w:t>
      </w:r>
      <w:proofErr w:type="spellEnd"/>
      <w:r>
        <w:rPr>
          <w:color w:val="000000"/>
          <w:szCs w:val="21"/>
        </w:rPr>
        <w:t xml:space="preserve"> kiekio dalis sumažėjo iki 13,3 proc. Tarp ne kelių transporto sektoriaus išskirtini geležinkeliai, kurių išmestas </w:t>
      </w:r>
      <w:proofErr w:type="spellStart"/>
      <w:r>
        <w:rPr>
          <w:color w:val="000000"/>
          <w:szCs w:val="21"/>
        </w:rPr>
        <w:t>NO</w:t>
      </w:r>
      <w:r>
        <w:rPr>
          <w:color w:val="000000"/>
          <w:szCs w:val="21"/>
          <w:vertAlign w:val="subscript"/>
        </w:rPr>
        <w:t>x</w:t>
      </w:r>
      <w:proofErr w:type="spellEnd"/>
      <w:r>
        <w:rPr>
          <w:color w:val="000000"/>
          <w:szCs w:val="21"/>
        </w:rPr>
        <w:t xml:space="preserve"> kiekis sumažėjo 28,6 proc., lyginant 2005 m. ir 2015 m. Išmesto </w:t>
      </w:r>
      <w:proofErr w:type="spellStart"/>
      <w:r>
        <w:rPr>
          <w:color w:val="000000"/>
          <w:szCs w:val="21"/>
        </w:rPr>
        <w:t>NO</w:t>
      </w:r>
      <w:r>
        <w:rPr>
          <w:color w:val="000000"/>
          <w:szCs w:val="21"/>
          <w:vertAlign w:val="subscript"/>
        </w:rPr>
        <w:t>x</w:t>
      </w:r>
      <w:proofErr w:type="spellEnd"/>
      <w:r>
        <w:rPr>
          <w:color w:val="000000"/>
          <w:szCs w:val="21"/>
        </w:rPr>
        <w:t xml:space="preserve"> kiekio sumažėjimas turėjo įtakos geležinkelių </w:t>
      </w:r>
      <w:proofErr w:type="spellStart"/>
      <w:r>
        <w:rPr>
          <w:color w:val="000000"/>
          <w:szCs w:val="21"/>
        </w:rPr>
        <w:t>NO</w:t>
      </w:r>
      <w:r>
        <w:rPr>
          <w:color w:val="000000"/>
          <w:szCs w:val="21"/>
          <w:vertAlign w:val="subscript"/>
        </w:rPr>
        <w:t>x</w:t>
      </w:r>
      <w:proofErr w:type="spellEnd"/>
      <w:r>
        <w:rPr>
          <w:color w:val="000000"/>
          <w:szCs w:val="21"/>
        </w:rPr>
        <w:t xml:space="preserve"> išmetimų daliai bendroje išmesto </w:t>
      </w:r>
      <w:proofErr w:type="spellStart"/>
      <w:r>
        <w:rPr>
          <w:color w:val="000000"/>
          <w:szCs w:val="21"/>
        </w:rPr>
        <w:t>NO</w:t>
      </w:r>
      <w:r>
        <w:rPr>
          <w:color w:val="000000"/>
          <w:szCs w:val="21"/>
          <w:vertAlign w:val="subscript"/>
        </w:rPr>
        <w:t>x</w:t>
      </w:r>
      <w:proofErr w:type="spellEnd"/>
      <w:r>
        <w:rPr>
          <w:color w:val="000000"/>
          <w:szCs w:val="21"/>
        </w:rPr>
        <w:t xml:space="preserve"> kiekio struktūroje – geležinkelių išmesto </w:t>
      </w:r>
      <w:proofErr w:type="spellStart"/>
      <w:r>
        <w:rPr>
          <w:color w:val="000000"/>
          <w:szCs w:val="21"/>
        </w:rPr>
        <w:t>NO</w:t>
      </w:r>
      <w:r>
        <w:rPr>
          <w:color w:val="000000"/>
          <w:szCs w:val="21"/>
          <w:vertAlign w:val="subscript"/>
        </w:rPr>
        <w:t>x</w:t>
      </w:r>
      <w:proofErr w:type="spellEnd"/>
      <w:r>
        <w:rPr>
          <w:color w:val="000000"/>
          <w:szCs w:val="21"/>
        </w:rPr>
        <w:t xml:space="preserve"> kiekio dalis sumažėjo nuo 6,4 proc. 2005 m. iki 5,0 proc. 2015 m.</w:t>
      </w:r>
    </w:p>
    <w:p w:rsidR="000E7C4C" w:rsidRDefault="000E7C4C">
      <w:pPr>
        <w:jc w:val="both"/>
        <w:rPr>
          <w:color w:val="000000"/>
          <w:szCs w:val="21"/>
        </w:rPr>
      </w:pPr>
    </w:p>
    <w:p w:rsidR="000E7C4C" w:rsidRDefault="003C3EA6">
      <w:pPr>
        <w:jc w:val="both"/>
        <w:rPr>
          <w:color w:val="000000"/>
        </w:rPr>
      </w:pPr>
      <w:r>
        <w:rPr>
          <w:color w:val="000000"/>
        </w:rPr>
        <w:t xml:space="preserve">2 lentelė. Išmestas </w:t>
      </w:r>
      <w:proofErr w:type="spellStart"/>
      <w:r>
        <w:rPr>
          <w:color w:val="000000"/>
        </w:rPr>
        <w:t>NO</w:t>
      </w:r>
      <w:r>
        <w:rPr>
          <w:color w:val="000000"/>
          <w:vertAlign w:val="subscript"/>
        </w:rPr>
        <w:t>x</w:t>
      </w:r>
      <w:proofErr w:type="spellEnd"/>
      <w:r>
        <w:rPr>
          <w:color w:val="000000"/>
        </w:rPr>
        <w:t xml:space="preserve"> kiekis: pagrindinių kategorijų analizė</w:t>
      </w:r>
    </w:p>
    <w:tbl>
      <w:tblPr>
        <w:tblW w:w="9660" w:type="dxa"/>
        <w:jc w:val="center"/>
        <w:tblBorders>
          <w:top w:val="single" w:sz="12" w:space="0" w:color="FFFFFF"/>
          <w:bottom w:val="single" w:sz="2" w:space="0" w:color="1F497D"/>
          <w:insideH w:val="single" w:sz="2" w:space="0" w:color="1F497D"/>
          <w:insideV w:val="single" w:sz="12" w:space="0" w:color="FFFFFF"/>
        </w:tblBorders>
        <w:tblLayout w:type="fixed"/>
        <w:tblCellMar>
          <w:top w:w="28" w:type="dxa"/>
          <w:left w:w="28" w:type="dxa"/>
          <w:bottom w:w="28" w:type="dxa"/>
          <w:right w:w="28" w:type="dxa"/>
        </w:tblCellMar>
        <w:tblLook w:val="04A0" w:firstRow="1" w:lastRow="0" w:firstColumn="1" w:lastColumn="0" w:noHBand="0" w:noVBand="1"/>
      </w:tblPr>
      <w:tblGrid>
        <w:gridCol w:w="737"/>
        <w:gridCol w:w="1134"/>
        <w:gridCol w:w="1275"/>
        <w:gridCol w:w="991"/>
        <w:gridCol w:w="1133"/>
        <w:gridCol w:w="1417"/>
        <w:gridCol w:w="1133"/>
        <w:gridCol w:w="991"/>
        <w:gridCol w:w="849"/>
      </w:tblGrid>
      <w:tr w:rsidR="000E7C4C">
        <w:trPr>
          <w:tblHeader/>
          <w:jc w:val="center"/>
        </w:trPr>
        <w:tc>
          <w:tcPr>
            <w:tcW w:w="737" w:type="dxa"/>
            <w:tcBorders>
              <w:top w:val="single" w:sz="12" w:space="0" w:color="FFFFFF" w:themeColor="background1"/>
              <w:left w:val="nil"/>
              <w:bottom w:val="single" w:sz="2" w:space="0" w:color="1F497D" w:themeColor="text2"/>
              <w:right w:val="single" w:sz="12" w:space="0" w:color="FFFFFF" w:themeColor="background1"/>
            </w:tcBorders>
            <w:shd w:val="clear" w:color="auto" w:fill="002060"/>
            <w:hideMark/>
          </w:tcPr>
          <w:p w:rsidR="000E7C4C" w:rsidRDefault="003C3EA6">
            <w:pPr>
              <w:tabs>
                <w:tab w:val="left" w:pos="1296"/>
              </w:tabs>
              <w:jc w:val="center"/>
              <w:rPr>
                <w:color w:val="FFFFFF"/>
                <w:sz w:val="20"/>
              </w:rPr>
            </w:pPr>
            <w:r>
              <w:rPr>
                <w:noProof/>
                <w:lang w:eastAsia="lt-LT"/>
              </w:rPr>
              <mc:AlternateContent>
                <mc:Choice Requires="wps">
                  <w:drawing>
                    <wp:anchor distT="0" distB="0" distL="114300" distR="114300" simplePos="0" relativeHeight="251677696" behindDoc="1" locked="0" layoutInCell="1" allowOverlap="1" wp14:anchorId="4486BCDA" wp14:editId="2215C936">
                      <wp:simplePos x="0" y="0"/>
                      <wp:positionH relativeFrom="column">
                        <wp:posOffset>-27305</wp:posOffset>
                      </wp:positionH>
                      <wp:positionV relativeFrom="paragraph">
                        <wp:posOffset>-13335</wp:posOffset>
                      </wp:positionV>
                      <wp:extent cx="5699760" cy="182880"/>
                      <wp:effectExtent l="0" t="0" r="0" b="7620"/>
                      <wp:wrapNone/>
                      <wp:docPr id="235" name="Stačiakampis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9760" cy="182880"/>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340C8AD9" id="Stačiakampis 235" o:spid="_x0000_s1026" style="position:absolute;margin-left:-2.15pt;margin-top:-1.05pt;width:448.8pt;height:14.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YUxkVwIAAJAEAAAOAAAAZHJzL2Uyb0RvYy54bWysVNtu2zAMfR+wfxD0vtrOljQx6hRFuw4D uq1AN+yZkWVbqG6jlDjdP+yv9mGj5KTrLk/DXgRaFMlzeEifne+NZjuJQTnb8Oqk5Exa4Vpl+4Z/ +nj9YslZiGBb0M7Khj/IwM/Xz5+djb6WMzc43UpklMSGevQNH2L0dVEEMUgD4cR5acnZOTQQ6RP7 okUYKbvRxawsF8XosPXohAyBbq8mJ1/n/F0nRfzQdUFGphtO2GI+MZ+bdBbrM6h7BD8ocYAB/4DC gLJU9DHVFURgW1R/pDJKoAuuiyfCmcJ1nRIycyA2Vfkbm7sBvMxcqDnBP7Yp/L+04v3uFplqGz57 OefMgiGR7iJ8/6bgHoxXgSUHtWn0oabXd/4WE9Hgb5y4D8y6ywFsLy8Q3ThIaAlcld4XvwSkj0Ch bDO+cy3VgG10uWP7Dk1KSL1g+yzMw6Mwch+ZoMv5YrU6XZB+gnzVcrZcZuUKqI/RHkN8I51hyWg4 kvA5O+xuQkxooD4+OcjUXiutGbr4WcUhdzqVzc5AMZPBvCM+03XAfnOpke0gzVJZVrOLzJNED09f V+Qr/xoyf3W6eBJCmPpjKa0sozamWiwI0JIUmdqYZyqDTUW0ZWPDV/PZPEO1LrHIQ2xUpE3SyjR8 OSHI10mS17bNdgSlJ5tKa3vQKMkyybtx7QNJRD3JOGityRgcfuVspBVpePiyBZSc6bc2t4XFo4FH Y3M0wAoKbXjkRCyZl3Hau61H1Q+UuTpQuKBR6FRWKY3JhOIAjsY+i3dY0bRXT7/zq58/kvUPAAAA //8DAFBLAwQUAAYACAAAACEACqHcXt4AAAAIAQAADwAAAGRycy9kb3ducmV2LnhtbEyPQU/DMAyF 70j8h8hI3LZkHeq60nRCCG4wiTHuWWPaisbpmqzr+PWYE5ws+z09f6/YTK4TIw6h9aRhMVcgkCpv W6o17N+fZxmIEA1Z03lCDRcMsCmvrwqTW3+mNxx3sRYcQiE3GpoY+1zKUDXoTJj7Hom1Tz84E3kd amkHc+Zw18lEqVQ60xJ/aEyPjw1WX7uT06C+2+0+276ujk9D9fGyHtOjuqRa395MD/cgIk7xzwy/ +IwOJTMd/IlsEJ2G2d2SnTyTBQjWs/WSDwcNSboCWRbyf4HyBwAA//8DAFBLAQItABQABgAIAAAA IQC2gziS/gAAAOEBAAATAAAAAAAAAAAAAAAAAAAAAABbQ29udGVudF9UeXBlc10ueG1sUEsBAi0A FAAGAAgAAAAhADj9If/WAAAAlAEAAAsAAAAAAAAAAAAAAAAALwEAAF9yZWxzLy5yZWxzUEsBAi0A FAAGAAgAAAAhAA1hTGRXAgAAkAQAAA4AAAAAAAAAAAAAAAAALgIAAGRycy9lMm9Eb2MueG1sUEsB Ai0AFAAGAAgAAAAhAAqh3F7eAAAACAEAAA8AAAAAAAAAAAAAAAAAsQQAAGRycy9kb3ducmV2Lnht bFBLBQYAAAAABAAEAPMAAAC8BQAAAAA= " fillcolor="#00012a" stroked="f">
                      <v:fill color2="#005476" angle="90" focus="100%" type="gradient"/>
                      <v:textbox inset="0,0,0,0"/>
                    </v:rect>
                  </w:pict>
                </mc:Fallback>
              </mc:AlternateContent>
            </w:r>
            <w:r>
              <w:rPr>
                <w:color w:val="FFFFFF"/>
                <w:sz w:val="20"/>
              </w:rPr>
              <w:t>Metai</w:t>
            </w:r>
          </w:p>
        </w:tc>
        <w:tc>
          <w:tcPr>
            <w:tcW w:w="8080" w:type="dxa"/>
            <w:gridSpan w:val="7"/>
            <w:tcBorders>
              <w:top w:val="single" w:sz="12" w:space="0" w:color="FFFFFF" w:themeColor="background1"/>
              <w:left w:val="single" w:sz="12" w:space="0" w:color="FFFFFF" w:themeColor="background1"/>
              <w:bottom w:val="single" w:sz="2" w:space="0" w:color="1F497D" w:themeColor="text2"/>
              <w:right w:val="single" w:sz="12" w:space="0" w:color="FFFFFF" w:themeColor="background1"/>
            </w:tcBorders>
            <w:shd w:val="clear" w:color="auto" w:fill="002060"/>
            <w:hideMark/>
          </w:tcPr>
          <w:p w:rsidR="000E7C4C" w:rsidRDefault="003C3EA6">
            <w:pPr>
              <w:jc w:val="center"/>
              <w:rPr>
                <w:bCs/>
                <w:color w:val="FFFFFF"/>
                <w:sz w:val="20"/>
                <w:lang w:eastAsia="en-GB"/>
              </w:rPr>
            </w:pPr>
            <w:r>
              <w:rPr>
                <w:bCs/>
                <w:color w:val="FFFFFF"/>
                <w:sz w:val="20"/>
                <w:lang w:eastAsia="en-GB"/>
              </w:rPr>
              <w:t>Pagrindinės kategorijos (surūšiuotos nuo aukščiausios iki žemiausios, iš kairės į dešinę)</w:t>
            </w:r>
          </w:p>
        </w:tc>
        <w:tc>
          <w:tcPr>
            <w:tcW w:w="850" w:type="dxa"/>
            <w:tcBorders>
              <w:top w:val="single" w:sz="12" w:space="0" w:color="FFFFFF" w:themeColor="background1"/>
              <w:left w:val="single" w:sz="12" w:space="0" w:color="FFFFFF" w:themeColor="background1"/>
              <w:bottom w:val="single" w:sz="2" w:space="0" w:color="1F497D" w:themeColor="text2"/>
              <w:right w:val="nil"/>
            </w:tcBorders>
            <w:shd w:val="clear" w:color="auto" w:fill="002060"/>
            <w:hideMark/>
          </w:tcPr>
          <w:p w:rsidR="000E7C4C" w:rsidRDefault="003C3EA6">
            <w:pPr>
              <w:jc w:val="center"/>
              <w:rPr>
                <w:bCs/>
                <w:color w:val="FFFFFF"/>
                <w:sz w:val="20"/>
                <w:lang w:eastAsia="en-GB"/>
              </w:rPr>
            </w:pPr>
            <w:r>
              <w:rPr>
                <w:bCs/>
                <w:color w:val="FFFFFF"/>
                <w:sz w:val="20"/>
                <w:lang w:eastAsia="en-GB"/>
              </w:rPr>
              <w:t>Iš viso</w:t>
            </w:r>
          </w:p>
        </w:tc>
      </w:tr>
      <w:tr w:rsidR="000E7C4C">
        <w:trPr>
          <w:jc w:val="center"/>
        </w:trPr>
        <w:tc>
          <w:tcPr>
            <w:tcW w:w="737" w:type="dxa"/>
            <w:vMerge w:val="restart"/>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3C3EA6">
            <w:pPr>
              <w:rPr>
                <w:color w:val="000000"/>
                <w:sz w:val="20"/>
                <w:lang w:eastAsia="lt-LT"/>
              </w:rPr>
            </w:pPr>
            <w:r>
              <w:rPr>
                <w:color w:val="000000"/>
                <w:sz w:val="20"/>
                <w:lang w:eastAsia="lt-LT"/>
              </w:rPr>
              <w:t>2005</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20"/>
                <w:lang w:eastAsia="lt-LT"/>
              </w:rPr>
            </w:pPr>
            <w:r>
              <w:rPr>
                <w:rFonts w:eastAsia="Calibri"/>
                <w:color w:val="000000"/>
                <w:sz w:val="20"/>
                <w:lang w:eastAsia="lt-LT"/>
              </w:rPr>
              <w:t>1A3biii</w:t>
            </w:r>
          </w:p>
          <w:p w:rsidR="000E7C4C" w:rsidRDefault="003C3EA6">
            <w:pPr>
              <w:jc w:val="center"/>
              <w:rPr>
                <w:rFonts w:eastAsia="Calibri"/>
                <w:color w:val="000000"/>
                <w:sz w:val="20"/>
                <w:lang w:eastAsia="lt-LT"/>
              </w:rPr>
            </w:pPr>
            <w:r>
              <w:rPr>
                <w:rFonts w:eastAsia="Calibri"/>
                <w:color w:val="000000"/>
                <w:sz w:val="20"/>
                <w:lang w:eastAsia="lt-LT"/>
              </w:rPr>
              <w:t>Kelių transportas: sunkvežimiai ir autobusai</w:t>
            </w:r>
          </w:p>
        </w:tc>
        <w:tc>
          <w:tcPr>
            <w:tcW w:w="1276"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20"/>
                <w:lang w:eastAsia="lt-LT"/>
              </w:rPr>
            </w:pPr>
            <w:r>
              <w:rPr>
                <w:rFonts w:eastAsia="Calibri"/>
                <w:color w:val="000000"/>
                <w:sz w:val="20"/>
                <w:lang w:eastAsia="lt-LT"/>
              </w:rPr>
              <w:t>1A3bi</w:t>
            </w:r>
          </w:p>
          <w:p w:rsidR="000E7C4C" w:rsidRDefault="003C3EA6">
            <w:pPr>
              <w:jc w:val="center"/>
              <w:rPr>
                <w:rFonts w:eastAsia="Calibri"/>
                <w:color w:val="000000"/>
                <w:sz w:val="20"/>
                <w:lang w:eastAsia="lt-LT"/>
              </w:rPr>
            </w:pPr>
            <w:r>
              <w:rPr>
                <w:rFonts w:eastAsia="Calibri"/>
                <w:color w:val="000000"/>
                <w:sz w:val="20"/>
                <w:lang w:eastAsia="lt-LT"/>
              </w:rPr>
              <w:t>Kelių transportas: lengvieji automobiliai</w:t>
            </w:r>
          </w:p>
        </w:tc>
        <w:tc>
          <w:tcPr>
            <w:tcW w:w="99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20"/>
                <w:lang w:eastAsia="lt-LT"/>
              </w:rPr>
            </w:pPr>
            <w:r>
              <w:rPr>
                <w:rFonts w:eastAsia="Calibri"/>
                <w:color w:val="000000"/>
                <w:sz w:val="20"/>
                <w:lang w:eastAsia="lt-LT"/>
              </w:rPr>
              <w:t>3Da1</w:t>
            </w:r>
          </w:p>
          <w:p w:rsidR="000E7C4C" w:rsidRDefault="003C3EA6">
            <w:pPr>
              <w:jc w:val="center"/>
              <w:rPr>
                <w:rFonts w:eastAsia="Calibri"/>
                <w:color w:val="000000"/>
                <w:sz w:val="20"/>
                <w:lang w:eastAsia="lt-LT"/>
              </w:rPr>
            </w:pPr>
            <w:r>
              <w:rPr>
                <w:rFonts w:eastAsia="Calibri"/>
                <w:color w:val="000000"/>
                <w:sz w:val="20"/>
                <w:lang w:eastAsia="lt-LT"/>
              </w:rPr>
              <w:t>Neorganinės N trąšos (įskaitant karbamidą)</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20"/>
                <w:lang w:eastAsia="lt-LT"/>
              </w:rPr>
            </w:pPr>
            <w:r>
              <w:rPr>
                <w:rFonts w:eastAsia="Calibri"/>
                <w:color w:val="000000"/>
                <w:sz w:val="20"/>
                <w:lang w:eastAsia="lt-LT"/>
              </w:rPr>
              <w:t>1A1a</w:t>
            </w:r>
          </w:p>
          <w:p w:rsidR="000E7C4C" w:rsidRDefault="003C3EA6">
            <w:pPr>
              <w:jc w:val="center"/>
              <w:rPr>
                <w:rFonts w:eastAsia="Calibri"/>
                <w:color w:val="000000"/>
                <w:sz w:val="20"/>
                <w:lang w:eastAsia="lt-LT"/>
              </w:rPr>
            </w:pPr>
            <w:r>
              <w:rPr>
                <w:rFonts w:eastAsia="Calibri"/>
                <w:color w:val="000000"/>
                <w:sz w:val="20"/>
                <w:lang w:eastAsia="lt-LT"/>
              </w:rPr>
              <w:t>Viešoji elektros energijos ir šilumos gamyba</w:t>
            </w:r>
          </w:p>
        </w:tc>
        <w:tc>
          <w:tcPr>
            <w:tcW w:w="14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20"/>
                <w:lang w:eastAsia="lt-LT"/>
              </w:rPr>
            </w:pPr>
            <w:r>
              <w:rPr>
                <w:rFonts w:eastAsia="Calibri"/>
                <w:color w:val="000000"/>
                <w:sz w:val="20"/>
                <w:lang w:eastAsia="lt-LT"/>
              </w:rPr>
              <w:t>1A3c</w:t>
            </w:r>
            <w:r>
              <w:rPr>
                <w:rFonts w:eastAsia="Calibri"/>
                <w:color w:val="000000"/>
                <w:sz w:val="20"/>
                <w:lang w:eastAsia="lt-LT"/>
              </w:rPr>
              <w:br/>
              <w:t>Geležinkeliai</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20"/>
                <w:lang w:eastAsia="lt-LT"/>
              </w:rPr>
            </w:pPr>
            <w:r>
              <w:rPr>
                <w:rFonts w:eastAsia="Calibri"/>
                <w:color w:val="000000"/>
                <w:sz w:val="20"/>
                <w:lang w:eastAsia="lt-LT"/>
              </w:rPr>
              <w:t>1A1b</w:t>
            </w:r>
          </w:p>
          <w:p w:rsidR="000E7C4C" w:rsidRDefault="003C3EA6">
            <w:pPr>
              <w:jc w:val="center"/>
              <w:rPr>
                <w:rFonts w:eastAsia="Calibri"/>
                <w:color w:val="000000"/>
                <w:sz w:val="20"/>
                <w:lang w:eastAsia="lt-LT"/>
              </w:rPr>
            </w:pPr>
            <w:r>
              <w:rPr>
                <w:color w:val="000000"/>
                <w:sz w:val="20"/>
                <w:lang w:eastAsia="lt-LT"/>
              </w:rPr>
              <w:t>Kuro deginimas naftos perdirbime</w:t>
            </w:r>
          </w:p>
        </w:tc>
        <w:tc>
          <w:tcPr>
            <w:tcW w:w="99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20"/>
                <w:lang w:eastAsia="lt-LT"/>
              </w:rPr>
            </w:pPr>
            <w:r>
              <w:rPr>
                <w:rFonts w:eastAsia="Calibri"/>
                <w:color w:val="000000"/>
                <w:sz w:val="20"/>
                <w:lang w:eastAsia="lt-LT"/>
              </w:rPr>
              <w:t>1A4bi</w:t>
            </w:r>
          </w:p>
          <w:p w:rsidR="000E7C4C" w:rsidRDefault="003C3EA6">
            <w:pPr>
              <w:jc w:val="center"/>
              <w:rPr>
                <w:rFonts w:eastAsia="Calibri"/>
                <w:color w:val="000000"/>
                <w:sz w:val="20"/>
                <w:lang w:eastAsia="lt-LT"/>
              </w:rPr>
            </w:pPr>
            <w:r>
              <w:rPr>
                <w:color w:val="000000"/>
                <w:sz w:val="20"/>
                <w:lang w:eastAsia="lt-LT"/>
              </w:rPr>
              <w:t>Namų ūkių stacionarus deginimas</w:t>
            </w:r>
          </w:p>
        </w:tc>
        <w:tc>
          <w:tcPr>
            <w:tcW w:w="850" w:type="dxa"/>
            <w:vMerge w:val="restart"/>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3C3EA6">
            <w:pPr>
              <w:jc w:val="center"/>
              <w:rPr>
                <w:color w:val="000000"/>
                <w:sz w:val="20"/>
                <w:lang w:eastAsia="lt-LT"/>
              </w:rPr>
            </w:pPr>
            <w:r>
              <w:rPr>
                <w:color w:val="000000"/>
                <w:sz w:val="20"/>
                <w:lang w:eastAsia="lt-LT"/>
              </w:rPr>
              <w:t>83.1%</w:t>
            </w:r>
          </w:p>
        </w:tc>
      </w:tr>
      <w:tr w:rsidR="000E7C4C">
        <w:trPr>
          <w:jc w:val="center"/>
        </w:trPr>
        <w:tc>
          <w:tcPr>
            <w:tcW w:w="737" w:type="dxa"/>
            <w:vMerge/>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0E7C4C">
            <w:pPr>
              <w:rPr>
                <w:color w:val="000000"/>
                <w:sz w:val="20"/>
                <w:lang w:eastAsia="lt-LT"/>
              </w:rPr>
            </w:pP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26,8%</w:t>
            </w:r>
          </w:p>
        </w:tc>
        <w:tc>
          <w:tcPr>
            <w:tcW w:w="1276"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19.6%</w:t>
            </w:r>
          </w:p>
        </w:tc>
        <w:tc>
          <w:tcPr>
            <w:tcW w:w="99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11.6%</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9.7%</w:t>
            </w:r>
          </w:p>
        </w:tc>
        <w:tc>
          <w:tcPr>
            <w:tcW w:w="14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6.4%</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lang w:eastAsia="lt-LT"/>
              </w:rPr>
              <w:t>5.1%</w:t>
            </w:r>
          </w:p>
        </w:tc>
        <w:tc>
          <w:tcPr>
            <w:tcW w:w="99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lang w:eastAsia="lt-LT"/>
              </w:rPr>
              <w:t>4.0%</w:t>
            </w:r>
          </w:p>
        </w:tc>
        <w:tc>
          <w:tcPr>
            <w:tcW w:w="850" w:type="dxa"/>
            <w:vMerge/>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0E7C4C">
            <w:pPr>
              <w:rPr>
                <w:color w:val="000000"/>
                <w:sz w:val="20"/>
                <w:lang w:eastAsia="lt-LT"/>
              </w:rPr>
            </w:pPr>
          </w:p>
        </w:tc>
      </w:tr>
      <w:tr w:rsidR="000E7C4C">
        <w:trPr>
          <w:jc w:val="center"/>
        </w:trPr>
        <w:tc>
          <w:tcPr>
            <w:tcW w:w="737" w:type="dxa"/>
            <w:vMerge w:val="restart"/>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3C3EA6">
            <w:pPr>
              <w:rPr>
                <w:color w:val="000000"/>
                <w:sz w:val="20"/>
                <w:lang w:eastAsia="lt-LT"/>
              </w:rPr>
            </w:pPr>
            <w:r>
              <w:rPr>
                <w:color w:val="000000"/>
                <w:sz w:val="20"/>
                <w:lang w:eastAsia="lt-LT"/>
              </w:rPr>
              <w:t>2015</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20"/>
                <w:lang w:eastAsia="lt-LT"/>
              </w:rPr>
            </w:pPr>
            <w:r>
              <w:rPr>
                <w:rFonts w:eastAsia="Calibri"/>
                <w:color w:val="000000"/>
                <w:sz w:val="20"/>
                <w:lang w:eastAsia="lt-LT"/>
              </w:rPr>
              <w:t>1A3biii</w:t>
            </w:r>
          </w:p>
          <w:p w:rsidR="000E7C4C" w:rsidRDefault="003C3EA6">
            <w:pPr>
              <w:jc w:val="center"/>
              <w:rPr>
                <w:rFonts w:eastAsia="Calibri"/>
                <w:color w:val="000000"/>
                <w:sz w:val="20"/>
                <w:lang w:eastAsia="lt-LT"/>
              </w:rPr>
            </w:pPr>
            <w:r>
              <w:rPr>
                <w:rFonts w:eastAsia="Calibri"/>
                <w:color w:val="000000"/>
                <w:sz w:val="20"/>
                <w:lang w:eastAsia="lt-LT"/>
              </w:rPr>
              <w:t>Kelių transportas: sunkvežimiai ir autobusai</w:t>
            </w:r>
            <w:r>
              <w:rPr>
                <w:rFonts w:eastAsia="Calibri"/>
                <w:color w:val="000000"/>
                <w:sz w:val="20"/>
                <w:lang w:eastAsia="lt-LT"/>
              </w:rPr>
              <w:br/>
            </w:r>
          </w:p>
        </w:tc>
        <w:tc>
          <w:tcPr>
            <w:tcW w:w="1276"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20"/>
                <w:lang w:eastAsia="lt-LT"/>
              </w:rPr>
            </w:pPr>
            <w:r>
              <w:rPr>
                <w:rFonts w:eastAsia="Calibri"/>
                <w:color w:val="000000"/>
                <w:sz w:val="20"/>
                <w:lang w:eastAsia="lt-LT"/>
              </w:rPr>
              <w:t>3Da1</w:t>
            </w:r>
          </w:p>
          <w:p w:rsidR="000E7C4C" w:rsidRDefault="003C3EA6">
            <w:pPr>
              <w:jc w:val="center"/>
              <w:rPr>
                <w:rFonts w:eastAsia="Calibri"/>
                <w:color w:val="000000"/>
                <w:sz w:val="20"/>
                <w:lang w:eastAsia="lt-LT"/>
              </w:rPr>
            </w:pPr>
            <w:r>
              <w:rPr>
                <w:rFonts w:eastAsia="Calibri"/>
                <w:color w:val="000000"/>
                <w:sz w:val="20"/>
                <w:lang w:eastAsia="lt-LT"/>
              </w:rPr>
              <w:t>Neorganinės N trąšos (įskaitant karbamidą)</w:t>
            </w:r>
            <w:r>
              <w:rPr>
                <w:rFonts w:eastAsia="Calibri"/>
                <w:color w:val="000000"/>
                <w:sz w:val="20"/>
                <w:lang w:eastAsia="lt-LT"/>
              </w:rPr>
              <w:br/>
            </w:r>
          </w:p>
        </w:tc>
        <w:tc>
          <w:tcPr>
            <w:tcW w:w="99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20"/>
                <w:lang w:eastAsia="lt-LT"/>
              </w:rPr>
            </w:pPr>
            <w:r>
              <w:rPr>
                <w:rFonts w:eastAsia="Calibri"/>
                <w:color w:val="000000"/>
                <w:sz w:val="20"/>
                <w:lang w:eastAsia="lt-LT"/>
              </w:rPr>
              <w:t>1A3bi</w:t>
            </w:r>
          </w:p>
          <w:p w:rsidR="000E7C4C" w:rsidRDefault="003C3EA6">
            <w:pPr>
              <w:jc w:val="center"/>
              <w:rPr>
                <w:rFonts w:eastAsia="Calibri"/>
                <w:color w:val="000000"/>
                <w:sz w:val="20"/>
                <w:lang w:eastAsia="lt-LT"/>
              </w:rPr>
            </w:pPr>
            <w:r>
              <w:rPr>
                <w:rFonts w:eastAsia="Calibri"/>
                <w:color w:val="000000"/>
                <w:sz w:val="20"/>
                <w:lang w:eastAsia="lt-LT"/>
              </w:rPr>
              <w:t>Kelių transportas: lengvieji automobiliai</w:t>
            </w:r>
            <w:r>
              <w:rPr>
                <w:rFonts w:eastAsia="Calibri"/>
                <w:color w:val="000000"/>
                <w:sz w:val="20"/>
                <w:lang w:eastAsia="lt-LT"/>
              </w:rPr>
              <w:br/>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20"/>
                <w:lang w:eastAsia="lt-LT"/>
              </w:rPr>
            </w:pPr>
            <w:r>
              <w:rPr>
                <w:rFonts w:eastAsia="Calibri"/>
                <w:color w:val="000000"/>
                <w:sz w:val="20"/>
                <w:lang w:eastAsia="lt-LT"/>
              </w:rPr>
              <w:t>1A1a</w:t>
            </w:r>
          </w:p>
          <w:p w:rsidR="000E7C4C" w:rsidRDefault="003C3EA6">
            <w:pPr>
              <w:jc w:val="center"/>
              <w:rPr>
                <w:rFonts w:eastAsia="Calibri"/>
                <w:color w:val="000000"/>
                <w:sz w:val="20"/>
                <w:lang w:eastAsia="lt-LT"/>
              </w:rPr>
            </w:pPr>
            <w:r>
              <w:rPr>
                <w:color w:val="000000"/>
                <w:sz w:val="20"/>
                <w:lang w:eastAsia="lt-LT"/>
              </w:rPr>
              <w:t>Viešoji elektros energijos ir šilumos gamyba</w:t>
            </w:r>
          </w:p>
        </w:tc>
        <w:tc>
          <w:tcPr>
            <w:tcW w:w="14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20"/>
                <w:lang w:eastAsia="lt-LT"/>
              </w:rPr>
            </w:pPr>
            <w:r>
              <w:rPr>
                <w:rFonts w:eastAsia="Calibri"/>
                <w:color w:val="000000"/>
                <w:sz w:val="20"/>
                <w:lang w:eastAsia="lt-LT"/>
              </w:rPr>
              <w:t>1A2f</w:t>
            </w:r>
          </w:p>
          <w:p w:rsidR="000E7C4C" w:rsidRDefault="003C3EA6">
            <w:pPr>
              <w:jc w:val="center"/>
              <w:rPr>
                <w:rFonts w:eastAsia="Calibri"/>
                <w:color w:val="000000"/>
                <w:sz w:val="20"/>
                <w:lang w:eastAsia="lt-LT"/>
              </w:rPr>
            </w:pPr>
            <w:r>
              <w:rPr>
                <w:rFonts w:eastAsia="Calibri"/>
                <w:color w:val="000000"/>
                <w:sz w:val="20"/>
                <w:lang w:eastAsia="lt-LT"/>
              </w:rPr>
              <w:t>Mineralinių medžiagų apdirbimo pramonės stacionarus deginimas</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20"/>
                <w:lang w:eastAsia="lt-LT"/>
              </w:rPr>
            </w:pPr>
            <w:r>
              <w:rPr>
                <w:rFonts w:eastAsia="Calibri"/>
                <w:color w:val="000000"/>
                <w:sz w:val="20"/>
                <w:lang w:eastAsia="lt-LT"/>
              </w:rPr>
              <w:t>1A3c</w:t>
            </w:r>
          </w:p>
          <w:p w:rsidR="000E7C4C" w:rsidRDefault="003C3EA6">
            <w:pPr>
              <w:jc w:val="center"/>
              <w:rPr>
                <w:rFonts w:eastAsia="Calibri"/>
                <w:color w:val="000000"/>
                <w:sz w:val="20"/>
                <w:lang w:eastAsia="lt-LT"/>
              </w:rPr>
            </w:pPr>
            <w:r>
              <w:rPr>
                <w:rFonts w:eastAsia="Calibri"/>
                <w:color w:val="000000"/>
                <w:sz w:val="20"/>
                <w:lang w:eastAsia="lt-LT"/>
              </w:rPr>
              <w:t>Geležinkeliai</w:t>
            </w:r>
            <w:r>
              <w:rPr>
                <w:rFonts w:eastAsia="Calibri"/>
                <w:color w:val="000000"/>
                <w:sz w:val="20"/>
                <w:lang w:eastAsia="lt-LT"/>
              </w:rPr>
              <w:br/>
            </w:r>
          </w:p>
        </w:tc>
        <w:tc>
          <w:tcPr>
            <w:tcW w:w="99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tcPr>
          <w:p w:rsidR="000E7C4C" w:rsidRDefault="000E7C4C">
            <w:pPr>
              <w:jc w:val="center"/>
              <w:rPr>
                <w:color w:val="000000"/>
                <w:sz w:val="20"/>
                <w:lang w:eastAsia="lt-LT"/>
              </w:rPr>
            </w:pPr>
          </w:p>
        </w:tc>
        <w:tc>
          <w:tcPr>
            <w:tcW w:w="850" w:type="dxa"/>
            <w:vMerge w:val="restart"/>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3C3EA6">
            <w:pPr>
              <w:jc w:val="center"/>
              <w:rPr>
                <w:color w:val="000000"/>
                <w:sz w:val="20"/>
                <w:lang w:eastAsia="lt-LT"/>
              </w:rPr>
            </w:pPr>
            <w:r>
              <w:rPr>
                <w:color w:val="000000"/>
                <w:sz w:val="20"/>
                <w:lang w:eastAsia="lt-LT"/>
              </w:rPr>
              <w:t>80.9%</w:t>
            </w:r>
          </w:p>
        </w:tc>
      </w:tr>
      <w:tr w:rsidR="000E7C4C">
        <w:trPr>
          <w:jc w:val="center"/>
        </w:trPr>
        <w:tc>
          <w:tcPr>
            <w:tcW w:w="737" w:type="dxa"/>
            <w:vMerge/>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0E7C4C">
            <w:pPr>
              <w:rPr>
                <w:color w:val="000000"/>
                <w:sz w:val="20"/>
                <w:lang w:eastAsia="lt-LT"/>
              </w:rPr>
            </w:pP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bottom"/>
            <w:hideMark/>
          </w:tcPr>
          <w:p w:rsidR="000E7C4C" w:rsidRDefault="003C3EA6">
            <w:pPr>
              <w:jc w:val="center"/>
              <w:rPr>
                <w:color w:val="000000"/>
                <w:sz w:val="20"/>
                <w:lang w:eastAsia="lt-LT"/>
              </w:rPr>
            </w:pPr>
            <w:r>
              <w:rPr>
                <w:color w:val="000000"/>
                <w:sz w:val="20"/>
                <w:lang w:eastAsia="lt-LT"/>
              </w:rPr>
              <w:t>32.6%</w:t>
            </w:r>
          </w:p>
        </w:tc>
        <w:tc>
          <w:tcPr>
            <w:tcW w:w="1276"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bottom"/>
            <w:hideMark/>
          </w:tcPr>
          <w:p w:rsidR="000E7C4C" w:rsidRDefault="003C3EA6">
            <w:pPr>
              <w:jc w:val="center"/>
              <w:rPr>
                <w:color w:val="000000"/>
                <w:sz w:val="20"/>
                <w:lang w:eastAsia="lt-LT"/>
              </w:rPr>
            </w:pPr>
            <w:r>
              <w:rPr>
                <w:color w:val="000000"/>
                <w:sz w:val="20"/>
                <w:lang w:eastAsia="lt-LT"/>
              </w:rPr>
              <w:t>17.2%</w:t>
            </w:r>
          </w:p>
        </w:tc>
        <w:tc>
          <w:tcPr>
            <w:tcW w:w="99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bottom"/>
            <w:hideMark/>
          </w:tcPr>
          <w:p w:rsidR="000E7C4C" w:rsidRDefault="003C3EA6">
            <w:pPr>
              <w:jc w:val="center"/>
              <w:rPr>
                <w:color w:val="000000"/>
                <w:sz w:val="20"/>
                <w:lang w:eastAsia="lt-LT"/>
              </w:rPr>
            </w:pPr>
            <w:r>
              <w:rPr>
                <w:color w:val="000000"/>
                <w:sz w:val="20"/>
                <w:lang w:eastAsia="lt-LT"/>
              </w:rPr>
              <w:t>13.3%</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bottom"/>
            <w:hideMark/>
          </w:tcPr>
          <w:p w:rsidR="000E7C4C" w:rsidRDefault="003C3EA6">
            <w:pPr>
              <w:jc w:val="center"/>
              <w:rPr>
                <w:color w:val="000000"/>
                <w:sz w:val="20"/>
                <w:lang w:eastAsia="lt-LT"/>
              </w:rPr>
            </w:pPr>
            <w:r>
              <w:rPr>
                <w:color w:val="000000"/>
                <w:sz w:val="20"/>
                <w:lang w:eastAsia="lt-LT"/>
              </w:rPr>
              <w:t>7.6%</w:t>
            </w:r>
          </w:p>
        </w:tc>
        <w:tc>
          <w:tcPr>
            <w:tcW w:w="14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bottom"/>
            <w:hideMark/>
          </w:tcPr>
          <w:p w:rsidR="000E7C4C" w:rsidRDefault="003C3EA6">
            <w:pPr>
              <w:jc w:val="center"/>
              <w:rPr>
                <w:color w:val="000000"/>
                <w:sz w:val="20"/>
                <w:lang w:eastAsia="lt-LT"/>
              </w:rPr>
            </w:pPr>
            <w:r>
              <w:rPr>
                <w:color w:val="000000"/>
                <w:sz w:val="20"/>
                <w:lang w:eastAsia="lt-LT"/>
              </w:rPr>
              <w:t>5.3%</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lang w:eastAsia="lt-LT"/>
              </w:rPr>
              <w:t>5.0%</w:t>
            </w:r>
          </w:p>
        </w:tc>
        <w:tc>
          <w:tcPr>
            <w:tcW w:w="99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tcPr>
          <w:p w:rsidR="000E7C4C" w:rsidRDefault="000E7C4C">
            <w:pPr>
              <w:jc w:val="center"/>
              <w:rPr>
                <w:color w:val="000000"/>
                <w:sz w:val="20"/>
                <w:lang w:eastAsia="lt-LT"/>
              </w:rPr>
            </w:pPr>
          </w:p>
        </w:tc>
        <w:tc>
          <w:tcPr>
            <w:tcW w:w="850" w:type="dxa"/>
            <w:vMerge/>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0E7C4C">
            <w:pPr>
              <w:rPr>
                <w:color w:val="000000"/>
                <w:sz w:val="20"/>
                <w:lang w:eastAsia="lt-LT"/>
              </w:rPr>
            </w:pPr>
          </w:p>
        </w:tc>
      </w:tr>
    </w:tbl>
    <w:p w:rsidR="000E7C4C" w:rsidRDefault="003C3EA6">
      <w:pPr>
        <w:jc w:val="center"/>
        <w:rPr>
          <w:color w:val="000000"/>
          <w:sz w:val="22"/>
          <w:szCs w:val="22"/>
        </w:rPr>
      </w:pPr>
      <w:r>
        <w:rPr>
          <w:color w:val="000000"/>
          <w:sz w:val="22"/>
          <w:szCs w:val="22"/>
        </w:rPr>
        <w:t>(Duomenų šaltinis: AAA)</w:t>
      </w:r>
    </w:p>
    <w:p w:rsidR="000E7C4C" w:rsidRDefault="003C3EA6">
      <w:pPr>
        <w:jc w:val="both"/>
        <w:rPr>
          <w:color w:val="000000"/>
          <w:sz w:val="22"/>
          <w:szCs w:val="22"/>
        </w:rPr>
      </w:pPr>
    </w:p>
    <w:p w:rsidR="000E7C4C" w:rsidRDefault="003C3EA6">
      <w:pPr>
        <w:tabs>
          <w:tab w:val="left" w:pos="851"/>
        </w:tabs>
        <w:ind w:firstLine="567"/>
        <w:jc w:val="both"/>
        <w:rPr>
          <w:color w:val="000000"/>
          <w:szCs w:val="21"/>
        </w:rPr>
      </w:pPr>
      <w:r>
        <w:rPr>
          <w:color w:val="000000"/>
          <w:szCs w:val="21"/>
        </w:rPr>
        <w:t>9</w:t>
      </w:r>
      <w:r>
        <w:rPr>
          <w:color w:val="000000"/>
          <w:szCs w:val="21"/>
        </w:rPr>
        <w:t>.</w:t>
      </w:r>
      <w:r>
        <w:rPr>
          <w:color w:val="000000"/>
          <w:szCs w:val="21"/>
        </w:rPr>
        <w:tab/>
        <w:t xml:space="preserve">Žemės ūkio veiklos (neįskaitant gyvulininkystės) išmestas </w:t>
      </w:r>
      <w:proofErr w:type="spellStart"/>
      <w:r>
        <w:rPr>
          <w:color w:val="000000"/>
          <w:szCs w:val="21"/>
        </w:rPr>
        <w:t>NO</w:t>
      </w:r>
      <w:r>
        <w:rPr>
          <w:color w:val="000000"/>
          <w:szCs w:val="21"/>
          <w:vertAlign w:val="subscript"/>
        </w:rPr>
        <w:t>x</w:t>
      </w:r>
      <w:proofErr w:type="spellEnd"/>
      <w:r>
        <w:rPr>
          <w:color w:val="000000"/>
          <w:szCs w:val="21"/>
        </w:rPr>
        <w:t xml:space="preserve"> kiekis padidėjo 35,6 proc., lyginant 2005 m. ir 2015 m. Daugiau nei 99 proc. šio sektoriaus išmesto </w:t>
      </w:r>
      <w:proofErr w:type="spellStart"/>
      <w:r>
        <w:rPr>
          <w:color w:val="000000"/>
          <w:szCs w:val="21"/>
        </w:rPr>
        <w:t>NO</w:t>
      </w:r>
      <w:r>
        <w:rPr>
          <w:color w:val="000000"/>
          <w:szCs w:val="21"/>
          <w:vertAlign w:val="subscript"/>
        </w:rPr>
        <w:t>x</w:t>
      </w:r>
      <w:proofErr w:type="spellEnd"/>
      <w:r>
        <w:rPr>
          <w:color w:val="000000"/>
          <w:szCs w:val="21"/>
        </w:rPr>
        <w:t xml:space="preserve"> kiekio sudaro neorganinių azoto (N) trąšų (įskaitant karbamidą) išmetimai. Kaip matyti 2 lentelėje, dėl neorganinių azoto (N) trąšų (įskaitant karbamidą) naudojimo išmesto </w:t>
      </w:r>
      <w:proofErr w:type="spellStart"/>
      <w:r>
        <w:rPr>
          <w:color w:val="000000"/>
          <w:szCs w:val="21"/>
        </w:rPr>
        <w:t>NO</w:t>
      </w:r>
      <w:r>
        <w:rPr>
          <w:color w:val="000000"/>
          <w:szCs w:val="21"/>
          <w:vertAlign w:val="subscript"/>
        </w:rPr>
        <w:t>x</w:t>
      </w:r>
      <w:proofErr w:type="spellEnd"/>
      <w:r>
        <w:rPr>
          <w:color w:val="000000"/>
          <w:szCs w:val="21"/>
        </w:rPr>
        <w:t xml:space="preserve"> kiekio dalis bendroje išmesto </w:t>
      </w:r>
      <w:proofErr w:type="spellStart"/>
      <w:r>
        <w:rPr>
          <w:color w:val="000000"/>
          <w:szCs w:val="21"/>
        </w:rPr>
        <w:t>NO</w:t>
      </w:r>
      <w:r>
        <w:rPr>
          <w:color w:val="000000"/>
          <w:szCs w:val="21"/>
          <w:vertAlign w:val="subscript"/>
        </w:rPr>
        <w:t>x</w:t>
      </w:r>
      <w:proofErr w:type="spellEnd"/>
      <w:r>
        <w:rPr>
          <w:color w:val="000000"/>
          <w:szCs w:val="21"/>
        </w:rPr>
        <w:t xml:space="preserve"> kiekio struktūroje padidėjo nuo 11,6 proc. 2005 m. iki 17,2 proc. 2015 m.</w:t>
      </w:r>
    </w:p>
    <w:p w:rsidR="000E7C4C" w:rsidRDefault="003C3EA6">
      <w:pPr>
        <w:tabs>
          <w:tab w:val="left" w:pos="851"/>
        </w:tabs>
        <w:ind w:firstLine="567"/>
        <w:jc w:val="both"/>
        <w:rPr>
          <w:color w:val="000000"/>
          <w:szCs w:val="21"/>
        </w:rPr>
      </w:pPr>
      <w:r>
        <w:rPr>
          <w:color w:val="000000"/>
          <w:szCs w:val="21"/>
        </w:rPr>
        <w:t>10</w:t>
      </w:r>
      <w:r>
        <w:rPr>
          <w:color w:val="000000"/>
          <w:szCs w:val="21"/>
        </w:rPr>
        <w:t>.</w:t>
      </w:r>
      <w:r>
        <w:rPr>
          <w:color w:val="000000"/>
          <w:szCs w:val="21"/>
        </w:rPr>
        <w:tab/>
        <w:t xml:space="preserve">Per nagrinėjamą laikotarpį pasikeitė namų ūkių ir kuro deginimo naftos perdirbime reikšmingumas bendroje išmesto </w:t>
      </w:r>
      <w:proofErr w:type="spellStart"/>
      <w:r>
        <w:rPr>
          <w:color w:val="000000"/>
          <w:szCs w:val="21"/>
        </w:rPr>
        <w:t>NO</w:t>
      </w:r>
      <w:r>
        <w:rPr>
          <w:color w:val="000000"/>
          <w:szCs w:val="21"/>
          <w:vertAlign w:val="subscript"/>
        </w:rPr>
        <w:t>x</w:t>
      </w:r>
      <w:proofErr w:type="spellEnd"/>
      <w:r>
        <w:rPr>
          <w:color w:val="000000"/>
          <w:szCs w:val="21"/>
        </w:rPr>
        <w:t xml:space="preserve"> kiekio struktūroje: abu šie sektoriai 2015 m. nepateko tarp pagrindinių </w:t>
      </w:r>
      <w:proofErr w:type="spellStart"/>
      <w:r>
        <w:rPr>
          <w:color w:val="000000"/>
          <w:szCs w:val="21"/>
        </w:rPr>
        <w:t>NO</w:t>
      </w:r>
      <w:r>
        <w:rPr>
          <w:color w:val="000000"/>
          <w:szCs w:val="21"/>
          <w:vertAlign w:val="subscript"/>
        </w:rPr>
        <w:t>x</w:t>
      </w:r>
      <w:proofErr w:type="spellEnd"/>
      <w:r>
        <w:rPr>
          <w:color w:val="000000"/>
          <w:szCs w:val="21"/>
        </w:rPr>
        <w:t xml:space="preserve"> teršėjų. Tarp pagrindinių teršiančių sektorių 2015 m. atsirado mineralinių medžiagų apdirbimo pramonės stacionarus deginimas (žr. 2 lent.), kurio išmestas </w:t>
      </w:r>
      <w:proofErr w:type="spellStart"/>
      <w:r>
        <w:rPr>
          <w:color w:val="000000"/>
          <w:szCs w:val="21"/>
        </w:rPr>
        <w:t>NO</w:t>
      </w:r>
      <w:r>
        <w:rPr>
          <w:color w:val="000000"/>
          <w:szCs w:val="21"/>
          <w:vertAlign w:val="subscript"/>
        </w:rPr>
        <w:t>x</w:t>
      </w:r>
      <w:proofErr w:type="spellEnd"/>
      <w:r>
        <w:rPr>
          <w:color w:val="000000"/>
          <w:szCs w:val="21"/>
        </w:rPr>
        <w:t xml:space="preserve"> kiekis padidėjo 31,4 proc., lyginant 2005 m. ir 2015 m. Viešosios elektros energijos ir šilumos gamybos sektoriaus išmestas </w:t>
      </w:r>
      <w:proofErr w:type="spellStart"/>
      <w:r>
        <w:rPr>
          <w:color w:val="000000"/>
          <w:szCs w:val="21"/>
        </w:rPr>
        <w:t>NO</w:t>
      </w:r>
      <w:r>
        <w:rPr>
          <w:color w:val="000000"/>
          <w:szCs w:val="21"/>
          <w:vertAlign w:val="subscript"/>
        </w:rPr>
        <w:t>x</w:t>
      </w:r>
      <w:proofErr w:type="spellEnd"/>
      <w:r>
        <w:rPr>
          <w:color w:val="000000"/>
          <w:szCs w:val="21"/>
        </w:rPr>
        <w:t xml:space="preserve"> kiekis sumažėjo 28,5 proc. ir tai lėmė šio sektoriaus dalies bendroje išmesto </w:t>
      </w:r>
      <w:proofErr w:type="spellStart"/>
      <w:r>
        <w:rPr>
          <w:color w:val="000000"/>
          <w:szCs w:val="21"/>
        </w:rPr>
        <w:t>NO</w:t>
      </w:r>
      <w:r>
        <w:rPr>
          <w:color w:val="000000"/>
          <w:szCs w:val="21"/>
          <w:vertAlign w:val="subscript"/>
        </w:rPr>
        <w:t>x</w:t>
      </w:r>
      <w:proofErr w:type="spellEnd"/>
      <w:r>
        <w:rPr>
          <w:color w:val="000000"/>
          <w:szCs w:val="21"/>
        </w:rPr>
        <w:t xml:space="preserve"> kiekio struktūroje sumažėjimą nuo 9,7 proc. 2005 m. iki 7,6 proc. 2015 m.</w:t>
      </w:r>
    </w:p>
    <w:p w:rsidR="000E7C4C" w:rsidRDefault="003C3EA6">
      <w:pPr>
        <w:tabs>
          <w:tab w:val="left" w:pos="851"/>
        </w:tabs>
        <w:ind w:firstLine="567"/>
        <w:jc w:val="both"/>
        <w:rPr>
          <w:color w:val="000000"/>
          <w:szCs w:val="21"/>
        </w:rPr>
      </w:pPr>
      <w:r>
        <w:rPr>
          <w:color w:val="000000"/>
          <w:szCs w:val="21"/>
        </w:rPr>
        <w:t>11</w:t>
      </w:r>
      <w:r>
        <w:rPr>
          <w:color w:val="000000"/>
          <w:szCs w:val="21"/>
        </w:rPr>
        <w:t>.</w:t>
      </w:r>
      <w:r>
        <w:rPr>
          <w:color w:val="000000"/>
          <w:szCs w:val="21"/>
        </w:rPr>
        <w:tab/>
        <w:t xml:space="preserve">Analizuojant pagrindinius teršėjus, nustatyta, kad daugiausia </w:t>
      </w:r>
      <w:proofErr w:type="spellStart"/>
      <w:r>
        <w:rPr>
          <w:color w:val="000000"/>
          <w:szCs w:val="21"/>
        </w:rPr>
        <w:t>NO</w:t>
      </w:r>
      <w:r>
        <w:rPr>
          <w:color w:val="000000"/>
          <w:szCs w:val="21"/>
          <w:vertAlign w:val="subscript"/>
        </w:rPr>
        <w:t>x</w:t>
      </w:r>
      <w:proofErr w:type="spellEnd"/>
      <w:r>
        <w:rPr>
          <w:color w:val="000000"/>
          <w:szCs w:val="21"/>
        </w:rPr>
        <w:t xml:space="preserve"> į aplinkos orą išmetė cemento gamybos ir naftos perdirbimo pramonė. Reikšmingi išmetimai užfiksuoti baldų gamybos pramonėje ir chemijos pramonėje. Prie reikšmingiausių teršėjų galima priskirti ir viešosios energijos gamybą.</w:t>
      </w:r>
    </w:p>
    <w:p w:rsidR="000E7C4C" w:rsidRDefault="003C3EA6">
      <w:pPr>
        <w:jc w:val="both"/>
        <w:rPr>
          <w:color w:val="000000"/>
          <w:szCs w:val="21"/>
        </w:rPr>
      </w:pPr>
    </w:p>
    <w:p w:rsidR="000E7C4C" w:rsidRDefault="003C3EA6">
      <w:pPr>
        <w:keepNext/>
        <w:keepLines/>
        <w:jc w:val="center"/>
        <w:outlineLvl w:val="2"/>
        <w:rPr>
          <w:b/>
          <w:bCs/>
          <w:caps/>
          <w:color w:val="000000"/>
          <w:szCs w:val="28"/>
        </w:rPr>
      </w:pPr>
      <w:r>
        <w:rPr>
          <w:b/>
          <w:bCs/>
          <w:caps/>
          <w:color w:val="000000"/>
          <w:szCs w:val="28"/>
        </w:rPr>
        <w:t>III</w:t>
      </w:r>
      <w:r>
        <w:rPr>
          <w:b/>
          <w:bCs/>
          <w:caps/>
          <w:color w:val="000000"/>
          <w:szCs w:val="28"/>
        </w:rPr>
        <w:t xml:space="preserve"> SKYRIUS</w:t>
      </w:r>
    </w:p>
    <w:p w:rsidR="000E7C4C" w:rsidRDefault="003C3EA6">
      <w:pPr>
        <w:keepNext/>
        <w:keepLines/>
        <w:jc w:val="center"/>
        <w:outlineLvl w:val="2"/>
        <w:rPr>
          <w:b/>
          <w:bCs/>
          <w:caps/>
          <w:color w:val="000000"/>
          <w:szCs w:val="28"/>
        </w:rPr>
      </w:pPr>
      <w:r>
        <w:rPr>
          <w:b/>
          <w:bCs/>
          <w:caps/>
          <w:color w:val="000000"/>
          <w:szCs w:val="28"/>
        </w:rPr>
        <w:t>IŠMESTO NEMETANINIŲ LAKIŲJŲ ORGANINIŲ JUNGINIŲ KIEKIO ANALIZĖ</w:t>
      </w:r>
    </w:p>
    <w:p w:rsidR="000E7C4C" w:rsidRDefault="000E7C4C">
      <w:pPr>
        <w:tabs>
          <w:tab w:val="num" w:pos="360"/>
        </w:tabs>
        <w:spacing w:line="360" w:lineRule="atLeast"/>
        <w:jc w:val="both"/>
        <w:rPr>
          <w:color w:val="000000"/>
          <w:szCs w:val="21"/>
        </w:rPr>
      </w:pPr>
    </w:p>
    <w:p w:rsidR="000E7C4C" w:rsidRDefault="003C3EA6">
      <w:pPr>
        <w:tabs>
          <w:tab w:val="left" w:pos="851"/>
        </w:tabs>
        <w:ind w:firstLine="567"/>
        <w:jc w:val="both"/>
        <w:rPr>
          <w:color w:val="000000"/>
          <w:szCs w:val="21"/>
        </w:rPr>
      </w:pPr>
      <w:r>
        <w:rPr>
          <w:color w:val="000000"/>
          <w:szCs w:val="21"/>
        </w:rPr>
        <w:t>12</w:t>
      </w:r>
      <w:r>
        <w:rPr>
          <w:color w:val="000000"/>
          <w:szCs w:val="21"/>
        </w:rPr>
        <w:t>.</w:t>
      </w:r>
      <w:r>
        <w:rPr>
          <w:color w:val="000000"/>
          <w:szCs w:val="21"/>
        </w:rPr>
        <w:tab/>
        <w:t>Išmestas nemetaninių lakiųjų organinių junginių (toliau – NMLOJ) kiekis 2005–2015 m. laikotarpiu pasižymėjo nuoseklaus mažėjimo tendencija. Išmestas NMLOJ kiekis sumažėjo apie 20,9 proc., vidutiniškai per metus mažėdamas 2,3 proc. (žr. 5 pav.). NAAS nustatyti išmesto NMLOJ kiekio tikslai yra daug mažesni (skaitine išraiška) nei nagrinėjamu laikotarpiu užfiksuotas išmestas NMLOJ kiekis.</w:t>
      </w:r>
    </w:p>
    <w:p w:rsidR="000E7C4C" w:rsidRDefault="000E7C4C">
      <w:pPr>
        <w:jc w:val="center"/>
        <w:rPr>
          <w:color w:val="000000"/>
          <w:szCs w:val="21"/>
        </w:rPr>
      </w:pPr>
    </w:p>
    <w:p w:rsidR="000E7C4C" w:rsidRDefault="003C3EA6">
      <w:pPr>
        <w:jc w:val="center"/>
        <w:rPr>
          <w:color w:val="000000"/>
          <w:szCs w:val="21"/>
        </w:rPr>
      </w:pPr>
      <w:r>
        <w:rPr>
          <w:noProof/>
          <w:color w:val="000000"/>
          <w:szCs w:val="21"/>
          <w:lang w:eastAsia="lt-LT"/>
        </w:rPr>
        <w:drawing>
          <wp:inline distT="0" distB="0" distL="0" distR="0" wp14:anchorId="2DAB9283" wp14:editId="5311F2A2">
            <wp:extent cx="4486275" cy="2324100"/>
            <wp:effectExtent l="0" t="0" r="0" b="0"/>
            <wp:docPr id="226" name="Diagrama 226"/>
            <wp:cNvGraphicFramePr/>
            <a:graphic xmlns:a="http://schemas.openxmlformats.org/drawingml/2006/main">
              <a:graphicData uri="http://schemas.openxmlformats.org/drawingml/2006/chart">
                <c:chart xmlns:c="http://schemas.openxmlformats.org/drawingml/2006/chart" r:id="rId22"/>
              </a:graphicData>
            </a:graphic>
          </wp:inline>
        </w:drawing>
      </w:r>
    </w:p>
    <w:p w:rsidR="000E7C4C" w:rsidRDefault="003C3EA6">
      <w:pPr>
        <w:keepNext/>
        <w:tabs>
          <w:tab w:val="left" w:pos="993"/>
          <w:tab w:val="left" w:pos="1134"/>
        </w:tabs>
        <w:jc w:val="center"/>
        <w:rPr>
          <w:color w:val="000000"/>
          <w:sz w:val="22"/>
          <w:szCs w:val="22"/>
        </w:rPr>
      </w:pPr>
      <w:r>
        <w:rPr>
          <w:color w:val="000000"/>
          <w:sz w:val="22"/>
          <w:szCs w:val="22"/>
        </w:rPr>
        <w:t>5 paveikslas. Išmesto į aplinkos orą NMLOJ kiekio dinamika Lietuvoje 2005–2015 m.</w:t>
      </w:r>
    </w:p>
    <w:p w:rsidR="000E7C4C" w:rsidRDefault="003C3EA6">
      <w:pPr>
        <w:jc w:val="center"/>
        <w:rPr>
          <w:color w:val="000000"/>
          <w:sz w:val="22"/>
          <w:szCs w:val="22"/>
        </w:rPr>
      </w:pPr>
      <w:r>
        <w:rPr>
          <w:color w:val="000000"/>
          <w:sz w:val="22"/>
          <w:szCs w:val="22"/>
        </w:rPr>
        <w:t>(Duomenų šaltinis: AAA)</w:t>
      </w:r>
    </w:p>
    <w:p w:rsidR="000E7C4C" w:rsidRDefault="003C3EA6">
      <w:pPr>
        <w:jc w:val="both"/>
        <w:rPr>
          <w:color w:val="000000"/>
          <w:szCs w:val="21"/>
        </w:rPr>
      </w:pPr>
    </w:p>
    <w:p w:rsidR="000E7C4C" w:rsidRDefault="003C3EA6">
      <w:pPr>
        <w:ind w:firstLine="567"/>
        <w:jc w:val="both"/>
        <w:rPr>
          <w:color w:val="000000"/>
          <w:szCs w:val="21"/>
        </w:rPr>
      </w:pPr>
      <w:r>
        <w:rPr>
          <w:color w:val="000000"/>
          <w:szCs w:val="21"/>
        </w:rPr>
        <w:t>13</w:t>
      </w:r>
      <w:r>
        <w:rPr>
          <w:color w:val="000000"/>
          <w:szCs w:val="21"/>
        </w:rPr>
        <w:t xml:space="preserve">. Išmesto NMLOJ kiekio sumažėjimui įtakos turėjo visuose sektoriuose sumažėjęs išmestas NMLOJ kiekis (išskyrus aviaciją, kadangi aviacijos išmestas NMLOJ kiekis sudarė nagrinėjamu laikotarpiu 0,02–0,03 proc. viso išmesto NMLOJ kiekio, todėl nedarė reikšmingos įtakos bendram išmestam NMLOJ kiekiui). Didžiausias sumažėjimas užfiksuotas kelių transporto sektoriuje, ypač lengvųjų automobilių ir benzino garavimo rodiklių atveju: išmestas NMLOJ kiekis atitinkamai sumažėjo 80,1 proc. ir 80,6 proc., lyginant 2005 ir 2015 m. duomenis. Lengvųjų automobilių kiekis, remiantis Lietuvos statistikos departamento duomenimis, nuo 2005 m. iki 2015 m. sumažėjo 14,5 proc., tuo metu naujų automobilių skaičius didėjo. Mažėjant kelių transporto sektoriaus išmestam NMLOJ kiekiui, mažėjo ir šio sektoriaus išmesto NMLOJ kiekio dalis bendroje išmesto NMLOJ kiekio struktūroje nuo 16,4 proc. 2005 m. iki 5,7 proc. 2015 m. Iš kitų NMLOJ išmetančių sektorių išskirtinas atliekų sektorius, kuris 2015 m. generavo 54,1 proc. mažesnę taršą nei 2005 m. ir tai lėmė, jog kitų sektorių dalis išmesto NMLOJ kiekio struktūroje sumažėjo nuo 4,6 proc. 2005 m. iki 3,4 proc. 2015 m. </w:t>
      </w:r>
    </w:p>
    <w:p w:rsidR="000E7C4C" w:rsidRDefault="003C3EA6">
      <w:pPr>
        <w:ind w:firstLine="567"/>
        <w:jc w:val="both"/>
        <w:rPr>
          <w:color w:val="000000"/>
          <w:szCs w:val="21"/>
        </w:rPr>
      </w:pPr>
      <w:r>
        <w:rPr>
          <w:color w:val="000000"/>
          <w:szCs w:val="21"/>
        </w:rPr>
        <w:t>14</w:t>
      </w:r>
      <w:r>
        <w:rPr>
          <w:color w:val="000000"/>
          <w:szCs w:val="21"/>
        </w:rPr>
        <w:t>. Dėl tirpiklių vartojimo išmestas NMLOJ kiekis sudarė apie ketvirtadalį viso išmesto NMLOJ kiekio. Tirpiklių vartojimo išmestas NMLOJ kiekis sumažėjo 10,5 proc., lyginant 2005 m. ir 2015 m. Pažymėtina, kad tirpiklių vartojimo išmesto NMLOJ kiekio dalis bendroje išmesto NMLOJ kiekio struktūroje padidėjo nuo 23 proc. 2005 m. iki 26,1 proc. 2015 m. Apie penktadalį viso išmesto NMLOJ kiekio sudarė kito stacionaraus deginimo sektoriaus išmestas NMLOJ kiekis (žr. 6 pav.).</w:t>
      </w:r>
    </w:p>
    <w:p w:rsidR="000E7C4C" w:rsidRDefault="000E7C4C">
      <w:pPr>
        <w:ind w:left="720"/>
        <w:jc w:val="both"/>
        <w:rPr>
          <w:color w:val="000000"/>
          <w:szCs w:val="21"/>
        </w:rPr>
      </w:pPr>
    </w:p>
    <w:p w:rsidR="000E7C4C" w:rsidRDefault="003C3EA6">
      <w:pPr>
        <w:jc w:val="center"/>
        <w:rPr>
          <w:color w:val="000000"/>
          <w:szCs w:val="21"/>
        </w:rPr>
      </w:pPr>
      <w:r>
        <w:rPr>
          <w:noProof/>
          <w:color w:val="000000"/>
          <w:lang w:eastAsia="lt-LT"/>
        </w:rPr>
        <w:drawing>
          <wp:inline distT="0" distB="0" distL="0" distR="0" wp14:anchorId="2A207758" wp14:editId="3B1C35E9">
            <wp:extent cx="4572000" cy="2628900"/>
            <wp:effectExtent l="0" t="0" r="0" b="0"/>
            <wp:docPr id="225" name="Diagrama 225"/>
            <wp:cNvGraphicFramePr/>
            <a:graphic xmlns:a="http://schemas.openxmlformats.org/drawingml/2006/main">
              <a:graphicData uri="http://schemas.openxmlformats.org/drawingml/2006/chart">
                <c:chart xmlns:c="http://schemas.openxmlformats.org/drawingml/2006/chart" r:id="rId23"/>
              </a:graphicData>
            </a:graphic>
          </wp:inline>
        </w:drawing>
      </w:r>
    </w:p>
    <w:p w:rsidR="000E7C4C" w:rsidRDefault="003C3EA6">
      <w:pPr>
        <w:keepNext/>
        <w:tabs>
          <w:tab w:val="left" w:pos="993"/>
          <w:tab w:val="left" w:pos="1134"/>
        </w:tabs>
        <w:jc w:val="center"/>
        <w:rPr>
          <w:color w:val="000000"/>
          <w:sz w:val="22"/>
          <w:szCs w:val="22"/>
        </w:rPr>
      </w:pPr>
      <w:r>
        <w:rPr>
          <w:color w:val="000000"/>
          <w:sz w:val="22"/>
          <w:szCs w:val="22"/>
        </w:rPr>
        <w:t xml:space="preserve">6 paveikslas. Išmesto į aplinkos orą NMLOJ struktūra pagal taršos šaltinius 2005–2015 m. </w:t>
      </w:r>
    </w:p>
    <w:p w:rsidR="000E7C4C" w:rsidRDefault="003C3EA6">
      <w:pPr>
        <w:jc w:val="center"/>
        <w:rPr>
          <w:color w:val="000000"/>
          <w:sz w:val="22"/>
          <w:szCs w:val="22"/>
        </w:rPr>
      </w:pPr>
      <w:r>
        <w:rPr>
          <w:color w:val="000000"/>
          <w:sz w:val="22"/>
          <w:szCs w:val="22"/>
        </w:rPr>
        <w:t>(Duomenų šaltinis: AAA)</w:t>
      </w:r>
    </w:p>
    <w:p w:rsidR="000E7C4C" w:rsidRDefault="003C3EA6">
      <w:pPr>
        <w:jc w:val="both"/>
        <w:rPr>
          <w:color w:val="000000"/>
          <w:sz w:val="22"/>
          <w:szCs w:val="22"/>
        </w:rPr>
      </w:pPr>
    </w:p>
    <w:p w:rsidR="000E7C4C" w:rsidRDefault="003C3EA6">
      <w:pPr>
        <w:ind w:firstLine="567"/>
        <w:jc w:val="both"/>
        <w:rPr>
          <w:color w:val="000000"/>
          <w:szCs w:val="21"/>
        </w:rPr>
      </w:pPr>
      <w:r>
        <w:rPr>
          <w:color w:val="000000"/>
          <w:szCs w:val="21"/>
        </w:rPr>
        <w:t>15</w:t>
      </w:r>
      <w:r>
        <w:rPr>
          <w:color w:val="000000"/>
          <w:szCs w:val="21"/>
        </w:rPr>
        <w:t xml:space="preserve">. Kaip matyti 3 lentelėje, išmestam NMLOJ kiekiui įtakos turėjo įvairių sektorių išmestas NMLOJ kiekis. Nors daugelio sektorių išmesto NMLOJ kiekio dalis bendroje išmesto NMLOJ kiekio struktūroje padidėjo, daugumos sektorių išmestas NMLOJ kiekis sumažėjo, išskyrus naftos produktų paskirstymo ir mėšlo iš ne pieninių galvijų ūkių valdymo </w:t>
      </w:r>
      <w:proofErr w:type="spellStart"/>
      <w:r>
        <w:rPr>
          <w:color w:val="000000"/>
          <w:szCs w:val="21"/>
        </w:rPr>
        <w:t>subsektorius</w:t>
      </w:r>
      <w:proofErr w:type="spellEnd"/>
      <w:r>
        <w:rPr>
          <w:color w:val="000000"/>
          <w:szCs w:val="21"/>
        </w:rPr>
        <w:t>. Dėl naftos produktų paskirstymo išmestas NMLOJ kiekis padidėjo 7,8 proc., lyginant 2005 m. ir 2015 m. Iš ne pieninių galvijų ūkių mėšlo išmestas NMLOJ kiekis padidėjo 10 proc.</w:t>
      </w:r>
    </w:p>
    <w:p w:rsidR="000E7C4C" w:rsidRDefault="000E7C4C">
      <w:pPr>
        <w:jc w:val="both"/>
        <w:rPr>
          <w:color w:val="000000"/>
          <w:szCs w:val="21"/>
        </w:rPr>
      </w:pPr>
    </w:p>
    <w:p w:rsidR="000E7C4C" w:rsidRDefault="003C3EA6">
      <w:pPr>
        <w:jc w:val="both"/>
        <w:rPr>
          <w:color w:val="000000"/>
        </w:rPr>
      </w:pPr>
      <w:r>
        <w:rPr>
          <w:color w:val="000000"/>
        </w:rPr>
        <w:t>3 lentelė. Išmestas NMLOJ kiekis: pagrindinių kategorijų analizė</w:t>
      </w:r>
    </w:p>
    <w:tbl>
      <w:tblPr>
        <w:tblW w:w="9705" w:type="dxa"/>
        <w:tblBorders>
          <w:top w:val="single" w:sz="12" w:space="0" w:color="FFFFFF"/>
          <w:bottom w:val="single" w:sz="2" w:space="0" w:color="1F497D"/>
          <w:insideH w:val="single" w:sz="2" w:space="0" w:color="1F497D"/>
          <w:insideV w:val="single" w:sz="12" w:space="0" w:color="FFFFFF"/>
        </w:tblBorders>
        <w:tblLayout w:type="fixed"/>
        <w:tblCellMar>
          <w:top w:w="28" w:type="dxa"/>
          <w:left w:w="28" w:type="dxa"/>
          <w:bottom w:w="28" w:type="dxa"/>
          <w:right w:w="28" w:type="dxa"/>
        </w:tblCellMar>
        <w:tblLook w:val="04A0" w:firstRow="1" w:lastRow="0" w:firstColumn="1" w:lastColumn="0" w:noHBand="0" w:noVBand="1"/>
      </w:tblPr>
      <w:tblGrid>
        <w:gridCol w:w="586"/>
        <w:gridCol w:w="711"/>
        <w:gridCol w:w="695"/>
        <w:gridCol w:w="792"/>
        <w:gridCol w:w="768"/>
        <w:gridCol w:w="615"/>
        <w:gridCol w:w="727"/>
        <w:gridCol w:w="727"/>
        <w:gridCol w:w="817"/>
        <w:gridCol w:w="532"/>
        <w:gridCol w:w="711"/>
        <w:gridCol w:w="817"/>
        <w:gridCol w:w="737"/>
        <w:gridCol w:w="470"/>
      </w:tblGrid>
      <w:tr w:rsidR="000E7C4C">
        <w:trPr>
          <w:tblHeader/>
        </w:trPr>
        <w:tc>
          <w:tcPr>
            <w:tcW w:w="585" w:type="dxa"/>
            <w:tcBorders>
              <w:top w:val="single" w:sz="12" w:space="0" w:color="FFFFFF" w:themeColor="background1"/>
              <w:left w:val="nil"/>
              <w:bottom w:val="single" w:sz="2" w:space="0" w:color="1F497D" w:themeColor="text2"/>
              <w:right w:val="single" w:sz="12" w:space="0" w:color="FFFFFF" w:themeColor="background1"/>
            </w:tcBorders>
            <w:shd w:val="clear" w:color="auto" w:fill="002060"/>
            <w:hideMark/>
          </w:tcPr>
          <w:p w:rsidR="000E7C4C" w:rsidRDefault="003C3EA6">
            <w:pPr>
              <w:tabs>
                <w:tab w:val="left" w:pos="1296"/>
              </w:tabs>
              <w:jc w:val="center"/>
              <w:rPr>
                <w:color w:val="FFFFFF"/>
                <w:sz w:val="18"/>
                <w:szCs w:val="18"/>
              </w:rPr>
            </w:pPr>
            <w:r>
              <w:rPr>
                <w:color w:val="FFFFFF"/>
                <w:sz w:val="18"/>
                <w:szCs w:val="18"/>
              </w:rPr>
              <w:t>Metai</w:t>
            </w:r>
          </w:p>
        </w:tc>
        <w:tc>
          <w:tcPr>
            <w:tcW w:w="8657" w:type="dxa"/>
            <w:gridSpan w:val="12"/>
            <w:tcBorders>
              <w:top w:val="single" w:sz="12" w:space="0" w:color="FFFFFF" w:themeColor="background1"/>
              <w:left w:val="single" w:sz="12" w:space="0" w:color="FFFFFF" w:themeColor="background1"/>
              <w:bottom w:val="single" w:sz="2" w:space="0" w:color="1F497D" w:themeColor="text2"/>
              <w:right w:val="single" w:sz="12" w:space="0" w:color="FFFFFF" w:themeColor="background1"/>
            </w:tcBorders>
            <w:shd w:val="clear" w:color="auto" w:fill="002060"/>
            <w:hideMark/>
          </w:tcPr>
          <w:p w:rsidR="000E7C4C" w:rsidRDefault="003C3EA6">
            <w:pPr>
              <w:jc w:val="center"/>
              <w:rPr>
                <w:bCs/>
                <w:color w:val="FFFFFF"/>
                <w:sz w:val="18"/>
                <w:szCs w:val="18"/>
                <w:lang w:eastAsia="en-GB"/>
              </w:rPr>
            </w:pPr>
            <w:r>
              <w:rPr>
                <w:bCs/>
                <w:color w:val="FFFFFF"/>
                <w:sz w:val="18"/>
                <w:szCs w:val="18"/>
                <w:lang w:eastAsia="en-GB"/>
              </w:rPr>
              <w:t>Pagrindinės kategorijos (surūšiuotos nuo aukščiausios iki žemiausios, iš kairės į dešinę)</w:t>
            </w:r>
          </w:p>
        </w:tc>
        <w:tc>
          <w:tcPr>
            <w:tcW w:w="470" w:type="dxa"/>
            <w:tcBorders>
              <w:top w:val="single" w:sz="12" w:space="0" w:color="FFFFFF" w:themeColor="background1"/>
              <w:left w:val="single" w:sz="12" w:space="0" w:color="FFFFFF" w:themeColor="background1"/>
              <w:bottom w:val="single" w:sz="2" w:space="0" w:color="1F497D" w:themeColor="text2"/>
              <w:right w:val="nil"/>
            </w:tcBorders>
            <w:shd w:val="clear" w:color="auto" w:fill="002060"/>
            <w:hideMark/>
          </w:tcPr>
          <w:p w:rsidR="000E7C4C" w:rsidRDefault="003C3EA6">
            <w:pPr>
              <w:jc w:val="center"/>
              <w:rPr>
                <w:bCs/>
                <w:color w:val="FFFFFF"/>
                <w:sz w:val="18"/>
                <w:szCs w:val="18"/>
                <w:lang w:eastAsia="en-GB"/>
              </w:rPr>
            </w:pPr>
            <w:r>
              <w:rPr>
                <w:bCs/>
                <w:color w:val="FFFFFF"/>
                <w:sz w:val="18"/>
                <w:szCs w:val="18"/>
                <w:lang w:eastAsia="en-GB"/>
              </w:rPr>
              <w:t>Iš viso</w:t>
            </w:r>
          </w:p>
        </w:tc>
      </w:tr>
      <w:tr w:rsidR="000E7C4C">
        <w:tc>
          <w:tcPr>
            <w:tcW w:w="585" w:type="dxa"/>
            <w:vMerge w:val="restart"/>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3C3EA6">
            <w:pPr>
              <w:rPr>
                <w:color w:val="000000"/>
                <w:sz w:val="18"/>
                <w:szCs w:val="18"/>
                <w:lang w:eastAsia="lt-LT"/>
              </w:rPr>
            </w:pPr>
            <w:r>
              <w:rPr>
                <w:color w:val="000000"/>
                <w:sz w:val="18"/>
                <w:szCs w:val="18"/>
                <w:lang w:eastAsia="lt-LT"/>
              </w:rPr>
              <w:t>2005</w:t>
            </w:r>
          </w:p>
        </w:tc>
        <w:tc>
          <w:tcPr>
            <w:tcW w:w="71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14"/>
                <w:szCs w:val="16"/>
                <w:lang w:eastAsia="lt-LT"/>
              </w:rPr>
            </w:pPr>
            <w:r>
              <w:rPr>
                <w:rFonts w:eastAsia="Calibri"/>
                <w:color w:val="000000"/>
                <w:sz w:val="14"/>
                <w:szCs w:val="16"/>
                <w:lang w:eastAsia="lt-LT"/>
              </w:rPr>
              <w:t>1A4bi</w:t>
            </w:r>
          </w:p>
          <w:p w:rsidR="000E7C4C" w:rsidRDefault="003C3EA6">
            <w:pPr>
              <w:jc w:val="center"/>
              <w:rPr>
                <w:rFonts w:eastAsia="Calibri"/>
                <w:color w:val="000000"/>
                <w:sz w:val="14"/>
                <w:szCs w:val="16"/>
                <w:lang w:eastAsia="lt-LT"/>
              </w:rPr>
            </w:pPr>
            <w:r>
              <w:rPr>
                <w:rFonts w:eastAsia="Calibri"/>
                <w:color w:val="000000"/>
                <w:sz w:val="14"/>
                <w:szCs w:val="16"/>
                <w:lang w:eastAsia="lt-LT"/>
              </w:rPr>
              <w:t>Namų ūkių stacionarus deginimas</w:t>
            </w:r>
          </w:p>
        </w:tc>
        <w:tc>
          <w:tcPr>
            <w:tcW w:w="69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14"/>
                <w:szCs w:val="16"/>
                <w:lang w:eastAsia="lt-LT"/>
              </w:rPr>
            </w:pPr>
            <w:r>
              <w:rPr>
                <w:rFonts w:eastAsia="Calibri"/>
                <w:color w:val="000000"/>
                <w:sz w:val="14"/>
                <w:szCs w:val="16"/>
                <w:lang w:eastAsia="lt-LT"/>
              </w:rPr>
              <w:t>1B2aiv</w:t>
            </w:r>
          </w:p>
          <w:p w:rsidR="000E7C4C" w:rsidRDefault="003C3EA6">
            <w:pPr>
              <w:jc w:val="center"/>
              <w:rPr>
                <w:rFonts w:eastAsia="Calibri"/>
                <w:color w:val="000000"/>
                <w:sz w:val="14"/>
                <w:szCs w:val="16"/>
                <w:lang w:eastAsia="lt-LT"/>
              </w:rPr>
            </w:pPr>
            <w:r>
              <w:rPr>
                <w:rFonts w:eastAsia="Calibri"/>
                <w:color w:val="000000"/>
                <w:sz w:val="14"/>
                <w:szCs w:val="16"/>
                <w:lang w:eastAsia="lt-LT"/>
              </w:rPr>
              <w:t>Garavimo emisijos naftos perdirbime ir saugojime</w:t>
            </w:r>
          </w:p>
        </w:tc>
        <w:tc>
          <w:tcPr>
            <w:tcW w:w="79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14"/>
                <w:szCs w:val="16"/>
                <w:lang w:eastAsia="lt-LT"/>
              </w:rPr>
            </w:pPr>
            <w:r>
              <w:rPr>
                <w:rFonts w:eastAsia="Calibri"/>
                <w:color w:val="000000"/>
                <w:sz w:val="14"/>
                <w:szCs w:val="16"/>
                <w:lang w:eastAsia="lt-LT"/>
              </w:rPr>
              <w:t>1A3bi</w:t>
            </w:r>
          </w:p>
          <w:p w:rsidR="000E7C4C" w:rsidRDefault="003C3EA6">
            <w:pPr>
              <w:jc w:val="center"/>
              <w:rPr>
                <w:rFonts w:eastAsia="Calibri"/>
                <w:color w:val="000000"/>
                <w:sz w:val="14"/>
                <w:szCs w:val="16"/>
                <w:lang w:eastAsia="lt-LT"/>
              </w:rPr>
            </w:pPr>
            <w:r>
              <w:rPr>
                <w:rFonts w:eastAsia="Calibri"/>
                <w:color w:val="000000"/>
                <w:sz w:val="14"/>
                <w:szCs w:val="16"/>
                <w:lang w:eastAsia="lt-LT"/>
              </w:rPr>
              <w:t>Kelių transportas: lengvieji automobiliai</w:t>
            </w:r>
          </w:p>
        </w:tc>
        <w:tc>
          <w:tcPr>
            <w:tcW w:w="769"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14"/>
                <w:szCs w:val="16"/>
                <w:lang w:eastAsia="lt-LT"/>
              </w:rPr>
            </w:pPr>
            <w:r>
              <w:rPr>
                <w:rFonts w:eastAsia="Calibri"/>
                <w:color w:val="000000"/>
                <w:sz w:val="14"/>
                <w:szCs w:val="16"/>
                <w:lang w:eastAsia="lt-LT"/>
              </w:rPr>
              <w:t>2D3d</w:t>
            </w:r>
          </w:p>
          <w:p w:rsidR="000E7C4C" w:rsidRDefault="003C3EA6">
            <w:pPr>
              <w:jc w:val="center"/>
              <w:rPr>
                <w:rFonts w:eastAsia="Calibri"/>
                <w:color w:val="000000"/>
                <w:sz w:val="14"/>
                <w:szCs w:val="16"/>
                <w:lang w:eastAsia="lt-LT"/>
              </w:rPr>
            </w:pPr>
            <w:r>
              <w:rPr>
                <w:rFonts w:eastAsia="Calibri"/>
                <w:color w:val="000000"/>
                <w:sz w:val="14"/>
                <w:szCs w:val="16"/>
                <w:lang w:eastAsia="lt-LT"/>
              </w:rPr>
              <w:t>Tirpiklių naudojimas: dangos klojimas</w:t>
            </w:r>
          </w:p>
        </w:tc>
        <w:tc>
          <w:tcPr>
            <w:tcW w:w="61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14"/>
                <w:szCs w:val="16"/>
                <w:lang w:eastAsia="lt-LT"/>
              </w:rPr>
            </w:pPr>
            <w:r>
              <w:rPr>
                <w:rFonts w:eastAsia="Calibri"/>
                <w:color w:val="000000"/>
                <w:sz w:val="14"/>
                <w:szCs w:val="16"/>
                <w:lang w:eastAsia="lt-LT"/>
              </w:rPr>
              <w:t>3B1a</w:t>
            </w:r>
          </w:p>
          <w:p w:rsidR="000E7C4C" w:rsidRDefault="003C3EA6">
            <w:pPr>
              <w:jc w:val="center"/>
              <w:rPr>
                <w:rFonts w:eastAsia="Calibri"/>
                <w:color w:val="000000"/>
                <w:sz w:val="14"/>
                <w:szCs w:val="16"/>
                <w:lang w:eastAsia="lt-LT"/>
              </w:rPr>
            </w:pPr>
            <w:r>
              <w:rPr>
                <w:rFonts w:eastAsia="Calibri"/>
                <w:color w:val="000000"/>
                <w:sz w:val="14"/>
                <w:szCs w:val="16"/>
                <w:lang w:eastAsia="lt-LT"/>
              </w:rPr>
              <w:t>Mėšlo iš pieninių galvijų ūkių valdymas</w:t>
            </w:r>
          </w:p>
        </w:tc>
        <w:tc>
          <w:tcPr>
            <w:tcW w:w="72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14"/>
                <w:szCs w:val="16"/>
                <w:lang w:eastAsia="lt-LT"/>
              </w:rPr>
            </w:pPr>
            <w:r>
              <w:rPr>
                <w:rFonts w:eastAsia="Calibri"/>
                <w:color w:val="000000"/>
                <w:sz w:val="14"/>
                <w:szCs w:val="16"/>
                <w:lang w:eastAsia="lt-LT"/>
              </w:rPr>
              <w:t>2H2</w:t>
            </w:r>
          </w:p>
          <w:p w:rsidR="000E7C4C" w:rsidRDefault="003C3EA6">
            <w:pPr>
              <w:jc w:val="center"/>
              <w:rPr>
                <w:rFonts w:eastAsia="Calibri"/>
                <w:color w:val="000000"/>
                <w:sz w:val="14"/>
                <w:szCs w:val="16"/>
                <w:lang w:eastAsia="lt-LT"/>
              </w:rPr>
            </w:pPr>
            <w:r>
              <w:rPr>
                <w:rFonts w:eastAsia="Calibri"/>
                <w:color w:val="000000"/>
                <w:sz w:val="14"/>
                <w:szCs w:val="16"/>
                <w:lang w:eastAsia="lt-LT"/>
              </w:rPr>
              <w:t>Maisto ir gėrimų gamybos pramonė</w:t>
            </w:r>
          </w:p>
        </w:tc>
        <w:tc>
          <w:tcPr>
            <w:tcW w:w="72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14"/>
                <w:szCs w:val="16"/>
                <w:lang w:eastAsia="lt-LT"/>
              </w:rPr>
            </w:pPr>
            <w:r>
              <w:rPr>
                <w:rFonts w:eastAsia="Calibri"/>
                <w:color w:val="000000"/>
                <w:sz w:val="14"/>
                <w:szCs w:val="16"/>
                <w:lang w:eastAsia="lt-LT"/>
              </w:rPr>
              <w:t>2D3a</w:t>
            </w:r>
          </w:p>
          <w:p w:rsidR="000E7C4C" w:rsidRDefault="003C3EA6">
            <w:pPr>
              <w:jc w:val="center"/>
              <w:rPr>
                <w:rFonts w:eastAsia="Calibri"/>
                <w:color w:val="000000"/>
                <w:sz w:val="14"/>
                <w:szCs w:val="16"/>
                <w:lang w:eastAsia="lt-LT"/>
              </w:rPr>
            </w:pPr>
            <w:r>
              <w:rPr>
                <w:rFonts w:eastAsia="Calibri"/>
                <w:color w:val="000000"/>
                <w:sz w:val="14"/>
                <w:szCs w:val="16"/>
                <w:lang w:eastAsia="lt-LT"/>
              </w:rPr>
              <w:t>Tirpiklių naudojimas buityje, įskaitant fungicidus</w:t>
            </w:r>
          </w:p>
        </w:tc>
        <w:tc>
          <w:tcPr>
            <w:tcW w:w="8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14"/>
                <w:szCs w:val="16"/>
                <w:lang w:eastAsia="lt-LT"/>
              </w:rPr>
            </w:pPr>
            <w:r>
              <w:rPr>
                <w:rFonts w:eastAsia="Calibri"/>
                <w:color w:val="000000"/>
                <w:sz w:val="14"/>
                <w:szCs w:val="16"/>
                <w:lang w:eastAsia="lt-LT"/>
              </w:rPr>
              <w:t>3B1b</w:t>
            </w:r>
          </w:p>
          <w:p w:rsidR="000E7C4C" w:rsidRDefault="003C3EA6">
            <w:pPr>
              <w:jc w:val="center"/>
              <w:rPr>
                <w:rFonts w:eastAsia="Calibri"/>
                <w:color w:val="000000"/>
                <w:sz w:val="14"/>
                <w:szCs w:val="16"/>
                <w:lang w:eastAsia="lt-LT"/>
              </w:rPr>
            </w:pPr>
            <w:r>
              <w:rPr>
                <w:rFonts w:eastAsia="Calibri"/>
                <w:color w:val="000000"/>
                <w:sz w:val="14"/>
                <w:szCs w:val="16"/>
                <w:lang w:eastAsia="lt-LT"/>
              </w:rPr>
              <w:t>Mėšlo iš ne pieninių galvijų ūkių valdymas</w:t>
            </w:r>
          </w:p>
        </w:tc>
        <w:tc>
          <w:tcPr>
            <w:tcW w:w="53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tcPr>
          <w:p w:rsidR="000E7C4C" w:rsidRDefault="003C3EA6">
            <w:pPr>
              <w:jc w:val="center"/>
              <w:rPr>
                <w:rFonts w:eastAsia="Calibri"/>
                <w:color w:val="000000"/>
                <w:sz w:val="14"/>
                <w:szCs w:val="16"/>
                <w:lang w:eastAsia="lt-LT"/>
              </w:rPr>
            </w:pPr>
            <w:r>
              <w:rPr>
                <w:rFonts w:eastAsia="Calibri"/>
                <w:color w:val="000000"/>
                <w:sz w:val="14"/>
                <w:szCs w:val="16"/>
                <w:lang w:eastAsia="lt-LT"/>
              </w:rPr>
              <w:t>1A3bv</w:t>
            </w:r>
          </w:p>
          <w:p w:rsidR="000E7C4C" w:rsidRDefault="003C3EA6">
            <w:pPr>
              <w:jc w:val="center"/>
              <w:rPr>
                <w:rFonts w:eastAsia="Calibri"/>
                <w:color w:val="000000"/>
                <w:sz w:val="14"/>
                <w:szCs w:val="16"/>
                <w:lang w:eastAsia="lt-LT"/>
              </w:rPr>
            </w:pPr>
            <w:r>
              <w:rPr>
                <w:rFonts w:eastAsia="Calibri"/>
                <w:color w:val="000000"/>
                <w:sz w:val="14"/>
                <w:szCs w:val="16"/>
                <w:lang w:eastAsia="lt-LT"/>
              </w:rPr>
              <w:t>Kelių transportas: benzino garavimas</w:t>
            </w:r>
          </w:p>
          <w:p w:rsidR="000E7C4C" w:rsidRDefault="000E7C4C">
            <w:pPr>
              <w:jc w:val="center"/>
              <w:rPr>
                <w:rFonts w:eastAsia="Calibri"/>
                <w:color w:val="000000"/>
                <w:sz w:val="14"/>
                <w:szCs w:val="16"/>
                <w:lang w:eastAsia="lt-LT"/>
              </w:rPr>
            </w:pPr>
          </w:p>
        </w:tc>
        <w:tc>
          <w:tcPr>
            <w:tcW w:w="71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14"/>
                <w:szCs w:val="16"/>
                <w:lang w:eastAsia="lt-LT"/>
              </w:rPr>
            </w:pPr>
            <w:r>
              <w:rPr>
                <w:rFonts w:eastAsia="Calibri"/>
                <w:color w:val="000000"/>
                <w:sz w:val="14"/>
                <w:szCs w:val="16"/>
                <w:lang w:eastAsia="lt-LT"/>
              </w:rPr>
              <w:t>2D3e</w:t>
            </w:r>
          </w:p>
          <w:p w:rsidR="000E7C4C" w:rsidRDefault="003C3EA6">
            <w:pPr>
              <w:jc w:val="center"/>
              <w:rPr>
                <w:rFonts w:eastAsia="Calibri"/>
                <w:color w:val="000000"/>
                <w:sz w:val="14"/>
                <w:szCs w:val="16"/>
                <w:lang w:eastAsia="lt-LT"/>
              </w:rPr>
            </w:pPr>
            <w:r>
              <w:rPr>
                <w:rFonts w:eastAsia="Calibri"/>
                <w:color w:val="000000"/>
                <w:sz w:val="14"/>
                <w:szCs w:val="16"/>
                <w:lang w:eastAsia="lt-LT"/>
              </w:rPr>
              <w:t>Tirpiklių vartojimas: riebalų šalinimas</w:t>
            </w:r>
          </w:p>
        </w:tc>
        <w:tc>
          <w:tcPr>
            <w:tcW w:w="8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14"/>
                <w:szCs w:val="16"/>
                <w:lang w:eastAsia="lt-LT"/>
              </w:rPr>
            </w:pPr>
            <w:r>
              <w:rPr>
                <w:rFonts w:eastAsia="Calibri"/>
                <w:color w:val="000000"/>
                <w:sz w:val="14"/>
                <w:szCs w:val="16"/>
                <w:lang w:eastAsia="lt-LT"/>
              </w:rPr>
              <w:t>1B2av</w:t>
            </w:r>
          </w:p>
          <w:p w:rsidR="000E7C4C" w:rsidRDefault="003C3EA6">
            <w:pPr>
              <w:jc w:val="center"/>
              <w:rPr>
                <w:rFonts w:eastAsia="Calibri"/>
                <w:color w:val="000000"/>
                <w:sz w:val="14"/>
                <w:szCs w:val="16"/>
                <w:lang w:eastAsia="lt-LT"/>
              </w:rPr>
            </w:pPr>
            <w:r>
              <w:rPr>
                <w:rFonts w:eastAsia="Calibri"/>
                <w:color w:val="000000"/>
                <w:sz w:val="14"/>
                <w:szCs w:val="16"/>
                <w:lang w:eastAsia="lt-LT"/>
              </w:rPr>
              <w:t>Naftos produktų paskirstymas</w:t>
            </w:r>
          </w:p>
        </w:tc>
        <w:tc>
          <w:tcPr>
            <w:tcW w:w="73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14"/>
                <w:szCs w:val="16"/>
                <w:lang w:eastAsia="lt-LT"/>
              </w:rPr>
            </w:pPr>
            <w:r>
              <w:rPr>
                <w:rFonts w:eastAsia="Calibri"/>
                <w:color w:val="000000"/>
                <w:sz w:val="14"/>
                <w:szCs w:val="16"/>
                <w:lang w:eastAsia="lt-LT"/>
              </w:rPr>
              <w:t>2D3g</w:t>
            </w:r>
          </w:p>
          <w:p w:rsidR="000E7C4C" w:rsidRDefault="003C3EA6">
            <w:pPr>
              <w:jc w:val="center"/>
              <w:rPr>
                <w:rFonts w:eastAsia="Calibri"/>
                <w:color w:val="000000"/>
                <w:sz w:val="14"/>
                <w:szCs w:val="16"/>
                <w:lang w:eastAsia="lt-LT"/>
              </w:rPr>
            </w:pPr>
            <w:r>
              <w:rPr>
                <w:rFonts w:eastAsia="Calibri"/>
                <w:color w:val="000000"/>
                <w:sz w:val="14"/>
                <w:szCs w:val="16"/>
                <w:lang w:eastAsia="lt-LT"/>
              </w:rPr>
              <w:t>Tirpiklių vartojimas: chemijos produktai</w:t>
            </w:r>
          </w:p>
        </w:tc>
        <w:tc>
          <w:tcPr>
            <w:tcW w:w="470" w:type="dxa"/>
            <w:vMerge w:val="restart"/>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3C3EA6">
            <w:pPr>
              <w:jc w:val="center"/>
              <w:rPr>
                <w:rFonts w:eastAsia="Calibri"/>
                <w:color w:val="000000"/>
                <w:sz w:val="16"/>
                <w:szCs w:val="16"/>
                <w:lang w:eastAsia="lt-LT"/>
              </w:rPr>
            </w:pPr>
            <w:r>
              <w:rPr>
                <w:rFonts w:eastAsia="Calibri"/>
                <w:color w:val="000000"/>
                <w:sz w:val="16"/>
                <w:szCs w:val="16"/>
                <w:lang w:eastAsia="lt-LT"/>
              </w:rPr>
              <w:t>82.5%</w:t>
            </w:r>
          </w:p>
        </w:tc>
      </w:tr>
      <w:tr w:rsidR="000E7C4C">
        <w:tc>
          <w:tcPr>
            <w:tcW w:w="585" w:type="dxa"/>
            <w:vMerge/>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0E7C4C">
            <w:pPr>
              <w:rPr>
                <w:color w:val="000000"/>
                <w:sz w:val="18"/>
                <w:szCs w:val="18"/>
                <w:lang w:eastAsia="lt-LT"/>
              </w:rPr>
            </w:pPr>
          </w:p>
        </w:tc>
        <w:tc>
          <w:tcPr>
            <w:tcW w:w="71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14"/>
                <w:szCs w:val="16"/>
                <w:lang w:eastAsia="lt-LT"/>
              </w:rPr>
            </w:pPr>
            <w:r>
              <w:rPr>
                <w:rFonts w:eastAsia="Calibri"/>
                <w:color w:val="000000"/>
                <w:sz w:val="14"/>
                <w:szCs w:val="16"/>
                <w:lang w:eastAsia="lt-LT"/>
              </w:rPr>
              <w:t>16.1%</w:t>
            </w:r>
          </w:p>
        </w:tc>
        <w:tc>
          <w:tcPr>
            <w:tcW w:w="69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14"/>
                <w:szCs w:val="16"/>
                <w:lang w:eastAsia="lt-LT"/>
              </w:rPr>
            </w:pPr>
            <w:r>
              <w:rPr>
                <w:color w:val="000000"/>
                <w:sz w:val="14"/>
                <w:szCs w:val="16"/>
                <w:lang w:eastAsia="lt-LT"/>
              </w:rPr>
              <w:t>13.5%</w:t>
            </w:r>
          </w:p>
        </w:tc>
        <w:tc>
          <w:tcPr>
            <w:tcW w:w="79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14"/>
                <w:szCs w:val="16"/>
                <w:lang w:eastAsia="lt-LT"/>
              </w:rPr>
            </w:pPr>
            <w:r>
              <w:rPr>
                <w:color w:val="000000"/>
                <w:sz w:val="14"/>
                <w:szCs w:val="16"/>
                <w:lang w:eastAsia="lt-LT"/>
              </w:rPr>
              <w:t>10.3%</w:t>
            </w:r>
          </w:p>
        </w:tc>
        <w:tc>
          <w:tcPr>
            <w:tcW w:w="769"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14"/>
                <w:szCs w:val="16"/>
                <w:lang w:eastAsia="lt-LT"/>
              </w:rPr>
            </w:pPr>
            <w:r>
              <w:rPr>
                <w:color w:val="000000"/>
                <w:sz w:val="14"/>
                <w:szCs w:val="16"/>
                <w:lang w:eastAsia="lt-LT"/>
              </w:rPr>
              <w:t>8.9%</w:t>
            </w:r>
          </w:p>
        </w:tc>
        <w:tc>
          <w:tcPr>
            <w:tcW w:w="61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14"/>
                <w:szCs w:val="16"/>
                <w:lang w:eastAsia="lt-LT"/>
              </w:rPr>
            </w:pPr>
            <w:r>
              <w:rPr>
                <w:color w:val="000000"/>
                <w:sz w:val="14"/>
                <w:szCs w:val="16"/>
                <w:lang w:eastAsia="lt-LT"/>
              </w:rPr>
              <w:t>7.3%</w:t>
            </w:r>
          </w:p>
        </w:tc>
        <w:tc>
          <w:tcPr>
            <w:tcW w:w="72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14"/>
                <w:szCs w:val="16"/>
                <w:lang w:eastAsia="lt-LT"/>
              </w:rPr>
            </w:pPr>
            <w:r>
              <w:rPr>
                <w:color w:val="000000"/>
                <w:sz w:val="14"/>
                <w:szCs w:val="16"/>
                <w:lang w:eastAsia="lt-LT"/>
              </w:rPr>
              <w:t>5.6%</w:t>
            </w:r>
          </w:p>
        </w:tc>
        <w:tc>
          <w:tcPr>
            <w:tcW w:w="72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14"/>
                <w:szCs w:val="16"/>
                <w:lang w:eastAsia="lt-LT"/>
              </w:rPr>
            </w:pPr>
            <w:r>
              <w:rPr>
                <w:color w:val="000000"/>
                <w:sz w:val="14"/>
                <w:szCs w:val="16"/>
                <w:lang w:eastAsia="lt-LT"/>
              </w:rPr>
              <w:t>5.3%</w:t>
            </w:r>
          </w:p>
        </w:tc>
        <w:tc>
          <w:tcPr>
            <w:tcW w:w="8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14"/>
                <w:szCs w:val="16"/>
                <w:lang w:eastAsia="lt-LT"/>
              </w:rPr>
            </w:pPr>
            <w:r>
              <w:rPr>
                <w:color w:val="000000"/>
                <w:sz w:val="14"/>
                <w:szCs w:val="16"/>
                <w:lang w:eastAsia="lt-LT"/>
              </w:rPr>
              <w:t>3.2%</w:t>
            </w:r>
          </w:p>
        </w:tc>
        <w:tc>
          <w:tcPr>
            <w:tcW w:w="53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14"/>
                <w:szCs w:val="16"/>
                <w:lang w:eastAsia="lt-LT"/>
              </w:rPr>
            </w:pPr>
            <w:r>
              <w:rPr>
                <w:color w:val="000000"/>
                <w:sz w:val="14"/>
                <w:szCs w:val="16"/>
                <w:lang w:eastAsia="lt-LT"/>
              </w:rPr>
              <w:t>3.2%</w:t>
            </w:r>
          </w:p>
        </w:tc>
        <w:tc>
          <w:tcPr>
            <w:tcW w:w="71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14"/>
                <w:szCs w:val="16"/>
                <w:lang w:eastAsia="lt-LT"/>
              </w:rPr>
            </w:pPr>
            <w:r>
              <w:rPr>
                <w:color w:val="000000"/>
                <w:sz w:val="14"/>
                <w:szCs w:val="16"/>
                <w:lang w:eastAsia="lt-LT"/>
              </w:rPr>
              <w:t>3.1%</w:t>
            </w:r>
          </w:p>
        </w:tc>
        <w:tc>
          <w:tcPr>
            <w:tcW w:w="8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14"/>
                <w:szCs w:val="16"/>
                <w:lang w:eastAsia="lt-LT"/>
              </w:rPr>
            </w:pPr>
            <w:r>
              <w:rPr>
                <w:color w:val="000000"/>
                <w:sz w:val="14"/>
                <w:szCs w:val="16"/>
                <w:lang w:eastAsia="lt-LT"/>
              </w:rPr>
              <w:t>3.0%</w:t>
            </w:r>
          </w:p>
        </w:tc>
        <w:tc>
          <w:tcPr>
            <w:tcW w:w="73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14"/>
                <w:szCs w:val="16"/>
                <w:lang w:eastAsia="lt-LT"/>
              </w:rPr>
            </w:pPr>
            <w:r>
              <w:rPr>
                <w:color w:val="000000"/>
                <w:sz w:val="14"/>
                <w:szCs w:val="16"/>
                <w:lang w:eastAsia="lt-LT"/>
              </w:rPr>
              <w:t>2.8%</w:t>
            </w:r>
          </w:p>
        </w:tc>
        <w:tc>
          <w:tcPr>
            <w:tcW w:w="470" w:type="dxa"/>
            <w:vMerge/>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0E7C4C">
            <w:pPr>
              <w:rPr>
                <w:rFonts w:eastAsia="Calibri"/>
                <w:color w:val="000000"/>
                <w:sz w:val="16"/>
                <w:szCs w:val="16"/>
                <w:lang w:eastAsia="lt-LT"/>
              </w:rPr>
            </w:pPr>
          </w:p>
        </w:tc>
      </w:tr>
      <w:tr w:rsidR="000E7C4C">
        <w:tc>
          <w:tcPr>
            <w:tcW w:w="585" w:type="dxa"/>
            <w:vMerge w:val="restart"/>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3C3EA6">
            <w:pPr>
              <w:rPr>
                <w:color w:val="000000"/>
                <w:sz w:val="18"/>
                <w:szCs w:val="18"/>
                <w:lang w:eastAsia="lt-LT"/>
              </w:rPr>
            </w:pPr>
            <w:r>
              <w:rPr>
                <w:color w:val="000000"/>
                <w:sz w:val="18"/>
                <w:szCs w:val="18"/>
                <w:lang w:eastAsia="lt-LT"/>
              </w:rPr>
              <w:t>2015</w:t>
            </w:r>
          </w:p>
        </w:tc>
        <w:tc>
          <w:tcPr>
            <w:tcW w:w="71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14"/>
                <w:szCs w:val="16"/>
                <w:lang w:eastAsia="lt-LT"/>
              </w:rPr>
            </w:pPr>
            <w:r>
              <w:rPr>
                <w:rFonts w:eastAsia="Calibri"/>
                <w:color w:val="000000"/>
                <w:sz w:val="14"/>
                <w:szCs w:val="16"/>
                <w:lang w:eastAsia="lt-LT"/>
              </w:rPr>
              <w:t>1A4bi</w:t>
            </w:r>
          </w:p>
          <w:p w:rsidR="000E7C4C" w:rsidRDefault="003C3EA6">
            <w:pPr>
              <w:jc w:val="center"/>
              <w:rPr>
                <w:rFonts w:eastAsia="Calibri"/>
                <w:color w:val="000000"/>
                <w:sz w:val="14"/>
                <w:szCs w:val="16"/>
                <w:lang w:eastAsia="lt-LT"/>
              </w:rPr>
            </w:pPr>
            <w:r>
              <w:rPr>
                <w:rFonts w:eastAsia="Calibri"/>
                <w:color w:val="000000"/>
                <w:sz w:val="14"/>
                <w:szCs w:val="16"/>
                <w:lang w:eastAsia="lt-LT"/>
              </w:rPr>
              <w:t>Namų ūkių stacionarus deginimas</w:t>
            </w:r>
          </w:p>
        </w:tc>
        <w:tc>
          <w:tcPr>
            <w:tcW w:w="69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14"/>
                <w:szCs w:val="16"/>
                <w:lang w:eastAsia="lt-LT"/>
              </w:rPr>
            </w:pPr>
            <w:r>
              <w:rPr>
                <w:rFonts w:eastAsia="Calibri"/>
                <w:color w:val="000000"/>
                <w:sz w:val="14"/>
                <w:szCs w:val="16"/>
                <w:lang w:eastAsia="lt-LT"/>
              </w:rPr>
              <w:t>1B2aiv</w:t>
            </w:r>
          </w:p>
          <w:p w:rsidR="000E7C4C" w:rsidRDefault="003C3EA6">
            <w:pPr>
              <w:jc w:val="center"/>
              <w:rPr>
                <w:rFonts w:eastAsia="Calibri"/>
                <w:color w:val="000000"/>
                <w:sz w:val="14"/>
                <w:szCs w:val="16"/>
                <w:lang w:eastAsia="lt-LT"/>
              </w:rPr>
            </w:pPr>
            <w:r>
              <w:rPr>
                <w:rFonts w:eastAsia="Calibri"/>
                <w:color w:val="000000"/>
                <w:sz w:val="14"/>
                <w:szCs w:val="16"/>
                <w:lang w:eastAsia="lt-LT"/>
              </w:rPr>
              <w:t>Garavimo emisijos naftos perdirbime ir saugojime</w:t>
            </w:r>
          </w:p>
        </w:tc>
        <w:tc>
          <w:tcPr>
            <w:tcW w:w="79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14"/>
                <w:szCs w:val="16"/>
                <w:lang w:eastAsia="lt-LT"/>
              </w:rPr>
            </w:pPr>
            <w:r>
              <w:rPr>
                <w:rFonts w:eastAsia="Calibri"/>
                <w:color w:val="000000"/>
                <w:sz w:val="14"/>
                <w:szCs w:val="16"/>
                <w:lang w:eastAsia="lt-LT"/>
              </w:rPr>
              <w:t>2D3d</w:t>
            </w:r>
          </w:p>
          <w:p w:rsidR="000E7C4C" w:rsidRDefault="003C3EA6">
            <w:pPr>
              <w:jc w:val="center"/>
              <w:rPr>
                <w:rFonts w:eastAsia="Calibri"/>
                <w:color w:val="000000"/>
                <w:sz w:val="14"/>
                <w:szCs w:val="16"/>
                <w:lang w:eastAsia="lt-LT"/>
              </w:rPr>
            </w:pPr>
            <w:r>
              <w:rPr>
                <w:rFonts w:eastAsia="Calibri"/>
                <w:color w:val="000000"/>
                <w:sz w:val="14"/>
                <w:szCs w:val="16"/>
                <w:lang w:eastAsia="lt-LT"/>
              </w:rPr>
              <w:t>Tirpiklių naudojimas: dangos klojimas</w:t>
            </w:r>
          </w:p>
        </w:tc>
        <w:tc>
          <w:tcPr>
            <w:tcW w:w="769"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14"/>
                <w:szCs w:val="16"/>
                <w:lang w:eastAsia="lt-LT"/>
              </w:rPr>
            </w:pPr>
            <w:r>
              <w:rPr>
                <w:rFonts w:eastAsia="Calibri"/>
                <w:color w:val="000000"/>
                <w:sz w:val="14"/>
                <w:szCs w:val="16"/>
                <w:lang w:eastAsia="lt-LT"/>
              </w:rPr>
              <w:t>3B1a</w:t>
            </w:r>
          </w:p>
          <w:p w:rsidR="000E7C4C" w:rsidRDefault="003C3EA6">
            <w:pPr>
              <w:jc w:val="center"/>
              <w:rPr>
                <w:rFonts w:eastAsia="Calibri"/>
                <w:color w:val="000000"/>
                <w:sz w:val="14"/>
                <w:szCs w:val="16"/>
                <w:lang w:eastAsia="lt-LT"/>
              </w:rPr>
            </w:pPr>
            <w:r>
              <w:rPr>
                <w:rFonts w:eastAsia="Calibri"/>
                <w:color w:val="000000"/>
                <w:sz w:val="14"/>
                <w:szCs w:val="16"/>
                <w:lang w:eastAsia="lt-LT"/>
              </w:rPr>
              <w:t>Mėšlo iš pieninių galvijų ūkių valdymas</w:t>
            </w:r>
          </w:p>
        </w:tc>
        <w:tc>
          <w:tcPr>
            <w:tcW w:w="61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14"/>
                <w:szCs w:val="16"/>
                <w:lang w:eastAsia="lt-LT"/>
              </w:rPr>
            </w:pPr>
            <w:r>
              <w:rPr>
                <w:rFonts w:eastAsia="Calibri"/>
                <w:color w:val="000000"/>
                <w:sz w:val="14"/>
                <w:szCs w:val="16"/>
                <w:lang w:eastAsia="lt-LT"/>
              </w:rPr>
              <w:t>2H2</w:t>
            </w:r>
          </w:p>
          <w:p w:rsidR="000E7C4C" w:rsidRDefault="003C3EA6">
            <w:pPr>
              <w:jc w:val="center"/>
              <w:rPr>
                <w:rFonts w:eastAsia="Calibri"/>
                <w:color w:val="000000"/>
                <w:sz w:val="14"/>
                <w:szCs w:val="16"/>
                <w:lang w:eastAsia="lt-LT"/>
              </w:rPr>
            </w:pPr>
            <w:r>
              <w:rPr>
                <w:rFonts w:eastAsia="Calibri"/>
                <w:color w:val="000000"/>
                <w:sz w:val="14"/>
                <w:szCs w:val="16"/>
                <w:lang w:eastAsia="lt-LT"/>
              </w:rPr>
              <w:t>Maisto ir gėrimų gamybos pramonė</w:t>
            </w:r>
          </w:p>
        </w:tc>
        <w:tc>
          <w:tcPr>
            <w:tcW w:w="72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14"/>
                <w:szCs w:val="16"/>
                <w:lang w:eastAsia="lt-LT"/>
              </w:rPr>
            </w:pPr>
            <w:r>
              <w:rPr>
                <w:rFonts w:eastAsia="Calibri"/>
                <w:color w:val="000000"/>
                <w:sz w:val="14"/>
                <w:szCs w:val="16"/>
                <w:lang w:eastAsia="lt-LT"/>
              </w:rPr>
              <w:t>2D3a</w:t>
            </w:r>
          </w:p>
          <w:p w:rsidR="000E7C4C" w:rsidRDefault="003C3EA6">
            <w:pPr>
              <w:jc w:val="center"/>
              <w:rPr>
                <w:rFonts w:eastAsia="Calibri"/>
                <w:color w:val="000000"/>
                <w:sz w:val="14"/>
                <w:szCs w:val="16"/>
                <w:lang w:eastAsia="lt-LT"/>
              </w:rPr>
            </w:pPr>
            <w:r>
              <w:rPr>
                <w:rFonts w:eastAsia="Calibri"/>
                <w:color w:val="000000"/>
                <w:sz w:val="14"/>
                <w:szCs w:val="16"/>
                <w:lang w:eastAsia="lt-LT"/>
              </w:rPr>
              <w:t>Tirpiklių naudojimas buityje, įskaitant fungicidus</w:t>
            </w:r>
          </w:p>
        </w:tc>
        <w:tc>
          <w:tcPr>
            <w:tcW w:w="72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14"/>
                <w:szCs w:val="16"/>
                <w:lang w:eastAsia="lt-LT"/>
              </w:rPr>
            </w:pPr>
            <w:r>
              <w:rPr>
                <w:rFonts w:eastAsia="Calibri"/>
                <w:color w:val="000000"/>
                <w:sz w:val="14"/>
                <w:szCs w:val="16"/>
                <w:lang w:eastAsia="lt-LT"/>
              </w:rPr>
              <w:t>3B1b</w:t>
            </w:r>
          </w:p>
          <w:p w:rsidR="000E7C4C" w:rsidRDefault="003C3EA6">
            <w:pPr>
              <w:jc w:val="center"/>
              <w:rPr>
                <w:rFonts w:eastAsia="Calibri"/>
                <w:color w:val="000000"/>
                <w:sz w:val="14"/>
                <w:szCs w:val="16"/>
                <w:lang w:eastAsia="lt-LT"/>
              </w:rPr>
            </w:pPr>
            <w:r>
              <w:rPr>
                <w:rFonts w:eastAsia="Calibri"/>
                <w:color w:val="000000"/>
                <w:sz w:val="14"/>
                <w:szCs w:val="16"/>
                <w:lang w:eastAsia="lt-LT"/>
              </w:rPr>
              <w:t>Mėšlo iš ne pieninių galvijų ūkių valdymas</w:t>
            </w:r>
          </w:p>
        </w:tc>
        <w:tc>
          <w:tcPr>
            <w:tcW w:w="8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14"/>
                <w:szCs w:val="16"/>
                <w:lang w:eastAsia="lt-LT"/>
              </w:rPr>
            </w:pPr>
            <w:r>
              <w:rPr>
                <w:rFonts w:eastAsia="Calibri"/>
                <w:color w:val="000000"/>
                <w:sz w:val="14"/>
                <w:szCs w:val="16"/>
                <w:lang w:eastAsia="lt-LT"/>
              </w:rPr>
              <w:t>1B2av</w:t>
            </w:r>
          </w:p>
          <w:p w:rsidR="000E7C4C" w:rsidRDefault="003C3EA6">
            <w:pPr>
              <w:jc w:val="center"/>
              <w:rPr>
                <w:rFonts w:eastAsia="Calibri"/>
                <w:color w:val="000000"/>
                <w:sz w:val="14"/>
                <w:szCs w:val="16"/>
                <w:lang w:eastAsia="lt-LT"/>
              </w:rPr>
            </w:pPr>
            <w:r>
              <w:rPr>
                <w:rFonts w:eastAsia="Calibri"/>
                <w:color w:val="000000"/>
                <w:sz w:val="14"/>
                <w:szCs w:val="16"/>
                <w:lang w:eastAsia="lt-LT"/>
              </w:rPr>
              <w:t>Naftos produktų paskirstymas</w:t>
            </w:r>
          </w:p>
        </w:tc>
        <w:tc>
          <w:tcPr>
            <w:tcW w:w="53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tcPr>
          <w:p w:rsidR="000E7C4C" w:rsidRDefault="003C3EA6">
            <w:pPr>
              <w:jc w:val="center"/>
              <w:rPr>
                <w:rFonts w:eastAsia="Calibri"/>
                <w:color w:val="000000"/>
                <w:sz w:val="14"/>
                <w:szCs w:val="16"/>
                <w:lang w:eastAsia="lt-LT"/>
              </w:rPr>
            </w:pPr>
            <w:r>
              <w:rPr>
                <w:rFonts w:eastAsia="Calibri"/>
                <w:color w:val="000000"/>
                <w:sz w:val="14"/>
                <w:szCs w:val="16"/>
                <w:lang w:eastAsia="lt-LT"/>
              </w:rPr>
              <w:t>2D3e</w:t>
            </w:r>
          </w:p>
          <w:p w:rsidR="000E7C4C" w:rsidRDefault="003C3EA6">
            <w:pPr>
              <w:jc w:val="center"/>
              <w:rPr>
                <w:rFonts w:eastAsia="Calibri"/>
                <w:color w:val="000000"/>
                <w:sz w:val="14"/>
                <w:szCs w:val="16"/>
                <w:lang w:eastAsia="lt-LT"/>
              </w:rPr>
            </w:pPr>
            <w:r>
              <w:rPr>
                <w:rFonts w:eastAsia="Calibri"/>
                <w:color w:val="000000"/>
                <w:sz w:val="14"/>
                <w:szCs w:val="16"/>
                <w:lang w:eastAsia="lt-LT"/>
              </w:rPr>
              <w:t>Tirpiklių vartojimas: riebalų šalinimas</w:t>
            </w:r>
          </w:p>
          <w:p w:rsidR="000E7C4C" w:rsidRDefault="000E7C4C">
            <w:pPr>
              <w:jc w:val="center"/>
              <w:rPr>
                <w:rFonts w:eastAsia="Calibri"/>
                <w:color w:val="000000"/>
                <w:sz w:val="14"/>
                <w:szCs w:val="16"/>
                <w:lang w:eastAsia="lt-LT"/>
              </w:rPr>
            </w:pPr>
          </w:p>
        </w:tc>
        <w:tc>
          <w:tcPr>
            <w:tcW w:w="71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14"/>
                <w:szCs w:val="16"/>
                <w:lang w:eastAsia="lt-LT"/>
              </w:rPr>
            </w:pPr>
            <w:r>
              <w:rPr>
                <w:rFonts w:eastAsia="Calibri"/>
                <w:color w:val="000000"/>
                <w:sz w:val="14"/>
                <w:szCs w:val="16"/>
                <w:lang w:eastAsia="lt-LT"/>
              </w:rPr>
              <w:t>2D3g</w:t>
            </w:r>
          </w:p>
          <w:p w:rsidR="000E7C4C" w:rsidRDefault="003C3EA6">
            <w:pPr>
              <w:jc w:val="center"/>
              <w:rPr>
                <w:rFonts w:eastAsia="Calibri"/>
                <w:color w:val="000000"/>
                <w:sz w:val="14"/>
                <w:szCs w:val="16"/>
                <w:lang w:eastAsia="lt-LT"/>
              </w:rPr>
            </w:pPr>
            <w:r>
              <w:rPr>
                <w:rFonts w:eastAsia="Calibri"/>
                <w:color w:val="000000"/>
                <w:sz w:val="14"/>
                <w:szCs w:val="16"/>
                <w:lang w:eastAsia="lt-LT"/>
              </w:rPr>
              <w:t>Tirpiklių vartojimas: chemijos produktai</w:t>
            </w:r>
          </w:p>
        </w:tc>
        <w:tc>
          <w:tcPr>
            <w:tcW w:w="8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rFonts w:eastAsia="Calibri"/>
                <w:color w:val="000000"/>
                <w:sz w:val="14"/>
                <w:szCs w:val="16"/>
                <w:lang w:eastAsia="lt-LT"/>
              </w:rPr>
            </w:pPr>
            <w:r>
              <w:rPr>
                <w:rFonts w:eastAsia="Calibri"/>
                <w:color w:val="000000"/>
                <w:sz w:val="14"/>
                <w:szCs w:val="16"/>
                <w:lang w:eastAsia="lt-LT"/>
              </w:rPr>
              <w:t>1A3bi</w:t>
            </w:r>
          </w:p>
          <w:p w:rsidR="000E7C4C" w:rsidRDefault="003C3EA6">
            <w:pPr>
              <w:jc w:val="center"/>
              <w:rPr>
                <w:rFonts w:eastAsia="Calibri"/>
                <w:color w:val="000000"/>
                <w:sz w:val="14"/>
                <w:szCs w:val="16"/>
                <w:lang w:eastAsia="lt-LT"/>
              </w:rPr>
            </w:pPr>
            <w:r>
              <w:rPr>
                <w:rFonts w:eastAsia="Calibri"/>
                <w:color w:val="000000"/>
                <w:sz w:val="14"/>
                <w:szCs w:val="16"/>
                <w:lang w:eastAsia="lt-LT"/>
              </w:rPr>
              <w:t>Kelių transportas: lengvieji automobiliai</w:t>
            </w:r>
          </w:p>
        </w:tc>
        <w:tc>
          <w:tcPr>
            <w:tcW w:w="73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tcPr>
          <w:p w:rsidR="000E7C4C" w:rsidRDefault="000E7C4C">
            <w:pPr>
              <w:jc w:val="center"/>
              <w:rPr>
                <w:color w:val="000000"/>
                <w:sz w:val="14"/>
                <w:szCs w:val="16"/>
                <w:lang w:eastAsia="lt-LT"/>
              </w:rPr>
            </w:pPr>
          </w:p>
        </w:tc>
        <w:tc>
          <w:tcPr>
            <w:tcW w:w="470" w:type="dxa"/>
            <w:vMerge w:val="restart"/>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3C3EA6">
            <w:pPr>
              <w:jc w:val="center"/>
              <w:rPr>
                <w:color w:val="000000"/>
                <w:sz w:val="16"/>
                <w:szCs w:val="16"/>
                <w:lang w:eastAsia="lt-LT"/>
              </w:rPr>
            </w:pPr>
            <w:r>
              <w:rPr>
                <w:color w:val="000000"/>
                <w:sz w:val="16"/>
                <w:szCs w:val="16"/>
                <w:lang w:eastAsia="lt-LT"/>
              </w:rPr>
              <w:t>81.2%</w:t>
            </w:r>
          </w:p>
        </w:tc>
      </w:tr>
      <w:tr w:rsidR="000E7C4C">
        <w:tc>
          <w:tcPr>
            <w:tcW w:w="585" w:type="dxa"/>
            <w:vMerge/>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0E7C4C">
            <w:pPr>
              <w:rPr>
                <w:color w:val="000000"/>
                <w:sz w:val="18"/>
                <w:szCs w:val="18"/>
                <w:lang w:eastAsia="lt-LT"/>
              </w:rPr>
            </w:pPr>
          </w:p>
        </w:tc>
        <w:tc>
          <w:tcPr>
            <w:tcW w:w="71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bottom"/>
            <w:hideMark/>
          </w:tcPr>
          <w:p w:rsidR="000E7C4C" w:rsidRDefault="003C3EA6">
            <w:pPr>
              <w:jc w:val="center"/>
              <w:rPr>
                <w:color w:val="000000"/>
                <w:sz w:val="18"/>
                <w:szCs w:val="18"/>
                <w:lang w:eastAsia="lt-LT"/>
              </w:rPr>
            </w:pPr>
            <w:r>
              <w:rPr>
                <w:color w:val="000000"/>
                <w:sz w:val="18"/>
                <w:szCs w:val="18"/>
                <w:lang w:eastAsia="lt-LT"/>
              </w:rPr>
              <w:t>18.4%</w:t>
            </w:r>
          </w:p>
        </w:tc>
        <w:tc>
          <w:tcPr>
            <w:tcW w:w="69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bottom"/>
            <w:hideMark/>
          </w:tcPr>
          <w:p w:rsidR="000E7C4C" w:rsidRDefault="003C3EA6">
            <w:pPr>
              <w:jc w:val="center"/>
              <w:rPr>
                <w:color w:val="000000"/>
                <w:sz w:val="18"/>
                <w:szCs w:val="18"/>
                <w:lang w:eastAsia="lt-LT"/>
              </w:rPr>
            </w:pPr>
            <w:r>
              <w:rPr>
                <w:color w:val="000000"/>
                <w:sz w:val="18"/>
                <w:szCs w:val="18"/>
                <w:lang w:eastAsia="lt-LT"/>
              </w:rPr>
              <w:t>16.1%</w:t>
            </w:r>
          </w:p>
        </w:tc>
        <w:tc>
          <w:tcPr>
            <w:tcW w:w="79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bottom"/>
            <w:hideMark/>
          </w:tcPr>
          <w:p w:rsidR="000E7C4C" w:rsidRDefault="003C3EA6">
            <w:pPr>
              <w:jc w:val="center"/>
              <w:rPr>
                <w:color w:val="000000"/>
                <w:sz w:val="18"/>
                <w:szCs w:val="18"/>
                <w:lang w:eastAsia="lt-LT"/>
              </w:rPr>
            </w:pPr>
            <w:r>
              <w:rPr>
                <w:color w:val="000000"/>
                <w:sz w:val="18"/>
                <w:szCs w:val="18"/>
                <w:lang w:eastAsia="lt-LT"/>
              </w:rPr>
              <w:t>9.8%</w:t>
            </w:r>
          </w:p>
        </w:tc>
        <w:tc>
          <w:tcPr>
            <w:tcW w:w="769"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bottom"/>
            <w:hideMark/>
          </w:tcPr>
          <w:p w:rsidR="000E7C4C" w:rsidRDefault="003C3EA6">
            <w:pPr>
              <w:jc w:val="center"/>
              <w:rPr>
                <w:color w:val="000000"/>
                <w:sz w:val="18"/>
                <w:szCs w:val="18"/>
                <w:lang w:eastAsia="lt-LT"/>
              </w:rPr>
            </w:pPr>
            <w:r>
              <w:rPr>
                <w:color w:val="000000"/>
                <w:sz w:val="18"/>
                <w:szCs w:val="18"/>
                <w:lang w:eastAsia="lt-LT"/>
              </w:rPr>
              <w:t>6.7%</w:t>
            </w:r>
          </w:p>
        </w:tc>
        <w:tc>
          <w:tcPr>
            <w:tcW w:w="61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bottom"/>
            <w:hideMark/>
          </w:tcPr>
          <w:p w:rsidR="000E7C4C" w:rsidRDefault="003C3EA6">
            <w:pPr>
              <w:jc w:val="center"/>
              <w:rPr>
                <w:color w:val="000000"/>
                <w:sz w:val="18"/>
                <w:szCs w:val="18"/>
                <w:lang w:eastAsia="lt-LT"/>
              </w:rPr>
            </w:pPr>
            <w:r>
              <w:rPr>
                <w:color w:val="000000"/>
                <w:sz w:val="18"/>
                <w:szCs w:val="18"/>
                <w:lang w:eastAsia="lt-LT"/>
              </w:rPr>
              <w:t>6.6%</w:t>
            </w:r>
          </w:p>
        </w:tc>
        <w:tc>
          <w:tcPr>
            <w:tcW w:w="72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18"/>
                <w:szCs w:val="18"/>
                <w:lang w:eastAsia="lt-LT"/>
              </w:rPr>
            </w:pPr>
            <w:r>
              <w:rPr>
                <w:color w:val="000000"/>
                <w:sz w:val="18"/>
                <w:szCs w:val="18"/>
                <w:lang w:eastAsia="lt-LT"/>
              </w:rPr>
              <w:t>5.9%</w:t>
            </w:r>
          </w:p>
        </w:tc>
        <w:tc>
          <w:tcPr>
            <w:tcW w:w="72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18"/>
                <w:szCs w:val="18"/>
                <w:lang w:eastAsia="lt-LT"/>
              </w:rPr>
            </w:pPr>
            <w:r>
              <w:rPr>
                <w:color w:val="000000"/>
                <w:sz w:val="18"/>
                <w:szCs w:val="18"/>
                <w:lang w:eastAsia="lt-LT"/>
              </w:rPr>
              <w:t>4.5%</w:t>
            </w:r>
          </w:p>
        </w:tc>
        <w:tc>
          <w:tcPr>
            <w:tcW w:w="8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18"/>
                <w:szCs w:val="18"/>
                <w:lang w:eastAsia="lt-LT"/>
              </w:rPr>
            </w:pPr>
            <w:r>
              <w:rPr>
                <w:color w:val="000000"/>
                <w:sz w:val="18"/>
                <w:szCs w:val="18"/>
                <w:lang w:eastAsia="lt-LT"/>
              </w:rPr>
              <w:t>4.2%</w:t>
            </w:r>
          </w:p>
        </w:tc>
        <w:tc>
          <w:tcPr>
            <w:tcW w:w="53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18"/>
                <w:szCs w:val="18"/>
                <w:lang w:eastAsia="lt-LT"/>
              </w:rPr>
            </w:pPr>
            <w:r>
              <w:rPr>
                <w:color w:val="000000"/>
                <w:sz w:val="18"/>
                <w:szCs w:val="18"/>
                <w:lang w:eastAsia="lt-LT"/>
              </w:rPr>
              <w:t>3.4%</w:t>
            </w:r>
          </w:p>
        </w:tc>
        <w:tc>
          <w:tcPr>
            <w:tcW w:w="71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18"/>
                <w:szCs w:val="18"/>
                <w:lang w:eastAsia="lt-LT"/>
              </w:rPr>
            </w:pPr>
            <w:r>
              <w:rPr>
                <w:color w:val="000000"/>
                <w:sz w:val="18"/>
                <w:szCs w:val="18"/>
                <w:lang w:eastAsia="lt-LT"/>
              </w:rPr>
              <w:t>3.2%</w:t>
            </w:r>
          </w:p>
        </w:tc>
        <w:tc>
          <w:tcPr>
            <w:tcW w:w="8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18"/>
                <w:szCs w:val="18"/>
                <w:lang w:eastAsia="lt-LT"/>
              </w:rPr>
            </w:pPr>
            <w:r>
              <w:rPr>
                <w:color w:val="000000"/>
                <w:sz w:val="18"/>
                <w:szCs w:val="18"/>
                <w:lang w:eastAsia="lt-LT"/>
              </w:rPr>
              <w:t>2.6%</w:t>
            </w:r>
          </w:p>
        </w:tc>
        <w:tc>
          <w:tcPr>
            <w:tcW w:w="73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tcPr>
          <w:p w:rsidR="000E7C4C" w:rsidRDefault="000E7C4C">
            <w:pPr>
              <w:jc w:val="center"/>
              <w:rPr>
                <w:color w:val="000000"/>
                <w:sz w:val="18"/>
                <w:szCs w:val="18"/>
                <w:lang w:eastAsia="lt-LT"/>
              </w:rPr>
            </w:pPr>
          </w:p>
        </w:tc>
        <w:tc>
          <w:tcPr>
            <w:tcW w:w="470" w:type="dxa"/>
            <w:vMerge/>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0E7C4C">
            <w:pPr>
              <w:rPr>
                <w:color w:val="000000"/>
                <w:sz w:val="16"/>
                <w:szCs w:val="16"/>
                <w:lang w:eastAsia="lt-LT"/>
              </w:rPr>
            </w:pPr>
          </w:p>
        </w:tc>
      </w:tr>
    </w:tbl>
    <w:p w:rsidR="000E7C4C" w:rsidRDefault="003C3EA6">
      <w:pPr>
        <w:jc w:val="center"/>
        <w:rPr>
          <w:color w:val="000000"/>
          <w:sz w:val="22"/>
          <w:szCs w:val="22"/>
        </w:rPr>
      </w:pPr>
      <w:r>
        <w:rPr>
          <w:color w:val="000000"/>
          <w:sz w:val="22"/>
          <w:szCs w:val="22"/>
        </w:rPr>
        <w:t>(Duomenų šaltinis: AAA)</w:t>
      </w:r>
    </w:p>
    <w:p w:rsidR="000E7C4C" w:rsidRDefault="003C3EA6">
      <w:pPr>
        <w:ind w:firstLine="720"/>
        <w:jc w:val="both"/>
        <w:rPr>
          <w:color w:val="000000"/>
          <w:szCs w:val="21"/>
        </w:rPr>
      </w:pPr>
    </w:p>
    <w:p w:rsidR="000E7C4C" w:rsidRDefault="003C3EA6">
      <w:pPr>
        <w:ind w:firstLine="567"/>
        <w:jc w:val="both"/>
        <w:rPr>
          <w:color w:val="000000"/>
          <w:szCs w:val="21"/>
        </w:rPr>
      </w:pPr>
      <w:r>
        <w:rPr>
          <w:color w:val="000000"/>
          <w:szCs w:val="21"/>
        </w:rPr>
        <w:t>16</w:t>
      </w:r>
      <w:r>
        <w:rPr>
          <w:color w:val="000000"/>
          <w:szCs w:val="21"/>
        </w:rPr>
        <w:t>. Didžiausiu išmesto NMLOJ kiekio sumažėjimu pasižymėjo lengvųjų automobilių ir benzino garavimo sritys – atitinkamai išmestas NMLOJ kiekis sumažėjo 80,1 proc. ir 80,7 proc., lyginant 2005 m. ir 2015 m. Nepaisant to, jog nagrinėjamu laikotarpiu išmestas NMLOJ kiekis mažėjo, namų ūkiai ir garavimo emisijos naftos perdirbime ir naftos produktų saugojime ir paskirstyme išliko reikšmingiausiais taršos šaltiniais.</w:t>
      </w:r>
    </w:p>
    <w:p w:rsidR="000E7C4C" w:rsidRDefault="000E7C4C">
      <w:pPr>
        <w:ind w:firstLine="720"/>
        <w:jc w:val="both"/>
        <w:rPr>
          <w:color w:val="000000"/>
          <w:szCs w:val="21"/>
        </w:rPr>
      </w:pPr>
    </w:p>
    <w:p w:rsidR="000E7C4C" w:rsidRDefault="000E7C4C">
      <w:pPr>
        <w:ind w:firstLine="720"/>
        <w:jc w:val="both"/>
        <w:rPr>
          <w:color w:val="000000"/>
          <w:szCs w:val="21"/>
        </w:rPr>
      </w:pPr>
    </w:p>
    <w:p w:rsidR="003C3EA6" w:rsidRDefault="003C3EA6">
      <w:pPr>
        <w:ind w:firstLine="720"/>
        <w:jc w:val="both"/>
        <w:rPr>
          <w:color w:val="000000"/>
          <w:szCs w:val="21"/>
        </w:rPr>
      </w:pPr>
    </w:p>
    <w:p w:rsidR="000E7C4C" w:rsidRDefault="003C3EA6">
      <w:pPr>
        <w:ind w:firstLine="720"/>
        <w:jc w:val="both"/>
        <w:rPr>
          <w:color w:val="000000"/>
          <w:szCs w:val="21"/>
        </w:rPr>
      </w:pPr>
    </w:p>
    <w:p w:rsidR="000E7C4C" w:rsidRDefault="003C3EA6">
      <w:pPr>
        <w:jc w:val="center"/>
        <w:rPr>
          <w:b/>
          <w:color w:val="000000"/>
          <w:szCs w:val="21"/>
        </w:rPr>
      </w:pPr>
      <w:r>
        <w:rPr>
          <w:b/>
          <w:color w:val="000000"/>
          <w:szCs w:val="21"/>
        </w:rPr>
        <w:t>IV</w:t>
      </w:r>
      <w:r>
        <w:rPr>
          <w:b/>
          <w:color w:val="000000"/>
          <w:szCs w:val="21"/>
        </w:rPr>
        <w:t xml:space="preserve"> SKYRIUS</w:t>
      </w:r>
    </w:p>
    <w:p w:rsidR="000E7C4C" w:rsidRDefault="003C3EA6">
      <w:pPr>
        <w:keepNext/>
        <w:keepLines/>
        <w:jc w:val="center"/>
        <w:outlineLvl w:val="2"/>
        <w:rPr>
          <w:b/>
          <w:caps/>
          <w:color w:val="000000"/>
          <w:szCs w:val="28"/>
        </w:rPr>
      </w:pPr>
      <w:r>
        <w:rPr>
          <w:b/>
          <w:caps/>
          <w:color w:val="000000"/>
          <w:szCs w:val="28"/>
        </w:rPr>
        <w:t>IŠMESTO AMONIAKO KIEKIO ANALIZĖ</w:t>
      </w:r>
    </w:p>
    <w:p w:rsidR="000E7C4C" w:rsidRDefault="000E7C4C">
      <w:pPr>
        <w:ind w:left="720"/>
        <w:jc w:val="both"/>
        <w:rPr>
          <w:color w:val="000000"/>
          <w:szCs w:val="21"/>
        </w:rPr>
      </w:pPr>
    </w:p>
    <w:p w:rsidR="000E7C4C" w:rsidRDefault="003C3EA6">
      <w:pPr>
        <w:ind w:firstLine="567"/>
        <w:jc w:val="both"/>
        <w:rPr>
          <w:color w:val="000000"/>
          <w:szCs w:val="21"/>
        </w:rPr>
      </w:pPr>
      <w:r>
        <w:rPr>
          <w:color w:val="000000"/>
          <w:szCs w:val="21"/>
        </w:rPr>
        <w:t>17</w:t>
      </w:r>
      <w:r>
        <w:rPr>
          <w:color w:val="000000"/>
          <w:szCs w:val="21"/>
        </w:rPr>
        <w:t>. Išmestas amoniako (toliau – NH</w:t>
      </w:r>
      <w:r>
        <w:rPr>
          <w:color w:val="000000"/>
          <w:szCs w:val="21"/>
          <w:vertAlign w:val="subscript"/>
        </w:rPr>
        <w:t>3</w:t>
      </w:r>
      <w:r>
        <w:rPr>
          <w:color w:val="000000"/>
          <w:szCs w:val="21"/>
        </w:rPr>
        <w:t>) kiekis 2005–2015 m. laikotarpiu pasižymėjo mažėjimo tendencija. Išmestas NH</w:t>
      </w:r>
      <w:r>
        <w:rPr>
          <w:color w:val="000000"/>
          <w:szCs w:val="21"/>
          <w:vertAlign w:val="subscript"/>
        </w:rPr>
        <w:t>3</w:t>
      </w:r>
      <w:r>
        <w:rPr>
          <w:color w:val="000000"/>
          <w:szCs w:val="21"/>
        </w:rPr>
        <w:t xml:space="preserve"> kiekis sumažėjo apie 11,1 proc., vidutiniškai per metus mažėdamas 1,1 proc. Pažymėtina, kad 2013 m. ir 2015 m. buvo pasiekti NAAS nustatyti išmesto NH</w:t>
      </w:r>
      <w:r>
        <w:rPr>
          <w:color w:val="000000"/>
          <w:szCs w:val="21"/>
          <w:vertAlign w:val="subscript"/>
        </w:rPr>
        <w:t xml:space="preserve">3 </w:t>
      </w:r>
      <w:r>
        <w:rPr>
          <w:color w:val="000000"/>
          <w:szCs w:val="21"/>
        </w:rPr>
        <w:t>kiekio tikslai (žr. 7 pav.). 2014 m. išmesto NH</w:t>
      </w:r>
      <w:r>
        <w:rPr>
          <w:color w:val="000000"/>
          <w:szCs w:val="21"/>
          <w:vertAlign w:val="subscript"/>
        </w:rPr>
        <w:t xml:space="preserve">3 </w:t>
      </w:r>
      <w:r>
        <w:rPr>
          <w:color w:val="000000"/>
          <w:szCs w:val="21"/>
        </w:rPr>
        <w:t>kiekio padidėjimas ir nustatytų tikslų viršijimas buvo labai nežymus, todėl būtina tęsti išmetimų reguliavimą taikant įvairias priemones, kad pasiekta nustatyta riba daugiau nebūtų viršijama.</w:t>
      </w:r>
    </w:p>
    <w:p w:rsidR="000E7C4C" w:rsidRDefault="000E7C4C">
      <w:pPr>
        <w:jc w:val="center"/>
        <w:rPr>
          <w:color w:val="000000"/>
          <w:szCs w:val="21"/>
        </w:rPr>
      </w:pPr>
    </w:p>
    <w:p w:rsidR="000E7C4C" w:rsidRDefault="003C3EA6">
      <w:pPr>
        <w:jc w:val="center"/>
        <w:rPr>
          <w:color w:val="000000"/>
          <w:szCs w:val="21"/>
        </w:rPr>
      </w:pPr>
      <w:r>
        <w:rPr>
          <w:noProof/>
          <w:color w:val="000000"/>
          <w:szCs w:val="21"/>
          <w:lang w:eastAsia="lt-LT"/>
        </w:rPr>
        <w:drawing>
          <wp:inline distT="0" distB="0" distL="0" distR="0" wp14:anchorId="3A8F36F2" wp14:editId="15E51946">
            <wp:extent cx="4476750" cy="2219325"/>
            <wp:effectExtent l="0" t="0" r="0" b="0"/>
            <wp:docPr id="224" name="Diagrama 224"/>
            <wp:cNvGraphicFramePr/>
            <a:graphic xmlns:a="http://schemas.openxmlformats.org/drawingml/2006/main">
              <a:graphicData uri="http://schemas.openxmlformats.org/drawingml/2006/chart">
                <c:chart xmlns:c="http://schemas.openxmlformats.org/drawingml/2006/chart" r:id="rId24"/>
              </a:graphicData>
            </a:graphic>
          </wp:inline>
        </w:drawing>
      </w:r>
    </w:p>
    <w:p w:rsidR="000E7C4C" w:rsidRDefault="003C3EA6">
      <w:pPr>
        <w:jc w:val="center"/>
        <w:rPr>
          <w:color w:val="000000"/>
          <w:sz w:val="22"/>
          <w:szCs w:val="22"/>
        </w:rPr>
      </w:pPr>
      <w:r>
        <w:rPr>
          <w:color w:val="000000"/>
          <w:sz w:val="22"/>
          <w:szCs w:val="22"/>
        </w:rPr>
        <w:t>7 paveikslas. Išmesto į aplinkos orą NH</w:t>
      </w:r>
      <w:r>
        <w:rPr>
          <w:color w:val="000000"/>
          <w:sz w:val="22"/>
          <w:szCs w:val="22"/>
          <w:vertAlign w:val="subscript"/>
        </w:rPr>
        <w:t>3</w:t>
      </w:r>
      <w:r>
        <w:rPr>
          <w:color w:val="000000"/>
          <w:sz w:val="22"/>
          <w:szCs w:val="22"/>
        </w:rPr>
        <w:t xml:space="preserve"> kiekio dinamika Lietuvoje 2005–2015 m.</w:t>
      </w:r>
    </w:p>
    <w:p w:rsidR="000E7C4C" w:rsidRDefault="003C3EA6">
      <w:pPr>
        <w:jc w:val="center"/>
        <w:rPr>
          <w:color w:val="000000"/>
          <w:sz w:val="22"/>
          <w:szCs w:val="22"/>
        </w:rPr>
      </w:pPr>
      <w:r>
        <w:rPr>
          <w:color w:val="000000"/>
          <w:sz w:val="22"/>
          <w:szCs w:val="22"/>
        </w:rPr>
        <w:t>(Duomenų šaltinis: AAA)</w:t>
      </w:r>
    </w:p>
    <w:p w:rsidR="000E7C4C" w:rsidRDefault="003C3EA6">
      <w:pPr>
        <w:jc w:val="both"/>
        <w:rPr>
          <w:color w:val="000000"/>
          <w:sz w:val="22"/>
          <w:szCs w:val="22"/>
        </w:rPr>
      </w:pPr>
    </w:p>
    <w:p w:rsidR="000E7C4C" w:rsidRDefault="003C3EA6">
      <w:pPr>
        <w:ind w:firstLine="567"/>
        <w:jc w:val="both"/>
        <w:rPr>
          <w:color w:val="000000"/>
          <w:szCs w:val="21"/>
        </w:rPr>
      </w:pPr>
      <w:r>
        <w:rPr>
          <w:color w:val="000000"/>
          <w:szCs w:val="21"/>
        </w:rPr>
        <w:t>18</w:t>
      </w:r>
      <w:r>
        <w:rPr>
          <w:color w:val="000000"/>
          <w:szCs w:val="21"/>
        </w:rPr>
        <w:t>. Kaip matyti 8 paveiksle, didžiausią įtaką išmestam NH</w:t>
      </w:r>
      <w:r>
        <w:rPr>
          <w:color w:val="000000"/>
          <w:szCs w:val="21"/>
          <w:vertAlign w:val="subscript"/>
        </w:rPr>
        <w:t>3</w:t>
      </w:r>
      <w:r>
        <w:rPr>
          <w:color w:val="000000"/>
          <w:szCs w:val="21"/>
        </w:rPr>
        <w:t xml:space="preserve"> kiekiui darė žemės ūkio sektorius, tačiau žemės ūkio sektoriaus išmesto NH</w:t>
      </w:r>
      <w:r>
        <w:rPr>
          <w:color w:val="000000"/>
          <w:szCs w:val="21"/>
          <w:vertAlign w:val="subscript"/>
        </w:rPr>
        <w:t xml:space="preserve">3 </w:t>
      </w:r>
      <w:r>
        <w:rPr>
          <w:color w:val="000000"/>
          <w:szCs w:val="21"/>
        </w:rPr>
        <w:t>kiekio dalis bendroje išmesto NH</w:t>
      </w:r>
      <w:r>
        <w:rPr>
          <w:color w:val="000000"/>
          <w:szCs w:val="21"/>
          <w:vertAlign w:val="subscript"/>
        </w:rPr>
        <w:t xml:space="preserve">3 </w:t>
      </w:r>
      <w:r>
        <w:rPr>
          <w:color w:val="000000"/>
          <w:szCs w:val="21"/>
        </w:rPr>
        <w:t>kiekio struktūroje sumažėjo nuo 87,4 proc. 2005 m. iki 81 proc. 2015 m. Žemės ūkio sektoriuje išmesto NH</w:t>
      </w:r>
      <w:r>
        <w:rPr>
          <w:color w:val="000000"/>
          <w:szCs w:val="21"/>
          <w:vertAlign w:val="subscript"/>
        </w:rPr>
        <w:t xml:space="preserve">3 </w:t>
      </w:r>
      <w:r>
        <w:rPr>
          <w:color w:val="000000"/>
          <w:szCs w:val="21"/>
        </w:rPr>
        <w:t>kiekio šaltinių struktūra pasikeitė per nagrinėjamą 2005–2015 m. laikotarpį. Išmestas NH</w:t>
      </w:r>
      <w:r>
        <w:rPr>
          <w:color w:val="000000"/>
          <w:szCs w:val="21"/>
          <w:vertAlign w:val="subscript"/>
        </w:rPr>
        <w:t xml:space="preserve">3 </w:t>
      </w:r>
      <w:r>
        <w:rPr>
          <w:color w:val="000000"/>
          <w:szCs w:val="21"/>
        </w:rPr>
        <w:t>kiekis iš gyvulininkystės sektoriaus sumažėjo daugiau nei ketvirtadaliu, gyvulininkystės sektoriaus išmesto NH</w:t>
      </w:r>
      <w:r>
        <w:rPr>
          <w:color w:val="000000"/>
          <w:szCs w:val="21"/>
          <w:vertAlign w:val="subscript"/>
        </w:rPr>
        <w:t>3</w:t>
      </w:r>
      <w:r>
        <w:rPr>
          <w:color w:val="000000"/>
          <w:szCs w:val="21"/>
        </w:rPr>
        <w:t xml:space="preserve"> kiekio dalis bendroje išmesto NH</w:t>
      </w:r>
      <w:r>
        <w:rPr>
          <w:color w:val="000000"/>
          <w:szCs w:val="21"/>
          <w:vertAlign w:val="subscript"/>
        </w:rPr>
        <w:t>3</w:t>
      </w:r>
      <w:r>
        <w:rPr>
          <w:color w:val="000000"/>
          <w:szCs w:val="21"/>
        </w:rPr>
        <w:t xml:space="preserve"> kiekio struktūroje sumažėjo nuo 45,4 proc. 2005 m. iki 37,9 proc. 2015 m. Pažymėtina, kad didžiausia tarša NH</w:t>
      </w:r>
      <w:r>
        <w:rPr>
          <w:color w:val="000000"/>
          <w:szCs w:val="21"/>
          <w:vertAlign w:val="subscript"/>
        </w:rPr>
        <w:t>3</w:t>
      </w:r>
      <w:r>
        <w:rPr>
          <w:color w:val="000000"/>
          <w:szCs w:val="21"/>
        </w:rPr>
        <w:t xml:space="preserve"> gyvulininkystės sektoriuje pasižymi pieninių galvijų ir kiaulininkystės ūkiai (dėl mėšlo tvarkymo), kurių išmestas NH</w:t>
      </w:r>
      <w:r>
        <w:rPr>
          <w:color w:val="000000"/>
          <w:szCs w:val="21"/>
          <w:vertAlign w:val="subscript"/>
        </w:rPr>
        <w:t xml:space="preserve">3 </w:t>
      </w:r>
      <w:r>
        <w:rPr>
          <w:color w:val="000000"/>
          <w:szCs w:val="21"/>
        </w:rPr>
        <w:t>kiekis atitinkamai sudarė 2015 m. 28,6 proc. ir  32,9 proc. viso gyvulininkystės sektoriaus išmesto NH</w:t>
      </w:r>
      <w:r>
        <w:rPr>
          <w:color w:val="000000"/>
          <w:szCs w:val="21"/>
          <w:vertAlign w:val="subscript"/>
        </w:rPr>
        <w:t xml:space="preserve">3 </w:t>
      </w:r>
      <w:r>
        <w:rPr>
          <w:color w:val="000000"/>
          <w:szCs w:val="21"/>
        </w:rPr>
        <w:t>kiekio. Kitos žemės ūkio veiklos išmestas NH</w:t>
      </w:r>
      <w:r>
        <w:rPr>
          <w:color w:val="000000"/>
          <w:szCs w:val="21"/>
          <w:vertAlign w:val="subscript"/>
        </w:rPr>
        <w:t>3</w:t>
      </w:r>
      <w:r>
        <w:rPr>
          <w:color w:val="000000"/>
          <w:szCs w:val="21"/>
        </w:rPr>
        <w:t xml:space="preserve"> kiekis padidėjo 2 proc., lyginant 2005 ir 2015 m. Kitos žemės ūkio veiklos išmesto NH</w:t>
      </w:r>
      <w:r>
        <w:rPr>
          <w:color w:val="000000"/>
          <w:szCs w:val="21"/>
          <w:vertAlign w:val="subscript"/>
        </w:rPr>
        <w:t>3</w:t>
      </w:r>
      <w:r>
        <w:rPr>
          <w:color w:val="000000"/>
          <w:szCs w:val="21"/>
        </w:rPr>
        <w:t xml:space="preserve"> kiekio dalis bendroje išmesto NH</w:t>
      </w:r>
      <w:r>
        <w:rPr>
          <w:color w:val="000000"/>
          <w:szCs w:val="21"/>
          <w:vertAlign w:val="subscript"/>
        </w:rPr>
        <w:t>3</w:t>
      </w:r>
      <w:r>
        <w:rPr>
          <w:color w:val="000000"/>
          <w:szCs w:val="21"/>
        </w:rPr>
        <w:t xml:space="preserve"> kiekio struktūroje padidėjo nuo 42 proc. 2005 m. iki 43,1 proc. 2015 m. Tarp kitos žemės ūkio veiklos sektorių išskirtinos tokios veiklos kaip dirvožemio tręšimas mėšlu ir neorganinių azoto (N) trąšų (įskaitant karbamidą) naudojimas, kurių išmestas NH</w:t>
      </w:r>
      <w:r>
        <w:rPr>
          <w:color w:val="000000"/>
          <w:szCs w:val="21"/>
          <w:vertAlign w:val="subscript"/>
        </w:rPr>
        <w:t>3</w:t>
      </w:r>
      <w:r>
        <w:rPr>
          <w:color w:val="000000"/>
          <w:szCs w:val="21"/>
        </w:rPr>
        <w:t xml:space="preserve"> kiekis 2015 m. sudarė atitinkamai 38,1 proc. ir 58,2 proc. viso kitos žemės ūkio veiklos išmesto NH</w:t>
      </w:r>
      <w:r>
        <w:rPr>
          <w:color w:val="000000"/>
          <w:szCs w:val="21"/>
          <w:vertAlign w:val="subscript"/>
        </w:rPr>
        <w:t>3</w:t>
      </w:r>
      <w:r>
        <w:rPr>
          <w:color w:val="000000"/>
          <w:szCs w:val="21"/>
        </w:rPr>
        <w:t xml:space="preserve"> kiekio.</w:t>
      </w:r>
    </w:p>
    <w:p w:rsidR="000E7C4C" w:rsidRDefault="000E7C4C">
      <w:pPr>
        <w:ind w:left="720"/>
        <w:jc w:val="both"/>
        <w:rPr>
          <w:color w:val="000000"/>
          <w:szCs w:val="21"/>
        </w:rPr>
      </w:pPr>
    </w:p>
    <w:p w:rsidR="000E7C4C" w:rsidRDefault="003C3EA6">
      <w:pPr>
        <w:jc w:val="center"/>
        <w:rPr>
          <w:color w:val="000000"/>
          <w:szCs w:val="21"/>
        </w:rPr>
      </w:pPr>
      <w:r>
        <w:rPr>
          <w:noProof/>
          <w:color w:val="000000"/>
          <w:lang w:eastAsia="lt-LT"/>
        </w:rPr>
        <w:drawing>
          <wp:inline distT="0" distB="0" distL="0" distR="0" wp14:anchorId="233BC2CC" wp14:editId="3FAF236C">
            <wp:extent cx="4400550" cy="2571750"/>
            <wp:effectExtent l="0" t="0" r="0" b="0"/>
            <wp:docPr id="81" name="Diagrama 81"/>
            <wp:cNvGraphicFramePr/>
            <a:graphic xmlns:a="http://schemas.openxmlformats.org/drawingml/2006/main">
              <a:graphicData uri="http://schemas.openxmlformats.org/drawingml/2006/chart">
                <c:chart xmlns:c="http://schemas.openxmlformats.org/drawingml/2006/chart" r:id="rId25"/>
              </a:graphicData>
            </a:graphic>
          </wp:inline>
        </w:drawing>
      </w:r>
    </w:p>
    <w:p w:rsidR="000E7C4C" w:rsidRDefault="003C3EA6">
      <w:pPr>
        <w:keepNext/>
        <w:tabs>
          <w:tab w:val="left" w:pos="993"/>
          <w:tab w:val="left" w:pos="1134"/>
        </w:tabs>
        <w:jc w:val="center"/>
        <w:rPr>
          <w:color w:val="000000"/>
          <w:sz w:val="22"/>
          <w:szCs w:val="22"/>
        </w:rPr>
      </w:pPr>
      <w:r>
        <w:rPr>
          <w:color w:val="000000"/>
          <w:sz w:val="22"/>
          <w:szCs w:val="22"/>
        </w:rPr>
        <w:t>8 paveikslas. Išmesto į aplinkos orą amoniako struktūra pagal taršos šaltinius 2005–2015 m.</w:t>
      </w:r>
    </w:p>
    <w:p w:rsidR="000E7C4C" w:rsidRDefault="003C3EA6">
      <w:pPr>
        <w:jc w:val="center"/>
        <w:rPr>
          <w:color w:val="000000"/>
          <w:sz w:val="22"/>
          <w:szCs w:val="22"/>
        </w:rPr>
      </w:pPr>
      <w:r>
        <w:rPr>
          <w:color w:val="000000"/>
          <w:sz w:val="22"/>
          <w:szCs w:val="22"/>
        </w:rPr>
        <w:t>(Duomenų šaltinis: AAA)</w:t>
      </w:r>
    </w:p>
    <w:p w:rsidR="000E7C4C" w:rsidRDefault="003C3EA6">
      <w:pPr>
        <w:jc w:val="both"/>
        <w:rPr>
          <w:color w:val="000000"/>
          <w:sz w:val="22"/>
          <w:szCs w:val="22"/>
        </w:rPr>
      </w:pPr>
    </w:p>
    <w:p w:rsidR="000E7C4C" w:rsidRDefault="003C3EA6">
      <w:pPr>
        <w:ind w:firstLine="567"/>
        <w:jc w:val="both"/>
        <w:rPr>
          <w:color w:val="000000"/>
          <w:szCs w:val="21"/>
        </w:rPr>
      </w:pPr>
      <w:r>
        <w:rPr>
          <w:color w:val="000000"/>
          <w:szCs w:val="21"/>
        </w:rPr>
        <w:t>19</w:t>
      </w:r>
      <w:r>
        <w:rPr>
          <w:color w:val="000000"/>
          <w:szCs w:val="21"/>
        </w:rPr>
        <w:t>. Siekiant detaliau išnagrinėti probleminius NH</w:t>
      </w:r>
      <w:r>
        <w:rPr>
          <w:color w:val="000000"/>
          <w:szCs w:val="21"/>
          <w:vertAlign w:val="subscript"/>
        </w:rPr>
        <w:t>3</w:t>
      </w:r>
      <w:r>
        <w:rPr>
          <w:color w:val="000000"/>
          <w:szCs w:val="21"/>
        </w:rPr>
        <w:t xml:space="preserve"> išmetančius sektorius, atlikta pagrindinių kategorijų analizė. Kaip matyti 4 lentelėje, didžiausią neigiamą įtaką darančiu sektoriumi išmesto NH</w:t>
      </w:r>
      <w:r>
        <w:rPr>
          <w:color w:val="000000"/>
          <w:szCs w:val="21"/>
          <w:vertAlign w:val="subscript"/>
        </w:rPr>
        <w:t>3</w:t>
      </w:r>
      <w:r>
        <w:rPr>
          <w:color w:val="000000"/>
          <w:szCs w:val="21"/>
        </w:rPr>
        <w:t xml:space="preserve"> kiekio struktūroje laikomas neorganinių azoto (N) trąšų (įskaitant karbamidą) vartojimas, kurio dalis bendroje išmesto NH</w:t>
      </w:r>
      <w:r>
        <w:rPr>
          <w:color w:val="000000"/>
          <w:szCs w:val="21"/>
          <w:vertAlign w:val="subscript"/>
        </w:rPr>
        <w:t>3</w:t>
      </w:r>
      <w:r>
        <w:rPr>
          <w:color w:val="000000"/>
          <w:szCs w:val="21"/>
        </w:rPr>
        <w:t xml:space="preserve"> kiekio struktūroje padidėjo nuo 18,3 proc. 2005 m. iki 28 proc. 2015 m. Pažymėtina, kad dėl neorganinių azoto (N) trąšų (įskaitant karbamidą) vartojimo išmesto NH</w:t>
      </w:r>
      <w:r>
        <w:rPr>
          <w:color w:val="000000"/>
          <w:szCs w:val="21"/>
          <w:vertAlign w:val="subscript"/>
        </w:rPr>
        <w:t>3</w:t>
      </w:r>
      <w:r>
        <w:rPr>
          <w:color w:val="000000"/>
          <w:szCs w:val="21"/>
        </w:rPr>
        <w:t xml:space="preserve"> kiekio dalis padidėjo 35,9 proc., lyginant 2005 m. ir 2015 m., todėl turi būti imamasi priemonių, kurios sumažintų šių trąšų (įskaitant karbamidą) neigiamą poveikį aplinkos orui. Dėl dirvožemio tręšimo gyvulių mėšlu išmestas NH</w:t>
      </w:r>
      <w:r>
        <w:rPr>
          <w:color w:val="000000"/>
          <w:szCs w:val="21"/>
          <w:vertAlign w:val="subscript"/>
        </w:rPr>
        <w:t>3</w:t>
      </w:r>
      <w:r>
        <w:rPr>
          <w:color w:val="000000"/>
          <w:szCs w:val="21"/>
        </w:rPr>
        <w:t xml:space="preserve"> kiekis sumažėjo beveik penktadaliu, o jų dalis bendroje išmesto NH</w:t>
      </w:r>
      <w:r>
        <w:rPr>
          <w:color w:val="000000"/>
          <w:szCs w:val="21"/>
          <w:vertAlign w:val="subscript"/>
        </w:rPr>
        <w:t>3</w:t>
      </w:r>
      <w:r>
        <w:rPr>
          <w:color w:val="000000"/>
          <w:szCs w:val="21"/>
        </w:rPr>
        <w:t xml:space="preserve"> kiekio struktūroje sumažėjo nuo 21,7 proc. iki 18,4 proc.</w:t>
      </w:r>
    </w:p>
    <w:p w:rsidR="000E7C4C" w:rsidRDefault="000E7C4C">
      <w:pPr>
        <w:ind w:left="720"/>
        <w:jc w:val="both"/>
        <w:rPr>
          <w:color w:val="000000"/>
          <w:szCs w:val="21"/>
        </w:rPr>
      </w:pPr>
    </w:p>
    <w:p w:rsidR="000E7C4C" w:rsidRDefault="003C3EA6">
      <w:pPr>
        <w:jc w:val="both"/>
        <w:rPr>
          <w:color w:val="000000"/>
        </w:rPr>
      </w:pPr>
      <w:r>
        <w:rPr>
          <w:color w:val="000000"/>
        </w:rPr>
        <w:t>4 lentelė. Išmestas NH</w:t>
      </w:r>
      <w:r>
        <w:rPr>
          <w:color w:val="000000"/>
          <w:vertAlign w:val="subscript"/>
        </w:rPr>
        <w:t>3</w:t>
      </w:r>
      <w:r>
        <w:rPr>
          <w:color w:val="000000"/>
        </w:rPr>
        <w:t xml:space="preserve"> kiekis: pagrindinių kategorijų analizė</w:t>
      </w:r>
    </w:p>
    <w:tbl>
      <w:tblPr>
        <w:tblW w:w="9667" w:type="dxa"/>
        <w:jc w:val="center"/>
        <w:tblBorders>
          <w:top w:val="single" w:sz="12" w:space="0" w:color="FFFFFF"/>
          <w:bottom w:val="single" w:sz="2" w:space="0" w:color="1F497D"/>
          <w:insideH w:val="single" w:sz="2" w:space="0" w:color="1F497D"/>
          <w:insideV w:val="single" w:sz="12" w:space="0" w:color="FFFFFF"/>
        </w:tblBorders>
        <w:tblCellMar>
          <w:top w:w="28" w:type="dxa"/>
          <w:left w:w="28" w:type="dxa"/>
          <w:bottom w:w="28" w:type="dxa"/>
          <w:right w:w="28" w:type="dxa"/>
        </w:tblCellMar>
        <w:tblLook w:val="04A0" w:firstRow="1" w:lastRow="0" w:firstColumn="1" w:lastColumn="0" w:noHBand="0" w:noVBand="1"/>
      </w:tblPr>
      <w:tblGrid>
        <w:gridCol w:w="593"/>
        <w:gridCol w:w="1540"/>
        <w:gridCol w:w="1284"/>
        <w:gridCol w:w="1276"/>
        <w:gridCol w:w="1418"/>
        <w:gridCol w:w="1417"/>
        <w:gridCol w:w="1121"/>
        <w:gridCol w:w="13"/>
        <w:gridCol w:w="1005"/>
      </w:tblGrid>
      <w:tr w:rsidR="000E7C4C">
        <w:trPr>
          <w:tblHeader/>
          <w:jc w:val="center"/>
        </w:trPr>
        <w:tc>
          <w:tcPr>
            <w:tcW w:w="593" w:type="dxa"/>
            <w:tcBorders>
              <w:top w:val="single" w:sz="12" w:space="0" w:color="FFFFFF"/>
              <w:left w:val="nil"/>
              <w:bottom w:val="single" w:sz="2" w:space="0" w:color="1F497D"/>
              <w:right w:val="single" w:sz="12" w:space="0" w:color="FFFFFF"/>
            </w:tcBorders>
            <w:shd w:val="clear" w:color="auto" w:fill="002060"/>
            <w:hideMark/>
          </w:tcPr>
          <w:p w:rsidR="000E7C4C" w:rsidRDefault="003C3EA6">
            <w:pPr>
              <w:jc w:val="center"/>
              <w:rPr>
                <w:color w:val="FFFFFF"/>
                <w:sz w:val="20"/>
              </w:rPr>
            </w:pPr>
            <w:r>
              <w:rPr>
                <w:noProof/>
                <w:lang w:eastAsia="lt-LT"/>
              </w:rPr>
              <mc:AlternateContent>
                <mc:Choice Requires="wps">
                  <w:drawing>
                    <wp:anchor distT="0" distB="0" distL="114300" distR="114300" simplePos="0" relativeHeight="251678720" behindDoc="1" locked="0" layoutInCell="1" allowOverlap="1" wp14:anchorId="0007C726" wp14:editId="5958EA2B">
                      <wp:simplePos x="0" y="0"/>
                      <wp:positionH relativeFrom="column">
                        <wp:posOffset>-27305</wp:posOffset>
                      </wp:positionH>
                      <wp:positionV relativeFrom="paragraph">
                        <wp:posOffset>-13335</wp:posOffset>
                      </wp:positionV>
                      <wp:extent cx="5699760" cy="182880"/>
                      <wp:effectExtent l="0" t="0" r="0" b="7620"/>
                      <wp:wrapNone/>
                      <wp:docPr id="233" name="Stačiakampis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9760" cy="182880"/>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0B14C542" id="Stačiakampis 233" o:spid="_x0000_s1026" style="position:absolute;margin-left:-2.15pt;margin-top:-1.05pt;width:448.8pt;height:14.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nYFsVwIAAJAEAAAOAAAAZHJzL2Uyb0RvYy54bWysVNtu2zAMfR+wfxD0vtpOlzQ16hRFuw4D uq1AN+yZkWVbqG6jlDjdP/Sv9mGj5KTrLk/DXgRaFMlzeEifne+MZluJQTnb8Oqo5Exa4Vpl+4Z/ /nT9aslZiGBb0M7Khj/IwM9XL1+cjb6WMzc43UpklMSGevQNH2L0dVEEMUgD4ch5acnZOTQQ6RP7 okUYKbvRxawsF8XosPXohAyBbq8mJ1/l/F0nRfzYdUFGphtO2GI+MZ/rdBarM6h7BD8osYcB/4DC gLJU9CnVFURgG1R/pDJKoAuui0fCmcJ1nRIycyA2Vfkbm7sBvMxcqDnBP7Up/L+04sP2FplqGz47 PubMgiGR7iJ8f1RwD8arwJKD2jT6UNPrO3+LiWjwN07cB2bd5QC2lxeIbhwktASuSu+LXwLSR6BQ th7fu5ZqwCa63LFdhyYlpF6wXRbm4UkYuYtM0OV8cXp6siD9BPmq5Wy5zMoVUB+iPYb4VjrDktFw JOFzdtjehJjQQH14spepvVZaM3Txi4pD7nQqm52BYiaDeUd8puuA/fpSI9tCmqWyrGYXmSeJHp6/ rshX/jVk/vpk8SyEMPWHUlpZRm1MtVgQoCUpMrUxz1QGm4poy8aGn85n8wzVusQiD7FRkTZJK9Pw 5YQgXydJ3tg22xGUnmwqre1eoyTLJO/atQ8kEfUk46C1JmNw+I2zkVak4eHrBlBypt/Z3BYWDwYe jPXBACsotOGRE7FkXsZp7zYeVT9Q5mpP4YJGoVNZpTQmE4o9OBr7LN5+RdNePf/Or37+SFY/AAAA //8DAFBLAwQUAAYACAAAACEACqHcXt4AAAAIAQAADwAAAGRycy9kb3ducmV2LnhtbEyPQU/DMAyF 70j8h8hI3LZkHeq60nRCCG4wiTHuWWPaisbpmqzr+PWYE5ws+z09f6/YTK4TIw6h9aRhMVcgkCpv W6o17N+fZxmIEA1Z03lCDRcMsCmvrwqTW3+mNxx3sRYcQiE3GpoY+1zKUDXoTJj7Hom1Tz84E3kd amkHc+Zw18lEqVQ60xJ/aEyPjw1WX7uT06C+2+0+276ujk9D9fGyHtOjuqRa395MD/cgIk7xzwy/ +IwOJTMd/IlsEJ2G2d2SnTyTBQjWs/WSDwcNSboCWRbyf4HyBwAA//8DAFBLAQItABQABgAIAAAA IQC2gziS/gAAAOEBAAATAAAAAAAAAAAAAAAAAAAAAABbQ29udGVudF9UeXBlc10ueG1sUEsBAi0A FAAGAAgAAAAhADj9If/WAAAAlAEAAAsAAAAAAAAAAAAAAAAALwEAAF9yZWxzLy5yZWxzUEsBAi0A FAAGAAgAAAAhAJmdgWxXAgAAkAQAAA4AAAAAAAAAAAAAAAAALgIAAGRycy9lMm9Eb2MueG1sUEsB Ai0AFAAGAAgAAAAhAAqh3F7eAAAACAEAAA8AAAAAAAAAAAAAAAAAsQQAAGRycy9kb3ducmV2Lnht bFBLBQYAAAAABAAEAPMAAAC8BQAAAAA= " fillcolor="#00012a" stroked="f">
                      <v:fill color2="#005476" angle="90" focus="100%" type="gradient"/>
                      <v:textbox inset="0,0,0,0"/>
                    </v:rect>
                  </w:pict>
                </mc:Fallback>
              </mc:AlternateContent>
            </w:r>
            <w:r>
              <w:rPr>
                <w:color w:val="FFFFFF"/>
                <w:sz w:val="20"/>
              </w:rPr>
              <w:t>Metai</w:t>
            </w:r>
          </w:p>
        </w:tc>
        <w:tc>
          <w:tcPr>
            <w:tcW w:w="8056" w:type="dxa"/>
            <w:gridSpan w:val="6"/>
            <w:tcBorders>
              <w:top w:val="single" w:sz="12" w:space="0" w:color="FFFFFF"/>
              <w:left w:val="single" w:sz="12" w:space="0" w:color="FFFFFF"/>
              <w:bottom w:val="single" w:sz="2" w:space="0" w:color="1F497D"/>
              <w:right w:val="single" w:sz="12" w:space="0" w:color="FFFFFF"/>
            </w:tcBorders>
            <w:shd w:val="clear" w:color="auto" w:fill="002060"/>
            <w:hideMark/>
          </w:tcPr>
          <w:p w:rsidR="000E7C4C" w:rsidRDefault="003C3EA6">
            <w:pPr>
              <w:jc w:val="center"/>
              <w:rPr>
                <w:bCs/>
                <w:color w:val="FFFFFF"/>
                <w:sz w:val="20"/>
                <w:lang w:eastAsia="en-GB"/>
              </w:rPr>
            </w:pPr>
            <w:r>
              <w:rPr>
                <w:bCs/>
                <w:color w:val="FFFFFF"/>
                <w:sz w:val="20"/>
                <w:lang w:eastAsia="en-GB"/>
              </w:rPr>
              <w:t>Pagrindinės kategorijos (surūšiuotos nuo aukščiausios iki žemiausios, iš kairės į dešinę)</w:t>
            </w:r>
          </w:p>
        </w:tc>
        <w:tc>
          <w:tcPr>
            <w:tcW w:w="1018" w:type="dxa"/>
            <w:gridSpan w:val="2"/>
            <w:tcBorders>
              <w:top w:val="single" w:sz="12" w:space="0" w:color="FFFFFF"/>
              <w:left w:val="single" w:sz="12" w:space="0" w:color="FFFFFF"/>
              <w:bottom w:val="single" w:sz="2" w:space="0" w:color="1F497D"/>
              <w:right w:val="nil"/>
            </w:tcBorders>
            <w:shd w:val="clear" w:color="auto" w:fill="002060"/>
            <w:hideMark/>
          </w:tcPr>
          <w:p w:rsidR="000E7C4C" w:rsidRDefault="003C3EA6">
            <w:pPr>
              <w:jc w:val="center"/>
              <w:rPr>
                <w:bCs/>
                <w:color w:val="FFFFFF"/>
                <w:sz w:val="20"/>
                <w:lang w:eastAsia="en-GB"/>
              </w:rPr>
            </w:pPr>
            <w:r>
              <w:rPr>
                <w:bCs/>
                <w:color w:val="FFFFFF"/>
                <w:sz w:val="20"/>
                <w:lang w:eastAsia="en-GB"/>
              </w:rPr>
              <w:t>Iš viso</w:t>
            </w:r>
          </w:p>
        </w:tc>
      </w:tr>
      <w:tr w:rsidR="000E7C4C">
        <w:trPr>
          <w:jc w:val="center"/>
        </w:trPr>
        <w:tc>
          <w:tcPr>
            <w:tcW w:w="593" w:type="dxa"/>
            <w:vMerge w:val="restart"/>
            <w:tcBorders>
              <w:top w:val="single" w:sz="2" w:space="0" w:color="1F497D"/>
              <w:left w:val="nil"/>
              <w:bottom w:val="single" w:sz="2" w:space="0" w:color="1F497D"/>
              <w:right w:val="single" w:sz="12" w:space="0" w:color="FFFFFF"/>
            </w:tcBorders>
            <w:vAlign w:val="center"/>
            <w:hideMark/>
          </w:tcPr>
          <w:p w:rsidR="000E7C4C" w:rsidRDefault="003C3EA6">
            <w:pPr>
              <w:rPr>
                <w:color w:val="000000"/>
                <w:sz w:val="20"/>
                <w:lang w:eastAsia="lt-LT"/>
              </w:rPr>
            </w:pPr>
            <w:r>
              <w:rPr>
                <w:color w:val="000000"/>
                <w:sz w:val="20"/>
                <w:lang w:eastAsia="lt-LT"/>
              </w:rPr>
              <w:t>2005</w:t>
            </w:r>
          </w:p>
        </w:tc>
        <w:tc>
          <w:tcPr>
            <w:tcW w:w="1540"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rFonts w:eastAsia="Calibri"/>
                <w:color w:val="000000"/>
                <w:sz w:val="20"/>
                <w:lang w:eastAsia="lt-LT"/>
              </w:rPr>
            </w:pPr>
            <w:r>
              <w:rPr>
                <w:rFonts w:eastAsia="Calibri"/>
                <w:color w:val="000000"/>
                <w:sz w:val="20"/>
                <w:lang w:eastAsia="lt-LT"/>
              </w:rPr>
              <w:t>3Da2a</w:t>
            </w:r>
          </w:p>
          <w:p w:rsidR="000E7C4C" w:rsidRDefault="003C3EA6">
            <w:pPr>
              <w:jc w:val="center"/>
              <w:rPr>
                <w:rFonts w:eastAsia="Calibri"/>
                <w:color w:val="000000"/>
                <w:sz w:val="20"/>
                <w:lang w:eastAsia="lt-LT"/>
              </w:rPr>
            </w:pPr>
            <w:r>
              <w:rPr>
                <w:rFonts w:eastAsia="Calibri"/>
                <w:color w:val="000000"/>
                <w:sz w:val="20"/>
                <w:lang w:eastAsia="lt-LT"/>
              </w:rPr>
              <w:t xml:space="preserve">Dirvožemio tręšimas gyvulių mėšlu </w:t>
            </w:r>
          </w:p>
        </w:tc>
        <w:tc>
          <w:tcPr>
            <w:tcW w:w="128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rFonts w:eastAsia="Calibri"/>
                <w:color w:val="000000"/>
                <w:sz w:val="20"/>
                <w:lang w:eastAsia="lt-LT"/>
              </w:rPr>
            </w:pPr>
            <w:r>
              <w:rPr>
                <w:rFonts w:eastAsia="Calibri"/>
                <w:color w:val="000000"/>
                <w:sz w:val="20"/>
                <w:lang w:eastAsia="lt-LT"/>
              </w:rPr>
              <w:t>3Da1</w:t>
            </w:r>
          </w:p>
          <w:p w:rsidR="000E7C4C" w:rsidRDefault="003C3EA6">
            <w:pPr>
              <w:jc w:val="center"/>
              <w:rPr>
                <w:rFonts w:eastAsia="Calibri"/>
                <w:color w:val="000000"/>
                <w:sz w:val="20"/>
                <w:lang w:eastAsia="lt-LT"/>
              </w:rPr>
            </w:pPr>
            <w:r>
              <w:rPr>
                <w:rFonts w:eastAsia="Calibri"/>
                <w:color w:val="000000"/>
                <w:sz w:val="20"/>
                <w:lang w:eastAsia="lt-LT"/>
              </w:rPr>
              <w:t>Neorganinės N trąšos (įskaitant karbamidą)</w:t>
            </w:r>
          </w:p>
        </w:tc>
        <w:tc>
          <w:tcPr>
            <w:tcW w:w="127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rFonts w:eastAsia="Calibri"/>
                <w:color w:val="000000"/>
                <w:sz w:val="20"/>
                <w:lang w:eastAsia="lt-LT"/>
              </w:rPr>
            </w:pPr>
            <w:r>
              <w:rPr>
                <w:rFonts w:eastAsia="Calibri"/>
                <w:color w:val="000000"/>
                <w:sz w:val="20"/>
                <w:lang w:eastAsia="lt-LT"/>
              </w:rPr>
              <w:t>3B3</w:t>
            </w:r>
          </w:p>
          <w:p w:rsidR="000E7C4C" w:rsidRDefault="003C3EA6">
            <w:pPr>
              <w:jc w:val="center"/>
              <w:rPr>
                <w:rFonts w:eastAsia="Calibri"/>
                <w:color w:val="000000"/>
                <w:sz w:val="20"/>
                <w:lang w:eastAsia="lt-LT"/>
              </w:rPr>
            </w:pPr>
            <w:r>
              <w:rPr>
                <w:rFonts w:eastAsia="Calibri"/>
                <w:color w:val="000000"/>
                <w:sz w:val="20"/>
                <w:lang w:eastAsia="lt-LT"/>
              </w:rPr>
              <w:t>Mėšlo iš kiaulidžių valdymas</w:t>
            </w:r>
          </w:p>
        </w:tc>
        <w:tc>
          <w:tcPr>
            <w:tcW w:w="1418"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rFonts w:eastAsia="Calibri"/>
                <w:color w:val="000000"/>
                <w:sz w:val="20"/>
                <w:lang w:eastAsia="lt-LT"/>
              </w:rPr>
            </w:pPr>
            <w:r>
              <w:rPr>
                <w:rFonts w:eastAsia="Calibri"/>
                <w:color w:val="000000"/>
                <w:sz w:val="20"/>
                <w:lang w:eastAsia="lt-LT"/>
              </w:rPr>
              <w:t>3B1a</w:t>
            </w:r>
          </w:p>
          <w:p w:rsidR="000E7C4C" w:rsidRDefault="003C3EA6">
            <w:pPr>
              <w:jc w:val="center"/>
              <w:rPr>
                <w:rFonts w:eastAsia="Calibri"/>
                <w:color w:val="000000"/>
                <w:sz w:val="20"/>
                <w:lang w:eastAsia="lt-LT"/>
              </w:rPr>
            </w:pPr>
            <w:r>
              <w:rPr>
                <w:rFonts w:eastAsia="Calibri"/>
                <w:color w:val="000000"/>
                <w:sz w:val="20"/>
                <w:lang w:eastAsia="lt-LT"/>
              </w:rPr>
              <w:t>Mėšlo iš pieninių galvijų ūkių valdymas</w:t>
            </w:r>
          </w:p>
        </w:tc>
        <w:tc>
          <w:tcPr>
            <w:tcW w:w="1417"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rFonts w:eastAsia="Calibri"/>
                <w:color w:val="000000"/>
                <w:sz w:val="20"/>
                <w:lang w:eastAsia="lt-LT"/>
              </w:rPr>
            </w:pPr>
            <w:r>
              <w:rPr>
                <w:rFonts w:eastAsia="Calibri"/>
                <w:color w:val="000000"/>
                <w:sz w:val="20"/>
                <w:lang w:eastAsia="lt-LT"/>
              </w:rPr>
              <w:t>3B1b</w:t>
            </w:r>
          </w:p>
          <w:p w:rsidR="000E7C4C" w:rsidRDefault="003C3EA6">
            <w:pPr>
              <w:jc w:val="center"/>
              <w:rPr>
                <w:rFonts w:eastAsia="Calibri"/>
                <w:color w:val="000000"/>
                <w:sz w:val="20"/>
                <w:lang w:eastAsia="lt-LT"/>
              </w:rPr>
            </w:pPr>
            <w:r>
              <w:rPr>
                <w:rFonts w:eastAsia="Calibri"/>
                <w:color w:val="000000"/>
                <w:sz w:val="20"/>
                <w:lang w:eastAsia="lt-LT"/>
              </w:rPr>
              <w:t>Mėšlo iš ne pieninių galvijų ūkių valdymas</w:t>
            </w:r>
          </w:p>
        </w:tc>
        <w:tc>
          <w:tcPr>
            <w:tcW w:w="1134" w:type="dxa"/>
            <w:gridSpan w:val="2"/>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rFonts w:eastAsia="Calibri"/>
                <w:color w:val="000000"/>
                <w:sz w:val="20"/>
                <w:lang w:eastAsia="lt-LT"/>
              </w:rPr>
            </w:pPr>
            <w:r>
              <w:rPr>
                <w:rFonts w:eastAsia="Calibri"/>
                <w:color w:val="000000"/>
                <w:sz w:val="20"/>
                <w:lang w:eastAsia="lt-LT"/>
              </w:rPr>
              <w:t>1A4bi</w:t>
            </w:r>
          </w:p>
          <w:p w:rsidR="000E7C4C" w:rsidRDefault="003C3EA6">
            <w:pPr>
              <w:jc w:val="center"/>
              <w:rPr>
                <w:rFonts w:eastAsia="Calibri"/>
                <w:color w:val="000000"/>
                <w:sz w:val="20"/>
                <w:lang w:eastAsia="lt-LT"/>
              </w:rPr>
            </w:pPr>
            <w:r>
              <w:rPr>
                <w:rFonts w:eastAsia="Calibri"/>
                <w:color w:val="000000"/>
                <w:sz w:val="20"/>
                <w:lang w:eastAsia="lt-LT"/>
              </w:rPr>
              <w:t>Namų ūkių stacionarus deginimas</w:t>
            </w:r>
          </w:p>
        </w:tc>
        <w:tc>
          <w:tcPr>
            <w:tcW w:w="1005" w:type="dxa"/>
            <w:vMerge w:val="restart"/>
            <w:tcBorders>
              <w:top w:val="single" w:sz="2" w:space="0" w:color="1F497D"/>
              <w:left w:val="single" w:sz="12" w:space="0" w:color="FFFFFF"/>
              <w:bottom w:val="single" w:sz="2" w:space="0" w:color="1F497D"/>
              <w:right w:val="nil"/>
            </w:tcBorders>
            <w:vAlign w:val="center"/>
            <w:hideMark/>
          </w:tcPr>
          <w:p w:rsidR="000E7C4C" w:rsidRDefault="003C3EA6">
            <w:pPr>
              <w:jc w:val="center"/>
              <w:rPr>
                <w:rFonts w:eastAsia="Calibri"/>
                <w:color w:val="000000"/>
                <w:sz w:val="20"/>
                <w:lang w:eastAsia="lt-LT"/>
              </w:rPr>
            </w:pPr>
            <w:r>
              <w:rPr>
                <w:rFonts w:eastAsia="Calibri"/>
                <w:color w:val="000000"/>
                <w:sz w:val="20"/>
                <w:lang w:eastAsia="lt-LT"/>
              </w:rPr>
              <w:t>82.2%</w:t>
            </w:r>
          </w:p>
        </w:tc>
      </w:tr>
      <w:tr w:rsidR="000E7C4C">
        <w:trPr>
          <w:jc w:val="center"/>
        </w:trPr>
        <w:tc>
          <w:tcPr>
            <w:tcW w:w="0" w:type="auto"/>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20"/>
                <w:lang w:eastAsia="lt-LT"/>
              </w:rPr>
            </w:pPr>
          </w:p>
        </w:tc>
        <w:tc>
          <w:tcPr>
            <w:tcW w:w="1540"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lang w:eastAsia="lt-LT"/>
              </w:rPr>
            </w:pPr>
            <w:r>
              <w:rPr>
                <w:color w:val="000000"/>
                <w:sz w:val="20"/>
                <w:lang w:eastAsia="lt-LT"/>
              </w:rPr>
              <w:t>21.7%</w:t>
            </w:r>
          </w:p>
        </w:tc>
        <w:tc>
          <w:tcPr>
            <w:tcW w:w="1284"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lang w:eastAsia="lt-LT"/>
              </w:rPr>
            </w:pPr>
            <w:r>
              <w:rPr>
                <w:color w:val="000000"/>
                <w:sz w:val="20"/>
                <w:lang w:eastAsia="lt-LT"/>
              </w:rPr>
              <w:t>18.3%</w:t>
            </w:r>
          </w:p>
        </w:tc>
        <w:tc>
          <w:tcPr>
            <w:tcW w:w="1276"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lang w:eastAsia="lt-LT"/>
              </w:rPr>
            </w:pPr>
            <w:r>
              <w:rPr>
                <w:color w:val="000000"/>
                <w:sz w:val="20"/>
                <w:lang w:eastAsia="lt-LT"/>
              </w:rPr>
              <w:t>18.2%</w:t>
            </w:r>
          </w:p>
        </w:tc>
        <w:tc>
          <w:tcPr>
            <w:tcW w:w="1418"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lang w:eastAsia="lt-LT"/>
              </w:rPr>
            </w:pPr>
            <w:r>
              <w:rPr>
                <w:color w:val="000000"/>
                <w:sz w:val="20"/>
                <w:lang w:eastAsia="lt-LT"/>
              </w:rPr>
              <w:t>13.4%</w:t>
            </w:r>
          </w:p>
        </w:tc>
        <w:tc>
          <w:tcPr>
            <w:tcW w:w="1417"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lang w:eastAsia="lt-LT"/>
              </w:rPr>
            </w:pPr>
            <w:r>
              <w:rPr>
                <w:color w:val="000000"/>
                <w:sz w:val="20"/>
                <w:lang w:eastAsia="lt-LT"/>
              </w:rPr>
              <w:t>5.5%</w:t>
            </w:r>
          </w:p>
        </w:tc>
        <w:tc>
          <w:tcPr>
            <w:tcW w:w="1134" w:type="dxa"/>
            <w:gridSpan w:val="2"/>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lang w:eastAsia="lt-LT"/>
              </w:rPr>
            </w:pPr>
            <w:r>
              <w:rPr>
                <w:color w:val="000000"/>
                <w:sz w:val="20"/>
                <w:lang w:eastAsia="lt-LT"/>
              </w:rPr>
              <w:t>5.1%</w:t>
            </w:r>
          </w:p>
        </w:tc>
        <w:tc>
          <w:tcPr>
            <w:tcW w:w="0" w:type="auto"/>
            <w:vMerge/>
            <w:tcBorders>
              <w:top w:val="single" w:sz="2" w:space="0" w:color="1F497D"/>
              <w:left w:val="single" w:sz="12" w:space="0" w:color="FFFFFF"/>
              <w:bottom w:val="single" w:sz="2" w:space="0" w:color="1F497D"/>
              <w:right w:val="nil"/>
            </w:tcBorders>
            <w:vAlign w:val="center"/>
            <w:hideMark/>
          </w:tcPr>
          <w:p w:rsidR="000E7C4C" w:rsidRDefault="000E7C4C">
            <w:pPr>
              <w:rPr>
                <w:rFonts w:eastAsia="Calibri"/>
                <w:color w:val="000000"/>
                <w:sz w:val="20"/>
                <w:lang w:eastAsia="lt-LT"/>
              </w:rPr>
            </w:pPr>
          </w:p>
        </w:tc>
      </w:tr>
      <w:tr w:rsidR="000E7C4C">
        <w:trPr>
          <w:jc w:val="center"/>
        </w:trPr>
        <w:tc>
          <w:tcPr>
            <w:tcW w:w="593" w:type="dxa"/>
            <w:vMerge w:val="restart"/>
            <w:tcBorders>
              <w:top w:val="single" w:sz="2" w:space="0" w:color="1F497D"/>
              <w:left w:val="nil"/>
              <w:bottom w:val="single" w:sz="2" w:space="0" w:color="1F497D"/>
              <w:right w:val="single" w:sz="12" w:space="0" w:color="FFFFFF"/>
            </w:tcBorders>
            <w:vAlign w:val="center"/>
            <w:hideMark/>
          </w:tcPr>
          <w:p w:rsidR="000E7C4C" w:rsidRDefault="003C3EA6">
            <w:pPr>
              <w:rPr>
                <w:color w:val="000000"/>
                <w:sz w:val="20"/>
                <w:lang w:eastAsia="lt-LT"/>
              </w:rPr>
            </w:pPr>
            <w:r>
              <w:rPr>
                <w:color w:val="000000"/>
                <w:sz w:val="20"/>
                <w:lang w:eastAsia="lt-LT"/>
              </w:rPr>
              <w:t>2015</w:t>
            </w:r>
          </w:p>
        </w:tc>
        <w:tc>
          <w:tcPr>
            <w:tcW w:w="1540"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rFonts w:eastAsia="Calibri"/>
                <w:color w:val="000000"/>
                <w:sz w:val="20"/>
                <w:lang w:eastAsia="lt-LT"/>
              </w:rPr>
            </w:pPr>
            <w:r>
              <w:rPr>
                <w:rFonts w:eastAsia="Calibri"/>
                <w:color w:val="000000"/>
                <w:sz w:val="20"/>
                <w:lang w:eastAsia="lt-LT"/>
              </w:rPr>
              <w:t>3Da1</w:t>
            </w:r>
          </w:p>
          <w:p w:rsidR="000E7C4C" w:rsidRDefault="003C3EA6">
            <w:pPr>
              <w:jc w:val="center"/>
              <w:rPr>
                <w:rFonts w:eastAsia="Calibri"/>
                <w:color w:val="000000"/>
                <w:sz w:val="20"/>
                <w:lang w:eastAsia="lt-LT"/>
              </w:rPr>
            </w:pPr>
            <w:r>
              <w:rPr>
                <w:rFonts w:eastAsia="Calibri"/>
                <w:color w:val="000000"/>
                <w:sz w:val="20"/>
                <w:lang w:eastAsia="lt-LT"/>
              </w:rPr>
              <w:t>Neorganinės N trąšos (įskaitant karbamidą)</w:t>
            </w:r>
          </w:p>
        </w:tc>
        <w:tc>
          <w:tcPr>
            <w:tcW w:w="128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rFonts w:eastAsia="Calibri"/>
                <w:color w:val="000000"/>
                <w:sz w:val="20"/>
                <w:lang w:eastAsia="lt-LT"/>
              </w:rPr>
            </w:pPr>
            <w:r>
              <w:rPr>
                <w:rFonts w:eastAsia="Calibri"/>
                <w:color w:val="000000"/>
                <w:sz w:val="20"/>
                <w:lang w:eastAsia="lt-LT"/>
              </w:rPr>
              <w:t>3Da2a</w:t>
            </w:r>
          </w:p>
          <w:p w:rsidR="000E7C4C" w:rsidRDefault="003C3EA6">
            <w:pPr>
              <w:jc w:val="center"/>
              <w:rPr>
                <w:rFonts w:eastAsia="Calibri"/>
                <w:color w:val="000000"/>
                <w:sz w:val="20"/>
                <w:lang w:eastAsia="lt-LT"/>
              </w:rPr>
            </w:pPr>
            <w:r>
              <w:rPr>
                <w:rFonts w:eastAsia="Calibri"/>
                <w:color w:val="000000"/>
                <w:sz w:val="20"/>
                <w:lang w:eastAsia="lt-LT"/>
              </w:rPr>
              <w:t>Dirvožemio tręšimas gyvulių mėšlu</w:t>
            </w:r>
          </w:p>
        </w:tc>
        <w:tc>
          <w:tcPr>
            <w:tcW w:w="127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rFonts w:eastAsia="Calibri"/>
                <w:color w:val="000000"/>
                <w:sz w:val="20"/>
                <w:lang w:eastAsia="lt-LT"/>
              </w:rPr>
            </w:pPr>
            <w:r>
              <w:rPr>
                <w:rFonts w:eastAsia="Calibri"/>
                <w:color w:val="000000"/>
                <w:sz w:val="20"/>
                <w:lang w:eastAsia="lt-LT"/>
              </w:rPr>
              <w:t>3B3</w:t>
            </w:r>
          </w:p>
          <w:p w:rsidR="000E7C4C" w:rsidRDefault="003C3EA6">
            <w:pPr>
              <w:jc w:val="center"/>
              <w:rPr>
                <w:rFonts w:eastAsia="Calibri"/>
                <w:color w:val="000000"/>
                <w:sz w:val="20"/>
                <w:lang w:eastAsia="lt-LT"/>
              </w:rPr>
            </w:pPr>
            <w:r>
              <w:rPr>
                <w:rFonts w:eastAsia="Calibri"/>
                <w:color w:val="000000"/>
                <w:sz w:val="20"/>
                <w:lang w:eastAsia="lt-LT"/>
              </w:rPr>
              <w:t>Mėšlo iš kiaulidžių valdymas</w:t>
            </w:r>
          </w:p>
        </w:tc>
        <w:tc>
          <w:tcPr>
            <w:tcW w:w="1418"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rFonts w:eastAsia="Calibri"/>
                <w:color w:val="000000"/>
                <w:sz w:val="20"/>
                <w:lang w:eastAsia="lt-LT"/>
              </w:rPr>
            </w:pPr>
            <w:r>
              <w:rPr>
                <w:rFonts w:eastAsia="Calibri"/>
                <w:color w:val="000000"/>
                <w:sz w:val="20"/>
                <w:lang w:eastAsia="lt-LT"/>
              </w:rPr>
              <w:t>3B1a</w:t>
            </w:r>
          </w:p>
          <w:p w:rsidR="000E7C4C" w:rsidRDefault="003C3EA6">
            <w:pPr>
              <w:jc w:val="center"/>
              <w:rPr>
                <w:rFonts w:eastAsia="Calibri"/>
                <w:color w:val="000000"/>
                <w:sz w:val="20"/>
                <w:lang w:eastAsia="lt-LT"/>
              </w:rPr>
            </w:pPr>
            <w:r>
              <w:rPr>
                <w:rFonts w:eastAsia="Calibri"/>
                <w:color w:val="000000"/>
                <w:sz w:val="20"/>
                <w:lang w:eastAsia="lt-LT"/>
              </w:rPr>
              <w:t>Mėšlo iš pieninių galvijų ūkių valdymas</w:t>
            </w:r>
          </w:p>
        </w:tc>
        <w:tc>
          <w:tcPr>
            <w:tcW w:w="1417"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rFonts w:eastAsia="Calibri"/>
                <w:color w:val="000000"/>
                <w:sz w:val="20"/>
                <w:lang w:eastAsia="lt-LT"/>
              </w:rPr>
            </w:pPr>
            <w:r>
              <w:rPr>
                <w:rFonts w:eastAsia="Calibri"/>
                <w:color w:val="000000"/>
                <w:sz w:val="20"/>
                <w:lang w:eastAsia="lt-LT"/>
              </w:rPr>
              <w:t>3B1b</w:t>
            </w:r>
          </w:p>
          <w:p w:rsidR="000E7C4C" w:rsidRDefault="003C3EA6">
            <w:pPr>
              <w:jc w:val="center"/>
              <w:rPr>
                <w:rFonts w:eastAsia="Calibri"/>
                <w:color w:val="000000"/>
                <w:sz w:val="20"/>
                <w:lang w:eastAsia="lt-LT"/>
              </w:rPr>
            </w:pPr>
            <w:r>
              <w:rPr>
                <w:rFonts w:eastAsia="Calibri"/>
                <w:color w:val="000000"/>
                <w:sz w:val="20"/>
                <w:lang w:eastAsia="lt-LT"/>
              </w:rPr>
              <w:t>Mėšlo iš ne pieninių galvijų ūkių valdymas</w:t>
            </w:r>
          </w:p>
        </w:tc>
        <w:tc>
          <w:tcPr>
            <w:tcW w:w="1134" w:type="dxa"/>
            <w:gridSpan w:val="2"/>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rFonts w:eastAsia="Calibri"/>
                <w:color w:val="000000"/>
                <w:sz w:val="20"/>
                <w:lang w:eastAsia="lt-LT"/>
              </w:rPr>
            </w:pPr>
            <w:r>
              <w:rPr>
                <w:rFonts w:eastAsia="Calibri"/>
                <w:color w:val="000000"/>
                <w:sz w:val="20"/>
                <w:lang w:eastAsia="lt-LT"/>
              </w:rPr>
              <w:t>1A4bi</w:t>
            </w:r>
          </w:p>
          <w:p w:rsidR="000E7C4C" w:rsidRDefault="003C3EA6">
            <w:pPr>
              <w:jc w:val="center"/>
              <w:rPr>
                <w:rFonts w:eastAsia="Calibri"/>
                <w:color w:val="000000"/>
                <w:sz w:val="20"/>
                <w:lang w:eastAsia="lt-LT"/>
              </w:rPr>
            </w:pPr>
            <w:r>
              <w:rPr>
                <w:rFonts w:eastAsia="Calibri"/>
                <w:color w:val="000000"/>
                <w:sz w:val="20"/>
                <w:lang w:eastAsia="lt-LT"/>
              </w:rPr>
              <w:t>Namų ūkių stacionarus deginimas</w:t>
            </w:r>
          </w:p>
        </w:tc>
        <w:tc>
          <w:tcPr>
            <w:tcW w:w="1005" w:type="dxa"/>
            <w:vMerge w:val="restart"/>
            <w:tcBorders>
              <w:top w:val="single" w:sz="2" w:space="0" w:color="1F497D"/>
              <w:left w:val="single" w:sz="12" w:space="0" w:color="FFFFFF"/>
              <w:bottom w:val="single" w:sz="2" w:space="0" w:color="1F497D"/>
              <w:right w:val="nil"/>
            </w:tcBorders>
            <w:vAlign w:val="center"/>
            <w:hideMark/>
          </w:tcPr>
          <w:p w:rsidR="000E7C4C" w:rsidRDefault="003C3EA6">
            <w:pPr>
              <w:jc w:val="center"/>
              <w:rPr>
                <w:color w:val="000000"/>
                <w:sz w:val="20"/>
                <w:lang w:eastAsia="lt-LT"/>
              </w:rPr>
            </w:pPr>
            <w:r>
              <w:rPr>
                <w:color w:val="000000"/>
                <w:sz w:val="20"/>
                <w:lang w:eastAsia="lt-LT"/>
              </w:rPr>
              <w:t>81.5%</w:t>
            </w:r>
          </w:p>
        </w:tc>
      </w:tr>
      <w:tr w:rsidR="000E7C4C">
        <w:trPr>
          <w:jc w:val="center"/>
        </w:trPr>
        <w:tc>
          <w:tcPr>
            <w:tcW w:w="0" w:type="auto"/>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20"/>
                <w:lang w:eastAsia="lt-LT"/>
              </w:rPr>
            </w:pPr>
          </w:p>
        </w:tc>
        <w:tc>
          <w:tcPr>
            <w:tcW w:w="1540"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20"/>
                <w:lang w:eastAsia="lt-LT"/>
              </w:rPr>
            </w:pPr>
            <w:r>
              <w:rPr>
                <w:color w:val="000000"/>
                <w:sz w:val="20"/>
                <w:lang w:eastAsia="lt-LT"/>
              </w:rPr>
              <w:t>28.0%</w:t>
            </w:r>
          </w:p>
        </w:tc>
        <w:tc>
          <w:tcPr>
            <w:tcW w:w="1284"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20"/>
                <w:lang w:eastAsia="lt-LT"/>
              </w:rPr>
            </w:pPr>
            <w:r>
              <w:rPr>
                <w:color w:val="000000"/>
                <w:sz w:val="20"/>
                <w:lang w:eastAsia="lt-LT"/>
              </w:rPr>
              <w:t>18.4%</w:t>
            </w:r>
          </w:p>
        </w:tc>
        <w:tc>
          <w:tcPr>
            <w:tcW w:w="1276"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20"/>
                <w:lang w:eastAsia="lt-LT"/>
              </w:rPr>
            </w:pPr>
            <w:r>
              <w:rPr>
                <w:color w:val="000000"/>
                <w:sz w:val="20"/>
                <w:lang w:eastAsia="lt-LT"/>
              </w:rPr>
              <w:t>12.5%</w:t>
            </w:r>
          </w:p>
        </w:tc>
        <w:tc>
          <w:tcPr>
            <w:tcW w:w="1418"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20"/>
                <w:lang w:eastAsia="lt-LT"/>
              </w:rPr>
            </w:pPr>
            <w:r>
              <w:rPr>
                <w:color w:val="000000"/>
                <w:sz w:val="20"/>
                <w:lang w:eastAsia="lt-LT"/>
              </w:rPr>
              <w:t>10.8%</w:t>
            </w:r>
          </w:p>
        </w:tc>
        <w:tc>
          <w:tcPr>
            <w:tcW w:w="1417"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20"/>
                <w:lang w:eastAsia="lt-LT"/>
              </w:rPr>
            </w:pPr>
            <w:r>
              <w:rPr>
                <w:color w:val="000000"/>
                <w:sz w:val="20"/>
                <w:lang w:eastAsia="lt-LT"/>
              </w:rPr>
              <w:t>6.8%</w:t>
            </w:r>
          </w:p>
        </w:tc>
        <w:tc>
          <w:tcPr>
            <w:tcW w:w="1134" w:type="dxa"/>
            <w:gridSpan w:val="2"/>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lang w:eastAsia="lt-LT"/>
              </w:rPr>
            </w:pPr>
            <w:r>
              <w:rPr>
                <w:color w:val="000000"/>
                <w:sz w:val="20"/>
                <w:lang w:eastAsia="lt-LT"/>
              </w:rPr>
              <w:t>5.0%</w:t>
            </w:r>
          </w:p>
        </w:tc>
        <w:tc>
          <w:tcPr>
            <w:tcW w:w="0" w:type="auto"/>
            <w:vMerge/>
            <w:tcBorders>
              <w:top w:val="single" w:sz="2" w:space="0" w:color="1F497D"/>
              <w:left w:val="single" w:sz="12" w:space="0" w:color="FFFFFF"/>
              <w:bottom w:val="single" w:sz="2" w:space="0" w:color="1F497D"/>
              <w:right w:val="nil"/>
            </w:tcBorders>
            <w:vAlign w:val="center"/>
            <w:hideMark/>
          </w:tcPr>
          <w:p w:rsidR="000E7C4C" w:rsidRDefault="000E7C4C">
            <w:pPr>
              <w:rPr>
                <w:color w:val="000000"/>
                <w:sz w:val="20"/>
                <w:lang w:eastAsia="lt-LT"/>
              </w:rPr>
            </w:pPr>
          </w:p>
        </w:tc>
      </w:tr>
    </w:tbl>
    <w:p w:rsidR="000E7C4C" w:rsidRDefault="003C3EA6">
      <w:pPr>
        <w:jc w:val="center"/>
        <w:rPr>
          <w:color w:val="000000"/>
          <w:sz w:val="22"/>
          <w:szCs w:val="22"/>
        </w:rPr>
      </w:pPr>
      <w:r>
        <w:rPr>
          <w:color w:val="000000"/>
          <w:sz w:val="22"/>
          <w:szCs w:val="22"/>
        </w:rPr>
        <w:t>(Duomenų šaltinis: AAA)</w:t>
      </w:r>
    </w:p>
    <w:p w:rsidR="000E7C4C" w:rsidRDefault="003C3EA6">
      <w:pPr>
        <w:jc w:val="both"/>
        <w:rPr>
          <w:color w:val="000000"/>
          <w:szCs w:val="24"/>
        </w:rPr>
      </w:pPr>
    </w:p>
    <w:p w:rsidR="000E7C4C" w:rsidRDefault="003C3EA6">
      <w:pPr>
        <w:ind w:firstLine="567"/>
        <w:jc w:val="both"/>
        <w:rPr>
          <w:color w:val="000000"/>
          <w:szCs w:val="21"/>
        </w:rPr>
      </w:pPr>
      <w:r>
        <w:rPr>
          <w:color w:val="000000"/>
          <w:szCs w:val="21"/>
        </w:rPr>
        <w:t>20</w:t>
      </w:r>
      <w:r>
        <w:rPr>
          <w:color w:val="000000"/>
          <w:szCs w:val="21"/>
        </w:rPr>
        <w:t>. Iš kiaulių mėšlo išmestas NH</w:t>
      </w:r>
      <w:r>
        <w:rPr>
          <w:color w:val="000000"/>
          <w:szCs w:val="21"/>
          <w:vertAlign w:val="subscript"/>
        </w:rPr>
        <w:t>3</w:t>
      </w:r>
      <w:r>
        <w:rPr>
          <w:color w:val="000000"/>
          <w:szCs w:val="21"/>
        </w:rPr>
        <w:t xml:space="preserve"> kiekis sumažėjo 39,2 proc., jo dalis bendroje išmesto NH</w:t>
      </w:r>
      <w:r>
        <w:rPr>
          <w:color w:val="000000"/>
          <w:szCs w:val="21"/>
          <w:vertAlign w:val="subscript"/>
        </w:rPr>
        <w:t>3</w:t>
      </w:r>
      <w:r>
        <w:rPr>
          <w:color w:val="000000"/>
          <w:szCs w:val="21"/>
        </w:rPr>
        <w:t xml:space="preserve"> kiekio struktūroje sumažėjo nuo 18,2 proc. 2005 m. iki 12,5 proc. 2015 m. Iš pieninių galvijų mėšlo išmestas NH</w:t>
      </w:r>
      <w:r>
        <w:rPr>
          <w:color w:val="000000"/>
          <w:szCs w:val="21"/>
          <w:vertAlign w:val="subscript"/>
        </w:rPr>
        <w:t>3</w:t>
      </w:r>
      <w:r>
        <w:rPr>
          <w:color w:val="000000"/>
          <w:szCs w:val="21"/>
        </w:rPr>
        <w:t xml:space="preserve"> kiekis sumažėjo 27,9 proc., lyginant 2005 m. ir 2015 m. duomenis, o iš šio mėšlo išmesto NH</w:t>
      </w:r>
      <w:r>
        <w:rPr>
          <w:color w:val="000000"/>
          <w:szCs w:val="21"/>
          <w:vertAlign w:val="subscript"/>
        </w:rPr>
        <w:t>3</w:t>
      </w:r>
      <w:r>
        <w:rPr>
          <w:color w:val="000000"/>
          <w:szCs w:val="21"/>
        </w:rPr>
        <w:t xml:space="preserve"> kiekio dalis bendroje išmesto NH</w:t>
      </w:r>
      <w:r>
        <w:rPr>
          <w:color w:val="000000"/>
          <w:szCs w:val="21"/>
          <w:vertAlign w:val="subscript"/>
        </w:rPr>
        <w:t>3</w:t>
      </w:r>
      <w:r>
        <w:rPr>
          <w:color w:val="000000"/>
          <w:szCs w:val="21"/>
        </w:rPr>
        <w:t xml:space="preserve"> kiekio struktūroje sumažėjo nuo 13,4 proc. 2005 m. iki 10,8 proc. 2015 m. Iš ne pieninių galvijų mėšlo išmestas NH</w:t>
      </w:r>
      <w:r>
        <w:rPr>
          <w:color w:val="000000"/>
          <w:szCs w:val="21"/>
          <w:vertAlign w:val="subscript"/>
        </w:rPr>
        <w:t>3</w:t>
      </w:r>
      <w:r>
        <w:rPr>
          <w:color w:val="000000"/>
          <w:szCs w:val="21"/>
        </w:rPr>
        <w:t xml:space="preserve"> kiekis padidėjo beveik dešimtadaliu, tuo metu išmesto NH</w:t>
      </w:r>
      <w:r>
        <w:rPr>
          <w:color w:val="000000"/>
          <w:szCs w:val="21"/>
          <w:vertAlign w:val="subscript"/>
        </w:rPr>
        <w:t>3</w:t>
      </w:r>
      <w:r>
        <w:rPr>
          <w:color w:val="000000"/>
          <w:szCs w:val="21"/>
        </w:rPr>
        <w:t xml:space="preserve"> kiekio dalis bendroje išmesto NH</w:t>
      </w:r>
      <w:r>
        <w:rPr>
          <w:color w:val="000000"/>
          <w:szCs w:val="21"/>
          <w:vertAlign w:val="subscript"/>
        </w:rPr>
        <w:t>3</w:t>
      </w:r>
      <w:r>
        <w:rPr>
          <w:color w:val="000000"/>
          <w:szCs w:val="21"/>
        </w:rPr>
        <w:t xml:space="preserve"> kiekio struktūroje padidėjo nuo 5,5 proc. 2005 m. iki 6,8 proc. 2015 m. Namų ūkių išmestas NH</w:t>
      </w:r>
      <w:r>
        <w:rPr>
          <w:color w:val="000000"/>
          <w:szCs w:val="21"/>
          <w:vertAlign w:val="subscript"/>
        </w:rPr>
        <w:t>3</w:t>
      </w:r>
      <w:r>
        <w:rPr>
          <w:color w:val="000000"/>
          <w:szCs w:val="21"/>
        </w:rPr>
        <w:t xml:space="preserve"> kiekis sumažėjo 13 proc., lyginant 2005 m. ir 2015 m., o išmesto NH</w:t>
      </w:r>
      <w:r>
        <w:rPr>
          <w:color w:val="000000"/>
          <w:szCs w:val="21"/>
          <w:vertAlign w:val="subscript"/>
        </w:rPr>
        <w:t>3</w:t>
      </w:r>
      <w:r>
        <w:rPr>
          <w:color w:val="000000"/>
          <w:szCs w:val="21"/>
        </w:rPr>
        <w:t xml:space="preserve"> kiekio dalis bendroje išmesto NH</w:t>
      </w:r>
      <w:r>
        <w:rPr>
          <w:color w:val="000000"/>
          <w:szCs w:val="21"/>
          <w:vertAlign w:val="subscript"/>
        </w:rPr>
        <w:t>3</w:t>
      </w:r>
      <w:r>
        <w:rPr>
          <w:color w:val="000000"/>
          <w:szCs w:val="21"/>
        </w:rPr>
        <w:t xml:space="preserve"> kiekio struktūroje sumažėjo nuo 5,1 proc. 2005 m. iki 5,0 proc. 2015 m.</w:t>
      </w:r>
    </w:p>
    <w:p w:rsidR="000E7C4C" w:rsidRDefault="003C3EA6">
      <w:pPr>
        <w:jc w:val="both"/>
        <w:rPr>
          <w:color w:val="000000"/>
          <w:szCs w:val="21"/>
        </w:rPr>
      </w:pPr>
    </w:p>
    <w:p w:rsidR="000E7C4C" w:rsidRDefault="003C3EA6">
      <w:pPr>
        <w:keepNext/>
        <w:keepLines/>
        <w:jc w:val="center"/>
        <w:outlineLvl w:val="2"/>
        <w:rPr>
          <w:b/>
          <w:caps/>
          <w:color w:val="000000"/>
          <w:szCs w:val="28"/>
        </w:rPr>
      </w:pPr>
      <w:r>
        <w:rPr>
          <w:b/>
          <w:caps/>
          <w:color w:val="000000"/>
          <w:szCs w:val="28"/>
        </w:rPr>
        <w:t>V</w:t>
      </w:r>
      <w:r>
        <w:rPr>
          <w:b/>
          <w:caps/>
          <w:color w:val="000000"/>
          <w:szCs w:val="28"/>
        </w:rPr>
        <w:t xml:space="preserve"> SKYRIUS</w:t>
      </w:r>
    </w:p>
    <w:p w:rsidR="000E7C4C" w:rsidRDefault="003C3EA6">
      <w:pPr>
        <w:keepNext/>
        <w:keepLines/>
        <w:jc w:val="center"/>
        <w:outlineLvl w:val="2"/>
        <w:rPr>
          <w:b/>
          <w:caps/>
          <w:color w:val="000000"/>
          <w:szCs w:val="28"/>
        </w:rPr>
      </w:pPr>
      <w:r>
        <w:rPr>
          <w:b/>
          <w:caps/>
          <w:color w:val="000000"/>
          <w:szCs w:val="28"/>
        </w:rPr>
        <w:t>IŠMESTO SMULKIŲJŲ KIETŲJŲ DALELIŲ KIEKIO ANALIZĖ</w:t>
      </w:r>
    </w:p>
    <w:p w:rsidR="000E7C4C" w:rsidRDefault="000E7C4C">
      <w:pPr>
        <w:jc w:val="both"/>
        <w:rPr>
          <w:color w:val="000000"/>
          <w:szCs w:val="21"/>
        </w:rPr>
      </w:pPr>
    </w:p>
    <w:p w:rsidR="000E7C4C" w:rsidRDefault="003C3EA6">
      <w:pPr>
        <w:ind w:firstLine="567"/>
        <w:jc w:val="both"/>
        <w:rPr>
          <w:color w:val="000000"/>
          <w:szCs w:val="21"/>
        </w:rPr>
      </w:pPr>
      <w:r>
        <w:rPr>
          <w:color w:val="000000"/>
          <w:szCs w:val="21"/>
        </w:rPr>
        <w:t>21</w:t>
      </w:r>
      <w:r>
        <w:rPr>
          <w:color w:val="000000"/>
          <w:szCs w:val="21"/>
        </w:rPr>
        <w:t>. Išmestas smulkiųjų kietųjų dalelių (toliau – KD</w:t>
      </w:r>
      <w:r>
        <w:rPr>
          <w:color w:val="000000"/>
          <w:szCs w:val="21"/>
          <w:vertAlign w:val="subscript"/>
        </w:rPr>
        <w:t>2,5</w:t>
      </w:r>
      <w:r>
        <w:rPr>
          <w:color w:val="000000"/>
          <w:szCs w:val="21"/>
        </w:rPr>
        <w:t>) kiekis 2005–2015 m. laikotarpiu pasižymėjo nuoseklaus mažėjimo tendencija. Išmestas KD</w:t>
      </w:r>
      <w:r>
        <w:rPr>
          <w:color w:val="000000"/>
          <w:szCs w:val="21"/>
          <w:vertAlign w:val="subscript"/>
        </w:rPr>
        <w:t xml:space="preserve">2,5 </w:t>
      </w:r>
      <w:r>
        <w:rPr>
          <w:color w:val="000000"/>
          <w:szCs w:val="21"/>
        </w:rPr>
        <w:t>kiekis sumažėjo apie 11,5 proc., lyginant 2005 m. ir 2015 m., vidutiniškai per metus mažėdamas 1,2 proc. (žr. 9 pav.). NAAS nustatyti išmesto KD</w:t>
      </w:r>
      <w:r>
        <w:rPr>
          <w:color w:val="000000"/>
          <w:szCs w:val="21"/>
          <w:vertAlign w:val="subscript"/>
        </w:rPr>
        <w:t xml:space="preserve">2,5 </w:t>
      </w:r>
      <w:r>
        <w:rPr>
          <w:color w:val="000000"/>
          <w:szCs w:val="21"/>
        </w:rPr>
        <w:t>kiekio tikslai (skaitine išraiška) yra daug mažesni nei nagrinėjamu laikotarpiu užfiksuotas išmestas KD</w:t>
      </w:r>
      <w:r>
        <w:rPr>
          <w:color w:val="000000"/>
          <w:szCs w:val="21"/>
          <w:vertAlign w:val="subscript"/>
        </w:rPr>
        <w:t xml:space="preserve">2,5 </w:t>
      </w:r>
      <w:r>
        <w:rPr>
          <w:color w:val="000000"/>
          <w:szCs w:val="21"/>
        </w:rPr>
        <w:t>kiekis, todėl turi būti imamasi priemonių, padėsiančių sumažinti oro taršą kietosiomis dalelėmis.</w:t>
      </w:r>
    </w:p>
    <w:p w:rsidR="000E7C4C" w:rsidRDefault="000E7C4C">
      <w:pPr>
        <w:jc w:val="both"/>
        <w:rPr>
          <w:color w:val="000000"/>
          <w:szCs w:val="21"/>
        </w:rPr>
      </w:pPr>
    </w:p>
    <w:p w:rsidR="000E7C4C" w:rsidRDefault="003C3EA6">
      <w:pPr>
        <w:jc w:val="center"/>
        <w:rPr>
          <w:color w:val="000000"/>
          <w:szCs w:val="21"/>
        </w:rPr>
      </w:pPr>
      <w:r>
        <w:rPr>
          <w:noProof/>
          <w:color w:val="000000"/>
          <w:szCs w:val="21"/>
          <w:lang w:eastAsia="lt-LT"/>
        </w:rPr>
        <w:drawing>
          <wp:inline distT="0" distB="0" distL="0" distR="0" wp14:anchorId="46ACE0A1" wp14:editId="0A325428">
            <wp:extent cx="4476750" cy="2447925"/>
            <wp:effectExtent l="0" t="0" r="0" b="0"/>
            <wp:docPr id="80" name="Diagrama 80"/>
            <wp:cNvGraphicFramePr/>
            <a:graphic xmlns:a="http://schemas.openxmlformats.org/drawingml/2006/main">
              <a:graphicData uri="http://schemas.openxmlformats.org/drawingml/2006/chart">
                <c:chart xmlns:c="http://schemas.openxmlformats.org/drawingml/2006/chart" r:id="rId26"/>
              </a:graphicData>
            </a:graphic>
          </wp:inline>
        </w:drawing>
      </w:r>
    </w:p>
    <w:p w:rsidR="000E7C4C" w:rsidRDefault="003C3EA6">
      <w:pPr>
        <w:keepNext/>
        <w:tabs>
          <w:tab w:val="left" w:pos="993"/>
          <w:tab w:val="left" w:pos="1134"/>
        </w:tabs>
        <w:jc w:val="center"/>
        <w:rPr>
          <w:color w:val="000000"/>
          <w:sz w:val="22"/>
          <w:szCs w:val="22"/>
        </w:rPr>
      </w:pPr>
      <w:r>
        <w:rPr>
          <w:color w:val="000000"/>
          <w:sz w:val="22"/>
          <w:szCs w:val="22"/>
        </w:rPr>
        <w:t>9 paveikslas. Išmesto į aplinkos orą KD</w:t>
      </w:r>
      <w:r>
        <w:rPr>
          <w:color w:val="000000"/>
          <w:sz w:val="22"/>
          <w:szCs w:val="22"/>
          <w:vertAlign w:val="subscript"/>
        </w:rPr>
        <w:t>2,5</w:t>
      </w:r>
      <w:r>
        <w:rPr>
          <w:color w:val="000000"/>
          <w:sz w:val="22"/>
          <w:szCs w:val="22"/>
        </w:rPr>
        <w:t xml:space="preserve"> kiekio dinamika Lietuvoje 2005–2015 m. </w:t>
      </w:r>
    </w:p>
    <w:p w:rsidR="000E7C4C" w:rsidRDefault="003C3EA6">
      <w:pPr>
        <w:ind w:firstLine="720"/>
        <w:jc w:val="center"/>
        <w:rPr>
          <w:color w:val="000000"/>
          <w:sz w:val="22"/>
          <w:szCs w:val="22"/>
        </w:rPr>
      </w:pPr>
      <w:r>
        <w:rPr>
          <w:color w:val="000000"/>
          <w:sz w:val="22"/>
          <w:szCs w:val="22"/>
        </w:rPr>
        <w:t>(Duomenų šaltinis: AAA)</w:t>
      </w:r>
    </w:p>
    <w:p w:rsidR="000E7C4C" w:rsidRDefault="003C3EA6">
      <w:pPr>
        <w:ind w:firstLine="720"/>
        <w:jc w:val="both"/>
        <w:rPr>
          <w:color w:val="000000"/>
          <w:sz w:val="22"/>
          <w:szCs w:val="22"/>
        </w:rPr>
      </w:pPr>
    </w:p>
    <w:p w:rsidR="000E7C4C" w:rsidRDefault="003C3EA6">
      <w:pPr>
        <w:ind w:firstLine="567"/>
        <w:jc w:val="both"/>
        <w:rPr>
          <w:color w:val="000000"/>
          <w:szCs w:val="21"/>
        </w:rPr>
      </w:pPr>
      <w:r>
        <w:rPr>
          <w:color w:val="000000"/>
          <w:szCs w:val="21"/>
        </w:rPr>
        <w:t>22</w:t>
      </w:r>
      <w:r>
        <w:rPr>
          <w:color w:val="000000"/>
          <w:szCs w:val="21"/>
        </w:rPr>
        <w:t>. Kito stacionaraus deginimo sektoriaus, įskaitant namų ūkį, 2005–2015 m. laikotarpiu išmestas KD</w:t>
      </w:r>
      <w:r>
        <w:rPr>
          <w:color w:val="000000"/>
          <w:szCs w:val="21"/>
          <w:vertAlign w:val="subscript"/>
        </w:rPr>
        <w:t>2,5</w:t>
      </w:r>
      <w:r>
        <w:rPr>
          <w:color w:val="000000"/>
          <w:szCs w:val="21"/>
        </w:rPr>
        <w:t xml:space="preserve"> kiekis sumažėjo 10,9 proc., tačiau šio sektoriaus išmestas KD</w:t>
      </w:r>
      <w:r>
        <w:rPr>
          <w:color w:val="000000"/>
          <w:szCs w:val="21"/>
          <w:vertAlign w:val="subscript"/>
        </w:rPr>
        <w:t xml:space="preserve">2,5 </w:t>
      </w:r>
      <w:r>
        <w:rPr>
          <w:color w:val="000000"/>
          <w:szCs w:val="21"/>
        </w:rPr>
        <w:t>kiekis bendroje KD</w:t>
      </w:r>
      <w:r>
        <w:rPr>
          <w:color w:val="000000"/>
          <w:szCs w:val="21"/>
          <w:vertAlign w:val="subscript"/>
        </w:rPr>
        <w:t>2,5</w:t>
      </w:r>
      <w:r>
        <w:rPr>
          <w:color w:val="000000"/>
          <w:szCs w:val="21"/>
        </w:rPr>
        <w:t xml:space="preserve"> išmesto kiekio struktūroje padidėjo nuo 76,9 proc. 2005 m. iki 77,5 proc. 2015 m. Tokiam padidėjimui įtakos turėjo kitų sektorių išmesto KD</w:t>
      </w:r>
      <w:r>
        <w:rPr>
          <w:color w:val="000000"/>
          <w:szCs w:val="21"/>
          <w:vertAlign w:val="subscript"/>
        </w:rPr>
        <w:t>2,5</w:t>
      </w:r>
      <w:r>
        <w:rPr>
          <w:color w:val="000000"/>
          <w:szCs w:val="21"/>
        </w:rPr>
        <w:t xml:space="preserve"> kiekio dalies bendroje išmesto KD</w:t>
      </w:r>
      <w:r>
        <w:rPr>
          <w:color w:val="000000"/>
          <w:szCs w:val="21"/>
          <w:vertAlign w:val="subscript"/>
        </w:rPr>
        <w:t>2,5</w:t>
      </w:r>
      <w:r>
        <w:rPr>
          <w:color w:val="000000"/>
          <w:szCs w:val="21"/>
        </w:rPr>
        <w:t xml:space="preserve"> kiekio struktūroje sumažėjimas nuo 16,6 proc. 2005 m. iki 15,9 proc. 2015 m. Kelių transporto sektoriaus išmestas KD</w:t>
      </w:r>
      <w:r>
        <w:rPr>
          <w:color w:val="000000"/>
          <w:szCs w:val="21"/>
          <w:vertAlign w:val="subscript"/>
        </w:rPr>
        <w:t>2,5</w:t>
      </w:r>
      <w:r>
        <w:rPr>
          <w:color w:val="000000"/>
          <w:szCs w:val="21"/>
        </w:rPr>
        <w:t xml:space="preserve"> kiekis sumažėjo 10,5 proc., lyginant 2005 ir 2015 m., o jo dalis bendroje išmesto KD</w:t>
      </w:r>
      <w:r>
        <w:rPr>
          <w:color w:val="000000"/>
          <w:szCs w:val="21"/>
          <w:vertAlign w:val="subscript"/>
        </w:rPr>
        <w:t>2,5</w:t>
      </w:r>
      <w:r>
        <w:rPr>
          <w:color w:val="000000"/>
          <w:szCs w:val="21"/>
        </w:rPr>
        <w:t xml:space="preserve"> struktūroje padidėjo vos 0,1 procentiniu punktu (žr. 10 pav.).</w:t>
      </w:r>
    </w:p>
    <w:p w:rsidR="000E7C4C" w:rsidRDefault="000E7C4C">
      <w:pPr>
        <w:jc w:val="both"/>
        <w:rPr>
          <w:color w:val="000000"/>
          <w:szCs w:val="21"/>
        </w:rPr>
      </w:pPr>
    </w:p>
    <w:p w:rsidR="000E7C4C" w:rsidRDefault="003C3EA6">
      <w:pPr>
        <w:jc w:val="center"/>
        <w:rPr>
          <w:color w:val="000000"/>
          <w:szCs w:val="21"/>
        </w:rPr>
      </w:pPr>
      <w:r>
        <w:rPr>
          <w:noProof/>
          <w:color w:val="000000"/>
          <w:lang w:eastAsia="lt-LT"/>
        </w:rPr>
        <w:drawing>
          <wp:inline distT="0" distB="0" distL="0" distR="0" wp14:anchorId="71325621" wp14:editId="18054538">
            <wp:extent cx="4162425" cy="2219325"/>
            <wp:effectExtent l="0" t="0" r="0" b="0"/>
            <wp:docPr id="79" name="Diagrama 79"/>
            <wp:cNvGraphicFramePr/>
            <a:graphic xmlns:a="http://schemas.openxmlformats.org/drawingml/2006/main">
              <a:graphicData uri="http://schemas.openxmlformats.org/drawingml/2006/chart">
                <c:chart xmlns:c="http://schemas.openxmlformats.org/drawingml/2006/chart" r:id="rId27"/>
              </a:graphicData>
            </a:graphic>
          </wp:inline>
        </w:drawing>
      </w:r>
    </w:p>
    <w:p w:rsidR="000E7C4C" w:rsidRDefault="003C3EA6">
      <w:pPr>
        <w:keepNext/>
        <w:tabs>
          <w:tab w:val="left" w:pos="993"/>
          <w:tab w:val="left" w:pos="1134"/>
        </w:tabs>
        <w:jc w:val="center"/>
        <w:rPr>
          <w:color w:val="000000"/>
          <w:sz w:val="22"/>
          <w:szCs w:val="22"/>
        </w:rPr>
      </w:pPr>
      <w:r>
        <w:rPr>
          <w:color w:val="000000"/>
          <w:sz w:val="22"/>
          <w:szCs w:val="22"/>
        </w:rPr>
        <w:t>10 paveikslas. Išmesto į aplinkos orą KD</w:t>
      </w:r>
      <w:r>
        <w:rPr>
          <w:color w:val="000000"/>
          <w:sz w:val="22"/>
          <w:szCs w:val="22"/>
          <w:vertAlign w:val="subscript"/>
        </w:rPr>
        <w:t>2.5</w:t>
      </w:r>
      <w:r>
        <w:rPr>
          <w:color w:val="000000"/>
          <w:sz w:val="22"/>
          <w:szCs w:val="22"/>
        </w:rPr>
        <w:t xml:space="preserve"> kiekio struktūros pagal taršos šaltinius dinamika 2005–2015 m. </w:t>
      </w:r>
    </w:p>
    <w:p w:rsidR="000E7C4C" w:rsidRDefault="003C3EA6">
      <w:pPr>
        <w:jc w:val="center"/>
        <w:rPr>
          <w:color w:val="000000"/>
          <w:sz w:val="22"/>
          <w:szCs w:val="22"/>
        </w:rPr>
      </w:pPr>
      <w:r>
        <w:rPr>
          <w:color w:val="000000"/>
          <w:sz w:val="22"/>
          <w:szCs w:val="22"/>
        </w:rPr>
        <w:t>(Duomenų šaltinis: AAA)</w:t>
      </w:r>
    </w:p>
    <w:p w:rsidR="000E7C4C" w:rsidRDefault="003C3EA6">
      <w:pPr>
        <w:jc w:val="center"/>
        <w:rPr>
          <w:color w:val="000000"/>
          <w:sz w:val="22"/>
          <w:szCs w:val="22"/>
        </w:rPr>
      </w:pPr>
    </w:p>
    <w:p w:rsidR="000E7C4C" w:rsidRDefault="003C3EA6">
      <w:pPr>
        <w:ind w:firstLine="567"/>
        <w:jc w:val="both"/>
        <w:rPr>
          <w:color w:val="000000"/>
          <w:szCs w:val="21"/>
        </w:rPr>
      </w:pPr>
      <w:r>
        <w:rPr>
          <w:color w:val="000000"/>
          <w:szCs w:val="21"/>
        </w:rPr>
        <w:t>23</w:t>
      </w:r>
      <w:r>
        <w:rPr>
          <w:color w:val="000000"/>
          <w:szCs w:val="21"/>
        </w:rPr>
        <w:t>. Kaip matyti 5 lentelėje, didžiausią įtaką išmestam KD</w:t>
      </w:r>
      <w:r>
        <w:rPr>
          <w:color w:val="000000"/>
          <w:szCs w:val="21"/>
          <w:vertAlign w:val="subscript"/>
        </w:rPr>
        <w:t>2,5</w:t>
      </w:r>
      <w:r>
        <w:rPr>
          <w:color w:val="000000"/>
          <w:szCs w:val="21"/>
        </w:rPr>
        <w:t xml:space="preserve"> kiekiui turėjo namų ūkius apimantis kitas stacionarus deginimas, kurio išmesto KD</w:t>
      </w:r>
      <w:r>
        <w:rPr>
          <w:color w:val="000000"/>
          <w:szCs w:val="21"/>
          <w:vertAlign w:val="subscript"/>
        </w:rPr>
        <w:t>2,5</w:t>
      </w:r>
      <w:r>
        <w:rPr>
          <w:color w:val="000000"/>
          <w:szCs w:val="21"/>
        </w:rPr>
        <w:t xml:space="preserve"> kiekio dalis bendroje išmesto KD</w:t>
      </w:r>
      <w:r>
        <w:rPr>
          <w:color w:val="000000"/>
          <w:szCs w:val="21"/>
          <w:vertAlign w:val="subscript"/>
        </w:rPr>
        <w:t>2,5</w:t>
      </w:r>
      <w:r>
        <w:rPr>
          <w:color w:val="000000"/>
          <w:szCs w:val="21"/>
        </w:rPr>
        <w:t xml:space="preserve"> kiekio struktūroje padidėjo nuo 74,6 proc. 2005 m. iki 75,1 proc. 2015 m. Pažymėtina, kad tarp reikšmingiausių KD</w:t>
      </w:r>
      <w:r>
        <w:rPr>
          <w:color w:val="000000"/>
          <w:szCs w:val="21"/>
          <w:vertAlign w:val="subscript"/>
        </w:rPr>
        <w:t>2,5</w:t>
      </w:r>
      <w:r>
        <w:rPr>
          <w:color w:val="000000"/>
          <w:szCs w:val="21"/>
        </w:rPr>
        <w:t xml:space="preserve"> teršėjų 2015 m. įvardintas viešosios elektros energijos ir šilumos gamybos sektorius, kurio išmestas KD</w:t>
      </w:r>
      <w:r>
        <w:rPr>
          <w:color w:val="000000"/>
          <w:szCs w:val="21"/>
          <w:vertAlign w:val="subscript"/>
        </w:rPr>
        <w:t>2,5</w:t>
      </w:r>
      <w:r>
        <w:rPr>
          <w:color w:val="000000"/>
          <w:szCs w:val="21"/>
        </w:rPr>
        <w:t xml:space="preserve"> kiekis sudarė 3,2 proc. viso išmesto KD</w:t>
      </w:r>
      <w:r>
        <w:rPr>
          <w:color w:val="000000"/>
          <w:szCs w:val="21"/>
          <w:vertAlign w:val="subscript"/>
        </w:rPr>
        <w:t>2,5</w:t>
      </w:r>
      <w:r>
        <w:rPr>
          <w:color w:val="000000"/>
          <w:szCs w:val="21"/>
        </w:rPr>
        <w:t xml:space="preserve"> kiekio.</w:t>
      </w:r>
    </w:p>
    <w:p w:rsidR="000E7C4C" w:rsidRDefault="000E7C4C">
      <w:pPr>
        <w:jc w:val="both"/>
        <w:rPr>
          <w:color w:val="000000"/>
          <w:szCs w:val="21"/>
        </w:rPr>
      </w:pPr>
    </w:p>
    <w:p w:rsidR="000E7C4C" w:rsidRDefault="003C3EA6">
      <w:pPr>
        <w:jc w:val="both"/>
        <w:rPr>
          <w:color w:val="000000"/>
        </w:rPr>
      </w:pPr>
      <w:r>
        <w:rPr>
          <w:color w:val="000000"/>
        </w:rPr>
        <w:t>5 lentelė. Išmestas KD</w:t>
      </w:r>
      <w:r>
        <w:rPr>
          <w:color w:val="000000"/>
          <w:vertAlign w:val="subscript"/>
        </w:rPr>
        <w:t>2,5</w:t>
      </w:r>
      <w:r>
        <w:rPr>
          <w:color w:val="000000"/>
        </w:rPr>
        <w:t xml:space="preserve"> kiekis: pagrindinių kategorijų analizė</w:t>
      </w:r>
    </w:p>
    <w:tbl>
      <w:tblPr>
        <w:tblW w:w="9809" w:type="dxa"/>
        <w:tblBorders>
          <w:top w:val="single" w:sz="12" w:space="0" w:color="FFFFFF"/>
          <w:bottom w:val="single" w:sz="2" w:space="0" w:color="1F497D"/>
          <w:insideH w:val="single" w:sz="2" w:space="0" w:color="1F497D"/>
          <w:insideV w:val="single" w:sz="12" w:space="0" w:color="FFFFFF"/>
        </w:tblBorders>
        <w:tblCellMar>
          <w:top w:w="28" w:type="dxa"/>
          <w:left w:w="28" w:type="dxa"/>
          <w:bottom w:w="28" w:type="dxa"/>
          <w:right w:w="28" w:type="dxa"/>
        </w:tblCellMar>
        <w:tblLook w:val="04A0" w:firstRow="1" w:lastRow="0" w:firstColumn="1" w:lastColumn="0" w:noHBand="0" w:noVBand="1"/>
      </w:tblPr>
      <w:tblGrid>
        <w:gridCol w:w="595"/>
        <w:gridCol w:w="2835"/>
        <w:gridCol w:w="2127"/>
        <w:gridCol w:w="2551"/>
        <w:gridCol w:w="425"/>
        <w:gridCol w:w="1276"/>
      </w:tblGrid>
      <w:tr w:rsidR="000E7C4C">
        <w:trPr>
          <w:tblHeader/>
        </w:trPr>
        <w:tc>
          <w:tcPr>
            <w:tcW w:w="595" w:type="dxa"/>
            <w:tcBorders>
              <w:top w:val="single" w:sz="12" w:space="0" w:color="FFFFFF"/>
              <w:left w:val="nil"/>
              <w:bottom w:val="single" w:sz="2" w:space="0" w:color="1F497D"/>
              <w:right w:val="single" w:sz="12" w:space="0" w:color="FFFFFF"/>
            </w:tcBorders>
            <w:shd w:val="clear" w:color="auto" w:fill="002060"/>
            <w:hideMark/>
          </w:tcPr>
          <w:p w:rsidR="000E7C4C" w:rsidRDefault="003C3EA6">
            <w:pPr>
              <w:jc w:val="center"/>
              <w:rPr>
                <w:color w:val="FFFFFF"/>
                <w:sz w:val="20"/>
              </w:rPr>
            </w:pPr>
            <w:r>
              <w:rPr>
                <w:noProof/>
                <w:lang w:eastAsia="lt-LT"/>
              </w:rPr>
              <mc:AlternateContent>
                <mc:Choice Requires="wps">
                  <w:drawing>
                    <wp:anchor distT="0" distB="0" distL="114300" distR="114300" simplePos="0" relativeHeight="251679744" behindDoc="1" locked="0" layoutInCell="1" allowOverlap="1" wp14:anchorId="456FA903" wp14:editId="3F4D2DF7">
                      <wp:simplePos x="0" y="0"/>
                      <wp:positionH relativeFrom="column">
                        <wp:posOffset>-26035</wp:posOffset>
                      </wp:positionH>
                      <wp:positionV relativeFrom="paragraph">
                        <wp:posOffset>-12065</wp:posOffset>
                      </wp:positionV>
                      <wp:extent cx="5572125" cy="182880"/>
                      <wp:effectExtent l="0" t="0" r="9525" b="7620"/>
                      <wp:wrapNone/>
                      <wp:docPr id="232" name="Stačiakampis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182880"/>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6722E6CE" id="Stačiakampis 232" o:spid="_x0000_s1026" style="position:absolute;margin-left:-2.05pt;margin-top:-.95pt;width:438.75pt;height:14.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60dpVQIAAJAEAAAOAAAAZHJzL2Uyb0RvYy54bWysVNtu1DAQfUfiHyy/01xg2yVqtqpaipAK VCqI51nHSaz6xti72fIP/Ss+jLGzW8rlCfESjT2emTPnzOT0bGc020oMytmWV0clZ9IK1yk7tPzz p6sXS85CBNuBdla2/F4GfrZ6/ux08o2s3eh0J5FREhuaybd8jNE3RRHEKA2EI+elJWfv0ECkIw5F hzBRdqOLuiyPi8lh59EJGQLdXs5Ovsr5+16K+LHvg4xMt5ywxfzF/F2nb7E6hWZA8KMSexjwDygM KEtFH1NdQgS2QfVHKqMEuuD6eCScKVzfKyFzD9RNVf7Wze0IXuZeiJzgH2kK/y+t+LC9Qaa6ltcv a84sGBLpNsL3BwV3YLwKLDmIpsmHhl7f+htMjQZ/7cRdYNZdjGAHeY7oplFCR+Cq9L74JSAdAoWy 9fTedVQDNtFlxnY9mpSQuGC7LMz9ozByF5mgy8XipK7qBWeCfNWyXi6zcgU0h2iPIb6VzrBktBxJ +JwdttchJjTQHJ7sZequlNYMXfyi4piZTmWzM1DMbDDvqJ/5OuCwvtDItpBmqSyr+jz3SaKHp68r 8pV/DVm8Ojl+EkKYhkMprSwjGlMtFgRoSYrMNOaZymBTEW3Z1PLXCyIjHa1LXeQhNirSJmllWr6c EeTrJMkb22U7gtKzTaW13WuUZJnlXbvuniQiTjIOWmsyRoffOJtoRVoevm4AJWf6nc20sHgw8GCs DwZYQaEtj5waS+ZFnPdu41ENI2Wu9i2c0yj0KquUxmRGsQdHY5/F269o2qun5/zq549k9QMAAP// AwBQSwMEFAAGAAgAAAAhAKsaWFnfAAAACAEAAA8AAABkcnMvZG93bnJldi54bWxMj8FOwzAQRO9I /IO1SNxaO6VKkxCnQghutBKl3N3YJBHxOrXdNOXrWU7lNFrNaOZtuZ5sz0bjQ+dQQjIXwAzWTnfY SNh/vM4yYCEq1Kp3aCRcTIB1dXtTqkK7M76bcRcbRiUYCiWhjXEoOA91a6wKczcYJO/Leasinb7h 2qszldueL4RIuVUd0kKrBvPcmvp7d7ISxE+33Wfbzer44uvPt3xMj+KSSnl/Nz09Aotmitcw/OET OlTEdHAn1IH1EmbLhJKkSQ6M/Gz1sAR2kLBIc+BVyf8/UP0CAAD//wMAUEsBAi0AFAAGAAgAAAAh ALaDOJL+AAAA4QEAABMAAAAAAAAAAAAAAAAAAAAAAFtDb250ZW50X1R5cGVzXS54bWxQSwECLQAU AAYACAAAACEAOP0h/9YAAACUAQAACwAAAAAAAAAAAAAAAAAvAQAAX3JlbHMvLnJlbHNQSwECLQAU AAYACAAAACEA3etHaVUCAACQBAAADgAAAAAAAAAAAAAAAAAuAgAAZHJzL2Uyb0RvYy54bWxQSwEC LQAUAAYACAAAACEAqxpYWd8AAAAIAQAADwAAAAAAAAAAAAAAAACvBAAAZHJzL2Rvd25yZXYueG1s UEsFBgAAAAAEAAQA8wAAALsFAAAAAA== " fillcolor="#00012a" stroked="f">
                      <v:fill color2="#005476" angle="90" focus="100%" type="gradient"/>
                      <v:textbox inset="0,0,0,0"/>
                    </v:rect>
                  </w:pict>
                </mc:Fallback>
              </mc:AlternateContent>
            </w:r>
            <w:r>
              <w:rPr>
                <w:color w:val="FFFFFF"/>
                <w:sz w:val="20"/>
              </w:rPr>
              <w:t>Metai</w:t>
            </w:r>
          </w:p>
        </w:tc>
        <w:tc>
          <w:tcPr>
            <w:tcW w:w="7938" w:type="dxa"/>
            <w:gridSpan w:val="4"/>
            <w:tcBorders>
              <w:top w:val="single" w:sz="12" w:space="0" w:color="FFFFFF"/>
              <w:left w:val="single" w:sz="12" w:space="0" w:color="FFFFFF"/>
              <w:bottom w:val="single" w:sz="2" w:space="0" w:color="1F497D"/>
              <w:right w:val="single" w:sz="12" w:space="0" w:color="FFFFFF"/>
            </w:tcBorders>
            <w:shd w:val="clear" w:color="auto" w:fill="002060"/>
            <w:hideMark/>
          </w:tcPr>
          <w:p w:rsidR="000E7C4C" w:rsidRDefault="003C3EA6">
            <w:pPr>
              <w:jc w:val="center"/>
              <w:rPr>
                <w:bCs/>
                <w:color w:val="FFFFFF"/>
                <w:sz w:val="20"/>
                <w:lang w:eastAsia="en-GB"/>
              </w:rPr>
            </w:pPr>
            <w:r>
              <w:rPr>
                <w:bCs/>
                <w:color w:val="FFFFFF"/>
                <w:sz w:val="20"/>
                <w:lang w:eastAsia="en-GB"/>
              </w:rPr>
              <w:t>Pagrindinės kategorijos (surūšiuotos nuo aukščiausios iki žemiausios, iš kairės į dešinę)</w:t>
            </w:r>
          </w:p>
        </w:tc>
        <w:tc>
          <w:tcPr>
            <w:tcW w:w="1276" w:type="dxa"/>
            <w:tcBorders>
              <w:top w:val="single" w:sz="12" w:space="0" w:color="FFFFFF"/>
              <w:left w:val="single" w:sz="12" w:space="0" w:color="FFFFFF"/>
              <w:bottom w:val="single" w:sz="2" w:space="0" w:color="1F497D"/>
              <w:right w:val="nil"/>
            </w:tcBorders>
            <w:shd w:val="clear" w:color="auto" w:fill="002060"/>
            <w:hideMark/>
          </w:tcPr>
          <w:p w:rsidR="000E7C4C" w:rsidRDefault="003C3EA6">
            <w:pPr>
              <w:jc w:val="center"/>
              <w:rPr>
                <w:bCs/>
                <w:color w:val="FFFFFF"/>
                <w:sz w:val="20"/>
                <w:lang w:eastAsia="en-GB"/>
              </w:rPr>
            </w:pPr>
            <w:r>
              <w:rPr>
                <w:bCs/>
                <w:color w:val="FFFFFF"/>
                <w:sz w:val="20"/>
                <w:lang w:eastAsia="en-GB"/>
              </w:rPr>
              <w:t>Iš viso</w:t>
            </w:r>
          </w:p>
        </w:tc>
      </w:tr>
      <w:tr w:rsidR="000E7C4C">
        <w:tc>
          <w:tcPr>
            <w:tcW w:w="595" w:type="dxa"/>
            <w:vMerge w:val="restart"/>
            <w:tcBorders>
              <w:top w:val="single" w:sz="2" w:space="0" w:color="1F497D"/>
              <w:left w:val="nil"/>
              <w:bottom w:val="single" w:sz="2" w:space="0" w:color="1F497D"/>
              <w:right w:val="single" w:sz="12" w:space="0" w:color="FFFFFF"/>
            </w:tcBorders>
            <w:vAlign w:val="center"/>
            <w:hideMark/>
          </w:tcPr>
          <w:p w:rsidR="000E7C4C" w:rsidRDefault="003C3EA6">
            <w:pPr>
              <w:jc w:val="center"/>
              <w:rPr>
                <w:color w:val="000000"/>
                <w:sz w:val="20"/>
                <w:lang w:eastAsia="lt-LT"/>
              </w:rPr>
            </w:pPr>
            <w:r>
              <w:rPr>
                <w:color w:val="000000"/>
                <w:sz w:val="20"/>
                <w:lang w:eastAsia="lt-LT"/>
              </w:rPr>
              <w:t>2005</w:t>
            </w:r>
          </w:p>
        </w:tc>
        <w:tc>
          <w:tcPr>
            <w:tcW w:w="2835"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rFonts w:eastAsia="Calibri"/>
                <w:color w:val="000000"/>
                <w:sz w:val="20"/>
                <w:lang w:eastAsia="lt-LT"/>
              </w:rPr>
            </w:pPr>
            <w:r>
              <w:rPr>
                <w:rFonts w:eastAsia="Calibri"/>
                <w:color w:val="000000"/>
                <w:sz w:val="20"/>
                <w:lang w:eastAsia="lt-LT"/>
              </w:rPr>
              <w:t>1A4bi</w:t>
            </w:r>
          </w:p>
          <w:p w:rsidR="000E7C4C" w:rsidRDefault="003C3EA6">
            <w:pPr>
              <w:jc w:val="center"/>
              <w:rPr>
                <w:rFonts w:eastAsia="Calibri"/>
                <w:color w:val="000000"/>
                <w:sz w:val="20"/>
                <w:lang w:eastAsia="lt-LT"/>
              </w:rPr>
            </w:pPr>
            <w:r>
              <w:rPr>
                <w:rFonts w:eastAsia="Calibri"/>
                <w:color w:val="000000"/>
                <w:sz w:val="20"/>
                <w:lang w:eastAsia="lt-LT"/>
              </w:rPr>
              <w:t>Namų ūkių stacionarus deginimas</w:t>
            </w:r>
          </w:p>
        </w:tc>
        <w:tc>
          <w:tcPr>
            <w:tcW w:w="2127"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rFonts w:eastAsia="Calibri"/>
                <w:color w:val="000000"/>
                <w:sz w:val="20"/>
                <w:lang w:eastAsia="lt-LT"/>
              </w:rPr>
            </w:pPr>
            <w:r>
              <w:rPr>
                <w:rFonts w:eastAsia="Calibri"/>
                <w:color w:val="000000"/>
                <w:sz w:val="20"/>
                <w:lang w:eastAsia="lt-LT"/>
              </w:rPr>
              <w:t>1A3biii</w:t>
            </w:r>
          </w:p>
          <w:p w:rsidR="000E7C4C" w:rsidRDefault="003C3EA6">
            <w:pPr>
              <w:jc w:val="center"/>
              <w:rPr>
                <w:rFonts w:eastAsia="Calibri"/>
                <w:color w:val="000000"/>
                <w:sz w:val="20"/>
                <w:lang w:eastAsia="lt-LT"/>
              </w:rPr>
            </w:pPr>
            <w:r>
              <w:rPr>
                <w:rFonts w:eastAsia="Calibri"/>
                <w:color w:val="000000"/>
                <w:sz w:val="20"/>
                <w:lang w:eastAsia="lt-LT"/>
              </w:rPr>
              <w:t>Kelių transportas: sunkvežimiai ir autobusai</w:t>
            </w:r>
          </w:p>
        </w:tc>
        <w:tc>
          <w:tcPr>
            <w:tcW w:w="2551"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rFonts w:eastAsia="Calibri"/>
                <w:color w:val="000000"/>
                <w:sz w:val="20"/>
                <w:lang w:eastAsia="lt-LT"/>
              </w:rPr>
            </w:pPr>
            <w:r>
              <w:rPr>
                <w:rFonts w:eastAsia="Calibri"/>
                <w:color w:val="000000"/>
                <w:sz w:val="20"/>
                <w:lang w:eastAsia="lt-LT"/>
              </w:rPr>
              <w:t>5E</w:t>
            </w:r>
          </w:p>
          <w:p w:rsidR="000E7C4C" w:rsidRDefault="003C3EA6">
            <w:pPr>
              <w:jc w:val="center"/>
              <w:rPr>
                <w:rFonts w:eastAsia="Calibri"/>
                <w:color w:val="000000"/>
                <w:sz w:val="20"/>
                <w:lang w:eastAsia="lt-LT"/>
              </w:rPr>
            </w:pPr>
            <w:r>
              <w:rPr>
                <w:rFonts w:eastAsia="Calibri"/>
                <w:color w:val="000000"/>
                <w:sz w:val="20"/>
                <w:lang w:eastAsia="lt-LT"/>
              </w:rPr>
              <w:t>Gaisrai</w:t>
            </w:r>
          </w:p>
        </w:tc>
        <w:tc>
          <w:tcPr>
            <w:tcW w:w="1701" w:type="dxa"/>
            <w:gridSpan w:val="2"/>
            <w:vMerge w:val="restart"/>
            <w:tcBorders>
              <w:top w:val="single" w:sz="2" w:space="0" w:color="1F497D"/>
              <w:left w:val="single" w:sz="12" w:space="0" w:color="FFFFFF"/>
              <w:bottom w:val="single" w:sz="2" w:space="0" w:color="1F497D"/>
              <w:right w:val="nil"/>
            </w:tcBorders>
            <w:vAlign w:val="center"/>
            <w:hideMark/>
          </w:tcPr>
          <w:p w:rsidR="000E7C4C" w:rsidRDefault="003C3EA6">
            <w:pPr>
              <w:jc w:val="center"/>
              <w:rPr>
                <w:rFonts w:eastAsia="Calibri"/>
                <w:color w:val="000000"/>
                <w:sz w:val="20"/>
                <w:lang w:eastAsia="lt-LT"/>
              </w:rPr>
            </w:pPr>
            <w:r>
              <w:rPr>
                <w:rFonts w:eastAsia="Calibri"/>
                <w:color w:val="000000"/>
                <w:sz w:val="20"/>
                <w:lang w:eastAsia="lt-LT"/>
              </w:rPr>
              <w:t>80.4%</w:t>
            </w:r>
          </w:p>
        </w:tc>
      </w:tr>
      <w:tr w:rsidR="000E7C4C">
        <w:tc>
          <w:tcPr>
            <w:tcW w:w="0" w:type="auto"/>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20"/>
                <w:lang w:eastAsia="lt-LT"/>
              </w:rPr>
            </w:pPr>
          </w:p>
        </w:tc>
        <w:tc>
          <w:tcPr>
            <w:tcW w:w="2835"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lang w:eastAsia="lt-LT"/>
              </w:rPr>
            </w:pPr>
            <w:r>
              <w:rPr>
                <w:color w:val="000000"/>
                <w:sz w:val="20"/>
                <w:lang w:eastAsia="lt-LT"/>
              </w:rPr>
              <w:t>74.6%</w:t>
            </w:r>
          </w:p>
        </w:tc>
        <w:tc>
          <w:tcPr>
            <w:tcW w:w="2127"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lang w:eastAsia="lt-LT"/>
              </w:rPr>
            </w:pPr>
            <w:r>
              <w:rPr>
                <w:color w:val="000000"/>
                <w:sz w:val="20"/>
                <w:lang w:eastAsia="lt-LT"/>
              </w:rPr>
              <w:t>2.9%</w:t>
            </w:r>
          </w:p>
        </w:tc>
        <w:tc>
          <w:tcPr>
            <w:tcW w:w="2551"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lang w:eastAsia="lt-LT"/>
              </w:rPr>
            </w:pPr>
            <w:r>
              <w:rPr>
                <w:color w:val="000000"/>
                <w:sz w:val="20"/>
                <w:lang w:eastAsia="lt-LT"/>
              </w:rPr>
              <w:t>2.8%</w:t>
            </w:r>
          </w:p>
        </w:tc>
        <w:tc>
          <w:tcPr>
            <w:tcW w:w="0" w:type="auto"/>
            <w:gridSpan w:val="2"/>
            <w:vMerge/>
            <w:tcBorders>
              <w:top w:val="single" w:sz="2" w:space="0" w:color="1F497D"/>
              <w:left w:val="single" w:sz="12" w:space="0" w:color="FFFFFF"/>
              <w:bottom w:val="single" w:sz="2" w:space="0" w:color="1F497D"/>
              <w:right w:val="single" w:sz="12" w:space="0" w:color="FFFFFF"/>
            </w:tcBorders>
            <w:vAlign w:val="center"/>
            <w:hideMark/>
          </w:tcPr>
          <w:p w:rsidR="000E7C4C" w:rsidRDefault="000E7C4C">
            <w:pPr>
              <w:rPr>
                <w:rFonts w:eastAsia="Calibri"/>
                <w:color w:val="000000"/>
                <w:sz w:val="20"/>
                <w:lang w:eastAsia="lt-LT"/>
              </w:rPr>
            </w:pPr>
          </w:p>
        </w:tc>
      </w:tr>
      <w:tr w:rsidR="000E7C4C">
        <w:tc>
          <w:tcPr>
            <w:tcW w:w="595" w:type="dxa"/>
            <w:vMerge w:val="restart"/>
            <w:tcBorders>
              <w:top w:val="single" w:sz="2" w:space="0" w:color="1F497D"/>
              <w:left w:val="nil"/>
              <w:bottom w:val="single" w:sz="2" w:space="0" w:color="1F497D"/>
              <w:right w:val="single" w:sz="12" w:space="0" w:color="FFFFFF"/>
            </w:tcBorders>
            <w:vAlign w:val="center"/>
            <w:hideMark/>
          </w:tcPr>
          <w:p w:rsidR="000E7C4C" w:rsidRDefault="003C3EA6">
            <w:pPr>
              <w:jc w:val="center"/>
              <w:rPr>
                <w:color w:val="000000"/>
                <w:sz w:val="20"/>
                <w:lang w:eastAsia="lt-LT"/>
              </w:rPr>
            </w:pPr>
            <w:r>
              <w:rPr>
                <w:color w:val="000000"/>
                <w:sz w:val="20"/>
                <w:lang w:eastAsia="lt-LT"/>
              </w:rPr>
              <w:t>2015</w:t>
            </w:r>
          </w:p>
        </w:tc>
        <w:tc>
          <w:tcPr>
            <w:tcW w:w="2835"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rFonts w:eastAsia="Calibri"/>
                <w:color w:val="000000"/>
                <w:sz w:val="20"/>
                <w:lang w:eastAsia="lt-LT"/>
              </w:rPr>
            </w:pPr>
            <w:r>
              <w:rPr>
                <w:rFonts w:eastAsia="Calibri"/>
                <w:color w:val="000000"/>
                <w:sz w:val="20"/>
                <w:lang w:eastAsia="lt-LT"/>
              </w:rPr>
              <w:t>1A4bi</w:t>
            </w:r>
          </w:p>
          <w:p w:rsidR="000E7C4C" w:rsidRDefault="003C3EA6">
            <w:pPr>
              <w:jc w:val="center"/>
              <w:rPr>
                <w:rFonts w:eastAsia="Calibri"/>
                <w:color w:val="000000"/>
                <w:sz w:val="20"/>
                <w:lang w:eastAsia="lt-LT"/>
              </w:rPr>
            </w:pPr>
            <w:r>
              <w:rPr>
                <w:rFonts w:eastAsia="Calibri"/>
                <w:color w:val="000000"/>
                <w:sz w:val="20"/>
                <w:lang w:eastAsia="lt-LT"/>
              </w:rPr>
              <w:t>Namų ūkių stacionarus deginimas</w:t>
            </w:r>
          </w:p>
        </w:tc>
        <w:tc>
          <w:tcPr>
            <w:tcW w:w="2127"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rFonts w:eastAsia="Calibri"/>
                <w:color w:val="000000"/>
                <w:sz w:val="20"/>
                <w:lang w:eastAsia="lt-LT"/>
              </w:rPr>
            </w:pPr>
            <w:r>
              <w:rPr>
                <w:rFonts w:eastAsia="Calibri"/>
                <w:color w:val="000000"/>
                <w:sz w:val="20"/>
                <w:lang w:eastAsia="lt-LT"/>
              </w:rPr>
              <w:t>1A1a</w:t>
            </w:r>
          </w:p>
          <w:p w:rsidR="000E7C4C" w:rsidRDefault="003C3EA6">
            <w:pPr>
              <w:jc w:val="center"/>
              <w:rPr>
                <w:rFonts w:eastAsia="Calibri"/>
                <w:color w:val="000000"/>
                <w:sz w:val="20"/>
                <w:lang w:eastAsia="lt-LT"/>
              </w:rPr>
            </w:pPr>
            <w:r>
              <w:rPr>
                <w:rFonts w:eastAsia="Calibri"/>
                <w:color w:val="000000"/>
                <w:sz w:val="20"/>
                <w:lang w:eastAsia="lt-LT"/>
              </w:rPr>
              <w:t>Viešoji elektros energijos ir šilumos gamyba</w:t>
            </w:r>
          </w:p>
        </w:tc>
        <w:tc>
          <w:tcPr>
            <w:tcW w:w="2551"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rFonts w:eastAsia="Calibri"/>
                <w:color w:val="000000"/>
                <w:sz w:val="20"/>
                <w:lang w:eastAsia="lt-LT"/>
              </w:rPr>
            </w:pPr>
            <w:r>
              <w:rPr>
                <w:rFonts w:eastAsia="Calibri"/>
                <w:color w:val="000000"/>
                <w:sz w:val="20"/>
                <w:lang w:eastAsia="lt-LT"/>
              </w:rPr>
              <w:t>1A3biii</w:t>
            </w:r>
          </w:p>
          <w:p w:rsidR="000E7C4C" w:rsidRDefault="003C3EA6">
            <w:pPr>
              <w:jc w:val="center"/>
              <w:rPr>
                <w:rFonts w:eastAsia="Calibri"/>
                <w:color w:val="000000"/>
                <w:sz w:val="20"/>
                <w:lang w:eastAsia="lt-LT"/>
              </w:rPr>
            </w:pPr>
            <w:r>
              <w:rPr>
                <w:rFonts w:eastAsia="Calibri"/>
                <w:color w:val="000000"/>
                <w:sz w:val="20"/>
                <w:lang w:eastAsia="lt-LT"/>
              </w:rPr>
              <w:t>Kelių transportas: sunkvežimiai ir autobusai</w:t>
            </w:r>
          </w:p>
        </w:tc>
        <w:tc>
          <w:tcPr>
            <w:tcW w:w="1701" w:type="dxa"/>
            <w:gridSpan w:val="2"/>
            <w:vMerge w:val="restart"/>
            <w:tcBorders>
              <w:top w:val="single" w:sz="2" w:space="0" w:color="1F497D"/>
              <w:left w:val="single" w:sz="12" w:space="0" w:color="FFFFFF"/>
              <w:bottom w:val="single" w:sz="2" w:space="0" w:color="1F497D"/>
              <w:right w:val="nil"/>
            </w:tcBorders>
            <w:vAlign w:val="center"/>
            <w:hideMark/>
          </w:tcPr>
          <w:p w:rsidR="000E7C4C" w:rsidRDefault="003C3EA6">
            <w:pPr>
              <w:jc w:val="center"/>
              <w:rPr>
                <w:color w:val="000000"/>
                <w:sz w:val="20"/>
                <w:lang w:eastAsia="lt-LT"/>
              </w:rPr>
            </w:pPr>
            <w:r>
              <w:rPr>
                <w:color w:val="000000"/>
                <w:sz w:val="20"/>
                <w:lang w:eastAsia="lt-LT"/>
              </w:rPr>
              <w:t>80.9%</w:t>
            </w:r>
          </w:p>
        </w:tc>
      </w:tr>
      <w:tr w:rsidR="000E7C4C">
        <w:tc>
          <w:tcPr>
            <w:tcW w:w="0" w:type="auto"/>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20"/>
                <w:lang w:eastAsia="lt-LT"/>
              </w:rPr>
            </w:pPr>
          </w:p>
        </w:tc>
        <w:tc>
          <w:tcPr>
            <w:tcW w:w="2835"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20"/>
                <w:lang w:eastAsia="lt-LT"/>
              </w:rPr>
            </w:pPr>
            <w:r>
              <w:rPr>
                <w:color w:val="000000"/>
                <w:sz w:val="20"/>
                <w:lang w:eastAsia="lt-LT"/>
              </w:rPr>
              <w:t>75.1%</w:t>
            </w:r>
          </w:p>
        </w:tc>
        <w:tc>
          <w:tcPr>
            <w:tcW w:w="2127"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20"/>
                <w:lang w:eastAsia="lt-LT"/>
              </w:rPr>
            </w:pPr>
            <w:r>
              <w:rPr>
                <w:color w:val="000000"/>
                <w:sz w:val="20"/>
                <w:lang w:eastAsia="lt-LT"/>
              </w:rPr>
              <w:t>3.2%</w:t>
            </w:r>
          </w:p>
        </w:tc>
        <w:tc>
          <w:tcPr>
            <w:tcW w:w="2551"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20"/>
                <w:lang w:eastAsia="lt-LT"/>
              </w:rPr>
            </w:pPr>
            <w:r>
              <w:rPr>
                <w:color w:val="000000"/>
                <w:sz w:val="20"/>
                <w:lang w:eastAsia="lt-LT"/>
              </w:rPr>
              <w:t>2.6%</w:t>
            </w:r>
          </w:p>
        </w:tc>
        <w:tc>
          <w:tcPr>
            <w:tcW w:w="0" w:type="auto"/>
            <w:gridSpan w:val="2"/>
            <w:vMerge/>
            <w:tcBorders>
              <w:top w:val="single" w:sz="2" w:space="0" w:color="1F497D"/>
              <w:left w:val="single" w:sz="12" w:space="0" w:color="FFFFFF"/>
              <w:bottom w:val="single" w:sz="2" w:space="0" w:color="1F497D"/>
              <w:right w:val="single" w:sz="12" w:space="0" w:color="FFFFFF"/>
            </w:tcBorders>
            <w:vAlign w:val="center"/>
            <w:hideMark/>
          </w:tcPr>
          <w:p w:rsidR="000E7C4C" w:rsidRDefault="000E7C4C">
            <w:pPr>
              <w:rPr>
                <w:color w:val="000000"/>
                <w:sz w:val="20"/>
                <w:lang w:eastAsia="lt-LT"/>
              </w:rPr>
            </w:pPr>
          </w:p>
        </w:tc>
      </w:tr>
    </w:tbl>
    <w:p w:rsidR="000E7C4C" w:rsidRDefault="003C3EA6">
      <w:pPr>
        <w:jc w:val="center"/>
        <w:rPr>
          <w:color w:val="000000"/>
          <w:sz w:val="22"/>
          <w:szCs w:val="22"/>
        </w:rPr>
      </w:pPr>
      <w:r>
        <w:rPr>
          <w:color w:val="000000"/>
          <w:sz w:val="22"/>
          <w:szCs w:val="22"/>
        </w:rPr>
        <w:t>(Duomenų šaltinis: AAA)</w:t>
      </w:r>
    </w:p>
    <w:p w:rsidR="000E7C4C" w:rsidRDefault="003C3EA6">
      <w:pPr>
        <w:jc w:val="both"/>
        <w:rPr>
          <w:color w:val="000000"/>
          <w:szCs w:val="21"/>
        </w:rPr>
      </w:pPr>
    </w:p>
    <w:p w:rsidR="000E7C4C" w:rsidRDefault="003C3EA6">
      <w:pPr>
        <w:ind w:firstLine="567"/>
        <w:jc w:val="both"/>
        <w:rPr>
          <w:color w:val="000000"/>
          <w:szCs w:val="21"/>
        </w:rPr>
      </w:pPr>
      <w:r>
        <w:rPr>
          <w:color w:val="000000"/>
          <w:szCs w:val="21"/>
        </w:rPr>
        <w:t>24</w:t>
      </w:r>
      <w:r>
        <w:rPr>
          <w:color w:val="000000"/>
          <w:szCs w:val="21"/>
        </w:rPr>
        <w:t>. Sunkvežimių ir autobusų išmesto KD</w:t>
      </w:r>
      <w:r>
        <w:rPr>
          <w:color w:val="000000"/>
          <w:szCs w:val="21"/>
          <w:vertAlign w:val="subscript"/>
        </w:rPr>
        <w:t>2,5</w:t>
      </w:r>
      <w:r>
        <w:rPr>
          <w:color w:val="000000"/>
          <w:szCs w:val="21"/>
        </w:rPr>
        <w:t xml:space="preserve"> kiekio dalis bendroje išmesto KD</w:t>
      </w:r>
      <w:r>
        <w:rPr>
          <w:color w:val="000000"/>
          <w:szCs w:val="21"/>
          <w:vertAlign w:val="subscript"/>
        </w:rPr>
        <w:t>2,5</w:t>
      </w:r>
      <w:r>
        <w:rPr>
          <w:color w:val="000000"/>
          <w:szCs w:val="21"/>
        </w:rPr>
        <w:t xml:space="preserve"> kiekio struktūroje sumažėjo nuo 2,9 proc. 2005 m. iki 2,6 proc. 2015 m., įtakos tokiems pokyčiams turėjo daugiau nei penktadaliu, sumažėjęs sunkvežimių ir autobusų išmestas KD</w:t>
      </w:r>
      <w:r>
        <w:rPr>
          <w:color w:val="000000"/>
          <w:szCs w:val="21"/>
          <w:vertAlign w:val="subscript"/>
        </w:rPr>
        <w:t>2,5</w:t>
      </w:r>
      <w:r>
        <w:rPr>
          <w:color w:val="000000"/>
          <w:szCs w:val="21"/>
        </w:rPr>
        <w:t xml:space="preserve"> kiekis.</w:t>
      </w:r>
    </w:p>
    <w:p w:rsidR="000E7C4C" w:rsidRDefault="003C3EA6">
      <w:pPr>
        <w:jc w:val="both"/>
        <w:rPr>
          <w:color w:val="000000"/>
          <w:szCs w:val="21"/>
        </w:rPr>
      </w:pPr>
    </w:p>
    <w:p w:rsidR="000E7C4C" w:rsidRDefault="003C3EA6">
      <w:pPr>
        <w:tabs>
          <w:tab w:val="num" w:pos="360"/>
        </w:tabs>
        <w:spacing w:line="360" w:lineRule="atLeast"/>
        <w:jc w:val="center"/>
        <w:rPr>
          <w:b/>
          <w:color w:val="000000"/>
          <w:sz w:val="20"/>
          <w:szCs w:val="21"/>
          <w:lang w:val="en-US"/>
        </w:rPr>
      </w:pPr>
      <w:r>
        <w:rPr>
          <w:color w:val="000000"/>
          <w:szCs w:val="21"/>
          <w:lang w:val="en-US"/>
        </w:rPr>
        <w:t>____________________________</w:t>
      </w:r>
    </w:p>
    <w:p w:rsidR="000E7C4C" w:rsidRDefault="000E7C4C">
      <w:pPr>
        <w:tabs>
          <w:tab w:val="left" w:pos="540"/>
          <w:tab w:val="left" w:pos="1296"/>
        </w:tabs>
        <w:rPr>
          <w:szCs w:val="24"/>
        </w:rPr>
      </w:pPr>
    </w:p>
    <w:p w:rsidR="000E7C4C" w:rsidRDefault="003C3EA6">
      <w:pPr>
        <w:jc w:val="right"/>
        <w:rPr>
          <w:sz w:val="20"/>
        </w:rPr>
      </w:pPr>
    </w:p>
    <w:p w:rsidR="003C3EA6" w:rsidRDefault="003C3EA6">
      <w:pPr>
        <w:keepNext/>
        <w:keepLines/>
        <w:tabs>
          <w:tab w:val="num" w:pos="360"/>
        </w:tabs>
        <w:ind w:left="7088"/>
        <w:outlineLvl w:val="1"/>
        <w:sectPr w:rsidR="003C3EA6" w:rsidSect="003C3EA6">
          <w:pgSz w:w="11906" w:h="16838"/>
          <w:pgMar w:top="1134" w:right="567" w:bottom="1134" w:left="1134" w:header="567" w:footer="567" w:gutter="0"/>
          <w:pgNumType w:start="1"/>
          <w:cols w:space="1296"/>
          <w:titlePg/>
          <w:docGrid w:linePitch="326"/>
        </w:sectPr>
      </w:pPr>
    </w:p>
    <w:p w:rsidR="000E7C4C" w:rsidRDefault="003C3EA6">
      <w:pPr>
        <w:keepNext/>
        <w:keepLines/>
        <w:tabs>
          <w:tab w:val="num" w:pos="360"/>
        </w:tabs>
        <w:ind w:left="7088"/>
        <w:outlineLvl w:val="1"/>
        <w:rPr>
          <w:color w:val="000000"/>
          <w:szCs w:val="24"/>
        </w:rPr>
      </w:pPr>
      <w:r>
        <w:rPr>
          <w:color w:val="000000"/>
          <w:szCs w:val="24"/>
        </w:rPr>
        <w:t xml:space="preserve">Nacionalinio oro taršos </w:t>
      </w:r>
    </w:p>
    <w:p w:rsidR="000E7C4C" w:rsidRDefault="003C3EA6">
      <w:pPr>
        <w:keepNext/>
        <w:keepLines/>
        <w:tabs>
          <w:tab w:val="num" w:pos="360"/>
        </w:tabs>
        <w:ind w:left="7088"/>
        <w:outlineLvl w:val="1"/>
        <w:rPr>
          <w:color w:val="000000"/>
          <w:szCs w:val="24"/>
        </w:rPr>
      </w:pPr>
      <w:r>
        <w:rPr>
          <w:color w:val="000000"/>
          <w:szCs w:val="24"/>
        </w:rPr>
        <w:t>mažinimo plano</w:t>
      </w:r>
    </w:p>
    <w:p w:rsidR="000E7C4C" w:rsidRDefault="003C3EA6">
      <w:pPr>
        <w:tabs>
          <w:tab w:val="left" w:pos="1296"/>
        </w:tabs>
        <w:ind w:left="7088"/>
        <w:rPr>
          <w:color w:val="000000"/>
          <w:szCs w:val="24"/>
        </w:rPr>
      </w:pPr>
      <w:r>
        <w:rPr>
          <w:szCs w:val="24"/>
        </w:rPr>
        <w:t>10</w:t>
      </w:r>
      <w:r>
        <w:rPr>
          <w:szCs w:val="24"/>
        </w:rPr>
        <w:t xml:space="preserve"> priedas</w:t>
      </w:r>
    </w:p>
    <w:p w:rsidR="000E7C4C" w:rsidRDefault="000E7C4C">
      <w:pPr>
        <w:tabs>
          <w:tab w:val="left" w:pos="1296"/>
        </w:tabs>
        <w:rPr>
          <w:szCs w:val="21"/>
        </w:rPr>
      </w:pPr>
    </w:p>
    <w:p w:rsidR="000E7C4C" w:rsidRDefault="000E7C4C">
      <w:pPr>
        <w:rPr>
          <w:sz w:val="18"/>
          <w:szCs w:val="18"/>
        </w:rPr>
      </w:pPr>
    </w:p>
    <w:p w:rsidR="000E7C4C" w:rsidRDefault="003C3EA6">
      <w:pPr>
        <w:keepNext/>
        <w:keepLines/>
        <w:tabs>
          <w:tab w:val="num" w:pos="360"/>
        </w:tabs>
        <w:jc w:val="center"/>
        <w:outlineLvl w:val="1"/>
        <w:rPr>
          <w:b/>
          <w:bCs/>
          <w:color w:val="000000"/>
          <w:szCs w:val="24"/>
        </w:rPr>
      </w:pPr>
      <w:r>
        <w:rPr>
          <w:b/>
          <w:color w:val="000000"/>
          <w:szCs w:val="24"/>
        </w:rPr>
        <w:t>PAŽANGA, PADARYTA VYKDANT ESAMĄ POLITIKĄ IR TAIKANT DABARTINES PRIEMONES GERINANT ORO KOKYBĘ</w:t>
      </w:r>
    </w:p>
    <w:p w:rsidR="000E7C4C" w:rsidRDefault="000E7C4C">
      <w:pPr>
        <w:tabs>
          <w:tab w:val="left" w:pos="1296"/>
        </w:tabs>
        <w:ind w:left="720"/>
        <w:rPr>
          <w:color w:val="000000"/>
          <w:szCs w:val="24"/>
        </w:rPr>
      </w:pPr>
    </w:p>
    <w:p w:rsidR="000E7C4C" w:rsidRDefault="003C3EA6">
      <w:pPr>
        <w:keepNext/>
        <w:keepLines/>
        <w:jc w:val="center"/>
        <w:outlineLvl w:val="2"/>
        <w:rPr>
          <w:b/>
          <w:color w:val="000000"/>
          <w:szCs w:val="28"/>
        </w:rPr>
      </w:pPr>
      <w:r>
        <w:rPr>
          <w:b/>
          <w:color w:val="000000"/>
          <w:szCs w:val="28"/>
        </w:rPr>
        <w:t>I</w:t>
      </w:r>
      <w:r>
        <w:rPr>
          <w:b/>
          <w:color w:val="000000"/>
          <w:szCs w:val="28"/>
        </w:rPr>
        <w:t xml:space="preserve"> SKYRIUS</w:t>
      </w:r>
    </w:p>
    <w:p w:rsidR="000E7C4C" w:rsidRDefault="003C3EA6">
      <w:pPr>
        <w:keepNext/>
        <w:keepLines/>
        <w:jc w:val="center"/>
        <w:outlineLvl w:val="2"/>
        <w:rPr>
          <w:b/>
          <w:bCs/>
          <w:caps/>
          <w:color w:val="000000"/>
          <w:szCs w:val="28"/>
        </w:rPr>
      </w:pPr>
      <w:r>
        <w:rPr>
          <w:b/>
          <w:color w:val="000000"/>
          <w:szCs w:val="28"/>
        </w:rPr>
        <w:t>SIEROS DIOKSIDO</w:t>
      </w:r>
      <w:r>
        <w:rPr>
          <w:color w:val="000000"/>
          <w:szCs w:val="28"/>
        </w:rPr>
        <w:t xml:space="preserve"> </w:t>
      </w:r>
      <w:r>
        <w:rPr>
          <w:b/>
          <w:bCs/>
          <w:color w:val="000000"/>
          <w:szCs w:val="28"/>
        </w:rPr>
        <w:t>KONCENTRACIJOS ANALIZĖ</w:t>
      </w:r>
    </w:p>
    <w:p w:rsidR="000E7C4C" w:rsidRDefault="000E7C4C">
      <w:pPr>
        <w:tabs>
          <w:tab w:val="left" w:pos="1296"/>
        </w:tabs>
        <w:ind w:left="720"/>
      </w:pPr>
    </w:p>
    <w:p w:rsidR="000E7C4C" w:rsidRDefault="003C3EA6">
      <w:pPr>
        <w:tabs>
          <w:tab w:val="left" w:pos="851"/>
        </w:tabs>
        <w:ind w:firstLine="567"/>
      </w:pPr>
      <w:r>
        <w:rPr>
          <w:color w:val="000000"/>
          <w:szCs w:val="21"/>
        </w:rPr>
        <w:t>1</w:t>
      </w:r>
      <w:r>
        <w:rPr>
          <w:color w:val="000000"/>
          <w:szCs w:val="21"/>
        </w:rPr>
        <w:t>.</w:t>
      </w:r>
      <w:r>
        <w:rPr>
          <w:color w:val="000000"/>
          <w:szCs w:val="21"/>
        </w:rPr>
        <w:tab/>
      </w:r>
      <w:r>
        <w:t>Sieros dioksido (toliau – SO</w:t>
      </w:r>
      <w:r>
        <w:rPr>
          <w:vertAlign w:val="subscript"/>
        </w:rPr>
        <w:t>2</w:t>
      </w:r>
      <w:r>
        <w:t>) koncentracija matuota Vilniaus aglomeracijos Senamiesčio ir Lazdynų stotyse ir Savanorių stotyje (Savanorių stotis įkurta 2007 m., todėl lyginami 2007 ir 2016 m. duomenys). Kaip matyti 1 paveiksle, SO</w:t>
      </w:r>
      <w:r>
        <w:rPr>
          <w:vertAlign w:val="subscript"/>
        </w:rPr>
        <w:t>2</w:t>
      </w:r>
      <w:r>
        <w:t xml:space="preserve"> koncentracija Senamiesčio sotyje padidėjo net 2,8 kartų, o Lazdynų stotyje – 1,9 karto, lyginant 2005 ir 2016 m. duomenis. Koncentracijos padidėjimas sietinas su teršalo koncentracijos padidėjimu pramonės ir energetikos įmonių bei intensyvaus eismo poveikio zonose (Oro kokybė Lietuvoje 2016 m. Aplinkos apsaugos agentūra (toliau – AAA), 2017, p. 43). Tuo metu Savanorių prospekto stotyje SO</w:t>
      </w:r>
      <w:r>
        <w:rPr>
          <w:vertAlign w:val="subscript"/>
        </w:rPr>
        <w:t>2</w:t>
      </w:r>
      <w:r>
        <w:t xml:space="preserve"> koncentracija sumažėjo 3,3 proc. nagrinėjamu laikotarpiu (žr. 1 pav.). Kauno aglomeracijoje SO</w:t>
      </w:r>
      <w:r>
        <w:rPr>
          <w:vertAlign w:val="subscript"/>
        </w:rPr>
        <w:t>2</w:t>
      </w:r>
      <w:r>
        <w:t xml:space="preserve"> koncentracija matuojama Petrašiūnų ir Dainavos stotyse (2005 m. Kaune SO</w:t>
      </w:r>
      <w:r>
        <w:rPr>
          <w:vertAlign w:val="subscript"/>
        </w:rPr>
        <w:t>2</w:t>
      </w:r>
      <w:r>
        <w:t xml:space="preserve"> koncentracija nebuvo matuojama). Petrašiūnų stotyje SO</w:t>
      </w:r>
      <w:r>
        <w:rPr>
          <w:vertAlign w:val="subscript"/>
        </w:rPr>
        <w:t>2</w:t>
      </w:r>
      <w:r>
        <w:t xml:space="preserve"> koncentracija nepasikeitė, lyginant 2006 ir 2016 m. Dainavos stotyje SO</w:t>
      </w:r>
      <w:r>
        <w:rPr>
          <w:vertAlign w:val="subscript"/>
        </w:rPr>
        <w:t>2</w:t>
      </w:r>
      <w:r>
        <w:t xml:space="preserve"> koncentracija sumažėjo 16,7 proc., lyginant 2006 ir 2016 m., dėl tikėtino mažesnio pramonės bei energetikos įmonių poveikio (Oro kokybė Lietuvoje 2016 m. AAA, 2017, p. 44).</w:t>
      </w:r>
    </w:p>
    <w:p w:rsidR="000E7C4C" w:rsidRDefault="000E7C4C">
      <w:pPr>
        <w:ind w:firstLine="567"/>
      </w:pPr>
    </w:p>
    <w:p w:rsidR="000E7C4C" w:rsidRDefault="003C3EA6">
      <w:pPr>
        <w:tabs>
          <w:tab w:val="left" w:pos="1296"/>
        </w:tabs>
        <w:jc w:val="center"/>
      </w:pPr>
      <w:r>
        <w:rPr>
          <w:noProof/>
          <w:lang w:eastAsia="lt-LT"/>
        </w:rPr>
        <w:drawing>
          <wp:inline distT="0" distB="0" distL="0" distR="0" wp14:anchorId="69F5F4B7" wp14:editId="43A8FDA6">
            <wp:extent cx="4867275" cy="3190875"/>
            <wp:effectExtent l="0" t="0" r="9525" b="9525"/>
            <wp:docPr id="251" name="Paveikslėlis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7275" cy="3190875"/>
                    </a:xfrm>
                    <a:prstGeom prst="rect">
                      <a:avLst/>
                    </a:prstGeom>
                    <a:noFill/>
                    <a:ln>
                      <a:noFill/>
                    </a:ln>
                  </pic:spPr>
                </pic:pic>
              </a:graphicData>
            </a:graphic>
          </wp:inline>
        </w:drawing>
      </w:r>
    </w:p>
    <w:p w:rsidR="000E7C4C" w:rsidRDefault="003C3EA6">
      <w:pPr>
        <w:keepNext/>
        <w:tabs>
          <w:tab w:val="left" w:pos="993"/>
        </w:tabs>
        <w:jc w:val="center"/>
        <w:rPr>
          <w:color w:val="000000"/>
          <w:sz w:val="20"/>
        </w:rPr>
      </w:pPr>
      <w:r>
        <w:rPr>
          <w:color w:val="000000"/>
          <w:sz w:val="20"/>
        </w:rPr>
        <w:t>1 paveikslas. SO</w:t>
      </w:r>
      <w:r>
        <w:rPr>
          <w:color w:val="000000"/>
          <w:sz w:val="20"/>
          <w:vertAlign w:val="subscript"/>
        </w:rPr>
        <w:t>2</w:t>
      </w:r>
      <w:r>
        <w:rPr>
          <w:color w:val="000000"/>
          <w:sz w:val="20"/>
        </w:rPr>
        <w:t xml:space="preserve"> koncentracija aglomeracijų ir zonos stotyse </w:t>
      </w:r>
    </w:p>
    <w:p w:rsidR="000E7C4C" w:rsidRDefault="003C3EA6">
      <w:pPr>
        <w:tabs>
          <w:tab w:val="left" w:pos="1296"/>
        </w:tabs>
        <w:jc w:val="center"/>
        <w:rPr>
          <w:sz w:val="20"/>
        </w:rPr>
      </w:pPr>
      <w:r>
        <w:rPr>
          <w:sz w:val="20"/>
        </w:rPr>
        <w:t>(Duomenų šaltinis: AAA)</w:t>
      </w:r>
    </w:p>
    <w:p w:rsidR="000E7C4C" w:rsidRDefault="003C3EA6">
      <w:pPr>
        <w:tabs>
          <w:tab w:val="left" w:pos="1296"/>
        </w:tabs>
        <w:ind w:left="720"/>
      </w:pPr>
    </w:p>
    <w:p w:rsidR="000E7C4C" w:rsidRDefault="003C3EA6">
      <w:pPr>
        <w:tabs>
          <w:tab w:val="left" w:pos="851"/>
        </w:tabs>
        <w:ind w:firstLine="567"/>
      </w:pPr>
      <w:r>
        <w:rPr>
          <w:color w:val="000000"/>
          <w:szCs w:val="21"/>
        </w:rPr>
        <w:t>2</w:t>
      </w:r>
      <w:r>
        <w:rPr>
          <w:color w:val="000000"/>
          <w:szCs w:val="21"/>
        </w:rPr>
        <w:t>.</w:t>
      </w:r>
      <w:r>
        <w:rPr>
          <w:color w:val="000000"/>
          <w:szCs w:val="21"/>
        </w:rPr>
        <w:tab/>
      </w:r>
      <w:r>
        <w:t>SO</w:t>
      </w:r>
      <w:r>
        <w:rPr>
          <w:vertAlign w:val="subscript"/>
        </w:rPr>
        <w:t>2</w:t>
      </w:r>
      <w:r>
        <w:t xml:space="preserve"> koncentracija zonoje matuojama Klaipėdos Centro stotyje, Šiaulių stotyje, Naujosios Akmenės sotyje, Mažeikių stotyje (2005 m. duomenys nėra prieinami) ir Kėdainių stotyje. Kaip matyti 23 paveiksle, SO</w:t>
      </w:r>
      <w:r>
        <w:rPr>
          <w:vertAlign w:val="subscript"/>
        </w:rPr>
        <w:t>2</w:t>
      </w:r>
      <w:r>
        <w:t xml:space="preserve"> koncentracija Klaipėdos Centro stotyje ženkliai išaugo – net 1,5 karto, tikėtina dėl didesnio jūrų uosto poveikio, rajonų, kur sutelktos pramonės, energetikos įmonės poveikio ir didesnio autonomiškai šildomų individualių namų skaičiaus (Oro kokybė Lietuvoje 2016 m. AAA, 2017, p. 45). Išaugo taip pat SO</w:t>
      </w:r>
      <w:r>
        <w:rPr>
          <w:vertAlign w:val="subscript"/>
        </w:rPr>
        <w:t xml:space="preserve">2 </w:t>
      </w:r>
      <w:r>
        <w:t>koncentracija Naujojoje Akmenėje ir Kėdainiuose – atitinkamai 2,9 karto ir 13,3 proc., lyginant 2005 ir 2016 m. duomenis. – dėl pramonės įmonių poveikio. Tuo metu Šiaulių stotyje SO</w:t>
      </w:r>
      <w:r>
        <w:rPr>
          <w:vertAlign w:val="subscript"/>
        </w:rPr>
        <w:t>2</w:t>
      </w:r>
      <w:r>
        <w:t xml:space="preserve"> koncentracija sumažėjo net 40 proc., lyginant 2005 ir 2016 m. duomenis, tikėtina dėl geležinkelio poveikio sumažėjimo. Mažeikių stotyje SO</w:t>
      </w:r>
      <w:r>
        <w:rPr>
          <w:vertAlign w:val="subscript"/>
        </w:rPr>
        <w:t>2</w:t>
      </w:r>
      <w:r>
        <w:t xml:space="preserve"> koncentracija sumažėjo nežymiai – vos 3,3 proc., lyginant 2006 ir 2016 m. duomenis.</w:t>
      </w:r>
    </w:p>
    <w:p w:rsidR="000E7C4C" w:rsidRDefault="003C3EA6">
      <w:pPr>
        <w:tabs>
          <w:tab w:val="left" w:pos="1296"/>
        </w:tabs>
      </w:pPr>
    </w:p>
    <w:p w:rsidR="000E7C4C" w:rsidRDefault="003C3EA6">
      <w:pPr>
        <w:keepNext/>
        <w:keepLines/>
        <w:jc w:val="center"/>
        <w:outlineLvl w:val="2"/>
        <w:rPr>
          <w:b/>
          <w:bCs/>
          <w:color w:val="000000"/>
          <w:szCs w:val="28"/>
        </w:rPr>
      </w:pPr>
      <w:r>
        <w:rPr>
          <w:b/>
          <w:bCs/>
          <w:color w:val="000000"/>
          <w:szCs w:val="28"/>
        </w:rPr>
        <w:t>II</w:t>
      </w:r>
      <w:r>
        <w:rPr>
          <w:b/>
          <w:bCs/>
          <w:color w:val="000000"/>
          <w:szCs w:val="28"/>
        </w:rPr>
        <w:t xml:space="preserve"> SKYRIUS</w:t>
      </w:r>
    </w:p>
    <w:p w:rsidR="000E7C4C" w:rsidRDefault="003C3EA6">
      <w:pPr>
        <w:keepNext/>
        <w:keepLines/>
        <w:jc w:val="center"/>
        <w:outlineLvl w:val="2"/>
        <w:rPr>
          <w:b/>
          <w:bCs/>
          <w:caps/>
          <w:color w:val="000000"/>
          <w:szCs w:val="28"/>
        </w:rPr>
      </w:pPr>
      <w:r>
        <w:rPr>
          <w:b/>
          <w:bCs/>
          <w:color w:val="000000"/>
          <w:szCs w:val="28"/>
        </w:rPr>
        <w:t>AZOTO DIOKSIDO KONCENTRACIJOS ANALIZĖ</w:t>
      </w:r>
    </w:p>
    <w:p w:rsidR="000E7C4C" w:rsidRDefault="000E7C4C">
      <w:pPr>
        <w:tabs>
          <w:tab w:val="left" w:pos="1296"/>
        </w:tabs>
        <w:ind w:left="720"/>
      </w:pPr>
    </w:p>
    <w:p w:rsidR="000E7C4C" w:rsidRDefault="003C3EA6">
      <w:pPr>
        <w:tabs>
          <w:tab w:val="left" w:pos="851"/>
        </w:tabs>
        <w:ind w:firstLine="567"/>
      </w:pPr>
      <w:r>
        <w:rPr>
          <w:color w:val="000000"/>
          <w:szCs w:val="21"/>
        </w:rPr>
        <w:t>3</w:t>
      </w:r>
      <w:r>
        <w:rPr>
          <w:color w:val="000000"/>
          <w:szCs w:val="21"/>
        </w:rPr>
        <w:t>.</w:t>
      </w:r>
      <w:r>
        <w:rPr>
          <w:color w:val="000000"/>
          <w:szCs w:val="21"/>
        </w:rPr>
        <w:tab/>
      </w:r>
      <w:r>
        <w:t>Azoto dioksido (toliau – NO</w:t>
      </w:r>
      <w:r>
        <w:rPr>
          <w:vertAlign w:val="subscript"/>
        </w:rPr>
        <w:t>2</w:t>
      </w:r>
      <w:r>
        <w:t>) koncentracijos Vilniaus aglomeracijoje matuojamos visose keturiose stotyse: Vilniaus Senamiesčio, Lazdynų ir Žirmūnų stotyse ir Savanorių stotyje (Savanorių stotis įkurta 2007 m., todėl lyginami 2007 ir 2016 m. duomenys) (žr. 2 pav.). Vilniaus Senamiesčio ir Vilniaus Lazdynų stotyse NO</w:t>
      </w:r>
      <w:r>
        <w:rPr>
          <w:vertAlign w:val="subscript"/>
        </w:rPr>
        <w:t xml:space="preserve">2 </w:t>
      </w:r>
      <w:r>
        <w:t>koncentracija sumažėjo atitinkamai 25 proc. ir 11 proc., lyginant 2005 ir 2016 m. duomenis. Tuo metu Vilniaus Žirmūnų ir Vilniaus Savanorių stotyse koncentracijos padidėjo atitinkamai 21,9 proc. (lyginant 2005 ir 2016 m. duomenis) ir 4,5 proc. (lyginant 2007 ir 2016 m. duomenis). NO</w:t>
      </w:r>
      <w:r>
        <w:rPr>
          <w:vertAlign w:val="subscript"/>
        </w:rPr>
        <w:t xml:space="preserve">2 </w:t>
      </w:r>
      <w:r>
        <w:t>koncentracijos padidėjimas sietinas su pramonės ir transporto aktyvumo (pavyzdžiui, prie intensyviausio eismo gatvių: Geležinio Vilko, Ukmergės, Kareivių, Ozo, Dariaus ir Girėno g., Laisvės, Savanorių pr.) padidėjimu.</w:t>
      </w:r>
    </w:p>
    <w:p w:rsidR="000E7C4C" w:rsidRDefault="000E7C4C">
      <w:pPr>
        <w:tabs>
          <w:tab w:val="left" w:pos="1296"/>
        </w:tabs>
        <w:ind w:firstLine="567"/>
      </w:pPr>
    </w:p>
    <w:p w:rsidR="000E7C4C" w:rsidRDefault="003C3EA6">
      <w:pPr>
        <w:keepNext/>
        <w:tabs>
          <w:tab w:val="left" w:pos="1296"/>
        </w:tabs>
        <w:jc w:val="center"/>
      </w:pPr>
      <w:r>
        <w:rPr>
          <w:noProof/>
          <w:lang w:eastAsia="lt-LT"/>
        </w:rPr>
        <w:drawing>
          <wp:inline distT="0" distB="0" distL="0" distR="0" wp14:anchorId="1BBA0419" wp14:editId="2B2FE224">
            <wp:extent cx="5219700" cy="2933700"/>
            <wp:effectExtent l="0" t="0" r="0" b="0"/>
            <wp:docPr id="250" name="Paveikslėli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inline>
        </w:drawing>
      </w:r>
    </w:p>
    <w:p w:rsidR="000E7C4C" w:rsidRDefault="003C3EA6">
      <w:pPr>
        <w:keepNext/>
        <w:tabs>
          <w:tab w:val="left" w:pos="993"/>
        </w:tabs>
        <w:jc w:val="center"/>
        <w:rPr>
          <w:color w:val="000000"/>
          <w:sz w:val="20"/>
        </w:rPr>
      </w:pPr>
      <w:r>
        <w:rPr>
          <w:color w:val="000000"/>
          <w:sz w:val="20"/>
        </w:rPr>
        <w:t>2 paveikslas. NO</w:t>
      </w:r>
      <w:r>
        <w:rPr>
          <w:color w:val="000000"/>
          <w:sz w:val="20"/>
          <w:vertAlign w:val="subscript"/>
        </w:rPr>
        <w:t>2</w:t>
      </w:r>
      <w:r>
        <w:rPr>
          <w:color w:val="000000"/>
          <w:sz w:val="20"/>
        </w:rPr>
        <w:t xml:space="preserve"> koncentracija aglomeracijų ir zonos stotyse </w:t>
      </w:r>
    </w:p>
    <w:p w:rsidR="000E7C4C" w:rsidRDefault="003C3EA6">
      <w:pPr>
        <w:tabs>
          <w:tab w:val="left" w:pos="1296"/>
        </w:tabs>
        <w:jc w:val="center"/>
        <w:rPr>
          <w:sz w:val="20"/>
        </w:rPr>
      </w:pPr>
      <w:r>
        <w:rPr>
          <w:sz w:val="20"/>
        </w:rPr>
        <w:t>(Duomenų šaltinis: AAA)</w:t>
      </w:r>
    </w:p>
    <w:p w:rsidR="000E7C4C" w:rsidRDefault="003C3EA6">
      <w:pPr>
        <w:tabs>
          <w:tab w:val="left" w:pos="1296"/>
        </w:tabs>
        <w:rPr>
          <w:szCs w:val="21"/>
        </w:rPr>
      </w:pPr>
    </w:p>
    <w:p w:rsidR="000E7C4C" w:rsidRDefault="003C3EA6">
      <w:pPr>
        <w:tabs>
          <w:tab w:val="left" w:pos="851"/>
        </w:tabs>
        <w:ind w:firstLine="567"/>
      </w:pPr>
      <w:r>
        <w:rPr>
          <w:color w:val="000000"/>
          <w:szCs w:val="21"/>
        </w:rPr>
        <w:t>4</w:t>
      </w:r>
      <w:r>
        <w:rPr>
          <w:color w:val="000000"/>
          <w:szCs w:val="21"/>
        </w:rPr>
        <w:t>.</w:t>
      </w:r>
      <w:r>
        <w:rPr>
          <w:color w:val="000000"/>
          <w:szCs w:val="21"/>
        </w:rPr>
        <w:tab/>
      </w:r>
      <w:r>
        <w:t>Kauno aglomeracijoje NO</w:t>
      </w:r>
      <w:r>
        <w:rPr>
          <w:vertAlign w:val="subscript"/>
        </w:rPr>
        <w:t xml:space="preserve">2 </w:t>
      </w:r>
      <w:r>
        <w:t>koncentracijos matuojamos Petrašiūnų ir Dainavos stotyse (2005 m. buvo surinkta mažiau negu 90 proc. duomenų, todėl palyginimui naudojami 2006 m. kaip analizuojamo laikotarpio pradžios duomenys). Kauno Petrašiūnų stotyje NO</w:t>
      </w:r>
      <w:r>
        <w:rPr>
          <w:vertAlign w:val="subscript"/>
        </w:rPr>
        <w:t xml:space="preserve">2 </w:t>
      </w:r>
      <w:r>
        <w:t>koncentracija padidėjo 11,8 proc., lyginant 2006 ir 2016 m. duomenis, dėl intensyvesnio transporto judėjimo Kauno mieste. Tuo metu Kauno Dainavos stotyje NO</w:t>
      </w:r>
      <w:r>
        <w:rPr>
          <w:vertAlign w:val="subscript"/>
        </w:rPr>
        <w:t xml:space="preserve">2 </w:t>
      </w:r>
      <w:r>
        <w:t>koncentracija sumažėjo 39,4 proc., lyginant 2006 ir 2016 m. duomenis.</w:t>
      </w:r>
    </w:p>
    <w:p w:rsidR="000E7C4C" w:rsidRDefault="003C3EA6">
      <w:pPr>
        <w:tabs>
          <w:tab w:val="left" w:pos="851"/>
        </w:tabs>
        <w:ind w:firstLine="567"/>
      </w:pPr>
      <w:r>
        <w:rPr>
          <w:color w:val="000000"/>
          <w:szCs w:val="21"/>
        </w:rPr>
        <w:t>5</w:t>
      </w:r>
      <w:r>
        <w:rPr>
          <w:color w:val="000000"/>
          <w:szCs w:val="21"/>
        </w:rPr>
        <w:t>.</w:t>
      </w:r>
      <w:r>
        <w:rPr>
          <w:color w:val="000000"/>
          <w:szCs w:val="21"/>
        </w:rPr>
        <w:tab/>
      </w:r>
      <w:r>
        <w:t>Beveik visose zonos stotyse, kuriose matuojama NO</w:t>
      </w:r>
      <w:r>
        <w:rPr>
          <w:vertAlign w:val="subscript"/>
        </w:rPr>
        <w:t xml:space="preserve">2 </w:t>
      </w:r>
      <w:r>
        <w:t>koncentracija sumažėjo nagrinėjamu laikotarpiu, išskyrus Klaipėdos Šilutės plento stotį, kurioje koncentracija padidėjo 13,6 proc., lyginant 2005 ir 2016 m. duomenis. Klaipėdos Centro stotyje NO</w:t>
      </w:r>
      <w:r>
        <w:rPr>
          <w:vertAlign w:val="subscript"/>
        </w:rPr>
        <w:t>2</w:t>
      </w:r>
      <w:r>
        <w:t xml:space="preserve"> koncentracija sumažėjo 26,1 proc., Šiaulių – 22,2 proc., Jonavos – 21,4 proc., Kėdainių – 15,4 proc., lyginant 2005 ir 2016 m. duomenis. Tuo metu Mažeikių stotyje (2005 m. duomenys neprieinami) NO</w:t>
      </w:r>
      <w:r>
        <w:rPr>
          <w:vertAlign w:val="subscript"/>
        </w:rPr>
        <w:t xml:space="preserve">2 </w:t>
      </w:r>
      <w:r>
        <w:t>koncentracija sumažėjo 30 proc., Panevėžio Centro stotyje (2005 m. duomenys neprieinami) – 11,8 proc., lyginant 2006 ir 2016 m. duomenis.</w:t>
      </w:r>
    </w:p>
    <w:p w:rsidR="000E7C4C" w:rsidRDefault="003C3EA6">
      <w:pPr>
        <w:tabs>
          <w:tab w:val="left" w:pos="851"/>
        </w:tabs>
        <w:ind w:firstLine="567"/>
      </w:pPr>
      <w:r>
        <w:rPr>
          <w:color w:val="000000"/>
          <w:szCs w:val="21"/>
        </w:rPr>
        <w:t>6</w:t>
      </w:r>
      <w:r>
        <w:rPr>
          <w:color w:val="000000"/>
          <w:szCs w:val="21"/>
        </w:rPr>
        <w:t>.</w:t>
      </w:r>
      <w:r>
        <w:rPr>
          <w:color w:val="000000"/>
          <w:szCs w:val="21"/>
        </w:rPr>
        <w:tab/>
      </w:r>
      <w:r>
        <w:t>Kaip matyti 1 lentelėje, 2005 m. trijose stotyse buvo užfiksuoti 1 val. NO</w:t>
      </w:r>
      <w:r>
        <w:rPr>
          <w:vertAlign w:val="subscript"/>
        </w:rPr>
        <w:t>2</w:t>
      </w:r>
      <w:r>
        <w:t xml:space="preserve"> koncentracijos ribinės vertės viršijimai, tuo metu 2016 m. tokie viršijimai buvo užfiksuoti vos vienoje Vilniaus miesto stotyje.</w:t>
      </w:r>
    </w:p>
    <w:p w:rsidR="000E7C4C" w:rsidRDefault="000E7C4C">
      <w:pPr>
        <w:tabs>
          <w:tab w:val="left" w:pos="1296"/>
        </w:tabs>
        <w:ind w:left="720"/>
      </w:pPr>
    </w:p>
    <w:p w:rsidR="000E7C4C" w:rsidRDefault="003C3EA6">
      <w:pPr>
        <w:jc w:val="both"/>
        <w:rPr>
          <w:color w:val="000000"/>
          <w:szCs w:val="24"/>
        </w:rPr>
      </w:pPr>
      <w:r>
        <w:rPr>
          <w:color w:val="000000"/>
          <w:szCs w:val="24"/>
        </w:rPr>
        <w:t>1 lentelė. Valandų skaičius, kai buvo viršyta 1 val. NO</w:t>
      </w:r>
      <w:r>
        <w:rPr>
          <w:color w:val="000000"/>
          <w:szCs w:val="24"/>
          <w:vertAlign w:val="subscript"/>
        </w:rPr>
        <w:t>2</w:t>
      </w:r>
      <w:r>
        <w:rPr>
          <w:color w:val="000000"/>
          <w:szCs w:val="24"/>
        </w:rPr>
        <w:t xml:space="preserve"> koncentracijos ribinė vertė (200 µg/m</w:t>
      </w:r>
      <w:r>
        <w:rPr>
          <w:color w:val="000000"/>
          <w:szCs w:val="24"/>
          <w:vertAlign w:val="superscript"/>
        </w:rPr>
        <w:t>3</w:t>
      </w:r>
      <w:r>
        <w:rPr>
          <w:color w:val="00000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005"/>
        <w:gridCol w:w="3119"/>
        <w:gridCol w:w="3402"/>
      </w:tblGrid>
      <w:tr w:rsidR="000E7C4C">
        <w:tc>
          <w:tcPr>
            <w:tcW w:w="3005"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tabs>
                <w:tab w:val="left" w:pos="1296"/>
              </w:tabs>
              <w:spacing w:line="276" w:lineRule="auto"/>
              <w:jc w:val="both"/>
              <w:rPr>
                <w:color w:val="FFFFFF"/>
                <w:sz w:val="20"/>
              </w:rPr>
            </w:pPr>
            <w:r>
              <w:rPr>
                <w:noProof/>
                <w:color w:val="000000"/>
                <w:sz w:val="18"/>
                <w:szCs w:val="18"/>
                <w:lang w:eastAsia="lt-LT"/>
              </w:rPr>
              <mc:AlternateContent>
                <mc:Choice Requires="wps">
                  <w:drawing>
                    <wp:anchor distT="0" distB="0" distL="114300" distR="114300" simplePos="0" relativeHeight="251681792" behindDoc="1" locked="0" layoutInCell="1" allowOverlap="1" wp14:anchorId="06670618" wp14:editId="3A0A0251">
                      <wp:simplePos x="0" y="0"/>
                      <wp:positionH relativeFrom="column">
                        <wp:posOffset>-5715</wp:posOffset>
                      </wp:positionH>
                      <wp:positionV relativeFrom="paragraph">
                        <wp:posOffset>-15875</wp:posOffset>
                      </wp:positionV>
                      <wp:extent cx="4434205" cy="180975"/>
                      <wp:effectExtent l="0" t="0" r="4445" b="9525"/>
                      <wp:wrapNone/>
                      <wp:docPr id="253" name="Stačiakampis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4205" cy="180975"/>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758F994F" id="Stačiakampis 253" o:spid="_x0000_s1026" style="position:absolute;margin-left:-.45pt;margin-top:-1.25pt;width:349.15pt;height:14.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mhD1VgIAAJAEAAAOAAAAZHJzL2Uyb0RvYy54bWysVNtu2zAMfR+wfxD0vthO4zY14hRFuw4D uq1AN+yZkWVbqG6TlDjZP+yv9mGjZKfLLk/DXgRaFMnDc0ivrvZKkh13Xhhd02KWU8I1M43QXU0/ fbx7taTEB9ANSKN5TQ/c06v1yxerwVZ8bnojG+4IJtG+GmxN+xBslWWe9VyBnxnLNTpb4xQE/HRd 1jgYMLuS2TzPz7PBuMY6w7j3eHs7Ouk65W9bzsKHtvU8EFlTxBbS6dK5iWe2XkHVObC9YBMM+AcU CoTGos+pbiEA2TrxRyolmDPetGHGjMpM2wrGUw/YTZH/1s1jD5anXpAcb59p8v8vLXu/e3BENDWd l2eUaFAo0mOA798EPIGywpPoQJoG6yt8/WgfXGzU23vDnjzR5qYH3fFr58zQc2gQXBHfZ78ExA+P oWQzvDMN1oBtMImxfetUTIhckH0S5vAsDN8HwvBysThbzPOSEoa+YplfXpSpBFTHaOt8eMONItGo qUPhU3bY3fsQ0UB1fDLJ1NwJKYkz4bMIfWI6lk1OjzGjQazBfsZr77rNjXRkB3GW8ryYX08gOn/6 ukBf/teQcnFxfhKCmLpjKSk0QRpjLeIZSI6KjDSmmUpgYxGpyVDTy3JeJqjaxC7SECsRcJOkUDVd jgjSdZTktW6SHUDI0cbSUk8aRVlGeTemOaBEyEnCgWuNRm/cV0oGXJGa+i9bcJwS+VYnWkg4Gu5o bI4GaIahNQ0UG4vmTRj3bmud6HrMXEwtXOMotCKpFMdkRDGBw7FP4k0rGvfq9Du9+vkjWf8AAAD/ /wMAUEsDBBQABgAIAAAAIQAGYP+m3QAAAAcBAAAPAAAAZHJzL2Rvd25yZXYueG1sTI7BTsMwEETv SPyDtUjcWpsI3CaNUyEEN6hEKXc3dpOIeJ3abpry9SwnOI1GM5p55XpyPRttiJ1HBXdzAcxi7U2H jYLdx8tsCSwmjUb3Hq2Ci42wrq6vSl0Yf8Z3O25Tw2gEY6EVtCkNBeexbq3Tce4Hi5QdfHA6kQ0N N0Gfadz1PBNCcqc7pIdWD/aptfXX9uQUiO9us1tu3hbH51B/vuajPIqLVOr2ZnpcAUt2Sn9l+MUn dKiIae9PaCLrFcxyKpJkD8AolvniHtheQSYF8Krk//mrHwAAAP//AwBQSwECLQAUAAYACAAAACEA toM4kv4AAADhAQAAEwAAAAAAAAAAAAAAAAAAAAAAW0NvbnRlbnRfVHlwZXNdLnhtbFBLAQItABQA BgAIAAAAIQA4/SH/1gAAAJQBAAALAAAAAAAAAAAAAAAAAC8BAABfcmVscy8ucmVsc1BLAQItABQA BgAIAAAAIQBFmhD1VgIAAJAEAAAOAAAAAAAAAAAAAAAAAC4CAABkcnMvZTJvRG9jLnhtbFBLAQIt ABQABgAIAAAAIQAGYP+m3QAAAAcBAAAPAAAAAAAAAAAAAAAAALAEAABkcnMvZG93bnJldi54bWxQ SwUGAAAAAAQABADzAAAAugUAAAAA " fillcolor="#00012a" stroked="f">
                      <v:fill color2="#005476" angle="90" focus="100%" type="gradient"/>
                      <v:textbox inset="0,0,0,0"/>
                    </v:rect>
                  </w:pict>
                </mc:Fallback>
              </mc:AlternateContent>
            </w:r>
            <w:r>
              <w:rPr>
                <w:color w:val="FFFFFF"/>
                <w:sz w:val="20"/>
              </w:rPr>
              <w:t>Stotis</w:t>
            </w:r>
          </w:p>
        </w:tc>
        <w:tc>
          <w:tcPr>
            <w:tcW w:w="3119"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tabs>
                <w:tab w:val="left" w:pos="1296"/>
              </w:tabs>
              <w:spacing w:line="276" w:lineRule="auto"/>
              <w:jc w:val="center"/>
              <w:rPr>
                <w:color w:val="FFFFFF"/>
                <w:sz w:val="20"/>
              </w:rPr>
            </w:pPr>
            <w:r>
              <w:rPr>
                <w:color w:val="FFFFFF"/>
                <w:sz w:val="20"/>
              </w:rPr>
              <w:t>2005</w:t>
            </w:r>
          </w:p>
        </w:tc>
        <w:tc>
          <w:tcPr>
            <w:tcW w:w="3402"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tabs>
                <w:tab w:val="left" w:pos="1296"/>
              </w:tabs>
              <w:spacing w:line="276" w:lineRule="auto"/>
              <w:jc w:val="center"/>
              <w:rPr>
                <w:color w:val="FFFFFF"/>
                <w:sz w:val="20"/>
              </w:rPr>
            </w:pPr>
            <w:r>
              <w:rPr>
                <w:color w:val="FFFFFF"/>
                <w:sz w:val="20"/>
              </w:rPr>
              <w:t>2016</w:t>
            </w:r>
          </w:p>
        </w:tc>
      </w:tr>
      <w:tr w:rsidR="000E7C4C">
        <w:tc>
          <w:tcPr>
            <w:tcW w:w="300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rPr>
                <w:color w:val="000000"/>
                <w:sz w:val="20"/>
                <w:lang w:eastAsia="lt-LT"/>
              </w:rPr>
            </w:pPr>
            <w:r>
              <w:rPr>
                <w:color w:val="000000"/>
                <w:sz w:val="20"/>
                <w:lang w:eastAsia="lt-LT"/>
              </w:rPr>
              <w:t>Vilnius Žirmūnai</w:t>
            </w:r>
          </w:p>
        </w:tc>
        <w:tc>
          <w:tcPr>
            <w:tcW w:w="3119"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jc w:val="center"/>
              <w:rPr>
                <w:color w:val="000000"/>
                <w:sz w:val="20"/>
                <w:lang w:eastAsia="lt-LT"/>
              </w:rPr>
            </w:pPr>
            <w:r>
              <w:rPr>
                <w:color w:val="000000"/>
                <w:sz w:val="20"/>
                <w:lang w:eastAsia="lt-LT"/>
              </w:rPr>
              <w:t>3</w:t>
            </w:r>
          </w:p>
        </w:tc>
        <w:tc>
          <w:tcPr>
            <w:tcW w:w="340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jc w:val="center"/>
              <w:rPr>
                <w:color w:val="000000"/>
                <w:sz w:val="20"/>
                <w:lang w:eastAsia="lt-LT"/>
              </w:rPr>
            </w:pPr>
            <w:r>
              <w:rPr>
                <w:color w:val="000000"/>
                <w:sz w:val="20"/>
                <w:lang w:eastAsia="lt-LT"/>
              </w:rPr>
              <w:t>1</w:t>
            </w:r>
          </w:p>
        </w:tc>
      </w:tr>
      <w:tr w:rsidR="000E7C4C">
        <w:tc>
          <w:tcPr>
            <w:tcW w:w="300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rPr>
                <w:color w:val="000000"/>
                <w:sz w:val="20"/>
                <w:lang w:eastAsia="lt-LT"/>
              </w:rPr>
            </w:pPr>
            <w:r>
              <w:rPr>
                <w:color w:val="000000"/>
                <w:sz w:val="20"/>
                <w:lang w:eastAsia="lt-LT"/>
              </w:rPr>
              <w:t>Kaunas, Dainava</w:t>
            </w:r>
          </w:p>
        </w:tc>
        <w:tc>
          <w:tcPr>
            <w:tcW w:w="3119"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jc w:val="center"/>
              <w:rPr>
                <w:color w:val="000000"/>
                <w:sz w:val="20"/>
                <w:lang w:eastAsia="lt-LT"/>
              </w:rPr>
            </w:pPr>
            <w:r>
              <w:rPr>
                <w:color w:val="000000"/>
                <w:sz w:val="20"/>
                <w:lang w:eastAsia="lt-LT"/>
              </w:rPr>
              <w:t>4</w:t>
            </w:r>
          </w:p>
        </w:tc>
        <w:tc>
          <w:tcPr>
            <w:tcW w:w="340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jc w:val="center"/>
              <w:rPr>
                <w:color w:val="000000"/>
                <w:sz w:val="20"/>
                <w:lang w:eastAsia="lt-LT"/>
              </w:rPr>
            </w:pPr>
            <w:r>
              <w:rPr>
                <w:color w:val="000000"/>
                <w:sz w:val="20"/>
                <w:lang w:eastAsia="lt-LT"/>
              </w:rPr>
              <w:t>0</w:t>
            </w:r>
          </w:p>
        </w:tc>
      </w:tr>
      <w:tr w:rsidR="000E7C4C">
        <w:tc>
          <w:tcPr>
            <w:tcW w:w="300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rPr>
                <w:color w:val="000000"/>
                <w:sz w:val="20"/>
                <w:lang w:eastAsia="lt-LT"/>
              </w:rPr>
            </w:pPr>
            <w:r>
              <w:rPr>
                <w:color w:val="000000"/>
                <w:sz w:val="20"/>
                <w:lang w:eastAsia="lt-LT"/>
              </w:rPr>
              <w:t>Šiauliai</w:t>
            </w:r>
          </w:p>
        </w:tc>
        <w:tc>
          <w:tcPr>
            <w:tcW w:w="3119"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jc w:val="center"/>
              <w:rPr>
                <w:color w:val="000000"/>
                <w:sz w:val="20"/>
                <w:lang w:eastAsia="lt-LT"/>
              </w:rPr>
            </w:pPr>
            <w:r>
              <w:rPr>
                <w:color w:val="000000"/>
                <w:sz w:val="20"/>
                <w:lang w:eastAsia="lt-LT"/>
              </w:rPr>
              <w:t>1</w:t>
            </w:r>
          </w:p>
        </w:tc>
        <w:tc>
          <w:tcPr>
            <w:tcW w:w="340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jc w:val="center"/>
              <w:rPr>
                <w:color w:val="000000"/>
                <w:sz w:val="20"/>
                <w:lang w:eastAsia="lt-LT"/>
              </w:rPr>
            </w:pPr>
            <w:r>
              <w:rPr>
                <w:color w:val="000000"/>
                <w:sz w:val="20"/>
                <w:lang w:eastAsia="lt-LT"/>
              </w:rPr>
              <w:t>0</w:t>
            </w:r>
          </w:p>
        </w:tc>
      </w:tr>
    </w:tbl>
    <w:p w:rsidR="000E7C4C" w:rsidRDefault="003C3EA6">
      <w:pPr>
        <w:tabs>
          <w:tab w:val="left" w:pos="1296"/>
        </w:tabs>
        <w:jc w:val="center"/>
        <w:rPr>
          <w:color w:val="000000"/>
          <w:sz w:val="20"/>
          <w:szCs w:val="21"/>
        </w:rPr>
      </w:pPr>
      <w:r>
        <w:rPr>
          <w:sz w:val="20"/>
        </w:rPr>
        <w:t>(Duomenų šaltinis: AAA)</w:t>
      </w:r>
    </w:p>
    <w:p w:rsidR="000E7C4C" w:rsidRDefault="003C3EA6"/>
    <w:p w:rsidR="000E7C4C" w:rsidRDefault="003C3EA6">
      <w:pPr>
        <w:tabs>
          <w:tab w:val="left" w:pos="851"/>
        </w:tabs>
        <w:ind w:firstLine="567"/>
      </w:pPr>
      <w:r>
        <w:rPr>
          <w:color w:val="000000"/>
          <w:szCs w:val="21"/>
        </w:rPr>
        <w:t>7</w:t>
      </w:r>
      <w:r>
        <w:rPr>
          <w:color w:val="000000"/>
          <w:szCs w:val="21"/>
        </w:rPr>
        <w:t>.</w:t>
      </w:r>
      <w:r>
        <w:rPr>
          <w:color w:val="000000"/>
          <w:szCs w:val="21"/>
        </w:rPr>
        <w:tab/>
      </w:r>
      <w:r>
        <w:t>Pabrėžtina, kad metinės NO</w:t>
      </w:r>
      <w:r>
        <w:rPr>
          <w:vertAlign w:val="subscript"/>
        </w:rPr>
        <w:t>2</w:t>
      </w:r>
      <w:r>
        <w:t xml:space="preserve"> koncentracijos ribinės vertės nei 2005, nei 2016 m. nebuvo viršytos nei vienoje stotyje.</w:t>
      </w:r>
    </w:p>
    <w:p w:rsidR="000E7C4C" w:rsidRDefault="003C3EA6"/>
    <w:p w:rsidR="000E7C4C" w:rsidRDefault="003C3EA6">
      <w:pPr>
        <w:keepNext/>
        <w:keepLines/>
        <w:jc w:val="center"/>
        <w:outlineLvl w:val="2"/>
        <w:rPr>
          <w:b/>
          <w:caps/>
          <w:color w:val="000000"/>
          <w:szCs w:val="28"/>
        </w:rPr>
      </w:pPr>
      <w:r>
        <w:rPr>
          <w:b/>
          <w:caps/>
          <w:color w:val="000000"/>
          <w:szCs w:val="28"/>
        </w:rPr>
        <w:t>III</w:t>
      </w:r>
      <w:r>
        <w:rPr>
          <w:b/>
          <w:caps/>
          <w:color w:val="000000"/>
          <w:szCs w:val="28"/>
        </w:rPr>
        <w:t xml:space="preserve"> SKYRIUS</w:t>
      </w:r>
    </w:p>
    <w:p w:rsidR="000E7C4C" w:rsidRDefault="003C3EA6">
      <w:pPr>
        <w:keepNext/>
        <w:keepLines/>
        <w:jc w:val="center"/>
        <w:outlineLvl w:val="2"/>
        <w:rPr>
          <w:b/>
          <w:caps/>
          <w:color w:val="000000"/>
          <w:szCs w:val="28"/>
        </w:rPr>
      </w:pPr>
      <w:r>
        <w:rPr>
          <w:b/>
          <w:caps/>
          <w:color w:val="000000"/>
          <w:szCs w:val="28"/>
        </w:rPr>
        <w:t>Smulkiųjų kietųjų dalelių (</w:t>
      </w:r>
      <w:r>
        <w:rPr>
          <w:b/>
          <w:color w:val="000000"/>
          <w:szCs w:val="28"/>
        </w:rPr>
        <w:t>KD</w:t>
      </w:r>
      <w:r>
        <w:rPr>
          <w:b/>
          <w:color w:val="000000"/>
          <w:szCs w:val="28"/>
          <w:vertAlign w:val="subscript"/>
        </w:rPr>
        <w:t>2,5</w:t>
      </w:r>
      <w:r>
        <w:rPr>
          <w:b/>
          <w:color w:val="000000"/>
          <w:szCs w:val="28"/>
        </w:rPr>
        <w:t>) KONCENTRACIJOS ANALIZĖ</w:t>
      </w:r>
    </w:p>
    <w:p w:rsidR="000E7C4C" w:rsidRDefault="000E7C4C">
      <w:pPr>
        <w:tabs>
          <w:tab w:val="left" w:pos="1296"/>
        </w:tabs>
        <w:ind w:left="720"/>
      </w:pPr>
    </w:p>
    <w:p w:rsidR="000E7C4C" w:rsidRDefault="003C3EA6">
      <w:pPr>
        <w:tabs>
          <w:tab w:val="left" w:pos="851"/>
        </w:tabs>
        <w:ind w:firstLine="567"/>
      </w:pPr>
      <w:r>
        <w:rPr>
          <w:color w:val="000000"/>
          <w:szCs w:val="21"/>
        </w:rPr>
        <w:t>8</w:t>
      </w:r>
      <w:r>
        <w:rPr>
          <w:color w:val="000000"/>
          <w:szCs w:val="21"/>
        </w:rPr>
        <w:t>.</w:t>
      </w:r>
      <w:r>
        <w:rPr>
          <w:color w:val="000000"/>
          <w:szCs w:val="21"/>
        </w:rPr>
        <w:tab/>
      </w:r>
      <w:r>
        <w:t>Smulkiųjų kietųjų dalelių KD</w:t>
      </w:r>
      <w:r>
        <w:rPr>
          <w:vertAlign w:val="subscript"/>
        </w:rPr>
        <w:t>2,5</w:t>
      </w:r>
      <w:r>
        <w:t xml:space="preserve"> (toliau – KD</w:t>
      </w:r>
      <w:r>
        <w:rPr>
          <w:vertAlign w:val="subscript"/>
        </w:rPr>
        <w:t>2,5</w:t>
      </w:r>
      <w:r>
        <w:t>) koncentracija matuojama Vilniaus aglomeracijos Žirmūnų stotyje. Lyginant 2007 ir 2016 m. duomenis, nustatyta, kad KD</w:t>
      </w:r>
      <w:r>
        <w:rPr>
          <w:vertAlign w:val="subscript"/>
        </w:rPr>
        <w:t>2,5</w:t>
      </w:r>
      <w:r>
        <w:t xml:space="preserve"> koncentracija padidėjo 1,8 karto, tikėtina priežastis – eismo intensyvumo padidėjimas (žr. 3 pav.). Didžiausia KD</w:t>
      </w:r>
      <w:r>
        <w:rPr>
          <w:vertAlign w:val="subscript"/>
        </w:rPr>
        <w:t>2,5</w:t>
      </w:r>
      <w:r>
        <w:t xml:space="preserve"> koncentracija tikėtina Senamiestyje, Naujojoje Vilnioje, Naujininkuose ir kitose vietose (Oro kokybė Lietuvoje 2016 m. AAA, 2017, p. 26), Šnipiškėse, t. y. tose rajonuose, kuriuose yra daug individualių namų, šildymui naudojančių kietąjį kurą.</w:t>
      </w:r>
    </w:p>
    <w:p w:rsidR="000E7C4C" w:rsidRDefault="000E7C4C">
      <w:pPr>
        <w:tabs>
          <w:tab w:val="left" w:pos="1296"/>
        </w:tabs>
        <w:ind w:left="720"/>
      </w:pPr>
    </w:p>
    <w:p w:rsidR="000E7C4C" w:rsidRDefault="003C3EA6">
      <w:pPr>
        <w:tabs>
          <w:tab w:val="left" w:pos="1296"/>
        </w:tabs>
        <w:jc w:val="center"/>
      </w:pPr>
      <w:r>
        <w:rPr>
          <w:noProof/>
          <w:lang w:eastAsia="lt-LT"/>
        </w:rPr>
        <w:drawing>
          <wp:inline distT="0" distB="0" distL="0" distR="0" wp14:anchorId="4A3BF0F9" wp14:editId="0DE5BC3C">
            <wp:extent cx="4981575" cy="2809875"/>
            <wp:effectExtent l="0" t="0" r="9525" b="9525"/>
            <wp:docPr id="249" name="Paveikslėlis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1575" cy="2809875"/>
                    </a:xfrm>
                    <a:prstGeom prst="rect">
                      <a:avLst/>
                    </a:prstGeom>
                    <a:noFill/>
                    <a:ln>
                      <a:noFill/>
                    </a:ln>
                  </pic:spPr>
                </pic:pic>
              </a:graphicData>
            </a:graphic>
          </wp:inline>
        </w:drawing>
      </w:r>
    </w:p>
    <w:p w:rsidR="000E7C4C" w:rsidRDefault="003C3EA6">
      <w:pPr>
        <w:keepNext/>
        <w:tabs>
          <w:tab w:val="left" w:pos="993"/>
        </w:tabs>
        <w:jc w:val="center"/>
        <w:rPr>
          <w:color w:val="000000"/>
          <w:sz w:val="20"/>
        </w:rPr>
      </w:pPr>
      <w:r>
        <w:rPr>
          <w:color w:val="000000"/>
          <w:sz w:val="20"/>
        </w:rPr>
        <w:t>3 paveikslas. KD</w:t>
      </w:r>
      <w:r>
        <w:rPr>
          <w:color w:val="000000"/>
          <w:sz w:val="20"/>
          <w:vertAlign w:val="subscript"/>
        </w:rPr>
        <w:t>2,5</w:t>
      </w:r>
      <w:r>
        <w:rPr>
          <w:color w:val="000000"/>
          <w:sz w:val="20"/>
        </w:rPr>
        <w:t xml:space="preserve"> koncentracija aglomeracijų ir zonos stotyse </w:t>
      </w:r>
    </w:p>
    <w:p w:rsidR="000E7C4C" w:rsidRDefault="003C3EA6">
      <w:pPr>
        <w:tabs>
          <w:tab w:val="left" w:pos="1296"/>
        </w:tabs>
        <w:jc w:val="center"/>
        <w:rPr>
          <w:sz w:val="20"/>
        </w:rPr>
      </w:pPr>
      <w:r>
        <w:rPr>
          <w:sz w:val="20"/>
        </w:rPr>
        <w:t>(Duomenų šaltinis: AAA)</w:t>
      </w:r>
    </w:p>
    <w:p w:rsidR="000E7C4C" w:rsidRDefault="003C3EA6">
      <w:pPr>
        <w:tabs>
          <w:tab w:val="left" w:pos="1296"/>
        </w:tabs>
        <w:ind w:firstLine="720"/>
      </w:pPr>
    </w:p>
    <w:p w:rsidR="000E7C4C" w:rsidRDefault="003C3EA6">
      <w:pPr>
        <w:tabs>
          <w:tab w:val="left" w:pos="851"/>
        </w:tabs>
        <w:ind w:firstLine="567"/>
      </w:pPr>
      <w:r>
        <w:rPr>
          <w:color w:val="000000"/>
          <w:szCs w:val="21"/>
        </w:rPr>
        <w:t>9</w:t>
      </w:r>
      <w:r>
        <w:rPr>
          <w:color w:val="000000"/>
          <w:szCs w:val="21"/>
        </w:rPr>
        <w:t>.</w:t>
      </w:r>
      <w:r>
        <w:rPr>
          <w:color w:val="000000"/>
          <w:szCs w:val="21"/>
        </w:rPr>
        <w:tab/>
      </w:r>
      <w:r>
        <w:t>Zonoje Klaipėdos Šilutės plento stotyje KD</w:t>
      </w:r>
      <w:r>
        <w:rPr>
          <w:vertAlign w:val="subscript"/>
        </w:rPr>
        <w:t>2,5</w:t>
      </w:r>
      <w:r>
        <w:t xml:space="preserve"> koncentracija padidėjo 33,3 proc., lyginant 2007 ir 2016 m. duomenis. Koncentracijos padidėjimas sietinas su aktyvesne pramonės, energetikos įmonių veikla ir intensyvesne veikla jūrų uosto teritorijoje (Oro kokybė Lietuvoje 2016 m. AAA, 2017, p. 28). Naujojoje Akmenėje (duomenys prieinami nuo 2014 m.) KD</w:t>
      </w:r>
      <w:r>
        <w:rPr>
          <w:vertAlign w:val="subscript"/>
        </w:rPr>
        <w:t>2,5</w:t>
      </w:r>
      <w:r>
        <w:t xml:space="preserve"> koncentracija sumažėjo 55,6 proc., lyginant 2014 ir 2016 m. Aukštaitijoje, t. y. kaimo foninėje stotyje, KD</w:t>
      </w:r>
      <w:r>
        <w:rPr>
          <w:vertAlign w:val="subscript"/>
        </w:rPr>
        <w:t>2,5</w:t>
      </w:r>
      <w:r>
        <w:t xml:space="preserve"> koncentracija sumažėjo 25 proc. lyginant 2015 ir 2016 m. duomenis.</w:t>
      </w:r>
    </w:p>
    <w:p w:rsidR="000E7C4C" w:rsidRDefault="003C3EA6">
      <w:pPr>
        <w:keepNext/>
        <w:keepLines/>
        <w:jc w:val="center"/>
        <w:outlineLvl w:val="2"/>
        <w:rPr>
          <w:b/>
          <w:caps/>
          <w:color w:val="000000"/>
          <w:szCs w:val="28"/>
        </w:rPr>
      </w:pPr>
    </w:p>
    <w:p w:rsidR="000E7C4C" w:rsidRDefault="003C3EA6">
      <w:pPr>
        <w:keepNext/>
        <w:keepLines/>
        <w:jc w:val="center"/>
        <w:outlineLvl w:val="2"/>
        <w:rPr>
          <w:b/>
          <w:caps/>
          <w:color w:val="000000"/>
          <w:szCs w:val="28"/>
        </w:rPr>
      </w:pPr>
      <w:r>
        <w:rPr>
          <w:b/>
          <w:caps/>
          <w:color w:val="000000"/>
          <w:szCs w:val="28"/>
        </w:rPr>
        <w:t>IV</w:t>
      </w:r>
      <w:r>
        <w:rPr>
          <w:b/>
          <w:caps/>
          <w:color w:val="000000"/>
          <w:szCs w:val="28"/>
        </w:rPr>
        <w:t xml:space="preserve"> SKYRIUS</w:t>
      </w:r>
    </w:p>
    <w:p w:rsidR="000E7C4C" w:rsidRDefault="003C3EA6">
      <w:pPr>
        <w:keepNext/>
        <w:keepLines/>
        <w:jc w:val="center"/>
        <w:outlineLvl w:val="2"/>
        <w:rPr>
          <w:b/>
          <w:caps/>
          <w:color w:val="000000"/>
          <w:szCs w:val="28"/>
        </w:rPr>
      </w:pPr>
      <w:r>
        <w:rPr>
          <w:b/>
          <w:caps/>
          <w:color w:val="000000"/>
          <w:szCs w:val="28"/>
        </w:rPr>
        <w:t>KIETŲJŲ DALIŲ</w:t>
      </w:r>
      <w:r>
        <w:rPr>
          <w:caps/>
          <w:color w:val="000000"/>
          <w:szCs w:val="28"/>
        </w:rPr>
        <w:t xml:space="preserve"> </w:t>
      </w:r>
      <w:r>
        <w:rPr>
          <w:b/>
          <w:color w:val="000000"/>
          <w:szCs w:val="28"/>
        </w:rPr>
        <w:t>(KD</w:t>
      </w:r>
      <w:r>
        <w:rPr>
          <w:b/>
          <w:color w:val="000000"/>
          <w:szCs w:val="28"/>
          <w:vertAlign w:val="subscript"/>
        </w:rPr>
        <w:t>10</w:t>
      </w:r>
      <w:r>
        <w:rPr>
          <w:b/>
          <w:color w:val="000000"/>
          <w:szCs w:val="28"/>
        </w:rPr>
        <w:t>) KONCENTRACIJOS ANALIZĖ</w:t>
      </w:r>
    </w:p>
    <w:p w:rsidR="000E7C4C" w:rsidRDefault="000E7C4C">
      <w:pPr>
        <w:tabs>
          <w:tab w:val="left" w:pos="1296"/>
        </w:tabs>
        <w:ind w:firstLine="720"/>
      </w:pPr>
    </w:p>
    <w:p w:rsidR="000E7C4C" w:rsidRDefault="003C3EA6">
      <w:pPr>
        <w:tabs>
          <w:tab w:val="left" w:pos="851"/>
        </w:tabs>
        <w:ind w:firstLine="567"/>
      </w:pPr>
      <w:r>
        <w:rPr>
          <w:color w:val="000000"/>
          <w:szCs w:val="21"/>
        </w:rPr>
        <w:t>10</w:t>
      </w:r>
      <w:r>
        <w:rPr>
          <w:color w:val="000000"/>
          <w:szCs w:val="21"/>
        </w:rPr>
        <w:t>.</w:t>
      </w:r>
      <w:r>
        <w:rPr>
          <w:color w:val="000000"/>
          <w:szCs w:val="21"/>
        </w:rPr>
        <w:tab/>
      </w:r>
      <w:r>
        <w:t>Kietųjų dalelių (KD</w:t>
      </w:r>
      <w:r>
        <w:rPr>
          <w:vertAlign w:val="subscript"/>
        </w:rPr>
        <w:t>10</w:t>
      </w:r>
      <w:r>
        <w:t>) (toliau – KD</w:t>
      </w:r>
      <w:r>
        <w:rPr>
          <w:vertAlign w:val="subscript"/>
        </w:rPr>
        <w:t>10</w:t>
      </w:r>
      <w:r>
        <w:t>) koncentracija matuojama visose Vilniaus aglomeracijos stotyse. Kaip matyti 4 paveiksle, Senamiesčio, Lazdynų ir Žirmūnų stotyse KD</w:t>
      </w:r>
      <w:r>
        <w:rPr>
          <w:vertAlign w:val="subscript"/>
        </w:rPr>
        <w:t xml:space="preserve">10 </w:t>
      </w:r>
      <w:r>
        <w:t>koncentracija padidėjo atitinkamai 12,5 proc., 9,1 proc. ir 3 proc., lyginant 2005 ir 2016 m. duomenis. Tuo metu Savanorių stotyje KD</w:t>
      </w:r>
      <w:r>
        <w:rPr>
          <w:vertAlign w:val="subscript"/>
        </w:rPr>
        <w:t>10</w:t>
      </w:r>
      <w:r>
        <w:t xml:space="preserve"> koncentracija sumažėjo 4,5 proc., lyginant 2007 ir 2016 m. (Savanorių stotis įkurta 2007 m., todėl lyginami 2007 ir 2016 m. duomenys). Taigi, didele KD</w:t>
      </w:r>
      <w:r>
        <w:rPr>
          <w:vertAlign w:val="subscript"/>
        </w:rPr>
        <w:t xml:space="preserve">10 </w:t>
      </w:r>
      <w:r>
        <w:t>koncentracija pasižymi itin intensyvaus eismo teritorijos ir tankiai apstatyta miesto dalis bei individualių namų rajonai (Oro kokybė Lietuvoje 2016 m. AAA, 2017, p. 19).</w:t>
      </w:r>
    </w:p>
    <w:p w:rsidR="000E7C4C" w:rsidRDefault="000E7C4C">
      <w:pPr>
        <w:tabs>
          <w:tab w:val="left" w:pos="1296"/>
        </w:tabs>
        <w:ind w:left="720" w:firstLine="62"/>
      </w:pPr>
    </w:p>
    <w:p w:rsidR="000E7C4C" w:rsidRDefault="003C3EA6">
      <w:pPr>
        <w:tabs>
          <w:tab w:val="left" w:pos="1296"/>
        </w:tabs>
        <w:jc w:val="center"/>
      </w:pPr>
      <w:r>
        <w:rPr>
          <w:noProof/>
          <w:lang w:eastAsia="lt-LT"/>
        </w:rPr>
        <w:drawing>
          <wp:inline distT="0" distB="0" distL="0" distR="0" wp14:anchorId="78985BA4" wp14:editId="198136E2">
            <wp:extent cx="4953000" cy="2743200"/>
            <wp:effectExtent l="0" t="0" r="0" b="0"/>
            <wp:docPr id="248" name="Paveikslėlis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3000" cy="2743200"/>
                    </a:xfrm>
                    <a:prstGeom prst="rect">
                      <a:avLst/>
                    </a:prstGeom>
                    <a:noFill/>
                    <a:ln>
                      <a:noFill/>
                    </a:ln>
                  </pic:spPr>
                </pic:pic>
              </a:graphicData>
            </a:graphic>
          </wp:inline>
        </w:drawing>
      </w:r>
    </w:p>
    <w:p w:rsidR="000E7C4C" w:rsidRDefault="003C3EA6">
      <w:pPr>
        <w:keepNext/>
        <w:tabs>
          <w:tab w:val="left" w:pos="993"/>
        </w:tabs>
        <w:jc w:val="center"/>
        <w:rPr>
          <w:color w:val="000000"/>
          <w:sz w:val="20"/>
        </w:rPr>
      </w:pPr>
      <w:r>
        <w:rPr>
          <w:color w:val="000000"/>
          <w:sz w:val="20"/>
        </w:rPr>
        <w:t>4 paveikslas. KD</w:t>
      </w:r>
      <w:r>
        <w:rPr>
          <w:color w:val="000000"/>
          <w:sz w:val="20"/>
          <w:vertAlign w:val="subscript"/>
        </w:rPr>
        <w:t>10</w:t>
      </w:r>
      <w:r>
        <w:rPr>
          <w:color w:val="000000"/>
          <w:sz w:val="20"/>
        </w:rPr>
        <w:t xml:space="preserve"> koncentracija aglomeracijų ir zonos stotyse </w:t>
      </w:r>
    </w:p>
    <w:p w:rsidR="000E7C4C" w:rsidRDefault="003C3EA6">
      <w:pPr>
        <w:tabs>
          <w:tab w:val="left" w:pos="1296"/>
        </w:tabs>
        <w:jc w:val="center"/>
        <w:rPr>
          <w:sz w:val="20"/>
        </w:rPr>
      </w:pPr>
      <w:r>
        <w:rPr>
          <w:sz w:val="20"/>
        </w:rPr>
        <w:t>(Duomenų šaltinis: AAA)</w:t>
      </w:r>
    </w:p>
    <w:p w:rsidR="000E7C4C" w:rsidRDefault="003C3EA6">
      <w:pPr>
        <w:tabs>
          <w:tab w:val="left" w:pos="1296"/>
        </w:tabs>
      </w:pPr>
    </w:p>
    <w:p w:rsidR="000E7C4C" w:rsidRDefault="003C3EA6">
      <w:pPr>
        <w:tabs>
          <w:tab w:val="left" w:pos="851"/>
        </w:tabs>
        <w:ind w:firstLine="567"/>
      </w:pPr>
      <w:r>
        <w:rPr>
          <w:color w:val="000000"/>
          <w:szCs w:val="21"/>
        </w:rPr>
        <w:t>11</w:t>
      </w:r>
      <w:r>
        <w:rPr>
          <w:color w:val="000000"/>
          <w:szCs w:val="21"/>
        </w:rPr>
        <w:t>.</w:t>
      </w:r>
      <w:r>
        <w:rPr>
          <w:color w:val="000000"/>
          <w:szCs w:val="21"/>
        </w:rPr>
        <w:tab/>
      </w:r>
      <w:r>
        <w:t>Kauno aglomeracijoje KD</w:t>
      </w:r>
      <w:r>
        <w:rPr>
          <w:vertAlign w:val="subscript"/>
        </w:rPr>
        <w:t>10</w:t>
      </w:r>
      <w:r>
        <w:t xml:space="preserve"> koncentracija matuojama Petrašiūnų, Noreikiškių ir Dainavos stotyse. Petrašiūnų stotyje KD</w:t>
      </w:r>
      <w:r>
        <w:rPr>
          <w:vertAlign w:val="subscript"/>
        </w:rPr>
        <w:t xml:space="preserve">10 </w:t>
      </w:r>
      <w:r>
        <w:t>koncentracija sumažėjo 18,8 proc. lyginant 2005 ir 2016 m. duomenis. Noreikiškių stotyje KD</w:t>
      </w:r>
      <w:r>
        <w:rPr>
          <w:vertAlign w:val="subscript"/>
        </w:rPr>
        <w:t>10</w:t>
      </w:r>
      <w:r>
        <w:t xml:space="preserve"> koncentracija sumažėjo 21,7 proc., lyginant 2009 ir 2016 m. duomenis. (Noreikiškių stotis įkurta 2009 m., todėl analizuojant remiamasi 2009 ir 2016 m. duomenimis). Tuo metu Dainavos stotyje KD</w:t>
      </w:r>
      <w:r>
        <w:rPr>
          <w:vertAlign w:val="subscript"/>
        </w:rPr>
        <w:t>10</w:t>
      </w:r>
      <w:r>
        <w:t xml:space="preserve"> koncentracija sumažėjo 32,4 proc., lyginant 2006 ir 2016 m. duomenis.</w:t>
      </w:r>
    </w:p>
    <w:p w:rsidR="000E7C4C" w:rsidRDefault="003C3EA6">
      <w:pPr>
        <w:tabs>
          <w:tab w:val="left" w:pos="851"/>
        </w:tabs>
        <w:ind w:firstLine="567"/>
      </w:pPr>
      <w:r>
        <w:rPr>
          <w:color w:val="000000"/>
          <w:szCs w:val="21"/>
        </w:rPr>
        <w:t>12</w:t>
      </w:r>
      <w:r>
        <w:rPr>
          <w:color w:val="000000"/>
          <w:szCs w:val="21"/>
        </w:rPr>
        <w:t>.</w:t>
      </w:r>
      <w:r>
        <w:rPr>
          <w:color w:val="000000"/>
          <w:szCs w:val="21"/>
        </w:rPr>
        <w:tab/>
      </w:r>
      <w:r>
        <w:t>Zonos Klaipėdos Centro stotyje KD</w:t>
      </w:r>
      <w:r>
        <w:rPr>
          <w:vertAlign w:val="subscript"/>
        </w:rPr>
        <w:t xml:space="preserve">10 </w:t>
      </w:r>
      <w:r>
        <w:t>koncentracija sumažėjo net 42,1 proc., tuo metu Klaipėdos Šilutės plento stotyje KD</w:t>
      </w:r>
      <w:r>
        <w:rPr>
          <w:vertAlign w:val="subscript"/>
        </w:rPr>
        <w:t>10</w:t>
      </w:r>
      <w:r>
        <w:t xml:space="preserve"> koncentracija padidėjo 57,1 proc., lyginant 2005 ir 2016 m. (žr. 4 pav.). Kaip ir kitų teršalų atveju, didžiausią įtaką daro pramonės ir energetikos įmonės bei veikla jūrų uosto teritorijoje. Šiaulių stotyje KD</w:t>
      </w:r>
      <w:r>
        <w:rPr>
          <w:vertAlign w:val="subscript"/>
        </w:rPr>
        <w:t xml:space="preserve">10 </w:t>
      </w:r>
      <w:r>
        <w:t>koncentracija sumažėjo 37,9 proc., lyginant 2005 ir 2016 m. duomenis. Naujosios Akmenės stotyje KD</w:t>
      </w:r>
      <w:r>
        <w:rPr>
          <w:vertAlign w:val="subscript"/>
        </w:rPr>
        <w:t>10</w:t>
      </w:r>
      <w:r>
        <w:t xml:space="preserve"> koncentracija padidėjo 38,1 proc., lyginant 2005 ir 2014 m. duomenis (analizuojami 2014 m. duomenis, kadangi 2015 ir 2016 m. buvo surinkta mažiau negu 90 proc. duomenų). Mažeikių stotyje KD</w:t>
      </w:r>
      <w:r>
        <w:rPr>
          <w:vertAlign w:val="subscript"/>
        </w:rPr>
        <w:t>10</w:t>
      </w:r>
      <w:r>
        <w:t xml:space="preserve"> koncentracija padidėjo 28,6 proc., lyginant 2005 ir 2016 m. duomenis. Panevėžio Centro stotyje koncentracija sumažėjo 46,9 proc., Jonavos stotyje – 32 proc., Kėdainių – 19,2 proc., lyginant 2005 ir 2016 m. duomenis.</w:t>
      </w:r>
    </w:p>
    <w:p w:rsidR="000E7C4C" w:rsidRDefault="003C3EA6">
      <w:pPr>
        <w:tabs>
          <w:tab w:val="left" w:pos="851"/>
        </w:tabs>
        <w:ind w:firstLine="567"/>
      </w:pPr>
      <w:r>
        <w:rPr>
          <w:color w:val="000000"/>
          <w:szCs w:val="21"/>
        </w:rPr>
        <w:t>13</w:t>
      </w:r>
      <w:r>
        <w:rPr>
          <w:color w:val="000000"/>
          <w:szCs w:val="21"/>
        </w:rPr>
        <w:t>.</w:t>
      </w:r>
      <w:r>
        <w:rPr>
          <w:color w:val="000000"/>
          <w:szCs w:val="21"/>
        </w:rPr>
        <w:tab/>
      </w:r>
      <w:r>
        <w:t>KD</w:t>
      </w:r>
      <w:r>
        <w:rPr>
          <w:vertAlign w:val="subscript"/>
        </w:rPr>
        <w:t>10</w:t>
      </w:r>
      <w:r>
        <w:t xml:space="preserve"> paros ribinės vertės tiek 2005, tiek 2016 m. buvo viršytos visose stotyse, kuriose yra matuojama KD</w:t>
      </w:r>
      <w:r>
        <w:rPr>
          <w:vertAlign w:val="subscript"/>
        </w:rPr>
        <w:t>10</w:t>
      </w:r>
      <w:r>
        <w:t xml:space="preserve"> koncentracija. Be to, 2005 m. parų skaičius, kai buvo viršyta KD</w:t>
      </w:r>
      <w:r>
        <w:rPr>
          <w:vertAlign w:val="subscript"/>
        </w:rPr>
        <w:t>10</w:t>
      </w:r>
      <w:r>
        <w:t xml:space="preserve"> paros ribinė vertė, viršijo nustatytą ribinę vertę Vilniaus Žirmūnų ir Žvėryno, Kauno, Klaipėdos Centro ir Panevėžio stotyse. Tuo metu 2016 m. parų skaičius, kai buvo viršyta KD</w:t>
      </w:r>
      <w:r>
        <w:rPr>
          <w:vertAlign w:val="subscript"/>
        </w:rPr>
        <w:t>10</w:t>
      </w:r>
      <w:r>
        <w:t xml:space="preserve"> paros ribinė vertė, neviršijo nustatytos ribinės vertės.</w:t>
      </w:r>
    </w:p>
    <w:p w:rsidR="000E7C4C" w:rsidRDefault="003C3EA6">
      <w:pPr>
        <w:tabs>
          <w:tab w:val="left" w:pos="1296"/>
        </w:tabs>
        <w:ind w:firstLine="720"/>
      </w:pPr>
    </w:p>
    <w:p w:rsidR="000E7C4C" w:rsidRDefault="003C3EA6">
      <w:pPr>
        <w:keepNext/>
        <w:keepLines/>
        <w:jc w:val="center"/>
        <w:outlineLvl w:val="2"/>
        <w:rPr>
          <w:b/>
          <w:color w:val="000000"/>
          <w:szCs w:val="28"/>
        </w:rPr>
      </w:pPr>
      <w:r>
        <w:rPr>
          <w:b/>
          <w:color w:val="000000"/>
          <w:szCs w:val="28"/>
        </w:rPr>
        <w:t>V</w:t>
      </w:r>
      <w:r>
        <w:rPr>
          <w:b/>
          <w:color w:val="000000"/>
          <w:szCs w:val="28"/>
        </w:rPr>
        <w:t xml:space="preserve"> SKYRIUS</w:t>
      </w:r>
    </w:p>
    <w:p w:rsidR="000E7C4C" w:rsidRDefault="003C3EA6">
      <w:pPr>
        <w:keepNext/>
        <w:keepLines/>
        <w:jc w:val="center"/>
        <w:outlineLvl w:val="2"/>
        <w:rPr>
          <w:b/>
          <w:caps/>
          <w:color w:val="000000"/>
          <w:szCs w:val="28"/>
        </w:rPr>
      </w:pPr>
      <w:r>
        <w:rPr>
          <w:b/>
          <w:color w:val="000000"/>
          <w:szCs w:val="28"/>
        </w:rPr>
        <w:t>OZONO KONCENTRACIJOS ANALIZĖ</w:t>
      </w:r>
    </w:p>
    <w:p w:rsidR="000E7C4C" w:rsidRDefault="000E7C4C">
      <w:pPr>
        <w:tabs>
          <w:tab w:val="left" w:pos="1296"/>
        </w:tabs>
        <w:ind w:firstLine="720"/>
      </w:pPr>
    </w:p>
    <w:p w:rsidR="000E7C4C" w:rsidRDefault="003C3EA6">
      <w:pPr>
        <w:tabs>
          <w:tab w:val="left" w:pos="851"/>
        </w:tabs>
        <w:ind w:firstLine="567"/>
      </w:pPr>
      <w:r>
        <w:rPr>
          <w:color w:val="000000"/>
          <w:szCs w:val="21"/>
        </w:rPr>
        <w:t>14</w:t>
      </w:r>
      <w:r>
        <w:rPr>
          <w:color w:val="000000"/>
          <w:szCs w:val="21"/>
        </w:rPr>
        <w:t>.</w:t>
      </w:r>
      <w:r>
        <w:rPr>
          <w:color w:val="000000"/>
          <w:szCs w:val="21"/>
        </w:rPr>
        <w:tab/>
      </w:r>
      <w:r>
        <w:t>Ozono (toliau – O</w:t>
      </w:r>
      <w:r>
        <w:rPr>
          <w:vertAlign w:val="subscript"/>
        </w:rPr>
        <w:t>3</w:t>
      </w:r>
      <w:r>
        <w:t xml:space="preserve">), kuris susiformuoja iš kitų junginių (daugiausia </w:t>
      </w:r>
      <w:proofErr w:type="spellStart"/>
      <w:r>
        <w:t>NO</w:t>
      </w:r>
      <w:r>
        <w:rPr>
          <w:vertAlign w:val="subscript"/>
        </w:rPr>
        <w:t>x</w:t>
      </w:r>
      <w:proofErr w:type="spellEnd"/>
      <w:r>
        <w:t xml:space="preserve"> ir LOJ), koncentracija visose stotyse, kur yra matuojama, sumažėjo (žr. 5 pav.).</w:t>
      </w:r>
    </w:p>
    <w:p w:rsidR="000E7C4C" w:rsidRDefault="003C3EA6">
      <w:pPr>
        <w:tabs>
          <w:tab w:val="left" w:pos="1296"/>
        </w:tabs>
        <w:jc w:val="center"/>
      </w:pPr>
      <w:r>
        <w:rPr>
          <w:noProof/>
          <w:lang w:eastAsia="lt-LT"/>
        </w:rPr>
        <w:drawing>
          <wp:inline distT="0" distB="0" distL="0" distR="0" wp14:anchorId="0800A4F5" wp14:editId="4B793A6A">
            <wp:extent cx="5600700" cy="3200400"/>
            <wp:effectExtent l="0" t="0" r="0" b="0"/>
            <wp:docPr id="247" name="Paveikslėlis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0700" cy="3200400"/>
                    </a:xfrm>
                    <a:prstGeom prst="rect">
                      <a:avLst/>
                    </a:prstGeom>
                    <a:noFill/>
                    <a:ln>
                      <a:noFill/>
                    </a:ln>
                  </pic:spPr>
                </pic:pic>
              </a:graphicData>
            </a:graphic>
          </wp:inline>
        </w:drawing>
      </w:r>
    </w:p>
    <w:p w:rsidR="000E7C4C" w:rsidRDefault="003C3EA6">
      <w:pPr>
        <w:jc w:val="center"/>
        <w:rPr>
          <w:color w:val="000000"/>
          <w:sz w:val="20"/>
        </w:rPr>
      </w:pPr>
      <w:r>
        <w:rPr>
          <w:color w:val="000000"/>
          <w:sz w:val="20"/>
        </w:rPr>
        <w:t>5 paveikslas. O</w:t>
      </w:r>
      <w:r>
        <w:rPr>
          <w:color w:val="000000"/>
          <w:sz w:val="20"/>
          <w:vertAlign w:val="subscript"/>
        </w:rPr>
        <w:t>3</w:t>
      </w:r>
      <w:r>
        <w:rPr>
          <w:color w:val="000000"/>
          <w:sz w:val="20"/>
        </w:rPr>
        <w:t xml:space="preserve"> koncentracija aglomeracijų ir zonos stotyse, matuojant maksimalią 8 valandų vidurkio vertę</w:t>
      </w:r>
    </w:p>
    <w:p w:rsidR="000E7C4C" w:rsidRDefault="003C3EA6">
      <w:pPr>
        <w:tabs>
          <w:tab w:val="left" w:pos="1296"/>
        </w:tabs>
        <w:jc w:val="center"/>
        <w:rPr>
          <w:sz w:val="20"/>
        </w:rPr>
      </w:pPr>
      <w:r>
        <w:rPr>
          <w:sz w:val="20"/>
        </w:rPr>
        <w:t>(Duomenų šaltinis: AAA)</w:t>
      </w:r>
    </w:p>
    <w:p w:rsidR="000E7C4C" w:rsidRDefault="003C3EA6">
      <w:pPr>
        <w:tabs>
          <w:tab w:val="left" w:pos="1296"/>
        </w:tabs>
        <w:ind w:left="720"/>
      </w:pPr>
    </w:p>
    <w:p w:rsidR="000E7C4C" w:rsidRDefault="003C3EA6">
      <w:pPr>
        <w:tabs>
          <w:tab w:val="left" w:pos="851"/>
        </w:tabs>
        <w:ind w:firstLine="567"/>
      </w:pPr>
      <w:r>
        <w:rPr>
          <w:color w:val="000000"/>
          <w:szCs w:val="21"/>
        </w:rPr>
        <w:t>15</w:t>
      </w:r>
      <w:r>
        <w:rPr>
          <w:color w:val="000000"/>
          <w:szCs w:val="21"/>
        </w:rPr>
        <w:t>.</w:t>
      </w:r>
      <w:r>
        <w:rPr>
          <w:color w:val="000000"/>
          <w:szCs w:val="21"/>
        </w:rPr>
        <w:tab/>
      </w:r>
      <w:r>
        <w:t>Vilniaus aglomeracijos Lazdynų stotyje O</w:t>
      </w:r>
      <w:r>
        <w:rPr>
          <w:vertAlign w:val="subscript"/>
        </w:rPr>
        <w:t>3</w:t>
      </w:r>
      <w:r>
        <w:t xml:space="preserve"> koncentracija sumažėjo 12,3 proc., o Žirmūnų stotyje – 12,9 proc., lyginant 2005 ir 2016 m. duomenis. Kauno aglomeracijos Petrašiūnų stotyje O</w:t>
      </w:r>
      <w:r>
        <w:rPr>
          <w:vertAlign w:val="subscript"/>
        </w:rPr>
        <w:t>3</w:t>
      </w:r>
      <w:r>
        <w:t xml:space="preserve"> koncentracija sumažėjo 8,5 proc., lyginant 2005 ir 2016 m. duomenis, o Noreikiškių stotyje – 21,4 proc., lyginant 2009 ir 2016 m. duomenis (Noreikiškių stotis įkurta 2009 m., todėl analizuojant remiamasi 2009 ir 2016 m. duomenimis). Klaipėdos Šilutės plento stotyje O</w:t>
      </w:r>
      <w:r>
        <w:rPr>
          <w:vertAlign w:val="subscript"/>
        </w:rPr>
        <w:t>3</w:t>
      </w:r>
      <w:r>
        <w:t xml:space="preserve"> koncentracija sumažėjo 26,7 proc. (2005 m. duomenys neprieinami), Mažeikių stotyje – 30 proc., Panevėžio Centro stotyje – 14,1 proc., Aukštaitijos stotyje – 24,4 proc., lyginant 2006 ir 2016 m. duomenis (visose stotyse 2005 m. duomenys neprieinami).</w:t>
      </w:r>
    </w:p>
    <w:p w:rsidR="000E7C4C" w:rsidRDefault="003C3EA6">
      <w:pPr>
        <w:tabs>
          <w:tab w:val="left" w:pos="851"/>
        </w:tabs>
        <w:ind w:firstLine="567"/>
      </w:pPr>
      <w:r>
        <w:rPr>
          <w:color w:val="000000"/>
          <w:szCs w:val="21"/>
        </w:rPr>
        <w:t>16</w:t>
      </w:r>
      <w:r>
        <w:rPr>
          <w:color w:val="000000"/>
          <w:szCs w:val="21"/>
        </w:rPr>
        <w:t>.</w:t>
      </w:r>
      <w:r>
        <w:rPr>
          <w:color w:val="000000"/>
          <w:szCs w:val="21"/>
        </w:rPr>
        <w:tab/>
      </w:r>
      <w:r>
        <w:t>Šiaulių stotyje O</w:t>
      </w:r>
      <w:r>
        <w:rPr>
          <w:vertAlign w:val="subscript"/>
        </w:rPr>
        <w:t>3</w:t>
      </w:r>
      <w:r>
        <w:t xml:space="preserve"> koncentracija sumažėjo 32,4 proc., Jonavos stotyje – 29,2 proc., o Kėdainių stotyje – 18 proc., lyginant 2005 ir 2016 m. duomenis. Žemaitijos stotyje O</w:t>
      </w:r>
      <w:r>
        <w:rPr>
          <w:vertAlign w:val="subscript"/>
        </w:rPr>
        <w:t>3</w:t>
      </w:r>
      <w:r>
        <w:t xml:space="preserve"> koncentracija sumažėjo 10,8 proc., Dzūkijos stotyje – 26 proc., lyginant 2006 ir 2014 m. duomenis (abiejų stočių atveju 2015 ir 2016 m. buvo surinkta mažiau nei 90 proc. duomenų).</w:t>
      </w:r>
    </w:p>
    <w:p w:rsidR="000E7C4C" w:rsidRDefault="003C3EA6">
      <w:pPr>
        <w:tabs>
          <w:tab w:val="left" w:pos="851"/>
        </w:tabs>
        <w:ind w:firstLine="567"/>
      </w:pPr>
      <w:r>
        <w:rPr>
          <w:color w:val="000000"/>
          <w:szCs w:val="21"/>
        </w:rPr>
        <w:t>17</w:t>
      </w:r>
      <w:r>
        <w:rPr>
          <w:color w:val="000000"/>
          <w:szCs w:val="21"/>
        </w:rPr>
        <w:t>.</w:t>
      </w:r>
      <w:r>
        <w:rPr>
          <w:color w:val="000000"/>
          <w:szCs w:val="21"/>
        </w:rPr>
        <w:tab/>
      </w:r>
      <w:r>
        <w:t>Oro kokybė O</w:t>
      </w:r>
      <w:r>
        <w:rPr>
          <w:vertAlign w:val="subscript"/>
        </w:rPr>
        <w:t>3</w:t>
      </w:r>
      <w:r>
        <w:t xml:space="preserve"> koncentracijos požiūriu vertintina teigiamai, kadangi parų skaičius, kai buvo viršyta 8 val. O</w:t>
      </w:r>
      <w:r>
        <w:rPr>
          <w:vertAlign w:val="subscript"/>
        </w:rPr>
        <w:t>3</w:t>
      </w:r>
      <w:r>
        <w:t xml:space="preserve"> siektina vertė, lyginant 2005 ir 2016 m., ženkliai sumažėjo – toks viršijimas 2005 m. buvo užfiksuotas penkiose stotyse, tuo metu 2016 m. – tik vienoje stotyje (Vilniaus Lazdynų).</w:t>
      </w:r>
    </w:p>
    <w:p w:rsidR="000E7C4C" w:rsidRDefault="000E7C4C">
      <w:pPr>
        <w:tabs>
          <w:tab w:val="left" w:pos="1296"/>
        </w:tabs>
      </w:pPr>
    </w:p>
    <w:p w:rsidR="000E7C4C" w:rsidRDefault="003C3EA6">
      <w:pPr>
        <w:jc w:val="both"/>
        <w:rPr>
          <w:color w:val="000000"/>
          <w:szCs w:val="24"/>
        </w:rPr>
      </w:pPr>
      <w:r>
        <w:rPr>
          <w:color w:val="000000"/>
          <w:szCs w:val="24"/>
        </w:rPr>
        <w:t>2 lentelė. Parų skaičius, kai buvo viršyta 8 val. O</w:t>
      </w:r>
      <w:r>
        <w:rPr>
          <w:color w:val="000000"/>
          <w:szCs w:val="24"/>
          <w:vertAlign w:val="subscript"/>
        </w:rPr>
        <w:t>3</w:t>
      </w:r>
      <w:r>
        <w:rPr>
          <w:color w:val="000000"/>
          <w:szCs w:val="24"/>
        </w:rPr>
        <w:t xml:space="preserve"> siektina vertė</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871"/>
        <w:gridCol w:w="2663"/>
        <w:gridCol w:w="5275"/>
      </w:tblGrid>
      <w:tr w:rsidR="000E7C4C">
        <w:tc>
          <w:tcPr>
            <w:tcW w:w="1871"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tabs>
                <w:tab w:val="left" w:pos="1296"/>
              </w:tabs>
              <w:spacing w:line="276" w:lineRule="auto"/>
              <w:jc w:val="both"/>
              <w:rPr>
                <w:color w:val="FFFFFF"/>
                <w:sz w:val="20"/>
              </w:rPr>
            </w:pPr>
            <w:r>
              <w:rPr>
                <w:noProof/>
                <w:color w:val="000000"/>
                <w:sz w:val="18"/>
                <w:szCs w:val="18"/>
                <w:lang w:eastAsia="lt-LT"/>
              </w:rPr>
              <mc:AlternateContent>
                <mc:Choice Requires="wps">
                  <w:drawing>
                    <wp:anchor distT="0" distB="0" distL="114300" distR="114300" simplePos="0" relativeHeight="251682816" behindDoc="1" locked="0" layoutInCell="1" allowOverlap="1" wp14:anchorId="39616F41" wp14:editId="0F287FD2">
                      <wp:simplePos x="0" y="0"/>
                      <wp:positionH relativeFrom="column">
                        <wp:posOffset>-11430</wp:posOffset>
                      </wp:positionH>
                      <wp:positionV relativeFrom="paragraph">
                        <wp:posOffset>-11430</wp:posOffset>
                      </wp:positionV>
                      <wp:extent cx="4433570" cy="180975"/>
                      <wp:effectExtent l="0" t="0" r="5080" b="9525"/>
                      <wp:wrapNone/>
                      <wp:docPr id="252" name="Stačiakampis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3570" cy="180975"/>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3C5DBD40" id="Stačiakampis 252" o:spid="_x0000_s1026" style="position:absolute;margin-left:-.9pt;margin-top:-.9pt;width:349.1pt;height:14.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KkxoVQIAAJAEAAAOAAAAZHJzL2Uyb0RvYy54bWysVNtu1DAQfUfiHyy/0yTbbi9Rs1XVUoRU oFJBPM86TmLVN8bezZZ/4K/4MMZOtpTLE+LFmng8M2fOmcn5xc5otpUYlLMNrw5KzqQVrlW2b/in jzevTjkLEWwL2lnZ8EcZ+MXq5Yvz0ddy4QanW4mMkthQj77hQ4y+LoogBmkgHDgvLTk7hwYifWJf tAgjZTe6WJTlcTE6bD06IUOg2+vJyVc5f9dJET90XZCR6YYTtphPzOc6ncXqHOoewQ9KzDDgH1AY UJaKPqW6hghsg+qPVEYJdMF18UA4U7iuU0LmHqibqvytm/sBvMy9EDnBP9EU/l9a8X57h0y1DV8s F5xZMCTSfYTv3xQ8gPEqsOQgmkYfanp97+8wNRr8rRMPgVl3NYDt5SWiGwcJLYGr0vvil4D0ESiU rcd3rqUasIkuM7br0KSExAXbZWEen4SRu8gEXR4dHR4uT0g/Qb7qtDw7WeYSUO+jPYb4RjrDktFw JOFzdtjehpjQQL1/MsvU3iitGbr4WcUhM53KZmegmMlg3lE/03XAfn2lkW0hzVJZVovLGUQfnr+u yFf+NWR5dHL8LIQw9ftSWllGNKZaLAjQkhSZaMwzlcGmItqyseFny8UyQ7UudZGH2KhIm6SVafjp hCBfJ0le2zbbEZSebCqt7axRkmWSd+3aR5KIOMk4aK3JGBx+5WykFWl4+LIBlJzptzbTwuLewL2x 3htgBYU2PHJqLJlXcdq7jUfVD5S5mlu4pFHoVFYpjcmEYgZHY5/Fm1c07dXz7/zq549k9QMAAP// AwBQSwMEFAAGAAgAAAAhAEfu+zHdAAAACAEAAA8AAABkcnMvZG93bnJldi54bWxMj1FrwjAUhd8H /odwhb1pooyoXVMR2d42Yc69x+auLWtuahJr3a9fBgP3dDmcwznfzdeDbVmPPjSOFMymAhhS6UxD lYLD+/NkCSxETUa3jlDBFQOsi9FdrjPjLvSG/T5WLJVQyLSCOsYu4zyUNVodpq5DSt6n81bHJH3F jdeXVG5bPhdCcqsbSgu17nBbY/m1P1sF4rvZHZa718XpyZcfL6tensRVKnU/HjaPwCIO8RaGX/yE DkViOrozmcBaBZNZIo9/N/lyJR+AHRXM5QJ4kfP/DxQ/AAAA//8DAFBLAQItABQABgAIAAAAIQC2 gziS/gAAAOEBAAATAAAAAAAAAAAAAAAAAAAAAABbQ29udGVudF9UeXBlc10ueG1sUEsBAi0AFAAG AAgAAAAhADj9If/WAAAAlAEAAAsAAAAAAAAAAAAAAAAALwEAAF9yZWxzLy5yZWxzUEsBAi0AFAAG AAgAAAAhABMqTGhVAgAAkAQAAA4AAAAAAAAAAAAAAAAALgIAAGRycy9lMm9Eb2MueG1sUEsBAi0A FAAGAAgAAAAhAEfu+zHdAAAACAEAAA8AAAAAAAAAAAAAAAAArwQAAGRycy9kb3ducmV2LnhtbFBL BQYAAAAABAAEAPMAAAC5BQAAAAA= " fillcolor="#00012a" stroked="f">
                      <v:fill color2="#005476" angle="90" focus="100%" type="gradient"/>
                      <v:textbox inset="0,0,0,0"/>
                    </v:rect>
                  </w:pict>
                </mc:Fallback>
              </mc:AlternateContent>
            </w:r>
            <w:r>
              <w:rPr>
                <w:color w:val="FFFFFF"/>
                <w:sz w:val="20"/>
              </w:rPr>
              <w:t>Stotis</w:t>
            </w:r>
          </w:p>
        </w:tc>
        <w:tc>
          <w:tcPr>
            <w:tcW w:w="2663"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tabs>
                <w:tab w:val="left" w:pos="1296"/>
              </w:tabs>
              <w:spacing w:line="276" w:lineRule="auto"/>
              <w:jc w:val="center"/>
              <w:rPr>
                <w:color w:val="FFFFFF"/>
                <w:sz w:val="20"/>
              </w:rPr>
            </w:pPr>
            <w:r>
              <w:rPr>
                <w:color w:val="FFFFFF"/>
                <w:sz w:val="20"/>
              </w:rPr>
              <w:t>2005</w:t>
            </w:r>
          </w:p>
        </w:tc>
        <w:tc>
          <w:tcPr>
            <w:tcW w:w="5275" w:type="dxa"/>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tabs>
                <w:tab w:val="left" w:pos="1296"/>
              </w:tabs>
              <w:spacing w:line="276" w:lineRule="auto"/>
              <w:jc w:val="center"/>
              <w:rPr>
                <w:color w:val="FFFFFF"/>
                <w:sz w:val="20"/>
              </w:rPr>
            </w:pPr>
            <w:r>
              <w:rPr>
                <w:color w:val="FFFFFF"/>
                <w:sz w:val="20"/>
              </w:rPr>
              <w:t>2016</w:t>
            </w:r>
          </w:p>
        </w:tc>
      </w:tr>
      <w:tr w:rsidR="000E7C4C">
        <w:tc>
          <w:tcPr>
            <w:tcW w:w="1871"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rPr>
                <w:color w:val="000000"/>
                <w:sz w:val="20"/>
                <w:lang w:eastAsia="lt-LT"/>
              </w:rPr>
            </w:pPr>
            <w:r>
              <w:rPr>
                <w:color w:val="000000"/>
                <w:sz w:val="20"/>
                <w:lang w:eastAsia="lt-LT"/>
              </w:rPr>
              <w:t>Vilnius Lazdynai</w:t>
            </w:r>
          </w:p>
        </w:tc>
        <w:tc>
          <w:tcPr>
            <w:tcW w:w="2663"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jc w:val="center"/>
              <w:rPr>
                <w:color w:val="000000"/>
                <w:sz w:val="20"/>
                <w:lang w:eastAsia="lt-LT"/>
              </w:rPr>
            </w:pPr>
            <w:r>
              <w:rPr>
                <w:color w:val="000000"/>
                <w:sz w:val="20"/>
                <w:lang w:eastAsia="lt-LT"/>
              </w:rPr>
              <w:t>9</w:t>
            </w:r>
          </w:p>
        </w:tc>
        <w:tc>
          <w:tcPr>
            <w:tcW w:w="527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jc w:val="center"/>
              <w:rPr>
                <w:color w:val="000000"/>
                <w:sz w:val="20"/>
                <w:lang w:eastAsia="lt-LT"/>
              </w:rPr>
            </w:pPr>
            <w:r>
              <w:rPr>
                <w:color w:val="000000"/>
                <w:sz w:val="20"/>
                <w:lang w:eastAsia="lt-LT"/>
              </w:rPr>
              <w:t>3</w:t>
            </w:r>
          </w:p>
        </w:tc>
      </w:tr>
      <w:tr w:rsidR="000E7C4C">
        <w:tc>
          <w:tcPr>
            <w:tcW w:w="1871"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rPr>
                <w:color w:val="000000"/>
                <w:sz w:val="20"/>
                <w:lang w:eastAsia="lt-LT"/>
              </w:rPr>
            </w:pPr>
            <w:r>
              <w:rPr>
                <w:color w:val="000000"/>
                <w:sz w:val="20"/>
                <w:lang w:eastAsia="lt-LT"/>
              </w:rPr>
              <w:t>Vilnius Žirmūnai</w:t>
            </w:r>
          </w:p>
        </w:tc>
        <w:tc>
          <w:tcPr>
            <w:tcW w:w="2663"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jc w:val="center"/>
              <w:rPr>
                <w:color w:val="000000"/>
                <w:sz w:val="20"/>
                <w:lang w:eastAsia="lt-LT"/>
              </w:rPr>
            </w:pPr>
            <w:r>
              <w:rPr>
                <w:color w:val="000000"/>
                <w:sz w:val="20"/>
                <w:lang w:eastAsia="lt-LT"/>
              </w:rPr>
              <w:t>2</w:t>
            </w:r>
          </w:p>
        </w:tc>
        <w:tc>
          <w:tcPr>
            <w:tcW w:w="527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jc w:val="center"/>
              <w:rPr>
                <w:color w:val="000000"/>
                <w:sz w:val="20"/>
                <w:lang w:eastAsia="lt-LT"/>
              </w:rPr>
            </w:pPr>
            <w:r>
              <w:rPr>
                <w:color w:val="000000"/>
                <w:sz w:val="20"/>
                <w:lang w:eastAsia="lt-LT"/>
              </w:rPr>
              <w:t>0</w:t>
            </w:r>
          </w:p>
        </w:tc>
      </w:tr>
      <w:tr w:rsidR="000E7C4C">
        <w:tc>
          <w:tcPr>
            <w:tcW w:w="1871"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rPr>
                <w:color w:val="000000"/>
                <w:sz w:val="20"/>
                <w:lang w:eastAsia="lt-LT"/>
              </w:rPr>
            </w:pPr>
            <w:r>
              <w:rPr>
                <w:color w:val="000000"/>
                <w:sz w:val="20"/>
                <w:lang w:eastAsia="lt-LT"/>
              </w:rPr>
              <w:t>Šiauliai</w:t>
            </w:r>
          </w:p>
        </w:tc>
        <w:tc>
          <w:tcPr>
            <w:tcW w:w="2663"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jc w:val="center"/>
              <w:rPr>
                <w:color w:val="000000"/>
                <w:sz w:val="20"/>
                <w:lang w:eastAsia="lt-LT"/>
              </w:rPr>
            </w:pPr>
            <w:r>
              <w:rPr>
                <w:color w:val="000000"/>
                <w:sz w:val="20"/>
                <w:lang w:eastAsia="lt-LT"/>
              </w:rPr>
              <w:t>4</w:t>
            </w:r>
          </w:p>
        </w:tc>
        <w:tc>
          <w:tcPr>
            <w:tcW w:w="527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jc w:val="center"/>
              <w:rPr>
                <w:color w:val="000000"/>
                <w:sz w:val="20"/>
                <w:lang w:eastAsia="lt-LT"/>
              </w:rPr>
            </w:pPr>
            <w:r>
              <w:rPr>
                <w:color w:val="000000"/>
                <w:sz w:val="20"/>
                <w:lang w:eastAsia="lt-LT"/>
              </w:rPr>
              <w:t>0</w:t>
            </w:r>
          </w:p>
        </w:tc>
      </w:tr>
      <w:tr w:rsidR="000E7C4C">
        <w:tc>
          <w:tcPr>
            <w:tcW w:w="1871"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rPr>
                <w:color w:val="000000"/>
                <w:sz w:val="20"/>
                <w:lang w:eastAsia="lt-LT"/>
              </w:rPr>
            </w:pPr>
            <w:r>
              <w:rPr>
                <w:color w:val="000000"/>
                <w:sz w:val="20"/>
                <w:lang w:eastAsia="lt-LT"/>
              </w:rPr>
              <w:t>Jonava</w:t>
            </w:r>
          </w:p>
        </w:tc>
        <w:tc>
          <w:tcPr>
            <w:tcW w:w="2663"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jc w:val="center"/>
              <w:rPr>
                <w:color w:val="000000"/>
                <w:sz w:val="20"/>
                <w:lang w:eastAsia="lt-LT"/>
              </w:rPr>
            </w:pPr>
            <w:r>
              <w:rPr>
                <w:color w:val="000000"/>
                <w:sz w:val="20"/>
                <w:lang w:eastAsia="lt-LT"/>
              </w:rPr>
              <w:t>16</w:t>
            </w:r>
          </w:p>
        </w:tc>
        <w:tc>
          <w:tcPr>
            <w:tcW w:w="527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jc w:val="center"/>
              <w:rPr>
                <w:color w:val="000000"/>
                <w:sz w:val="20"/>
                <w:lang w:eastAsia="lt-LT"/>
              </w:rPr>
            </w:pPr>
            <w:r>
              <w:rPr>
                <w:color w:val="000000"/>
                <w:sz w:val="20"/>
                <w:lang w:eastAsia="lt-LT"/>
              </w:rPr>
              <w:t>0</w:t>
            </w:r>
          </w:p>
        </w:tc>
      </w:tr>
      <w:tr w:rsidR="000E7C4C">
        <w:tc>
          <w:tcPr>
            <w:tcW w:w="1871"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rPr>
                <w:color w:val="000000"/>
                <w:sz w:val="20"/>
                <w:lang w:eastAsia="lt-LT"/>
              </w:rPr>
            </w:pPr>
            <w:r>
              <w:rPr>
                <w:color w:val="000000"/>
                <w:sz w:val="20"/>
                <w:lang w:eastAsia="lt-LT"/>
              </w:rPr>
              <w:t>Kėdainiai</w:t>
            </w:r>
          </w:p>
        </w:tc>
        <w:tc>
          <w:tcPr>
            <w:tcW w:w="2663"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jc w:val="center"/>
              <w:rPr>
                <w:color w:val="000000"/>
                <w:sz w:val="20"/>
                <w:lang w:eastAsia="lt-LT"/>
              </w:rPr>
            </w:pPr>
            <w:r>
              <w:rPr>
                <w:color w:val="000000"/>
                <w:sz w:val="20"/>
                <w:lang w:eastAsia="lt-LT"/>
              </w:rPr>
              <w:t>6</w:t>
            </w:r>
          </w:p>
        </w:tc>
        <w:tc>
          <w:tcPr>
            <w:tcW w:w="5275" w:type="dxa"/>
            <w:tcBorders>
              <w:top w:val="single" w:sz="4" w:space="0" w:color="auto"/>
              <w:left w:val="single" w:sz="4" w:space="0" w:color="auto"/>
              <w:bottom w:val="single" w:sz="4" w:space="0" w:color="auto"/>
              <w:right w:val="single" w:sz="4" w:space="0" w:color="auto"/>
            </w:tcBorders>
            <w:vAlign w:val="bottom"/>
            <w:hideMark/>
          </w:tcPr>
          <w:p w:rsidR="000E7C4C" w:rsidRDefault="003C3EA6">
            <w:pPr>
              <w:tabs>
                <w:tab w:val="left" w:pos="1296"/>
              </w:tabs>
              <w:jc w:val="center"/>
              <w:rPr>
                <w:color w:val="000000"/>
                <w:sz w:val="20"/>
                <w:lang w:eastAsia="lt-LT"/>
              </w:rPr>
            </w:pPr>
            <w:r>
              <w:rPr>
                <w:color w:val="000000"/>
                <w:sz w:val="20"/>
                <w:lang w:eastAsia="lt-LT"/>
              </w:rPr>
              <w:t>0</w:t>
            </w:r>
          </w:p>
        </w:tc>
      </w:tr>
    </w:tbl>
    <w:p w:rsidR="000E7C4C" w:rsidRDefault="003C3EA6">
      <w:pPr>
        <w:keepNext/>
        <w:tabs>
          <w:tab w:val="left" w:pos="1296"/>
        </w:tabs>
        <w:jc w:val="center"/>
        <w:rPr>
          <w:color w:val="000000"/>
          <w:sz w:val="20"/>
        </w:rPr>
      </w:pPr>
      <w:r>
        <w:rPr>
          <w:color w:val="000000"/>
          <w:sz w:val="20"/>
        </w:rPr>
        <w:t>(Duomenų šaltinis: AAA)</w:t>
      </w:r>
    </w:p>
    <w:p w:rsidR="000E7C4C" w:rsidRDefault="003C3EA6">
      <w:pPr>
        <w:rPr>
          <w:color w:val="000000"/>
        </w:rPr>
      </w:pPr>
    </w:p>
    <w:p w:rsidR="000E7C4C" w:rsidRDefault="003C3EA6">
      <w:pPr>
        <w:ind w:firstLine="567"/>
        <w:jc w:val="center"/>
        <w:rPr>
          <w:b/>
        </w:rPr>
      </w:pPr>
      <w:r>
        <w:rPr>
          <w:b/>
        </w:rPr>
        <w:t>VI</w:t>
      </w:r>
      <w:r>
        <w:rPr>
          <w:b/>
        </w:rPr>
        <w:t xml:space="preserve"> SKYRIUS</w:t>
      </w:r>
    </w:p>
    <w:p w:rsidR="000E7C4C" w:rsidRDefault="003C3EA6">
      <w:pPr>
        <w:ind w:firstLine="567"/>
        <w:jc w:val="center"/>
        <w:rPr>
          <w:b/>
        </w:rPr>
      </w:pPr>
      <w:r>
        <w:rPr>
          <w:b/>
        </w:rPr>
        <w:t>KITŲ TERŠALŲ KONCENTRACIJŲ ANALIZĖ</w:t>
      </w:r>
    </w:p>
    <w:p w:rsidR="000E7C4C" w:rsidRDefault="000E7C4C">
      <w:pPr>
        <w:ind w:firstLine="567"/>
        <w:jc w:val="center"/>
        <w:rPr>
          <w:b/>
        </w:rPr>
      </w:pPr>
    </w:p>
    <w:p w:rsidR="000E7C4C" w:rsidRDefault="003C3EA6">
      <w:pPr>
        <w:tabs>
          <w:tab w:val="left" w:pos="851"/>
        </w:tabs>
        <w:ind w:firstLine="567"/>
      </w:pPr>
      <w:r>
        <w:rPr>
          <w:color w:val="000000"/>
          <w:szCs w:val="21"/>
        </w:rPr>
        <w:t>18</w:t>
      </w:r>
      <w:r>
        <w:rPr>
          <w:color w:val="000000"/>
          <w:szCs w:val="21"/>
        </w:rPr>
        <w:t>.</w:t>
      </w:r>
      <w:r>
        <w:rPr>
          <w:color w:val="000000"/>
          <w:szCs w:val="21"/>
        </w:rPr>
        <w:tab/>
      </w:r>
      <w:r>
        <w:t>Analizuojant sunkiųjų metalų (švino (</w:t>
      </w:r>
      <w:proofErr w:type="spellStart"/>
      <w:r>
        <w:t>Pb</w:t>
      </w:r>
      <w:proofErr w:type="spellEnd"/>
      <w:r>
        <w:t>), arseno (</w:t>
      </w:r>
      <w:proofErr w:type="spellStart"/>
      <w:r>
        <w:t>As</w:t>
      </w:r>
      <w:proofErr w:type="spellEnd"/>
      <w:r>
        <w:t>), nikelio (</w:t>
      </w:r>
      <w:proofErr w:type="spellStart"/>
      <w:r>
        <w:t>Ni</w:t>
      </w:r>
      <w:proofErr w:type="spellEnd"/>
      <w:r>
        <w:t>) ir kadmio (</w:t>
      </w:r>
      <w:proofErr w:type="spellStart"/>
      <w:r>
        <w:t>Cd</w:t>
      </w:r>
      <w:proofErr w:type="spellEnd"/>
      <w:r>
        <w:t xml:space="preserve">) koncentracijas, nustatyta, kad nei vienoje stotyje, kurioje yra matuojamos teršalų koncentracijos, nebuvo užfiksuotas ribinės vertės viršijamas nei 2007, nei 2016 m. Lyginant 2007 ir 2016 m. duomenis, </w:t>
      </w:r>
      <w:proofErr w:type="spellStart"/>
      <w:r>
        <w:t>Pb</w:t>
      </w:r>
      <w:proofErr w:type="spellEnd"/>
      <w:r>
        <w:t xml:space="preserve">, </w:t>
      </w:r>
      <w:proofErr w:type="spellStart"/>
      <w:r>
        <w:t>As</w:t>
      </w:r>
      <w:proofErr w:type="spellEnd"/>
      <w:r>
        <w:t xml:space="preserve">, </w:t>
      </w:r>
      <w:proofErr w:type="spellStart"/>
      <w:r>
        <w:t>Ni</w:t>
      </w:r>
      <w:proofErr w:type="spellEnd"/>
      <w:r>
        <w:t xml:space="preserve"> ir </w:t>
      </w:r>
      <w:proofErr w:type="spellStart"/>
      <w:r>
        <w:t>Cd</w:t>
      </w:r>
      <w:proofErr w:type="spellEnd"/>
      <w:r>
        <w:t xml:space="preserve"> koncentracijos pasižymėjimo mažėjimo tendencijomis (6, 7, 8, 9 pav.). Tokia situacija vertinama teigiamai ir lemia poreikį išlaikyti ją.</w:t>
      </w:r>
    </w:p>
    <w:p w:rsidR="000E7C4C" w:rsidRDefault="000E7C4C">
      <w:pPr>
        <w:ind w:firstLine="567"/>
      </w:pPr>
    </w:p>
    <w:p w:rsidR="000E7C4C" w:rsidRDefault="003C3EA6">
      <w:pPr>
        <w:jc w:val="center"/>
      </w:pPr>
      <w:r>
        <w:rPr>
          <w:noProof/>
          <w:lang w:eastAsia="lt-LT"/>
        </w:rPr>
        <w:drawing>
          <wp:inline distT="0" distB="0" distL="0" distR="0" wp14:anchorId="1BC50095" wp14:editId="5D39B0DE">
            <wp:extent cx="4591050" cy="2466975"/>
            <wp:effectExtent l="0" t="0" r="0" b="0"/>
            <wp:docPr id="246" name="Diagrama 246"/>
            <wp:cNvGraphicFramePr/>
            <a:graphic xmlns:a="http://schemas.openxmlformats.org/drawingml/2006/main">
              <a:graphicData uri="http://schemas.openxmlformats.org/drawingml/2006/chart">
                <c:chart xmlns:c="http://schemas.openxmlformats.org/drawingml/2006/chart" r:id="rId33"/>
              </a:graphicData>
            </a:graphic>
          </wp:inline>
        </w:drawing>
      </w:r>
    </w:p>
    <w:p w:rsidR="000E7C4C" w:rsidRDefault="003C3EA6">
      <w:pPr>
        <w:keepNext/>
        <w:tabs>
          <w:tab w:val="left" w:pos="993"/>
        </w:tabs>
        <w:jc w:val="center"/>
        <w:rPr>
          <w:color w:val="000000"/>
          <w:sz w:val="20"/>
        </w:rPr>
      </w:pPr>
      <w:r>
        <w:rPr>
          <w:color w:val="000000"/>
          <w:sz w:val="20"/>
        </w:rPr>
        <w:t xml:space="preserve">6 paveikslas. </w:t>
      </w:r>
      <w:proofErr w:type="spellStart"/>
      <w:r>
        <w:rPr>
          <w:color w:val="000000"/>
          <w:sz w:val="20"/>
        </w:rPr>
        <w:t>Pb</w:t>
      </w:r>
      <w:proofErr w:type="spellEnd"/>
      <w:r>
        <w:rPr>
          <w:color w:val="000000"/>
          <w:sz w:val="20"/>
        </w:rPr>
        <w:t xml:space="preserve"> koncentracija aglomeracijų ir zonos stotyse </w:t>
      </w:r>
    </w:p>
    <w:p w:rsidR="000E7C4C" w:rsidRDefault="003C3EA6">
      <w:pPr>
        <w:tabs>
          <w:tab w:val="left" w:pos="1296"/>
        </w:tabs>
        <w:jc w:val="center"/>
        <w:rPr>
          <w:sz w:val="20"/>
        </w:rPr>
      </w:pPr>
      <w:r>
        <w:rPr>
          <w:sz w:val="20"/>
        </w:rPr>
        <w:t>(Duomenų šaltinis: AAA)</w:t>
      </w:r>
    </w:p>
    <w:p w:rsidR="000E7C4C" w:rsidRDefault="000E7C4C">
      <w:pPr>
        <w:tabs>
          <w:tab w:val="left" w:pos="1296"/>
        </w:tabs>
        <w:jc w:val="center"/>
        <w:rPr>
          <w:sz w:val="20"/>
        </w:rPr>
      </w:pPr>
    </w:p>
    <w:p w:rsidR="000E7C4C" w:rsidRDefault="003C3EA6">
      <w:pPr>
        <w:tabs>
          <w:tab w:val="left" w:pos="1296"/>
        </w:tabs>
        <w:jc w:val="center"/>
        <w:rPr>
          <w:sz w:val="20"/>
        </w:rPr>
      </w:pPr>
      <w:r>
        <w:rPr>
          <w:noProof/>
          <w:lang w:eastAsia="lt-LT"/>
        </w:rPr>
        <w:drawing>
          <wp:inline distT="0" distB="0" distL="0" distR="0" wp14:anchorId="6FB402BB" wp14:editId="3E577723">
            <wp:extent cx="4572000" cy="2657475"/>
            <wp:effectExtent l="0" t="0" r="0" b="0"/>
            <wp:docPr id="245" name="Diagrama 245"/>
            <wp:cNvGraphicFramePr/>
            <a:graphic xmlns:a="http://schemas.openxmlformats.org/drawingml/2006/main">
              <a:graphicData uri="http://schemas.openxmlformats.org/drawingml/2006/chart">
                <c:chart xmlns:c="http://schemas.openxmlformats.org/drawingml/2006/chart" r:id="rId34"/>
              </a:graphicData>
            </a:graphic>
          </wp:inline>
        </w:drawing>
      </w:r>
    </w:p>
    <w:p w:rsidR="000E7C4C" w:rsidRDefault="003C3EA6">
      <w:pPr>
        <w:keepNext/>
        <w:tabs>
          <w:tab w:val="left" w:pos="993"/>
        </w:tabs>
        <w:jc w:val="center"/>
        <w:rPr>
          <w:color w:val="000000"/>
          <w:sz w:val="20"/>
        </w:rPr>
      </w:pPr>
      <w:r>
        <w:rPr>
          <w:color w:val="000000"/>
          <w:sz w:val="20"/>
        </w:rPr>
        <w:t xml:space="preserve">7 paveikslas. </w:t>
      </w:r>
      <w:proofErr w:type="spellStart"/>
      <w:r>
        <w:rPr>
          <w:color w:val="000000"/>
          <w:sz w:val="20"/>
        </w:rPr>
        <w:t>As</w:t>
      </w:r>
      <w:proofErr w:type="spellEnd"/>
      <w:r>
        <w:rPr>
          <w:color w:val="000000"/>
          <w:sz w:val="20"/>
        </w:rPr>
        <w:t xml:space="preserve"> koncentracija aglomeracijų ir zonos stotyse </w:t>
      </w:r>
    </w:p>
    <w:p w:rsidR="000E7C4C" w:rsidRDefault="003C3EA6">
      <w:pPr>
        <w:tabs>
          <w:tab w:val="left" w:pos="1296"/>
        </w:tabs>
        <w:jc w:val="center"/>
        <w:rPr>
          <w:sz w:val="20"/>
        </w:rPr>
      </w:pPr>
      <w:r>
        <w:rPr>
          <w:sz w:val="20"/>
        </w:rPr>
        <w:t>(Duomenų šaltinis: AAA)</w:t>
      </w:r>
    </w:p>
    <w:p w:rsidR="000E7C4C" w:rsidRDefault="000E7C4C"/>
    <w:p w:rsidR="000E7C4C" w:rsidRDefault="003C3EA6">
      <w:pPr>
        <w:jc w:val="center"/>
      </w:pPr>
      <w:r>
        <w:rPr>
          <w:noProof/>
          <w:lang w:eastAsia="lt-LT"/>
        </w:rPr>
        <w:drawing>
          <wp:inline distT="0" distB="0" distL="0" distR="0" wp14:anchorId="67D9BF62" wp14:editId="2312E2B2">
            <wp:extent cx="4572000" cy="2647950"/>
            <wp:effectExtent l="0" t="0" r="0" b="0"/>
            <wp:docPr id="244" name="Diagrama 244"/>
            <wp:cNvGraphicFramePr/>
            <a:graphic xmlns:a="http://schemas.openxmlformats.org/drawingml/2006/main">
              <a:graphicData uri="http://schemas.openxmlformats.org/drawingml/2006/chart">
                <c:chart xmlns:c="http://schemas.openxmlformats.org/drawingml/2006/chart" r:id="rId35"/>
              </a:graphicData>
            </a:graphic>
          </wp:inline>
        </w:drawing>
      </w:r>
    </w:p>
    <w:p w:rsidR="000E7C4C" w:rsidRDefault="003C3EA6">
      <w:pPr>
        <w:keepNext/>
        <w:tabs>
          <w:tab w:val="left" w:pos="993"/>
        </w:tabs>
        <w:jc w:val="center"/>
        <w:rPr>
          <w:color w:val="000000"/>
          <w:sz w:val="20"/>
        </w:rPr>
      </w:pPr>
      <w:r>
        <w:rPr>
          <w:color w:val="000000"/>
          <w:sz w:val="20"/>
        </w:rPr>
        <w:t xml:space="preserve">8 paveikslas. </w:t>
      </w:r>
      <w:proofErr w:type="spellStart"/>
      <w:r>
        <w:rPr>
          <w:color w:val="000000"/>
          <w:sz w:val="20"/>
        </w:rPr>
        <w:t>Ni</w:t>
      </w:r>
      <w:proofErr w:type="spellEnd"/>
      <w:r>
        <w:rPr>
          <w:color w:val="000000"/>
          <w:sz w:val="20"/>
        </w:rPr>
        <w:t xml:space="preserve"> koncentracija aglomeracijų ir zonos stotyse </w:t>
      </w:r>
    </w:p>
    <w:p w:rsidR="000E7C4C" w:rsidRDefault="003C3EA6">
      <w:pPr>
        <w:tabs>
          <w:tab w:val="left" w:pos="1296"/>
        </w:tabs>
        <w:jc w:val="center"/>
        <w:rPr>
          <w:sz w:val="20"/>
        </w:rPr>
      </w:pPr>
      <w:r>
        <w:rPr>
          <w:sz w:val="20"/>
        </w:rPr>
        <w:t>(Duomenų šaltinis: AAA)</w:t>
      </w:r>
    </w:p>
    <w:p w:rsidR="000E7C4C" w:rsidRDefault="000E7C4C">
      <w:pPr>
        <w:tabs>
          <w:tab w:val="left" w:pos="1296"/>
        </w:tabs>
        <w:jc w:val="center"/>
        <w:rPr>
          <w:sz w:val="20"/>
        </w:rPr>
      </w:pPr>
    </w:p>
    <w:p w:rsidR="000E7C4C" w:rsidRDefault="003C3EA6">
      <w:pPr>
        <w:tabs>
          <w:tab w:val="left" w:pos="1296"/>
        </w:tabs>
        <w:jc w:val="center"/>
        <w:rPr>
          <w:sz w:val="20"/>
        </w:rPr>
      </w:pPr>
      <w:r>
        <w:rPr>
          <w:noProof/>
          <w:lang w:eastAsia="lt-LT"/>
        </w:rPr>
        <w:drawing>
          <wp:inline distT="0" distB="0" distL="0" distR="0" wp14:anchorId="279011C2" wp14:editId="78E998B8">
            <wp:extent cx="4572000" cy="2647950"/>
            <wp:effectExtent l="0" t="0" r="0" b="0"/>
            <wp:docPr id="243" name="Diagrama 243"/>
            <wp:cNvGraphicFramePr/>
            <a:graphic xmlns:a="http://schemas.openxmlformats.org/drawingml/2006/main">
              <a:graphicData uri="http://schemas.openxmlformats.org/drawingml/2006/chart">
                <c:chart xmlns:c="http://schemas.openxmlformats.org/drawingml/2006/chart" r:id="rId36"/>
              </a:graphicData>
            </a:graphic>
          </wp:inline>
        </w:drawing>
      </w:r>
    </w:p>
    <w:p w:rsidR="000E7C4C" w:rsidRDefault="003C3EA6">
      <w:pPr>
        <w:keepNext/>
        <w:tabs>
          <w:tab w:val="left" w:pos="993"/>
        </w:tabs>
        <w:jc w:val="center"/>
        <w:rPr>
          <w:color w:val="000000"/>
          <w:sz w:val="20"/>
        </w:rPr>
      </w:pPr>
      <w:r>
        <w:rPr>
          <w:color w:val="000000"/>
          <w:sz w:val="20"/>
        </w:rPr>
        <w:t xml:space="preserve">9 paveikslas. </w:t>
      </w:r>
      <w:proofErr w:type="spellStart"/>
      <w:r>
        <w:rPr>
          <w:color w:val="000000"/>
          <w:sz w:val="20"/>
        </w:rPr>
        <w:t>Cd</w:t>
      </w:r>
      <w:proofErr w:type="spellEnd"/>
      <w:r>
        <w:rPr>
          <w:color w:val="000000"/>
          <w:sz w:val="20"/>
        </w:rPr>
        <w:t xml:space="preserve"> koncentracija aglomeracijų ir zonos stotyse </w:t>
      </w:r>
    </w:p>
    <w:p w:rsidR="000E7C4C" w:rsidRDefault="003C3EA6">
      <w:pPr>
        <w:tabs>
          <w:tab w:val="left" w:pos="1296"/>
        </w:tabs>
        <w:jc w:val="center"/>
        <w:rPr>
          <w:sz w:val="20"/>
        </w:rPr>
      </w:pPr>
      <w:r>
        <w:rPr>
          <w:sz w:val="20"/>
        </w:rPr>
        <w:t>(Duomenų šaltinis: AAA)</w:t>
      </w:r>
    </w:p>
    <w:p w:rsidR="000E7C4C" w:rsidRDefault="003C3EA6">
      <w:pPr>
        <w:tabs>
          <w:tab w:val="left" w:pos="1296"/>
        </w:tabs>
        <w:jc w:val="center"/>
        <w:rPr>
          <w:sz w:val="20"/>
        </w:rPr>
      </w:pPr>
    </w:p>
    <w:p w:rsidR="000E7C4C" w:rsidRDefault="003C3EA6">
      <w:pPr>
        <w:tabs>
          <w:tab w:val="left" w:pos="851"/>
        </w:tabs>
        <w:ind w:firstLine="567"/>
      </w:pPr>
      <w:r>
        <w:rPr>
          <w:color w:val="000000"/>
          <w:szCs w:val="21"/>
        </w:rPr>
        <w:t>19</w:t>
      </w:r>
      <w:r>
        <w:rPr>
          <w:color w:val="000000"/>
          <w:szCs w:val="21"/>
        </w:rPr>
        <w:t>.</w:t>
      </w:r>
      <w:r>
        <w:rPr>
          <w:color w:val="000000"/>
          <w:szCs w:val="21"/>
        </w:rPr>
        <w:tab/>
      </w:r>
      <w:r>
        <w:t xml:space="preserve">Analizuojant </w:t>
      </w:r>
      <w:proofErr w:type="spellStart"/>
      <w:r>
        <w:t>benzo</w:t>
      </w:r>
      <w:proofErr w:type="spellEnd"/>
      <w:r>
        <w:t>(a)</w:t>
      </w:r>
      <w:proofErr w:type="spellStart"/>
      <w:r>
        <w:t>pirenas</w:t>
      </w:r>
      <w:proofErr w:type="spellEnd"/>
      <w:r>
        <w:t xml:space="preserve">, </w:t>
      </w:r>
      <w:proofErr w:type="spellStart"/>
      <w:r>
        <w:t>benzo</w:t>
      </w:r>
      <w:proofErr w:type="spellEnd"/>
      <w:r>
        <w:t>(a)</w:t>
      </w:r>
      <w:proofErr w:type="spellStart"/>
      <w:r>
        <w:t>antraceno</w:t>
      </w:r>
      <w:proofErr w:type="spellEnd"/>
      <w:r>
        <w:t xml:space="preserve">, </w:t>
      </w:r>
      <w:proofErr w:type="spellStart"/>
      <w:r>
        <w:t>benzo</w:t>
      </w:r>
      <w:proofErr w:type="spellEnd"/>
      <w:r>
        <w:t>(b)</w:t>
      </w:r>
      <w:proofErr w:type="spellStart"/>
      <w:r>
        <w:t>fluoranteno</w:t>
      </w:r>
      <w:proofErr w:type="spellEnd"/>
      <w:r>
        <w:t xml:space="preserve">, </w:t>
      </w:r>
      <w:proofErr w:type="spellStart"/>
      <w:r>
        <w:t>dibenzo</w:t>
      </w:r>
      <w:proofErr w:type="spellEnd"/>
      <w:r>
        <w:t>(</w:t>
      </w:r>
      <w:proofErr w:type="spellStart"/>
      <w:r>
        <w:t>a,h</w:t>
      </w:r>
      <w:proofErr w:type="spellEnd"/>
      <w:r>
        <w:t>)</w:t>
      </w:r>
      <w:proofErr w:type="spellStart"/>
      <w:r>
        <w:t>antraceno</w:t>
      </w:r>
      <w:proofErr w:type="spellEnd"/>
      <w:r>
        <w:t xml:space="preserve">, </w:t>
      </w:r>
      <w:proofErr w:type="spellStart"/>
      <w:r>
        <w:t>indeno</w:t>
      </w:r>
      <w:proofErr w:type="spellEnd"/>
      <w:r>
        <w:t>(1,2,3-cd)</w:t>
      </w:r>
      <w:proofErr w:type="spellStart"/>
      <w:r>
        <w:t>pireno</w:t>
      </w:r>
      <w:proofErr w:type="spellEnd"/>
      <w:r>
        <w:t xml:space="preserve"> koncentracijas, nustatyta, kad visų minėtų teršalų koncentracijos pasižymėjo didėjimo tendencija, lyginant 2007 ir 2016 m. duomenis (10, 11, 12, 14, 15 pav.). Tai vertinama neigiamai ir verčia atkreipti dėmesį į šių teršalų koncentracijų mažinimo galimybes.</w:t>
      </w:r>
    </w:p>
    <w:p w:rsidR="000E7C4C" w:rsidRDefault="003C3EA6">
      <w:pPr>
        <w:tabs>
          <w:tab w:val="left" w:pos="851"/>
        </w:tabs>
        <w:ind w:firstLine="567"/>
      </w:pPr>
      <w:r>
        <w:rPr>
          <w:color w:val="000000"/>
          <w:szCs w:val="21"/>
        </w:rPr>
        <w:t>20</w:t>
      </w:r>
      <w:r>
        <w:rPr>
          <w:color w:val="000000"/>
          <w:szCs w:val="21"/>
        </w:rPr>
        <w:t>.</w:t>
      </w:r>
      <w:r>
        <w:rPr>
          <w:color w:val="000000"/>
          <w:szCs w:val="21"/>
        </w:rPr>
        <w:tab/>
      </w:r>
      <w:proofErr w:type="spellStart"/>
      <w:r>
        <w:t>Benzo</w:t>
      </w:r>
      <w:proofErr w:type="spellEnd"/>
      <w:r>
        <w:t>(k)</w:t>
      </w:r>
      <w:proofErr w:type="spellStart"/>
      <w:r>
        <w:t>fluoranteno</w:t>
      </w:r>
      <w:proofErr w:type="spellEnd"/>
      <w:r>
        <w:t xml:space="preserve"> koncentracija trijose iš keturių stočių, kuriose yra matuojama, pasižymėjo didėjimo tendencija, o Šiaulių stotyje – sumažėjo, tai vertinama teigiamai ir parodo oro kokybės gerėjimą (13 pav.).</w:t>
      </w:r>
    </w:p>
    <w:p w:rsidR="000E7C4C" w:rsidRDefault="000E7C4C">
      <w:pPr>
        <w:tabs>
          <w:tab w:val="left" w:pos="1296"/>
        </w:tabs>
        <w:ind w:firstLine="567"/>
      </w:pPr>
    </w:p>
    <w:p w:rsidR="000E7C4C" w:rsidRDefault="003C3EA6">
      <w:pPr>
        <w:jc w:val="center"/>
      </w:pPr>
      <w:r>
        <w:rPr>
          <w:noProof/>
          <w:lang w:eastAsia="lt-LT"/>
        </w:rPr>
        <w:drawing>
          <wp:inline distT="0" distB="0" distL="0" distR="0" wp14:anchorId="5D05FC51" wp14:editId="6C65CA93">
            <wp:extent cx="4572000" cy="2647950"/>
            <wp:effectExtent l="0" t="0" r="0" b="0"/>
            <wp:docPr id="242" name="Diagrama 242"/>
            <wp:cNvGraphicFramePr/>
            <a:graphic xmlns:a="http://schemas.openxmlformats.org/drawingml/2006/main">
              <a:graphicData uri="http://schemas.openxmlformats.org/drawingml/2006/chart">
                <c:chart xmlns:c="http://schemas.openxmlformats.org/drawingml/2006/chart" r:id="rId37"/>
              </a:graphicData>
            </a:graphic>
          </wp:inline>
        </w:drawing>
      </w:r>
    </w:p>
    <w:p w:rsidR="000E7C4C" w:rsidRDefault="003C3EA6">
      <w:pPr>
        <w:keepNext/>
        <w:tabs>
          <w:tab w:val="left" w:pos="993"/>
        </w:tabs>
        <w:jc w:val="center"/>
        <w:rPr>
          <w:color w:val="000000"/>
          <w:sz w:val="20"/>
        </w:rPr>
      </w:pPr>
      <w:r>
        <w:rPr>
          <w:color w:val="000000"/>
          <w:sz w:val="20"/>
        </w:rPr>
        <w:t xml:space="preserve">10 paveikslas. </w:t>
      </w:r>
      <w:proofErr w:type="spellStart"/>
      <w:r>
        <w:rPr>
          <w:color w:val="000000"/>
          <w:sz w:val="20"/>
        </w:rPr>
        <w:t>Benzo</w:t>
      </w:r>
      <w:proofErr w:type="spellEnd"/>
      <w:r>
        <w:rPr>
          <w:color w:val="000000"/>
          <w:sz w:val="20"/>
        </w:rPr>
        <w:t>(a)</w:t>
      </w:r>
      <w:proofErr w:type="spellStart"/>
      <w:r>
        <w:rPr>
          <w:color w:val="000000"/>
          <w:sz w:val="20"/>
        </w:rPr>
        <w:t>pireno</w:t>
      </w:r>
      <w:proofErr w:type="spellEnd"/>
      <w:r>
        <w:rPr>
          <w:color w:val="000000"/>
          <w:sz w:val="20"/>
        </w:rPr>
        <w:t xml:space="preserve"> koncentracija aglomeracijų ir zonos stotyse </w:t>
      </w:r>
    </w:p>
    <w:p w:rsidR="000E7C4C" w:rsidRDefault="003C3EA6">
      <w:pPr>
        <w:tabs>
          <w:tab w:val="left" w:pos="1296"/>
        </w:tabs>
        <w:jc w:val="center"/>
        <w:rPr>
          <w:sz w:val="20"/>
        </w:rPr>
      </w:pPr>
      <w:r>
        <w:rPr>
          <w:sz w:val="20"/>
        </w:rPr>
        <w:t>(Duomenų šaltinis: AAA)</w:t>
      </w:r>
    </w:p>
    <w:p w:rsidR="000E7C4C" w:rsidRDefault="000E7C4C">
      <w:pPr>
        <w:tabs>
          <w:tab w:val="left" w:pos="1296"/>
        </w:tabs>
        <w:jc w:val="center"/>
        <w:rPr>
          <w:sz w:val="20"/>
        </w:rPr>
      </w:pPr>
    </w:p>
    <w:p w:rsidR="000E7C4C" w:rsidRDefault="003C3EA6">
      <w:pPr>
        <w:tabs>
          <w:tab w:val="left" w:pos="1296"/>
        </w:tabs>
        <w:jc w:val="center"/>
        <w:rPr>
          <w:sz w:val="20"/>
        </w:rPr>
      </w:pPr>
      <w:r>
        <w:rPr>
          <w:noProof/>
          <w:lang w:eastAsia="lt-LT"/>
        </w:rPr>
        <w:drawing>
          <wp:inline distT="0" distB="0" distL="0" distR="0" wp14:anchorId="49AD9C25" wp14:editId="75E1ACD2">
            <wp:extent cx="4572000" cy="2619375"/>
            <wp:effectExtent l="0" t="0" r="0" b="0"/>
            <wp:docPr id="241" name="Diagrama 241"/>
            <wp:cNvGraphicFramePr/>
            <a:graphic xmlns:a="http://schemas.openxmlformats.org/drawingml/2006/main">
              <a:graphicData uri="http://schemas.openxmlformats.org/drawingml/2006/chart">
                <c:chart xmlns:c="http://schemas.openxmlformats.org/drawingml/2006/chart" r:id="rId38"/>
              </a:graphicData>
            </a:graphic>
          </wp:inline>
        </w:drawing>
      </w:r>
    </w:p>
    <w:p w:rsidR="000E7C4C" w:rsidRDefault="003C3EA6">
      <w:pPr>
        <w:keepNext/>
        <w:tabs>
          <w:tab w:val="left" w:pos="993"/>
        </w:tabs>
        <w:jc w:val="center"/>
        <w:rPr>
          <w:color w:val="000000"/>
          <w:sz w:val="20"/>
        </w:rPr>
      </w:pPr>
      <w:r>
        <w:rPr>
          <w:color w:val="000000"/>
          <w:sz w:val="20"/>
        </w:rPr>
        <w:t xml:space="preserve">11 paveikslas. </w:t>
      </w:r>
      <w:proofErr w:type="spellStart"/>
      <w:r>
        <w:rPr>
          <w:color w:val="000000"/>
          <w:sz w:val="20"/>
        </w:rPr>
        <w:t>Benzo</w:t>
      </w:r>
      <w:proofErr w:type="spellEnd"/>
      <w:r>
        <w:rPr>
          <w:color w:val="000000"/>
          <w:sz w:val="20"/>
        </w:rPr>
        <w:t>(a)</w:t>
      </w:r>
      <w:proofErr w:type="spellStart"/>
      <w:r>
        <w:rPr>
          <w:color w:val="000000"/>
          <w:sz w:val="20"/>
        </w:rPr>
        <w:t>antraceno</w:t>
      </w:r>
      <w:proofErr w:type="spellEnd"/>
      <w:r>
        <w:rPr>
          <w:color w:val="000000"/>
          <w:sz w:val="20"/>
        </w:rPr>
        <w:t xml:space="preserve"> koncentracija aglomeracijų ir zonos stotyse </w:t>
      </w:r>
    </w:p>
    <w:p w:rsidR="000E7C4C" w:rsidRDefault="003C3EA6">
      <w:pPr>
        <w:tabs>
          <w:tab w:val="left" w:pos="1296"/>
        </w:tabs>
        <w:jc w:val="center"/>
        <w:rPr>
          <w:sz w:val="20"/>
        </w:rPr>
      </w:pPr>
      <w:r>
        <w:rPr>
          <w:sz w:val="20"/>
        </w:rPr>
        <w:t>(Duomenų šaltinis: AAA)</w:t>
      </w:r>
    </w:p>
    <w:p w:rsidR="000E7C4C" w:rsidRDefault="000E7C4C">
      <w:pPr>
        <w:tabs>
          <w:tab w:val="left" w:pos="1296"/>
        </w:tabs>
        <w:jc w:val="center"/>
        <w:rPr>
          <w:sz w:val="20"/>
        </w:rPr>
      </w:pPr>
    </w:p>
    <w:p w:rsidR="000E7C4C" w:rsidRDefault="003C3EA6">
      <w:pPr>
        <w:jc w:val="center"/>
      </w:pPr>
      <w:r>
        <w:rPr>
          <w:noProof/>
          <w:lang w:eastAsia="lt-LT"/>
        </w:rPr>
        <w:drawing>
          <wp:inline distT="0" distB="0" distL="0" distR="0" wp14:anchorId="244C26C9" wp14:editId="77E8C367">
            <wp:extent cx="4572000" cy="2619375"/>
            <wp:effectExtent l="0" t="0" r="0" b="0"/>
            <wp:docPr id="240" name="Diagrama 240"/>
            <wp:cNvGraphicFramePr/>
            <a:graphic xmlns:a="http://schemas.openxmlformats.org/drawingml/2006/main">
              <a:graphicData uri="http://schemas.openxmlformats.org/drawingml/2006/chart">
                <c:chart xmlns:c="http://schemas.openxmlformats.org/drawingml/2006/chart" r:id="rId39"/>
              </a:graphicData>
            </a:graphic>
          </wp:inline>
        </w:drawing>
      </w:r>
    </w:p>
    <w:p w:rsidR="000E7C4C" w:rsidRDefault="003C3EA6">
      <w:pPr>
        <w:keepNext/>
        <w:tabs>
          <w:tab w:val="left" w:pos="993"/>
        </w:tabs>
        <w:jc w:val="center"/>
        <w:rPr>
          <w:color w:val="000000"/>
          <w:sz w:val="20"/>
        </w:rPr>
      </w:pPr>
      <w:r>
        <w:rPr>
          <w:color w:val="000000"/>
          <w:sz w:val="20"/>
        </w:rPr>
        <w:t xml:space="preserve">12 paveikslas. </w:t>
      </w:r>
      <w:proofErr w:type="spellStart"/>
      <w:r>
        <w:rPr>
          <w:color w:val="000000"/>
          <w:sz w:val="20"/>
        </w:rPr>
        <w:t>Benzo</w:t>
      </w:r>
      <w:proofErr w:type="spellEnd"/>
      <w:r>
        <w:rPr>
          <w:color w:val="000000"/>
          <w:sz w:val="20"/>
        </w:rPr>
        <w:t>(b)</w:t>
      </w:r>
      <w:proofErr w:type="spellStart"/>
      <w:r>
        <w:rPr>
          <w:color w:val="000000"/>
          <w:sz w:val="20"/>
        </w:rPr>
        <w:t>fluoranteno</w:t>
      </w:r>
      <w:proofErr w:type="spellEnd"/>
      <w:r>
        <w:rPr>
          <w:color w:val="000000"/>
          <w:sz w:val="20"/>
        </w:rPr>
        <w:t xml:space="preserve"> koncentracija aglomeracijų ir zonos stotyse </w:t>
      </w:r>
    </w:p>
    <w:p w:rsidR="000E7C4C" w:rsidRDefault="003C3EA6">
      <w:pPr>
        <w:tabs>
          <w:tab w:val="left" w:pos="1296"/>
        </w:tabs>
        <w:jc w:val="center"/>
        <w:rPr>
          <w:sz w:val="20"/>
        </w:rPr>
      </w:pPr>
      <w:r>
        <w:rPr>
          <w:sz w:val="20"/>
        </w:rPr>
        <w:t>(Duomenų šaltinis: AAA)</w:t>
      </w:r>
    </w:p>
    <w:p w:rsidR="000E7C4C" w:rsidRDefault="000E7C4C">
      <w:pPr>
        <w:tabs>
          <w:tab w:val="left" w:pos="1296"/>
        </w:tabs>
        <w:jc w:val="center"/>
        <w:rPr>
          <w:sz w:val="20"/>
        </w:rPr>
      </w:pPr>
    </w:p>
    <w:p w:rsidR="000E7C4C" w:rsidRDefault="003C3EA6">
      <w:pPr>
        <w:tabs>
          <w:tab w:val="left" w:pos="1296"/>
        </w:tabs>
        <w:jc w:val="center"/>
        <w:rPr>
          <w:sz w:val="20"/>
        </w:rPr>
      </w:pPr>
      <w:r>
        <w:rPr>
          <w:noProof/>
          <w:lang w:eastAsia="lt-LT"/>
        </w:rPr>
        <w:drawing>
          <wp:inline distT="0" distB="0" distL="0" distR="0" wp14:anchorId="1878C3B7" wp14:editId="39A5C8AE">
            <wp:extent cx="4572000" cy="2619375"/>
            <wp:effectExtent l="0" t="0" r="0" b="0"/>
            <wp:docPr id="239" name="Diagrama 239"/>
            <wp:cNvGraphicFramePr/>
            <a:graphic xmlns:a="http://schemas.openxmlformats.org/drawingml/2006/main">
              <a:graphicData uri="http://schemas.openxmlformats.org/drawingml/2006/chart">
                <c:chart xmlns:c="http://schemas.openxmlformats.org/drawingml/2006/chart" r:id="rId40"/>
              </a:graphicData>
            </a:graphic>
          </wp:inline>
        </w:drawing>
      </w:r>
    </w:p>
    <w:p w:rsidR="000E7C4C" w:rsidRDefault="003C3EA6">
      <w:pPr>
        <w:tabs>
          <w:tab w:val="left" w:pos="1296"/>
        </w:tabs>
        <w:jc w:val="center"/>
        <w:rPr>
          <w:sz w:val="20"/>
        </w:rPr>
      </w:pPr>
      <w:r>
        <w:rPr>
          <w:sz w:val="20"/>
        </w:rPr>
        <w:t xml:space="preserve">13 paveikslas. </w:t>
      </w:r>
      <w:proofErr w:type="spellStart"/>
      <w:r>
        <w:rPr>
          <w:sz w:val="20"/>
        </w:rPr>
        <w:t>Benzo</w:t>
      </w:r>
      <w:proofErr w:type="spellEnd"/>
      <w:r>
        <w:rPr>
          <w:sz w:val="20"/>
        </w:rPr>
        <w:t>(k)</w:t>
      </w:r>
      <w:proofErr w:type="spellStart"/>
      <w:r>
        <w:rPr>
          <w:sz w:val="20"/>
        </w:rPr>
        <w:t>fluoranteno</w:t>
      </w:r>
      <w:proofErr w:type="spellEnd"/>
      <w:r>
        <w:rPr>
          <w:sz w:val="20"/>
        </w:rPr>
        <w:t xml:space="preserve"> </w:t>
      </w:r>
      <w:r>
        <w:t xml:space="preserve">koncentracija aglomeracijų ir zonos stotyse </w:t>
      </w:r>
    </w:p>
    <w:p w:rsidR="000E7C4C" w:rsidRDefault="003C3EA6">
      <w:pPr>
        <w:tabs>
          <w:tab w:val="left" w:pos="1296"/>
        </w:tabs>
        <w:jc w:val="center"/>
        <w:rPr>
          <w:sz w:val="20"/>
        </w:rPr>
      </w:pPr>
      <w:r>
        <w:rPr>
          <w:sz w:val="20"/>
        </w:rPr>
        <w:t>(Duomenų šaltinis: AAA)</w:t>
      </w:r>
    </w:p>
    <w:p w:rsidR="000E7C4C" w:rsidRDefault="000E7C4C">
      <w:pPr>
        <w:tabs>
          <w:tab w:val="left" w:pos="1296"/>
        </w:tabs>
        <w:jc w:val="center"/>
        <w:rPr>
          <w:sz w:val="20"/>
        </w:rPr>
      </w:pPr>
    </w:p>
    <w:p w:rsidR="000E7C4C" w:rsidRDefault="003C3EA6">
      <w:pPr>
        <w:tabs>
          <w:tab w:val="left" w:pos="1296"/>
        </w:tabs>
        <w:jc w:val="center"/>
        <w:rPr>
          <w:sz w:val="20"/>
        </w:rPr>
      </w:pPr>
      <w:r>
        <w:rPr>
          <w:noProof/>
          <w:lang w:eastAsia="lt-LT"/>
        </w:rPr>
        <w:drawing>
          <wp:inline distT="0" distB="0" distL="0" distR="0" wp14:anchorId="6BF8FD06" wp14:editId="201AA0AD">
            <wp:extent cx="4572000" cy="2638425"/>
            <wp:effectExtent l="0" t="0" r="0" b="0"/>
            <wp:docPr id="238" name="Diagrama 238"/>
            <wp:cNvGraphicFramePr/>
            <a:graphic xmlns:a="http://schemas.openxmlformats.org/drawingml/2006/main">
              <a:graphicData uri="http://schemas.openxmlformats.org/drawingml/2006/chart">
                <c:chart xmlns:c="http://schemas.openxmlformats.org/drawingml/2006/chart" r:id="rId41"/>
              </a:graphicData>
            </a:graphic>
          </wp:inline>
        </w:drawing>
      </w:r>
    </w:p>
    <w:p w:rsidR="000E7C4C" w:rsidRDefault="003C3EA6">
      <w:pPr>
        <w:keepNext/>
        <w:tabs>
          <w:tab w:val="left" w:pos="993"/>
        </w:tabs>
        <w:jc w:val="center"/>
        <w:rPr>
          <w:color w:val="000000"/>
          <w:sz w:val="20"/>
        </w:rPr>
      </w:pPr>
      <w:r>
        <w:rPr>
          <w:color w:val="000000"/>
          <w:sz w:val="20"/>
        </w:rPr>
        <w:t xml:space="preserve">14 paveikslas. </w:t>
      </w:r>
      <w:proofErr w:type="spellStart"/>
      <w:r>
        <w:rPr>
          <w:color w:val="000000"/>
          <w:sz w:val="20"/>
        </w:rPr>
        <w:t>Dibenzo</w:t>
      </w:r>
      <w:proofErr w:type="spellEnd"/>
      <w:r>
        <w:rPr>
          <w:color w:val="000000"/>
          <w:sz w:val="20"/>
        </w:rPr>
        <w:t>(</w:t>
      </w:r>
      <w:proofErr w:type="spellStart"/>
      <w:r>
        <w:rPr>
          <w:color w:val="000000"/>
          <w:sz w:val="20"/>
        </w:rPr>
        <w:t>a,h</w:t>
      </w:r>
      <w:proofErr w:type="spellEnd"/>
      <w:r>
        <w:rPr>
          <w:color w:val="000000"/>
          <w:sz w:val="20"/>
        </w:rPr>
        <w:t>)</w:t>
      </w:r>
      <w:proofErr w:type="spellStart"/>
      <w:r>
        <w:rPr>
          <w:color w:val="000000"/>
          <w:sz w:val="20"/>
        </w:rPr>
        <w:t>antraceno</w:t>
      </w:r>
      <w:proofErr w:type="spellEnd"/>
      <w:r>
        <w:rPr>
          <w:color w:val="000000"/>
          <w:sz w:val="20"/>
        </w:rPr>
        <w:t xml:space="preserve"> koncentracija aglomeracijų ir zonos stotyse </w:t>
      </w:r>
    </w:p>
    <w:p w:rsidR="000E7C4C" w:rsidRDefault="003C3EA6">
      <w:pPr>
        <w:tabs>
          <w:tab w:val="left" w:pos="1296"/>
        </w:tabs>
        <w:jc w:val="center"/>
        <w:rPr>
          <w:sz w:val="20"/>
        </w:rPr>
      </w:pPr>
      <w:r>
        <w:rPr>
          <w:sz w:val="20"/>
        </w:rPr>
        <w:t>(Duomenų šaltinis: AAA)</w:t>
      </w:r>
    </w:p>
    <w:p w:rsidR="000E7C4C" w:rsidRDefault="000E7C4C">
      <w:pPr>
        <w:tabs>
          <w:tab w:val="left" w:pos="1296"/>
        </w:tabs>
        <w:jc w:val="center"/>
        <w:rPr>
          <w:sz w:val="20"/>
        </w:rPr>
      </w:pPr>
    </w:p>
    <w:p w:rsidR="000E7C4C" w:rsidRDefault="003C3EA6">
      <w:pPr>
        <w:jc w:val="center"/>
      </w:pPr>
      <w:r>
        <w:rPr>
          <w:noProof/>
          <w:lang w:eastAsia="lt-LT"/>
        </w:rPr>
        <w:drawing>
          <wp:inline distT="0" distB="0" distL="0" distR="0" wp14:anchorId="4A0FBC33" wp14:editId="253E96A3">
            <wp:extent cx="4572000" cy="2619375"/>
            <wp:effectExtent l="0" t="0" r="0" b="0"/>
            <wp:docPr id="237" name="Diagrama 237"/>
            <wp:cNvGraphicFramePr/>
            <a:graphic xmlns:a="http://schemas.openxmlformats.org/drawingml/2006/main">
              <a:graphicData uri="http://schemas.openxmlformats.org/drawingml/2006/chart">
                <c:chart xmlns:c="http://schemas.openxmlformats.org/drawingml/2006/chart" r:id="rId42"/>
              </a:graphicData>
            </a:graphic>
          </wp:inline>
        </w:drawing>
      </w:r>
    </w:p>
    <w:p w:rsidR="000E7C4C" w:rsidRDefault="003C3EA6">
      <w:pPr>
        <w:keepNext/>
        <w:tabs>
          <w:tab w:val="left" w:pos="993"/>
        </w:tabs>
        <w:jc w:val="center"/>
        <w:rPr>
          <w:color w:val="000000"/>
          <w:sz w:val="20"/>
        </w:rPr>
      </w:pPr>
      <w:r>
        <w:rPr>
          <w:color w:val="000000"/>
          <w:sz w:val="20"/>
        </w:rPr>
        <w:t xml:space="preserve">15 paveikslas. </w:t>
      </w:r>
      <w:proofErr w:type="spellStart"/>
      <w:r>
        <w:rPr>
          <w:color w:val="000000"/>
          <w:sz w:val="20"/>
        </w:rPr>
        <w:t>Indeno</w:t>
      </w:r>
      <w:proofErr w:type="spellEnd"/>
      <w:r>
        <w:rPr>
          <w:color w:val="000000"/>
          <w:sz w:val="20"/>
        </w:rPr>
        <w:t>(1,2,3-cd)</w:t>
      </w:r>
      <w:proofErr w:type="spellStart"/>
      <w:r>
        <w:rPr>
          <w:color w:val="000000"/>
          <w:sz w:val="20"/>
        </w:rPr>
        <w:t>pireno</w:t>
      </w:r>
      <w:proofErr w:type="spellEnd"/>
      <w:r>
        <w:rPr>
          <w:color w:val="000000"/>
          <w:sz w:val="20"/>
        </w:rPr>
        <w:t xml:space="preserve"> koncentracija aglomeracijų ir zonos stotyse </w:t>
      </w:r>
    </w:p>
    <w:p w:rsidR="000E7C4C" w:rsidRDefault="003C3EA6">
      <w:pPr>
        <w:tabs>
          <w:tab w:val="left" w:pos="1296"/>
        </w:tabs>
        <w:jc w:val="center"/>
        <w:rPr>
          <w:sz w:val="20"/>
        </w:rPr>
      </w:pPr>
      <w:r>
        <w:rPr>
          <w:sz w:val="20"/>
        </w:rPr>
        <w:t>(Duomenų šaltinis: AAA)</w:t>
      </w:r>
    </w:p>
    <w:p w:rsidR="000E7C4C" w:rsidRDefault="003C3EA6"/>
    <w:p w:rsidR="000E7C4C" w:rsidRDefault="003C3EA6">
      <w:pPr>
        <w:tabs>
          <w:tab w:val="left" w:pos="851"/>
        </w:tabs>
        <w:ind w:firstLine="567"/>
      </w:pPr>
      <w:r>
        <w:rPr>
          <w:color w:val="000000"/>
          <w:szCs w:val="21"/>
        </w:rPr>
        <w:t>21</w:t>
      </w:r>
      <w:r>
        <w:rPr>
          <w:color w:val="000000"/>
          <w:szCs w:val="21"/>
        </w:rPr>
        <w:t>.</w:t>
      </w:r>
      <w:r>
        <w:rPr>
          <w:color w:val="000000"/>
          <w:szCs w:val="21"/>
        </w:rPr>
        <w:tab/>
      </w:r>
      <w:r>
        <w:t>Apibendrinant atliktą pažangą, padarytą vykdant esamą politiką ir taikant dabartines priemones gerinant oro kokybę, nustatyta, kad oro kokybė Lietuvoje gali būti vertinama gerai, tačiau egzistuoja tam tikros vietos, kuriose turi būti imamasi papildomų priemonių, siekiant gerinti oro kokybę. Išanalizavus SO</w:t>
      </w:r>
      <w:r>
        <w:rPr>
          <w:vertAlign w:val="subscript"/>
        </w:rPr>
        <w:t>2</w:t>
      </w:r>
      <w:r>
        <w:t xml:space="preserve"> koncentracijas, nustatyta, kad jos pasižymėjo didėjimo tendencija Vilniuje, Klaipėdoje, Naujoje Akmenėje ir Kėdainiuose, todėl šiuose miestuose turi būti imamasi papildomų priemonių, siekiant gerinti oro kokybę. Išnagrinėjus </w:t>
      </w:r>
      <w:proofErr w:type="spellStart"/>
      <w:r>
        <w:t>NO</w:t>
      </w:r>
      <w:r>
        <w:rPr>
          <w:vertAlign w:val="subscript"/>
        </w:rPr>
        <w:t>x</w:t>
      </w:r>
      <w:proofErr w:type="spellEnd"/>
      <w:r>
        <w:t xml:space="preserve"> koncentracijų dinamiką, nustatyta, kad turėtų būti koncentruojamasi į šio teršalo koncentracijos mažinimą intensyvaus eismo ir aktyvios pramonės veiklos teritorijose, ypač Vilniaus, Kauno ir Klaipėdos miestuose ir jų apylinkėse. Ištyrus KD</w:t>
      </w:r>
      <w:r>
        <w:rPr>
          <w:vertAlign w:val="subscript"/>
        </w:rPr>
        <w:t>2,5</w:t>
      </w:r>
      <w:r>
        <w:t xml:space="preserve"> koncentracijas, nustatyta, kad papildomų priemonių joms mažinti poreikis egzistuoja Vilniaus ir Klaipėdos miestuose, tuo metu KD</w:t>
      </w:r>
      <w:r>
        <w:rPr>
          <w:vertAlign w:val="subscript"/>
        </w:rPr>
        <w:t>10</w:t>
      </w:r>
      <w:r>
        <w:t xml:space="preserve"> atveju egzistuoja poreikis taikyti papildomas priemones Vilniuje, Klaipėdoje, Naujojoje Akmenėje ir Mažeikiuose. Išnagrinėjus O</w:t>
      </w:r>
      <w:r>
        <w:rPr>
          <w:vertAlign w:val="subscript"/>
        </w:rPr>
        <w:t>3</w:t>
      </w:r>
      <w:r>
        <w:t xml:space="preserve"> koncentracijų dinamiką, nustatyta, kad didžiausias dėmesys į O</w:t>
      </w:r>
      <w:r>
        <w:rPr>
          <w:vertAlign w:val="subscript"/>
        </w:rPr>
        <w:t>3</w:t>
      </w:r>
      <w:r>
        <w:t xml:space="preserve"> koncentracijos mažinimą turėtų būti atkreiptas Vilniuje ir jo priemiesčiuose, kadangi čia buvo užfiksuoti viršijimai.</w:t>
      </w:r>
    </w:p>
    <w:p w:rsidR="000E7C4C" w:rsidRDefault="003C3EA6">
      <w:pPr>
        <w:keepNext/>
        <w:keepLines/>
        <w:tabs>
          <w:tab w:val="num" w:pos="360"/>
        </w:tabs>
        <w:jc w:val="center"/>
        <w:outlineLvl w:val="1"/>
        <w:rPr>
          <w:b/>
          <w:bCs/>
          <w:color w:val="000000"/>
          <w:szCs w:val="24"/>
        </w:rPr>
      </w:pPr>
    </w:p>
    <w:p w:rsidR="000E7C4C" w:rsidRDefault="003C3EA6">
      <w:pPr>
        <w:keepNext/>
        <w:keepLines/>
        <w:tabs>
          <w:tab w:val="num" w:pos="360"/>
        </w:tabs>
        <w:jc w:val="center"/>
        <w:outlineLvl w:val="1"/>
        <w:rPr>
          <w:b/>
          <w:bCs/>
          <w:color w:val="000000"/>
          <w:szCs w:val="24"/>
        </w:rPr>
      </w:pPr>
      <w:r>
        <w:rPr>
          <w:b/>
          <w:bCs/>
          <w:color w:val="000000"/>
          <w:szCs w:val="24"/>
        </w:rPr>
        <w:t>VII</w:t>
      </w:r>
      <w:r>
        <w:rPr>
          <w:b/>
          <w:bCs/>
          <w:color w:val="000000"/>
          <w:szCs w:val="24"/>
        </w:rPr>
        <w:t xml:space="preserve"> SKYRIUS</w:t>
      </w:r>
    </w:p>
    <w:p w:rsidR="000E7C4C" w:rsidRDefault="003C3EA6">
      <w:pPr>
        <w:keepNext/>
        <w:keepLines/>
        <w:tabs>
          <w:tab w:val="num" w:pos="360"/>
        </w:tabs>
        <w:jc w:val="center"/>
        <w:outlineLvl w:val="1"/>
        <w:rPr>
          <w:b/>
          <w:bCs/>
          <w:color w:val="000000"/>
          <w:szCs w:val="24"/>
        </w:rPr>
      </w:pPr>
      <w:r>
        <w:rPr>
          <w:b/>
          <w:bCs/>
          <w:color w:val="000000"/>
          <w:szCs w:val="24"/>
        </w:rPr>
        <w:t>PROGNOZUOJAMAS ORO KOKYBĖS GERINIMAS (ESAMŲ PRIEMONIŲ SCENARIJUS)</w:t>
      </w:r>
    </w:p>
    <w:p w:rsidR="000E7C4C" w:rsidRDefault="000E7C4C">
      <w:pPr>
        <w:tabs>
          <w:tab w:val="left" w:pos="1296"/>
        </w:tabs>
        <w:ind w:left="720"/>
        <w:rPr>
          <w:color w:val="000000"/>
          <w:szCs w:val="21"/>
        </w:rPr>
      </w:pPr>
    </w:p>
    <w:p w:rsidR="000E7C4C" w:rsidRDefault="003C3EA6">
      <w:pPr>
        <w:tabs>
          <w:tab w:val="left" w:pos="851"/>
        </w:tabs>
        <w:ind w:firstLine="567"/>
      </w:pPr>
      <w:r>
        <w:rPr>
          <w:color w:val="000000"/>
          <w:szCs w:val="21"/>
        </w:rPr>
        <w:t>22</w:t>
      </w:r>
      <w:r>
        <w:rPr>
          <w:color w:val="000000"/>
          <w:szCs w:val="21"/>
        </w:rPr>
        <w:t>.</w:t>
      </w:r>
      <w:r>
        <w:rPr>
          <w:color w:val="000000"/>
          <w:szCs w:val="21"/>
        </w:rPr>
        <w:tab/>
      </w:r>
      <w:r>
        <w:t>Tyrimo metu nustatyta, kad 1 val. NO</w:t>
      </w:r>
      <w:r>
        <w:rPr>
          <w:vertAlign w:val="subscript"/>
        </w:rPr>
        <w:t>2</w:t>
      </w:r>
      <w:r>
        <w:t xml:space="preserve"> koncentracijos ir maksimali 8 val. O</w:t>
      </w:r>
      <w:r>
        <w:rPr>
          <w:vertAlign w:val="subscript"/>
        </w:rPr>
        <w:t>3</w:t>
      </w:r>
      <w:r>
        <w:t xml:space="preserve"> koncentracijos ribinės vertės buvo viršytos, tačiau viršijimų skaičius 2016 m., palyginus su 2005 m., ženkliai sumažėjo. Be to, šių teršalų ribinės vertės buvo viršytos tik Vilniaus mieste. Pažymėtina, kad Vilniaus mieste yra numatytos 2015–2018 m. oro kokybės valdymo programos priemonės, kurių įgyvendinimas prisidėjo prie taršos ir koncentracijų mažėjimo. Be to, yra rengiama oro taršos valdymo programa naujam laikotarpiui. Todėl tikėtina, kad teršalų koncentracijos prognozuojamu laikotarpiu, netgi neįgyvendinant papildomų priemonių, nebus viršytos. Didžiausia viršijimų rizika išliks Vilniaus mieste tiek NO</w:t>
      </w:r>
      <w:r>
        <w:rPr>
          <w:vertAlign w:val="subscript"/>
        </w:rPr>
        <w:t>2</w:t>
      </w:r>
      <w:r>
        <w:t>, tiek O</w:t>
      </w:r>
      <w:r>
        <w:rPr>
          <w:vertAlign w:val="subscript"/>
        </w:rPr>
        <w:t>3</w:t>
      </w:r>
      <w:r>
        <w:t xml:space="preserve"> atveju.</w:t>
      </w:r>
    </w:p>
    <w:p w:rsidR="000E7C4C" w:rsidRDefault="003C3EA6">
      <w:pPr>
        <w:tabs>
          <w:tab w:val="left" w:pos="851"/>
        </w:tabs>
        <w:ind w:firstLine="567"/>
      </w:pPr>
      <w:r>
        <w:rPr>
          <w:color w:val="000000"/>
          <w:szCs w:val="21"/>
        </w:rPr>
        <w:t>23</w:t>
      </w:r>
      <w:r>
        <w:rPr>
          <w:color w:val="000000"/>
          <w:szCs w:val="21"/>
        </w:rPr>
        <w:t>.</w:t>
      </w:r>
      <w:r>
        <w:rPr>
          <w:color w:val="000000"/>
          <w:szCs w:val="21"/>
        </w:rPr>
        <w:tab/>
      </w:r>
      <w:r>
        <w:t>Išanalizavus oro kokybės duomenis, t. y. teršalų koncentracijas aplinkos ore, buvo nustatyta, jog oro kokybė Lietuvoje gali būti vertinama teigiamai, kadangi oro teršalų koncentracijos daugelyje matavimo stočių yra žemesnės nei nustatytos ribinės vertės.</w:t>
      </w:r>
    </w:p>
    <w:p w:rsidR="000E7C4C" w:rsidRDefault="003C3EA6">
      <w:pPr>
        <w:tabs>
          <w:tab w:val="left" w:pos="851"/>
        </w:tabs>
        <w:ind w:firstLine="567"/>
      </w:pPr>
      <w:r>
        <w:rPr>
          <w:color w:val="000000"/>
          <w:szCs w:val="21"/>
        </w:rPr>
        <w:t>24</w:t>
      </w:r>
      <w:r>
        <w:rPr>
          <w:color w:val="000000"/>
          <w:szCs w:val="21"/>
        </w:rPr>
        <w:t>.</w:t>
      </w:r>
      <w:r>
        <w:rPr>
          <w:color w:val="000000"/>
          <w:szCs w:val="21"/>
        </w:rPr>
        <w:tab/>
      </w:r>
      <w:r>
        <w:t>Atsižvelgiant į tai, kad metinės NO</w:t>
      </w:r>
      <w:r>
        <w:rPr>
          <w:vertAlign w:val="subscript"/>
        </w:rPr>
        <w:t>2</w:t>
      </w:r>
      <w:r>
        <w:t>, KD</w:t>
      </w:r>
      <w:r>
        <w:rPr>
          <w:vertAlign w:val="subscript"/>
        </w:rPr>
        <w:t>2,5</w:t>
      </w:r>
      <w:r>
        <w:t>, KD</w:t>
      </w:r>
      <w:r>
        <w:rPr>
          <w:vertAlign w:val="subscript"/>
        </w:rPr>
        <w:t>10</w:t>
      </w:r>
      <w:r>
        <w:t>, SO</w:t>
      </w:r>
      <w:r>
        <w:rPr>
          <w:vertAlign w:val="subscript"/>
        </w:rPr>
        <w:t>2</w:t>
      </w:r>
      <w:r>
        <w:t xml:space="preserve"> koncentracijos tiek 2005, tiek 2016 m. nebuvo viršytos, daroma išvada, kad šių teršalų koncentracijos ateityje, t. y. taikant esamų priemonių scenarijų, nebus viršijamos.</w:t>
      </w:r>
    </w:p>
    <w:p w:rsidR="000E7C4C" w:rsidRDefault="000E7C4C"/>
    <w:p w:rsidR="000E7C4C" w:rsidRDefault="003C3EA6">
      <w:r>
        <w:t>3 lentelė. Prognozuojama oro kokybė: neatitinkančių ir atitinkančių nustatytas ribines vertes oro kokybės vertinimo zonų skaičius</w:t>
      </w:r>
    </w:p>
    <w:p w:rsidR="000E7C4C" w:rsidRDefault="000E7C4C"/>
    <w:tbl>
      <w:tblPr>
        <w:tblW w:w="0" w:type="auto"/>
        <w:tblBorders>
          <w:top w:val="single" w:sz="4" w:space="0" w:color="A6A6A6"/>
          <w:bottom w:val="single" w:sz="4" w:space="0" w:color="A6A6A6"/>
          <w:insideH w:val="single" w:sz="4" w:space="0" w:color="A6A6A6"/>
        </w:tblBorders>
        <w:tblLook w:val="04A0" w:firstRow="1" w:lastRow="0" w:firstColumn="1" w:lastColumn="0" w:noHBand="0" w:noVBand="1"/>
      </w:tblPr>
      <w:tblGrid>
        <w:gridCol w:w="1384"/>
        <w:gridCol w:w="737"/>
        <w:gridCol w:w="696"/>
        <w:gridCol w:w="696"/>
        <w:gridCol w:w="696"/>
        <w:gridCol w:w="616"/>
        <w:gridCol w:w="696"/>
        <w:gridCol w:w="696"/>
        <w:gridCol w:w="696"/>
        <w:gridCol w:w="696"/>
        <w:gridCol w:w="696"/>
        <w:gridCol w:w="696"/>
        <w:gridCol w:w="696"/>
      </w:tblGrid>
      <w:tr w:rsidR="000E7C4C">
        <w:tc>
          <w:tcPr>
            <w:tcW w:w="1384" w:type="dxa"/>
            <w:vMerge w:val="restart"/>
            <w:tcBorders>
              <w:top w:val="single" w:sz="4" w:space="0" w:color="A6A6A6" w:themeColor="background1" w:themeShade="A6"/>
              <w:left w:val="nil"/>
              <w:bottom w:val="single" w:sz="4" w:space="0" w:color="A6A6A6" w:themeColor="background1" w:themeShade="A6"/>
              <w:right w:val="nil"/>
            </w:tcBorders>
            <w:shd w:val="clear" w:color="auto" w:fill="002060"/>
          </w:tcPr>
          <w:p w:rsidR="000E7C4C" w:rsidRDefault="000E7C4C">
            <w:pPr>
              <w:jc w:val="center"/>
              <w:rPr>
                <w:color w:val="FFFFFF"/>
                <w:sz w:val="20"/>
                <w:szCs w:val="22"/>
              </w:rPr>
            </w:pPr>
          </w:p>
        </w:tc>
        <w:tc>
          <w:tcPr>
            <w:tcW w:w="2825" w:type="dxa"/>
            <w:gridSpan w:val="4"/>
            <w:tcBorders>
              <w:top w:val="single" w:sz="4" w:space="0" w:color="A6A6A6" w:themeColor="background1" w:themeShade="A6"/>
              <w:left w:val="nil"/>
              <w:bottom w:val="single" w:sz="4" w:space="0" w:color="A6A6A6" w:themeColor="background1" w:themeShade="A6"/>
              <w:right w:val="nil"/>
            </w:tcBorders>
            <w:shd w:val="clear" w:color="auto" w:fill="002060"/>
            <w:hideMark/>
          </w:tcPr>
          <w:p w:rsidR="000E7C4C" w:rsidRDefault="003C3EA6">
            <w:pPr>
              <w:jc w:val="center"/>
              <w:rPr>
                <w:color w:val="FFFFFF"/>
                <w:sz w:val="20"/>
                <w:szCs w:val="22"/>
              </w:rPr>
            </w:pPr>
            <w:r>
              <w:rPr>
                <w:color w:val="FFFFFF"/>
                <w:sz w:val="20"/>
                <w:szCs w:val="22"/>
              </w:rPr>
              <w:t>Neatitinkančių nustatytų ribinių verčių oro kokybės vertinimo zonų skaičius</w:t>
            </w:r>
          </w:p>
        </w:tc>
        <w:tc>
          <w:tcPr>
            <w:tcW w:w="2704" w:type="dxa"/>
            <w:gridSpan w:val="4"/>
            <w:tcBorders>
              <w:top w:val="single" w:sz="4" w:space="0" w:color="A6A6A6" w:themeColor="background1" w:themeShade="A6"/>
              <w:left w:val="nil"/>
              <w:bottom w:val="single" w:sz="4" w:space="0" w:color="A6A6A6" w:themeColor="background1" w:themeShade="A6"/>
              <w:right w:val="nil"/>
            </w:tcBorders>
            <w:shd w:val="clear" w:color="auto" w:fill="002060"/>
            <w:hideMark/>
          </w:tcPr>
          <w:p w:rsidR="000E7C4C" w:rsidRDefault="003C3EA6">
            <w:pPr>
              <w:jc w:val="center"/>
              <w:rPr>
                <w:color w:val="FFFFFF"/>
                <w:sz w:val="20"/>
                <w:szCs w:val="22"/>
              </w:rPr>
            </w:pPr>
            <w:r>
              <w:rPr>
                <w:color w:val="FFFFFF"/>
                <w:sz w:val="20"/>
                <w:szCs w:val="22"/>
              </w:rPr>
              <w:t>Atitinkančių nustatytas ribines vertes oro kokybės vertinimo zonų skaičius</w:t>
            </w:r>
          </w:p>
        </w:tc>
        <w:tc>
          <w:tcPr>
            <w:tcW w:w="2784" w:type="dxa"/>
            <w:gridSpan w:val="4"/>
            <w:tcBorders>
              <w:top w:val="single" w:sz="4" w:space="0" w:color="A6A6A6" w:themeColor="background1" w:themeShade="A6"/>
              <w:left w:val="nil"/>
              <w:bottom w:val="single" w:sz="4" w:space="0" w:color="A6A6A6" w:themeColor="background1" w:themeShade="A6"/>
              <w:right w:val="nil"/>
            </w:tcBorders>
            <w:shd w:val="clear" w:color="auto" w:fill="002060"/>
            <w:hideMark/>
          </w:tcPr>
          <w:p w:rsidR="000E7C4C" w:rsidRDefault="003C3EA6">
            <w:pPr>
              <w:jc w:val="center"/>
              <w:rPr>
                <w:color w:val="FFFFFF"/>
                <w:sz w:val="20"/>
                <w:szCs w:val="22"/>
              </w:rPr>
            </w:pPr>
            <w:r>
              <w:rPr>
                <w:color w:val="FFFFFF"/>
                <w:sz w:val="20"/>
                <w:szCs w:val="22"/>
              </w:rPr>
              <w:t>Oro kokybės vertinimo zonų skaičius iš viso</w:t>
            </w:r>
          </w:p>
        </w:tc>
      </w:tr>
      <w:tr w:rsidR="000E7C4C">
        <w:tc>
          <w:tcPr>
            <w:tcW w:w="0" w:type="auto"/>
            <w:vMerge/>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0E7C4C">
            <w:pPr>
              <w:rPr>
                <w:color w:val="FFFFFF"/>
                <w:sz w:val="20"/>
                <w:szCs w:val="21"/>
              </w:rPr>
            </w:pPr>
          </w:p>
        </w:tc>
        <w:tc>
          <w:tcPr>
            <w:tcW w:w="737" w:type="dxa"/>
            <w:tcBorders>
              <w:top w:val="single" w:sz="4" w:space="0" w:color="A6A6A6" w:themeColor="background1" w:themeShade="A6"/>
              <w:left w:val="nil"/>
              <w:bottom w:val="single" w:sz="4" w:space="0" w:color="A6A6A6" w:themeColor="background1" w:themeShade="A6"/>
              <w:right w:val="nil"/>
            </w:tcBorders>
            <w:shd w:val="clear" w:color="auto" w:fill="0F243E" w:themeFill="text2" w:themeFillShade="80"/>
            <w:hideMark/>
          </w:tcPr>
          <w:p w:rsidR="000E7C4C" w:rsidRDefault="003C3EA6">
            <w:pPr>
              <w:rPr>
                <w:color w:val="FFFFFF"/>
                <w:sz w:val="20"/>
                <w:szCs w:val="22"/>
              </w:rPr>
            </w:pPr>
            <w:r>
              <w:rPr>
                <w:color w:val="FFFFFF"/>
                <w:sz w:val="20"/>
                <w:szCs w:val="22"/>
              </w:rPr>
              <w:t>2005</w:t>
            </w:r>
          </w:p>
        </w:tc>
        <w:tc>
          <w:tcPr>
            <w:tcW w:w="696" w:type="dxa"/>
            <w:tcBorders>
              <w:top w:val="single" w:sz="4" w:space="0" w:color="A6A6A6" w:themeColor="background1" w:themeShade="A6"/>
              <w:left w:val="nil"/>
              <w:bottom w:val="single" w:sz="4" w:space="0" w:color="A6A6A6" w:themeColor="background1" w:themeShade="A6"/>
              <w:right w:val="nil"/>
            </w:tcBorders>
            <w:shd w:val="clear" w:color="auto" w:fill="0F243E" w:themeFill="text2" w:themeFillShade="80"/>
            <w:hideMark/>
          </w:tcPr>
          <w:p w:rsidR="000E7C4C" w:rsidRDefault="003C3EA6">
            <w:pPr>
              <w:rPr>
                <w:color w:val="FFFFFF"/>
                <w:sz w:val="20"/>
                <w:szCs w:val="22"/>
              </w:rPr>
            </w:pPr>
            <w:r>
              <w:rPr>
                <w:color w:val="FFFFFF"/>
                <w:sz w:val="20"/>
                <w:szCs w:val="22"/>
              </w:rPr>
              <w:t>2020</w:t>
            </w:r>
          </w:p>
        </w:tc>
        <w:tc>
          <w:tcPr>
            <w:tcW w:w="696" w:type="dxa"/>
            <w:tcBorders>
              <w:top w:val="single" w:sz="4" w:space="0" w:color="A6A6A6" w:themeColor="background1" w:themeShade="A6"/>
              <w:left w:val="nil"/>
              <w:bottom w:val="single" w:sz="4" w:space="0" w:color="A6A6A6" w:themeColor="background1" w:themeShade="A6"/>
              <w:right w:val="nil"/>
            </w:tcBorders>
            <w:shd w:val="clear" w:color="auto" w:fill="0F243E" w:themeFill="text2" w:themeFillShade="80"/>
            <w:hideMark/>
          </w:tcPr>
          <w:p w:rsidR="000E7C4C" w:rsidRDefault="003C3EA6">
            <w:pPr>
              <w:rPr>
                <w:color w:val="FFFFFF"/>
                <w:sz w:val="20"/>
                <w:szCs w:val="22"/>
              </w:rPr>
            </w:pPr>
            <w:r>
              <w:rPr>
                <w:color w:val="FFFFFF"/>
                <w:sz w:val="20"/>
                <w:szCs w:val="22"/>
              </w:rPr>
              <w:t>2025</w:t>
            </w:r>
          </w:p>
        </w:tc>
        <w:tc>
          <w:tcPr>
            <w:tcW w:w="696" w:type="dxa"/>
            <w:tcBorders>
              <w:top w:val="single" w:sz="4" w:space="0" w:color="A6A6A6" w:themeColor="background1" w:themeShade="A6"/>
              <w:left w:val="nil"/>
              <w:bottom w:val="single" w:sz="4" w:space="0" w:color="A6A6A6" w:themeColor="background1" w:themeShade="A6"/>
              <w:right w:val="nil"/>
            </w:tcBorders>
            <w:shd w:val="clear" w:color="auto" w:fill="0F243E" w:themeFill="text2" w:themeFillShade="80"/>
            <w:hideMark/>
          </w:tcPr>
          <w:p w:rsidR="000E7C4C" w:rsidRDefault="003C3EA6">
            <w:pPr>
              <w:rPr>
                <w:color w:val="FFFFFF"/>
                <w:sz w:val="20"/>
                <w:szCs w:val="22"/>
              </w:rPr>
            </w:pPr>
            <w:r>
              <w:rPr>
                <w:color w:val="FFFFFF"/>
                <w:sz w:val="20"/>
                <w:szCs w:val="22"/>
              </w:rPr>
              <w:t>2030</w:t>
            </w:r>
          </w:p>
        </w:tc>
        <w:tc>
          <w:tcPr>
            <w:tcW w:w="616" w:type="dxa"/>
            <w:tcBorders>
              <w:top w:val="single" w:sz="4" w:space="0" w:color="A6A6A6" w:themeColor="background1" w:themeShade="A6"/>
              <w:left w:val="nil"/>
              <w:bottom w:val="single" w:sz="4" w:space="0" w:color="A6A6A6" w:themeColor="background1" w:themeShade="A6"/>
              <w:right w:val="nil"/>
            </w:tcBorders>
            <w:shd w:val="clear" w:color="auto" w:fill="0F243E" w:themeFill="text2" w:themeFillShade="80"/>
            <w:hideMark/>
          </w:tcPr>
          <w:p w:rsidR="000E7C4C" w:rsidRDefault="003C3EA6">
            <w:pPr>
              <w:rPr>
                <w:color w:val="FFFFFF"/>
                <w:sz w:val="20"/>
                <w:szCs w:val="22"/>
              </w:rPr>
            </w:pPr>
            <w:r>
              <w:rPr>
                <w:color w:val="FFFFFF"/>
                <w:sz w:val="20"/>
                <w:szCs w:val="22"/>
              </w:rPr>
              <w:t>2005</w:t>
            </w:r>
          </w:p>
        </w:tc>
        <w:tc>
          <w:tcPr>
            <w:tcW w:w="696" w:type="dxa"/>
            <w:tcBorders>
              <w:top w:val="single" w:sz="4" w:space="0" w:color="A6A6A6" w:themeColor="background1" w:themeShade="A6"/>
              <w:left w:val="nil"/>
              <w:bottom w:val="single" w:sz="4" w:space="0" w:color="A6A6A6" w:themeColor="background1" w:themeShade="A6"/>
              <w:right w:val="nil"/>
            </w:tcBorders>
            <w:shd w:val="clear" w:color="auto" w:fill="0F243E" w:themeFill="text2" w:themeFillShade="80"/>
            <w:hideMark/>
          </w:tcPr>
          <w:p w:rsidR="000E7C4C" w:rsidRDefault="003C3EA6">
            <w:pPr>
              <w:rPr>
                <w:color w:val="FFFFFF"/>
                <w:sz w:val="20"/>
                <w:szCs w:val="22"/>
              </w:rPr>
            </w:pPr>
            <w:r>
              <w:rPr>
                <w:color w:val="FFFFFF"/>
                <w:sz w:val="20"/>
                <w:szCs w:val="22"/>
              </w:rPr>
              <w:t>2020</w:t>
            </w:r>
          </w:p>
        </w:tc>
        <w:tc>
          <w:tcPr>
            <w:tcW w:w="696" w:type="dxa"/>
            <w:tcBorders>
              <w:top w:val="single" w:sz="4" w:space="0" w:color="A6A6A6" w:themeColor="background1" w:themeShade="A6"/>
              <w:left w:val="nil"/>
              <w:bottom w:val="single" w:sz="4" w:space="0" w:color="A6A6A6" w:themeColor="background1" w:themeShade="A6"/>
              <w:right w:val="nil"/>
            </w:tcBorders>
            <w:shd w:val="clear" w:color="auto" w:fill="0F243E" w:themeFill="text2" w:themeFillShade="80"/>
            <w:hideMark/>
          </w:tcPr>
          <w:p w:rsidR="000E7C4C" w:rsidRDefault="003C3EA6">
            <w:pPr>
              <w:rPr>
                <w:color w:val="FFFFFF"/>
                <w:sz w:val="20"/>
                <w:szCs w:val="22"/>
              </w:rPr>
            </w:pPr>
            <w:r>
              <w:rPr>
                <w:color w:val="FFFFFF"/>
                <w:sz w:val="20"/>
                <w:szCs w:val="22"/>
              </w:rPr>
              <w:t>2025</w:t>
            </w:r>
          </w:p>
        </w:tc>
        <w:tc>
          <w:tcPr>
            <w:tcW w:w="696" w:type="dxa"/>
            <w:tcBorders>
              <w:top w:val="single" w:sz="4" w:space="0" w:color="A6A6A6" w:themeColor="background1" w:themeShade="A6"/>
              <w:left w:val="nil"/>
              <w:bottom w:val="single" w:sz="4" w:space="0" w:color="A6A6A6" w:themeColor="background1" w:themeShade="A6"/>
              <w:right w:val="nil"/>
            </w:tcBorders>
            <w:shd w:val="clear" w:color="auto" w:fill="0F243E" w:themeFill="text2" w:themeFillShade="80"/>
            <w:hideMark/>
          </w:tcPr>
          <w:p w:rsidR="000E7C4C" w:rsidRDefault="003C3EA6">
            <w:pPr>
              <w:rPr>
                <w:color w:val="FFFFFF"/>
                <w:sz w:val="20"/>
                <w:szCs w:val="22"/>
              </w:rPr>
            </w:pPr>
            <w:r>
              <w:rPr>
                <w:color w:val="FFFFFF"/>
                <w:sz w:val="20"/>
                <w:szCs w:val="22"/>
              </w:rPr>
              <w:t>2030</w:t>
            </w:r>
          </w:p>
        </w:tc>
        <w:tc>
          <w:tcPr>
            <w:tcW w:w="696" w:type="dxa"/>
            <w:tcBorders>
              <w:top w:val="single" w:sz="4" w:space="0" w:color="A6A6A6" w:themeColor="background1" w:themeShade="A6"/>
              <w:left w:val="nil"/>
              <w:bottom w:val="single" w:sz="4" w:space="0" w:color="A6A6A6" w:themeColor="background1" w:themeShade="A6"/>
              <w:right w:val="nil"/>
            </w:tcBorders>
            <w:shd w:val="clear" w:color="auto" w:fill="0F243E" w:themeFill="text2" w:themeFillShade="80"/>
            <w:hideMark/>
          </w:tcPr>
          <w:p w:rsidR="000E7C4C" w:rsidRDefault="003C3EA6">
            <w:pPr>
              <w:rPr>
                <w:color w:val="FFFFFF"/>
                <w:sz w:val="20"/>
                <w:szCs w:val="22"/>
              </w:rPr>
            </w:pPr>
            <w:r>
              <w:rPr>
                <w:color w:val="FFFFFF"/>
                <w:sz w:val="20"/>
                <w:szCs w:val="22"/>
              </w:rPr>
              <w:t>2005</w:t>
            </w:r>
          </w:p>
        </w:tc>
        <w:tc>
          <w:tcPr>
            <w:tcW w:w="696" w:type="dxa"/>
            <w:tcBorders>
              <w:top w:val="single" w:sz="4" w:space="0" w:color="A6A6A6" w:themeColor="background1" w:themeShade="A6"/>
              <w:left w:val="nil"/>
              <w:bottom w:val="single" w:sz="4" w:space="0" w:color="A6A6A6" w:themeColor="background1" w:themeShade="A6"/>
              <w:right w:val="nil"/>
            </w:tcBorders>
            <w:shd w:val="clear" w:color="auto" w:fill="0F243E" w:themeFill="text2" w:themeFillShade="80"/>
            <w:hideMark/>
          </w:tcPr>
          <w:p w:rsidR="000E7C4C" w:rsidRDefault="003C3EA6">
            <w:pPr>
              <w:rPr>
                <w:color w:val="FFFFFF"/>
                <w:sz w:val="20"/>
                <w:szCs w:val="22"/>
              </w:rPr>
            </w:pPr>
            <w:r>
              <w:rPr>
                <w:color w:val="FFFFFF"/>
                <w:sz w:val="20"/>
                <w:szCs w:val="22"/>
              </w:rPr>
              <w:t>2020</w:t>
            </w:r>
          </w:p>
        </w:tc>
        <w:tc>
          <w:tcPr>
            <w:tcW w:w="696" w:type="dxa"/>
            <w:tcBorders>
              <w:top w:val="single" w:sz="4" w:space="0" w:color="A6A6A6" w:themeColor="background1" w:themeShade="A6"/>
              <w:left w:val="nil"/>
              <w:bottom w:val="single" w:sz="4" w:space="0" w:color="A6A6A6" w:themeColor="background1" w:themeShade="A6"/>
              <w:right w:val="nil"/>
            </w:tcBorders>
            <w:shd w:val="clear" w:color="auto" w:fill="0F243E" w:themeFill="text2" w:themeFillShade="80"/>
            <w:hideMark/>
          </w:tcPr>
          <w:p w:rsidR="000E7C4C" w:rsidRDefault="003C3EA6">
            <w:pPr>
              <w:rPr>
                <w:color w:val="FFFFFF"/>
                <w:sz w:val="20"/>
                <w:szCs w:val="22"/>
              </w:rPr>
            </w:pPr>
            <w:r>
              <w:rPr>
                <w:color w:val="FFFFFF"/>
                <w:sz w:val="20"/>
                <w:szCs w:val="22"/>
              </w:rPr>
              <w:t>2025</w:t>
            </w:r>
          </w:p>
        </w:tc>
        <w:tc>
          <w:tcPr>
            <w:tcW w:w="696" w:type="dxa"/>
            <w:tcBorders>
              <w:top w:val="single" w:sz="4" w:space="0" w:color="A6A6A6" w:themeColor="background1" w:themeShade="A6"/>
              <w:left w:val="nil"/>
              <w:bottom w:val="single" w:sz="4" w:space="0" w:color="A6A6A6" w:themeColor="background1" w:themeShade="A6"/>
              <w:right w:val="nil"/>
            </w:tcBorders>
            <w:shd w:val="clear" w:color="auto" w:fill="0F243E" w:themeFill="text2" w:themeFillShade="80"/>
            <w:hideMark/>
          </w:tcPr>
          <w:p w:rsidR="000E7C4C" w:rsidRDefault="003C3EA6">
            <w:pPr>
              <w:rPr>
                <w:color w:val="FFFFFF"/>
                <w:sz w:val="20"/>
                <w:szCs w:val="22"/>
              </w:rPr>
            </w:pPr>
            <w:r>
              <w:rPr>
                <w:color w:val="FFFFFF"/>
                <w:sz w:val="20"/>
                <w:szCs w:val="22"/>
              </w:rPr>
              <w:t>2030</w:t>
            </w:r>
          </w:p>
        </w:tc>
      </w:tr>
      <w:tr w:rsidR="000E7C4C">
        <w:tc>
          <w:tcPr>
            <w:tcW w:w="1384" w:type="dxa"/>
            <w:tcBorders>
              <w:top w:val="single" w:sz="4" w:space="0" w:color="A6A6A6" w:themeColor="background1" w:themeShade="A6"/>
              <w:left w:val="nil"/>
              <w:bottom w:val="single" w:sz="4" w:space="0" w:color="A6A6A6" w:themeColor="background1" w:themeShade="A6"/>
              <w:right w:val="nil"/>
            </w:tcBorders>
            <w:hideMark/>
          </w:tcPr>
          <w:p w:rsidR="000E7C4C" w:rsidRDefault="003C3EA6">
            <w:pPr>
              <w:rPr>
                <w:color w:val="000000"/>
                <w:sz w:val="20"/>
                <w:szCs w:val="22"/>
              </w:rPr>
            </w:pPr>
            <w:r>
              <w:rPr>
                <w:sz w:val="20"/>
                <w:szCs w:val="22"/>
              </w:rPr>
              <w:t>KD</w:t>
            </w:r>
            <w:r>
              <w:rPr>
                <w:sz w:val="20"/>
                <w:szCs w:val="22"/>
                <w:vertAlign w:val="subscript"/>
              </w:rPr>
              <w:t>2,5</w:t>
            </w:r>
            <w:r>
              <w:rPr>
                <w:sz w:val="20"/>
                <w:szCs w:val="22"/>
              </w:rPr>
              <w:t xml:space="preserve"> </w:t>
            </w:r>
            <w:r>
              <w:rPr>
                <w:sz w:val="20"/>
                <w:szCs w:val="22"/>
              </w:rPr>
              <w:br/>
              <w:t>(1 metų)</w:t>
            </w:r>
          </w:p>
        </w:tc>
        <w:tc>
          <w:tcPr>
            <w:tcW w:w="737"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0</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0</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0</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0</w:t>
            </w:r>
          </w:p>
        </w:tc>
        <w:tc>
          <w:tcPr>
            <w:tcW w:w="61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r>
      <w:tr w:rsidR="000E7C4C">
        <w:tc>
          <w:tcPr>
            <w:tcW w:w="1384" w:type="dxa"/>
            <w:tcBorders>
              <w:top w:val="single" w:sz="4" w:space="0" w:color="A6A6A6" w:themeColor="background1" w:themeShade="A6"/>
              <w:left w:val="nil"/>
              <w:bottom w:val="single" w:sz="4" w:space="0" w:color="A6A6A6" w:themeColor="background1" w:themeShade="A6"/>
              <w:right w:val="nil"/>
            </w:tcBorders>
            <w:hideMark/>
          </w:tcPr>
          <w:p w:rsidR="000E7C4C" w:rsidRDefault="003C3EA6">
            <w:pPr>
              <w:rPr>
                <w:sz w:val="20"/>
                <w:szCs w:val="22"/>
              </w:rPr>
            </w:pPr>
            <w:r>
              <w:rPr>
                <w:sz w:val="20"/>
                <w:szCs w:val="22"/>
              </w:rPr>
              <w:t>NO</w:t>
            </w:r>
            <w:r>
              <w:rPr>
                <w:sz w:val="20"/>
                <w:szCs w:val="22"/>
                <w:vertAlign w:val="subscript"/>
              </w:rPr>
              <w:t>2</w:t>
            </w:r>
            <w:r>
              <w:rPr>
                <w:sz w:val="20"/>
                <w:szCs w:val="22"/>
              </w:rPr>
              <w:t xml:space="preserve"> </w:t>
            </w:r>
            <w:r>
              <w:rPr>
                <w:sz w:val="20"/>
                <w:szCs w:val="22"/>
              </w:rPr>
              <w:br/>
              <w:t>(1 metų)</w:t>
            </w:r>
          </w:p>
        </w:tc>
        <w:tc>
          <w:tcPr>
            <w:tcW w:w="737"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0</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0</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0</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0</w:t>
            </w:r>
          </w:p>
        </w:tc>
        <w:tc>
          <w:tcPr>
            <w:tcW w:w="61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r>
      <w:tr w:rsidR="000E7C4C">
        <w:tc>
          <w:tcPr>
            <w:tcW w:w="1384" w:type="dxa"/>
            <w:tcBorders>
              <w:top w:val="single" w:sz="4" w:space="0" w:color="A6A6A6" w:themeColor="background1" w:themeShade="A6"/>
              <w:left w:val="nil"/>
              <w:bottom w:val="single" w:sz="4" w:space="0" w:color="A6A6A6" w:themeColor="background1" w:themeShade="A6"/>
              <w:right w:val="nil"/>
            </w:tcBorders>
            <w:hideMark/>
          </w:tcPr>
          <w:p w:rsidR="000E7C4C" w:rsidRDefault="003C3EA6">
            <w:pPr>
              <w:rPr>
                <w:sz w:val="20"/>
                <w:szCs w:val="22"/>
              </w:rPr>
            </w:pPr>
            <w:r>
              <w:rPr>
                <w:sz w:val="20"/>
                <w:szCs w:val="22"/>
              </w:rPr>
              <w:t>KD</w:t>
            </w:r>
            <w:r>
              <w:rPr>
                <w:sz w:val="20"/>
                <w:szCs w:val="22"/>
                <w:vertAlign w:val="subscript"/>
              </w:rPr>
              <w:t>10</w:t>
            </w:r>
            <w:r>
              <w:rPr>
                <w:sz w:val="20"/>
                <w:szCs w:val="22"/>
              </w:rPr>
              <w:t xml:space="preserve"> </w:t>
            </w:r>
            <w:r>
              <w:rPr>
                <w:sz w:val="20"/>
                <w:szCs w:val="22"/>
              </w:rPr>
              <w:br/>
              <w:t>(1 metų)</w:t>
            </w:r>
          </w:p>
        </w:tc>
        <w:tc>
          <w:tcPr>
            <w:tcW w:w="737"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0</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0</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0</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0</w:t>
            </w:r>
          </w:p>
        </w:tc>
        <w:tc>
          <w:tcPr>
            <w:tcW w:w="61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r>
      <w:tr w:rsidR="000E7C4C">
        <w:tc>
          <w:tcPr>
            <w:tcW w:w="1384" w:type="dxa"/>
            <w:tcBorders>
              <w:top w:val="single" w:sz="4" w:space="0" w:color="A6A6A6" w:themeColor="background1" w:themeShade="A6"/>
              <w:left w:val="nil"/>
              <w:bottom w:val="single" w:sz="4" w:space="0" w:color="A6A6A6" w:themeColor="background1" w:themeShade="A6"/>
              <w:right w:val="nil"/>
            </w:tcBorders>
            <w:hideMark/>
          </w:tcPr>
          <w:p w:rsidR="000E7C4C" w:rsidRDefault="003C3EA6">
            <w:pPr>
              <w:rPr>
                <w:sz w:val="20"/>
                <w:szCs w:val="22"/>
              </w:rPr>
            </w:pPr>
            <w:r>
              <w:rPr>
                <w:sz w:val="20"/>
                <w:szCs w:val="22"/>
              </w:rPr>
              <w:t>O</w:t>
            </w:r>
            <w:r>
              <w:rPr>
                <w:sz w:val="20"/>
                <w:szCs w:val="22"/>
                <w:vertAlign w:val="subscript"/>
              </w:rPr>
              <w:t>3</w:t>
            </w:r>
            <w:r>
              <w:rPr>
                <w:sz w:val="20"/>
                <w:szCs w:val="22"/>
              </w:rPr>
              <w:t xml:space="preserve"> </w:t>
            </w:r>
            <w:r>
              <w:rPr>
                <w:sz w:val="20"/>
                <w:szCs w:val="22"/>
              </w:rPr>
              <w:br/>
              <w:t>(</w:t>
            </w:r>
            <w:proofErr w:type="spellStart"/>
            <w:r>
              <w:rPr>
                <w:sz w:val="20"/>
                <w:szCs w:val="22"/>
              </w:rPr>
              <w:t>max</w:t>
            </w:r>
            <w:proofErr w:type="spellEnd"/>
            <w:r>
              <w:rPr>
                <w:sz w:val="20"/>
                <w:szCs w:val="22"/>
              </w:rPr>
              <w:t xml:space="preserve"> 8 val. vidurkis)</w:t>
            </w:r>
          </w:p>
        </w:tc>
        <w:tc>
          <w:tcPr>
            <w:tcW w:w="737"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2</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0</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0</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0</w:t>
            </w:r>
          </w:p>
        </w:tc>
        <w:tc>
          <w:tcPr>
            <w:tcW w:w="61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1</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r>
      <w:tr w:rsidR="000E7C4C">
        <w:tc>
          <w:tcPr>
            <w:tcW w:w="1384" w:type="dxa"/>
            <w:tcBorders>
              <w:top w:val="single" w:sz="4" w:space="0" w:color="A6A6A6" w:themeColor="background1" w:themeShade="A6"/>
              <w:left w:val="nil"/>
              <w:bottom w:val="single" w:sz="4" w:space="0" w:color="A6A6A6" w:themeColor="background1" w:themeShade="A6"/>
              <w:right w:val="nil"/>
            </w:tcBorders>
            <w:hideMark/>
          </w:tcPr>
          <w:p w:rsidR="000E7C4C" w:rsidRDefault="003C3EA6">
            <w:pPr>
              <w:rPr>
                <w:sz w:val="20"/>
                <w:szCs w:val="22"/>
              </w:rPr>
            </w:pPr>
            <w:r>
              <w:rPr>
                <w:sz w:val="20"/>
                <w:szCs w:val="22"/>
              </w:rPr>
              <w:t>SO</w:t>
            </w:r>
            <w:r>
              <w:rPr>
                <w:sz w:val="20"/>
                <w:szCs w:val="22"/>
                <w:vertAlign w:val="subscript"/>
              </w:rPr>
              <w:t>2</w:t>
            </w:r>
            <w:r>
              <w:rPr>
                <w:sz w:val="20"/>
                <w:szCs w:val="22"/>
              </w:rPr>
              <w:t xml:space="preserve"> </w:t>
            </w:r>
            <w:r>
              <w:rPr>
                <w:sz w:val="20"/>
                <w:szCs w:val="22"/>
              </w:rPr>
              <w:br/>
              <w:t>(1 metų)</w:t>
            </w:r>
          </w:p>
        </w:tc>
        <w:tc>
          <w:tcPr>
            <w:tcW w:w="737"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0</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0</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0</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0</w:t>
            </w:r>
          </w:p>
        </w:tc>
        <w:tc>
          <w:tcPr>
            <w:tcW w:w="61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c>
          <w:tcPr>
            <w:tcW w:w="696" w:type="dxa"/>
            <w:tcBorders>
              <w:top w:val="single" w:sz="4" w:space="0" w:color="A6A6A6" w:themeColor="background1" w:themeShade="A6"/>
              <w:left w:val="nil"/>
              <w:bottom w:val="single" w:sz="4" w:space="0" w:color="A6A6A6" w:themeColor="background1" w:themeShade="A6"/>
              <w:right w:val="nil"/>
            </w:tcBorders>
            <w:vAlign w:val="center"/>
            <w:hideMark/>
          </w:tcPr>
          <w:p w:rsidR="000E7C4C" w:rsidRDefault="003C3EA6">
            <w:pPr>
              <w:jc w:val="center"/>
              <w:rPr>
                <w:sz w:val="20"/>
                <w:szCs w:val="22"/>
              </w:rPr>
            </w:pPr>
            <w:r>
              <w:rPr>
                <w:sz w:val="20"/>
                <w:szCs w:val="22"/>
              </w:rPr>
              <w:t>3</w:t>
            </w:r>
          </w:p>
        </w:tc>
      </w:tr>
    </w:tbl>
    <w:p w:rsidR="000E7C4C" w:rsidRDefault="003C3EA6">
      <w:pPr>
        <w:tabs>
          <w:tab w:val="left" w:pos="1296"/>
        </w:tabs>
        <w:jc w:val="center"/>
        <w:rPr>
          <w:color w:val="000000"/>
          <w:sz w:val="20"/>
          <w:szCs w:val="21"/>
        </w:rPr>
      </w:pPr>
      <w:r>
        <w:rPr>
          <w:sz w:val="20"/>
        </w:rPr>
        <w:t>(Duomenų šaltinis: sudaryta, remiantis AAA duomenimis)</w:t>
      </w:r>
    </w:p>
    <w:p w:rsidR="000E7C4C" w:rsidRDefault="000E7C4C"/>
    <w:p w:rsidR="000E7C4C" w:rsidRDefault="003C3EA6"/>
    <w:p w:rsidR="000E7C4C" w:rsidRDefault="003C3EA6">
      <w:pPr>
        <w:tabs>
          <w:tab w:val="left" w:pos="851"/>
        </w:tabs>
        <w:ind w:firstLine="567"/>
      </w:pPr>
      <w:r>
        <w:rPr>
          <w:color w:val="000000"/>
          <w:szCs w:val="21"/>
        </w:rPr>
        <w:t>25</w:t>
      </w:r>
      <w:r>
        <w:rPr>
          <w:color w:val="000000"/>
          <w:szCs w:val="21"/>
        </w:rPr>
        <w:t>.</w:t>
      </w:r>
      <w:r>
        <w:rPr>
          <w:color w:val="000000"/>
          <w:szCs w:val="21"/>
        </w:rPr>
        <w:tab/>
      </w:r>
      <w:r>
        <w:t>Atsižvelgiant į tai, jog 2005 m. neatitinkančių nustatytų ribinių verčių oro kokybės vertinimo zonų skaičius buvo 2 (neatitinkančių nustatytų ribinių verčių oro kokybės matavimo stočių skaičius buvo 5), o 2016 m. – 1 (neatitinkančių nustatytų ribinių verčių oro kokybės matavimo stočių skaičius buvo 1), t. y. atsižvelgiant į ankstesniu laikotarpiu padarytą pažangą mažinant O</w:t>
      </w:r>
      <w:r>
        <w:rPr>
          <w:vertAlign w:val="subscript"/>
        </w:rPr>
        <w:t>3</w:t>
      </w:r>
      <w:r>
        <w:t xml:space="preserve"> koncentraciją, prognozuojama, kad nuo 2020 m. tokių zonų ir stočių nebeliks.</w:t>
      </w:r>
    </w:p>
    <w:p w:rsidR="000E7C4C" w:rsidRDefault="003C3EA6"/>
    <w:p w:rsidR="000E7C4C" w:rsidRDefault="003C3EA6">
      <w:pPr>
        <w:jc w:val="center"/>
        <w:rPr>
          <w:lang w:val="en-US"/>
        </w:rPr>
      </w:pPr>
      <w:r>
        <w:t>____________________________</w:t>
      </w:r>
    </w:p>
    <w:p w:rsidR="000E7C4C" w:rsidRDefault="000E7C4C"/>
    <w:p w:rsidR="000E7C4C" w:rsidRDefault="003C3EA6">
      <w:pPr>
        <w:rPr>
          <w:sz w:val="18"/>
          <w:szCs w:val="18"/>
        </w:rPr>
      </w:pPr>
    </w:p>
    <w:p w:rsidR="003C3EA6" w:rsidRDefault="003C3EA6">
      <w:pPr>
        <w:keepNext/>
        <w:keepLines/>
        <w:ind w:left="7088"/>
        <w:outlineLvl w:val="1"/>
        <w:sectPr w:rsidR="003C3EA6" w:rsidSect="003C3EA6">
          <w:pgSz w:w="11906" w:h="16838"/>
          <w:pgMar w:top="1134" w:right="567" w:bottom="1134" w:left="1134" w:header="567" w:footer="567" w:gutter="0"/>
          <w:pgNumType w:start="1"/>
          <w:cols w:space="1296"/>
          <w:titlePg/>
          <w:docGrid w:linePitch="326"/>
        </w:sectPr>
      </w:pPr>
    </w:p>
    <w:p w:rsidR="000E7C4C" w:rsidRDefault="003C3EA6">
      <w:pPr>
        <w:keepNext/>
        <w:keepLines/>
        <w:ind w:left="7088"/>
        <w:outlineLvl w:val="1"/>
        <w:rPr>
          <w:bCs/>
          <w:color w:val="000000"/>
          <w:szCs w:val="24"/>
        </w:rPr>
      </w:pPr>
      <w:r>
        <w:rPr>
          <w:bCs/>
          <w:color w:val="000000"/>
          <w:szCs w:val="24"/>
        </w:rPr>
        <w:t xml:space="preserve">Nacionalinio oro taršos </w:t>
      </w:r>
    </w:p>
    <w:p w:rsidR="000E7C4C" w:rsidRDefault="003C3EA6">
      <w:pPr>
        <w:keepNext/>
        <w:keepLines/>
        <w:ind w:left="7088"/>
        <w:outlineLvl w:val="1"/>
        <w:rPr>
          <w:bCs/>
          <w:color w:val="000000"/>
          <w:szCs w:val="24"/>
        </w:rPr>
      </w:pPr>
      <w:r>
        <w:rPr>
          <w:bCs/>
          <w:color w:val="000000"/>
          <w:szCs w:val="24"/>
        </w:rPr>
        <w:t>mažinimo plano</w:t>
      </w:r>
    </w:p>
    <w:p w:rsidR="000E7C4C" w:rsidRDefault="003C3EA6">
      <w:pPr>
        <w:tabs>
          <w:tab w:val="num" w:pos="360"/>
        </w:tabs>
        <w:spacing w:line="360" w:lineRule="atLeast"/>
        <w:ind w:left="7088"/>
        <w:jc w:val="both"/>
        <w:rPr>
          <w:color w:val="000000"/>
          <w:szCs w:val="21"/>
        </w:rPr>
      </w:pPr>
      <w:r>
        <w:rPr>
          <w:color w:val="000000"/>
          <w:szCs w:val="21"/>
        </w:rPr>
        <w:t>11</w:t>
      </w:r>
      <w:r>
        <w:rPr>
          <w:color w:val="000000"/>
          <w:szCs w:val="21"/>
        </w:rPr>
        <w:t xml:space="preserve"> priedas</w:t>
      </w:r>
    </w:p>
    <w:p w:rsidR="000E7C4C" w:rsidRDefault="000E7C4C">
      <w:pPr>
        <w:rPr>
          <w:sz w:val="18"/>
          <w:szCs w:val="18"/>
        </w:rPr>
      </w:pPr>
    </w:p>
    <w:p w:rsidR="000E7C4C" w:rsidRDefault="003C3EA6">
      <w:pPr>
        <w:keepNext/>
        <w:keepLines/>
        <w:tabs>
          <w:tab w:val="num" w:pos="360"/>
        </w:tabs>
        <w:jc w:val="center"/>
        <w:outlineLvl w:val="1"/>
        <w:rPr>
          <w:b/>
          <w:bCs/>
          <w:color w:val="000000"/>
          <w:szCs w:val="24"/>
          <w:lang w:val="en-US"/>
        </w:rPr>
      </w:pPr>
      <w:r>
        <w:rPr>
          <w:b/>
          <w:bCs/>
          <w:color w:val="000000"/>
          <w:szCs w:val="24"/>
          <w:lang w:val="en-US"/>
        </w:rPr>
        <w:t>PAŽANGA, PADARYTA VYKDANT ESAMĄ POLITIKĄ IR TAIKANT DABARTINES PRIEMONES MAŽINANT TOLIMŲJŲ TARPVALSTYBINIŲ ORO TERŠALŲ PERNAŠŲ KONVENCIJOS SUNKIŲJŲ METALŲ IR PATVARIŲJŲ ORGANINIŲ TERŠALŲ PROTOKOLAIS REGULIUOJAMŲ TERŠALŲ IŠMETIMUS</w:t>
      </w:r>
    </w:p>
    <w:p w:rsidR="000E7C4C" w:rsidRDefault="000E7C4C">
      <w:pPr>
        <w:ind w:left="720"/>
        <w:jc w:val="both"/>
        <w:rPr>
          <w:color w:val="000000"/>
          <w:szCs w:val="21"/>
        </w:rPr>
      </w:pPr>
    </w:p>
    <w:p w:rsidR="000E7C4C" w:rsidRDefault="003C3EA6">
      <w:pPr>
        <w:tabs>
          <w:tab w:val="left" w:pos="851"/>
          <w:tab w:val="left" w:pos="5954"/>
        </w:tabs>
        <w:ind w:firstLine="567"/>
        <w:jc w:val="both"/>
        <w:rPr>
          <w:color w:val="000000"/>
          <w:szCs w:val="21"/>
        </w:rPr>
      </w:pPr>
      <w:r>
        <w:rPr>
          <w:color w:val="000000"/>
          <w:szCs w:val="21"/>
        </w:rPr>
        <w:t>1</w:t>
      </w:r>
      <w:r>
        <w:rPr>
          <w:color w:val="000000"/>
          <w:szCs w:val="21"/>
        </w:rPr>
        <w:t>.</w:t>
      </w:r>
      <w:r>
        <w:rPr>
          <w:color w:val="000000"/>
          <w:szCs w:val="21"/>
        </w:rPr>
        <w:tab/>
        <w:t xml:space="preserve">1979 m. Tolimųjų tarpvalstybinių oro teršalų pernašų konvencijos 1998 m. Sunkiųjų metalų protokolu ir 1998 m. Patvarių organinių teršalų protokolu reguliuojami teršalai (toliau – Kiti teršalai): sunkieji metalai (kadmis (toliau – </w:t>
      </w:r>
      <w:proofErr w:type="spellStart"/>
      <w:r>
        <w:rPr>
          <w:color w:val="000000"/>
          <w:szCs w:val="21"/>
        </w:rPr>
        <w:t>Cd</w:t>
      </w:r>
      <w:proofErr w:type="spellEnd"/>
      <w:r>
        <w:rPr>
          <w:color w:val="000000"/>
          <w:szCs w:val="21"/>
        </w:rPr>
        <w:t xml:space="preserve">), švinas (toliau – </w:t>
      </w:r>
      <w:proofErr w:type="spellStart"/>
      <w:r>
        <w:rPr>
          <w:color w:val="000000"/>
          <w:szCs w:val="21"/>
        </w:rPr>
        <w:t>Pb</w:t>
      </w:r>
      <w:proofErr w:type="spellEnd"/>
      <w:r>
        <w:rPr>
          <w:color w:val="000000"/>
          <w:szCs w:val="21"/>
        </w:rPr>
        <w:t xml:space="preserve">), gyvsidabris (toliau – </w:t>
      </w:r>
      <w:proofErr w:type="spellStart"/>
      <w:r>
        <w:rPr>
          <w:color w:val="000000"/>
          <w:szCs w:val="21"/>
        </w:rPr>
        <w:t>Hg</w:t>
      </w:r>
      <w:proofErr w:type="spellEnd"/>
      <w:r>
        <w:rPr>
          <w:color w:val="000000"/>
          <w:szCs w:val="21"/>
        </w:rPr>
        <w:t xml:space="preserve">)), patvarieji organiniai teršalai (policikliniai aromatiniai angliavandeniliai (PAH) – </w:t>
      </w:r>
      <w:proofErr w:type="spellStart"/>
      <w:r>
        <w:rPr>
          <w:color w:val="000000"/>
          <w:szCs w:val="21"/>
        </w:rPr>
        <w:t>benzo</w:t>
      </w:r>
      <w:proofErr w:type="spellEnd"/>
      <w:r>
        <w:rPr>
          <w:color w:val="000000"/>
          <w:szCs w:val="21"/>
        </w:rPr>
        <w:t>(a)</w:t>
      </w:r>
      <w:proofErr w:type="spellStart"/>
      <w:r>
        <w:rPr>
          <w:color w:val="000000"/>
          <w:szCs w:val="21"/>
        </w:rPr>
        <w:t>pirenas</w:t>
      </w:r>
      <w:proofErr w:type="spellEnd"/>
      <w:r>
        <w:rPr>
          <w:color w:val="000000"/>
          <w:szCs w:val="21"/>
        </w:rPr>
        <w:t xml:space="preserve">, </w:t>
      </w:r>
      <w:proofErr w:type="spellStart"/>
      <w:r>
        <w:rPr>
          <w:color w:val="000000"/>
          <w:szCs w:val="21"/>
        </w:rPr>
        <w:t>benzo</w:t>
      </w:r>
      <w:proofErr w:type="spellEnd"/>
      <w:r>
        <w:rPr>
          <w:color w:val="000000"/>
          <w:szCs w:val="21"/>
        </w:rPr>
        <w:t>(b)</w:t>
      </w:r>
      <w:proofErr w:type="spellStart"/>
      <w:r>
        <w:rPr>
          <w:color w:val="000000"/>
          <w:szCs w:val="21"/>
        </w:rPr>
        <w:t>fluorantenas</w:t>
      </w:r>
      <w:proofErr w:type="spellEnd"/>
      <w:r>
        <w:rPr>
          <w:color w:val="000000"/>
          <w:szCs w:val="21"/>
        </w:rPr>
        <w:t xml:space="preserve">, </w:t>
      </w:r>
      <w:proofErr w:type="spellStart"/>
      <w:r>
        <w:rPr>
          <w:color w:val="000000"/>
          <w:szCs w:val="21"/>
        </w:rPr>
        <w:t>benzo</w:t>
      </w:r>
      <w:proofErr w:type="spellEnd"/>
      <w:r>
        <w:rPr>
          <w:color w:val="000000"/>
          <w:szCs w:val="21"/>
        </w:rPr>
        <w:t>(k)</w:t>
      </w:r>
      <w:proofErr w:type="spellStart"/>
      <w:r>
        <w:rPr>
          <w:color w:val="000000"/>
          <w:szCs w:val="21"/>
        </w:rPr>
        <w:t>fluorantenas</w:t>
      </w:r>
      <w:proofErr w:type="spellEnd"/>
      <w:r>
        <w:rPr>
          <w:color w:val="000000"/>
          <w:szCs w:val="21"/>
        </w:rPr>
        <w:t xml:space="preserve">, </w:t>
      </w:r>
      <w:proofErr w:type="spellStart"/>
      <w:r>
        <w:rPr>
          <w:color w:val="000000"/>
          <w:szCs w:val="21"/>
        </w:rPr>
        <w:t>indeno</w:t>
      </w:r>
      <w:proofErr w:type="spellEnd"/>
      <w:r>
        <w:rPr>
          <w:color w:val="000000"/>
          <w:szCs w:val="21"/>
        </w:rPr>
        <w:t>(1,2,3-cd)</w:t>
      </w:r>
      <w:proofErr w:type="spellStart"/>
      <w:r>
        <w:rPr>
          <w:color w:val="000000"/>
          <w:szCs w:val="21"/>
        </w:rPr>
        <w:t>pirenas</w:t>
      </w:r>
      <w:proofErr w:type="spellEnd"/>
      <w:r>
        <w:rPr>
          <w:color w:val="000000"/>
          <w:szCs w:val="21"/>
        </w:rPr>
        <w:t>; dioksinai/</w:t>
      </w:r>
      <w:proofErr w:type="spellStart"/>
      <w:r>
        <w:rPr>
          <w:color w:val="000000"/>
          <w:szCs w:val="21"/>
        </w:rPr>
        <w:t>furanai</w:t>
      </w:r>
      <w:proofErr w:type="spellEnd"/>
      <w:r>
        <w:rPr>
          <w:color w:val="000000"/>
          <w:szCs w:val="21"/>
        </w:rPr>
        <w:t xml:space="preserve"> (PCDD/F) – </w:t>
      </w:r>
      <w:proofErr w:type="spellStart"/>
      <w:r>
        <w:rPr>
          <w:color w:val="000000"/>
          <w:szCs w:val="21"/>
        </w:rPr>
        <w:t>polichlordibenzo</w:t>
      </w:r>
      <w:proofErr w:type="spellEnd"/>
      <w:r>
        <w:rPr>
          <w:color w:val="000000"/>
          <w:szCs w:val="21"/>
        </w:rPr>
        <w:t xml:space="preserve">-p-dioksinai (PCDD) ir </w:t>
      </w:r>
      <w:proofErr w:type="spellStart"/>
      <w:r>
        <w:rPr>
          <w:color w:val="000000"/>
          <w:szCs w:val="21"/>
        </w:rPr>
        <w:t>polichlordibenzofueanai</w:t>
      </w:r>
      <w:proofErr w:type="spellEnd"/>
      <w:r>
        <w:rPr>
          <w:color w:val="000000"/>
          <w:szCs w:val="21"/>
        </w:rPr>
        <w:t xml:space="preserve"> (PCDF); </w:t>
      </w:r>
      <w:proofErr w:type="spellStart"/>
      <w:r>
        <w:rPr>
          <w:color w:val="000000"/>
          <w:szCs w:val="21"/>
        </w:rPr>
        <w:t>heksachlorbenzenas</w:t>
      </w:r>
      <w:proofErr w:type="spellEnd"/>
      <w:r>
        <w:rPr>
          <w:color w:val="000000"/>
          <w:szCs w:val="21"/>
        </w:rPr>
        <w:t>). Jų išmestas į aplinkos orą kiekis turi būti mažinamas ir neturi viršyti 1990 m. išmesto kiekio. Kaip matyti 1 lentelėje, visų teršalų išmetimai sumažėjo 1990–2015 m. laikotarpiu ir 2015 m. buvo mažesni nei 1990 m.</w:t>
      </w:r>
    </w:p>
    <w:p w:rsidR="000E7C4C" w:rsidRDefault="000E7C4C">
      <w:pPr>
        <w:jc w:val="both"/>
        <w:rPr>
          <w:color w:val="000000"/>
          <w:szCs w:val="21"/>
        </w:rPr>
      </w:pPr>
    </w:p>
    <w:p w:rsidR="000E7C4C" w:rsidRDefault="003C3EA6">
      <w:pPr>
        <w:jc w:val="both"/>
        <w:rPr>
          <w:color w:val="000000"/>
          <w:szCs w:val="24"/>
        </w:rPr>
      </w:pPr>
      <w:r>
        <w:rPr>
          <w:color w:val="000000"/>
          <w:szCs w:val="24"/>
        </w:rPr>
        <w:t>1 lentelė. Išmestų Kitų teršalų kiekio pokytis, lyginant 1990 ir 2015 m.</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194"/>
        <w:gridCol w:w="1232"/>
        <w:gridCol w:w="1161"/>
        <w:gridCol w:w="1343"/>
        <w:gridCol w:w="1737"/>
      </w:tblGrid>
      <w:tr w:rsidR="000E7C4C">
        <w:trPr>
          <w:tblHeader/>
        </w:trPr>
        <w:tc>
          <w:tcPr>
            <w:tcW w:w="4194" w:type="dxa"/>
            <w:vMerge w:val="restart"/>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ind w:firstLine="53"/>
              <w:jc w:val="center"/>
              <w:rPr>
                <w:color w:val="FFFFFF"/>
                <w:sz w:val="20"/>
              </w:rPr>
            </w:pPr>
            <w:r>
              <w:rPr>
                <w:color w:val="FFFFFF"/>
                <w:sz w:val="20"/>
                <w:lang w:eastAsia="lt-LT"/>
              </w:rPr>
              <w:t>Teršalo pavadinimas</w:t>
            </w:r>
          </w:p>
        </w:tc>
        <w:tc>
          <w:tcPr>
            <w:tcW w:w="1232" w:type="dxa"/>
            <w:vMerge w:val="restart"/>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bCs/>
                <w:color w:val="FFFFFF"/>
                <w:sz w:val="20"/>
                <w:lang w:eastAsia="en-GB"/>
              </w:rPr>
              <w:t>Matavimo vnt.</w:t>
            </w:r>
          </w:p>
        </w:tc>
        <w:tc>
          <w:tcPr>
            <w:tcW w:w="2504" w:type="dxa"/>
            <w:gridSpan w:val="2"/>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bCs/>
                <w:color w:val="FFFFFF"/>
                <w:sz w:val="20"/>
                <w:lang w:eastAsia="en-GB"/>
              </w:rPr>
              <w:t>Išmetimai</w:t>
            </w:r>
          </w:p>
        </w:tc>
        <w:tc>
          <w:tcPr>
            <w:tcW w:w="1737" w:type="dxa"/>
            <w:vMerge w:val="restart"/>
            <w:tcBorders>
              <w:top w:val="single" w:sz="4" w:space="0" w:color="auto"/>
              <w:left w:val="single" w:sz="4" w:space="0" w:color="auto"/>
              <w:bottom w:val="single" w:sz="4" w:space="0" w:color="auto"/>
              <w:right w:val="single" w:sz="4" w:space="0" w:color="auto"/>
            </w:tcBorders>
            <w:shd w:val="clear" w:color="auto" w:fill="002060"/>
            <w:hideMark/>
          </w:tcPr>
          <w:p w:rsidR="000E7C4C" w:rsidRDefault="003C3EA6">
            <w:pPr>
              <w:jc w:val="center"/>
              <w:rPr>
                <w:bCs/>
                <w:color w:val="FFFFFF"/>
                <w:sz w:val="20"/>
                <w:lang w:eastAsia="en-GB"/>
              </w:rPr>
            </w:pPr>
            <w:r>
              <w:rPr>
                <w:bCs/>
                <w:color w:val="FFFFFF"/>
                <w:sz w:val="20"/>
                <w:lang w:eastAsia="en-GB"/>
              </w:rPr>
              <w:t xml:space="preserve">Pokytis </w:t>
            </w:r>
          </w:p>
          <w:p w:rsidR="000E7C4C" w:rsidRDefault="003C3EA6">
            <w:pPr>
              <w:jc w:val="center"/>
              <w:rPr>
                <w:bCs/>
                <w:color w:val="FFFFFF"/>
                <w:sz w:val="20"/>
                <w:lang w:eastAsia="en-GB"/>
              </w:rPr>
            </w:pPr>
            <w:r>
              <w:rPr>
                <w:bCs/>
                <w:color w:val="FFFFFF"/>
                <w:sz w:val="20"/>
                <w:lang w:eastAsia="en-GB"/>
              </w:rPr>
              <w:t>1990-2015</w:t>
            </w:r>
          </w:p>
        </w:tc>
      </w:tr>
      <w:tr w:rsidR="000E7C4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color w:val="FFFFFF"/>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bCs/>
                <w:color w:val="FFFFFF"/>
                <w:sz w:val="20"/>
                <w:lang w:eastAsia="en-GB"/>
              </w:rPr>
            </w:pPr>
          </w:p>
        </w:tc>
        <w:tc>
          <w:tcPr>
            <w:tcW w:w="1161"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0E7C4C" w:rsidRDefault="003C3EA6">
            <w:pPr>
              <w:jc w:val="center"/>
              <w:rPr>
                <w:color w:val="FFFFFF"/>
                <w:sz w:val="20"/>
                <w:lang w:eastAsia="lt-LT"/>
              </w:rPr>
            </w:pPr>
            <w:r>
              <w:rPr>
                <w:color w:val="FFFFFF"/>
                <w:sz w:val="20"/>
                <w:lang w:eastAsia="lt-LT"/>
              </w:rPr>
              <w:t>1990</w:t>
            </w:r>
          </w:p>
        </w:tc>
        <w:tc>
          <w:tcPr>
            <w:tcW w:w="1343"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0E7C4C" w:rsidRDefault="003C3EA6">
            <w:pPr>
              <w:jc w:val="center"/>
              <w:rPr>
                <w:color w:val="FFFFFF"/>
                <w:sz w:val="20"/>
                <w:lang w:eastAsia="lt-LT"/>
              </w:rPr>
            </w:pPr>
            <w:r>
              <w:rPr>
                <w:color w:val="FFFFFF"/>
                <w:sz w:val="20"/>
                <w:lang w:eastAsia="lt-LT"/>
              </w:rPr>
              <w:t>2015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bCs/>
                <w:color w:val="FFFFFF"/>
                <w:sz w:val="20"/>
                <w:lang w:eastAsia="en-GB"/>
              </w:rPr>
            </w:pPr>
          </w:p>
        </w:tc>
      </w:tr>
      <w:tr w:rsidR="000E7C4C">
        <w:tc>
          <w:tcPr>
            <w:tcW w:w="419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proofErr w:type="spellStart"/>
            <w:r>
              <w:rPr>
                <w:color w:val="000000"/>
                <w:sz w:val="20"/>
                <w:lang w:eastAsia="lt-LT"/>
              </w:rPr>
              <w:t>Cd</w:t>
            </w:r>
            <w:proofErr w:type="spellEnd"/>
          </w:p>
        </w:tc>
        <w:tc>
          <w:tcPr>
            <w:tcW w:w="123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t</w:t>
            </w:r>
          </w:p>
        </w:tc>
        <w:tc>
          <w:tcPr>
            <w:tcW w:w="1161"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0,355</w:t>
            </w:r>
          </w:p>
        </w:tc>
        <w:tc>
          <w:tcPr>
            <w:tcW w:w="1343"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0,353</w:t>
            </w:r>
          </w:p>
        </w:tc>
        <w:tc>
          <w:tcPr>
            <w:tcW w:w="1737"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rPr>
            </w:pPr>
            <w:r>
              <w:rPr>
                <w:color w:val="000000"/>
                <w:sz w:val="20"/>
              </w:rPr>
              <w:t>-0,6%</w:t>
            </w:r>
          </w:p>
        </w:tc>
      </w:tr>
      <w:tr w:rsidR="000E7C4C">
        <w:tc>
          <w:tcPr>
            <w:tcW w:w="419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proofErr w:type="spellStart"/>
            <w:r>
              <w:rPr>
                <w:color w:val="000000"/>
                <w:sz w:val="20"/>
                <w:lang w:eastAsia="lt-LT"/>
              </w:rPr>
              <w:t>Pb</w:t>
            </w:r>
            <w:proofErr w:type="spellEnd"/>
          </w:p>
        </w:tc>
        <w:tc>
          <w:tcPr>
            <w:tcW w:w="123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t</w:t>
            </w:r>
          </w:p>
        </w:tc>
        <w:tc>
          <w:tcPr>
            <w:tcW w:w="1161"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150,352</w:t>
            </w:r>
          </w:p>
        </w:tc>
        <w:tc>
          <w:tcPr>
            <w:tcW w:w="1343"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4,090</w:t>
            </w:r>
          </w:p>
        </w:tc>
        <w:tc>
          <w:tcPr>
            <w:tcW w:w="1737"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rPr>
            </w:pPr>
            <w:r>
              <w:rPr>
                <w:color w:val="000000"/>
                <w:sz w:val="20"/>
              </w:rPr>
              <w:t>-97,3%</w:t>
            </w:r>
          </w:p>
        </w:tc>
      </w:tr>
      <w:tr w:rsidR="000E7C4C">
        <w:tc>
          <w:tcPr>
            <w:tcW w:w="419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proofErr w:type="spellStart"/>
            <w:r>
              <w:rPr>
                <w:color w:val="000000"/>
                <w:sz w:val="20"/>
                <w:lang w:eastAsia="lt-LT"/>
              </w:rPr>
              <w:t>Hg</w:t>
            </w:r>
            <w:proofErr w:type="spellEnd"/>
          </w:p>
        </w:tc>
        <w:tc>
          <w:tcPr>
            <w:tcW w:w="123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t</w:t>
            </w:r>
          </w:p>
        </w:tc>
        <w:tc>
          <w:tcPr>
            <w:tcW w:w="1161"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0,618</w:t>
            </w:r>
          </w:p>
        </w:tc>
        <w:tc>
          <w:tcPr>
            <w:tcW w:w="1343"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0,229</w:t>
            </w:r>
          </w:p>
        </w:tc>
        <w:tc>
          <w:tcPr>
            <w:tcW w:w="1737"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rPr>
            </w:pPr>
            <w:r>
              <w:rPr>
                <w:color w:val="000000"/>
                <w:sz w:val="20"/>
              </w:rPr>
              <w:t>-62,9%</w:t>
            </w:r>
          </w:p>
        </w:tc>
      </w:tr>
      <w:tr w:rsidR="000E7C4C">
        <w:tc>
          <w:tcPr>
            <w:tcW w:w="419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proofErr w:type="spellStart"/>
            <w:r>
              <w:rPr>
                <w:color w:val="000000"/>
                <w:sz w:val="20"/>
                <w:lang w:eastAsia="lt-LT"/>
              </w:rPr>
              <w:t>Benzo</w:t>
            </w:r>
            <w:proofErr w:type="spellEnd"/>
            <w:r>
              <w:rPr>
                <w:color w:val="000000"/>
                <w:sz w:val="20"/>
                <w:lang w:eastAsia="lt-LT"/>
              </w:rPr>
              <w:t>(a)</w:t>
            </w:r>
            <w:proofErr w:type="spellStart"/>
            <w:r>
              <w:rPr>
                <w:color w:val="000000"/>
                <w:sz w:val="20"/>
                <w:lang w:eastAsia="lt-LT"/>
              </w:rPr>
              <w:t>pirenas</w:t>
            </w:r>
            <w:proofErr w:type="spellEnd"/>
          </w:p>
        </w:tc>
        <w:tc>
          <w:tcPr>
            <w:tcW w:w="123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t</w:t>
            </w:r>
          </w:p>
        </w:tc>
        <w:tc>
          <w:tcPr>
            <w:tcW w:w="1161"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5,507</w:t>
            </w:r>
          </w:p>
        </w:tc>
        <w:tc>
          <w:tcPr>
            <w:tcW w:w="1343"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3,405</w:t>
            </w:r>
          </w:p>
        </w:tc>
        <w:tc>
          <w:tcPr>
            <w:tcW w:w="1737"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rPr>
            </w:pPr>
            <w:r>
              <w:rPr>
                <w:color w:val="000000"/>
                <w:sz w:val="20"/>
              </w:rPr>
              <w:t>-38,2%</w:t>
            </w:r>
          </w:p>
        </w:tc>
      </w:tr>
      <w:tr w:rsidR="000E7C4C">
        <w:tc>
          <w:tcPr>
            <w:tcW w:w="419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proofErr w:type="spellStart"/>
            <w:r>
              <w:rPr>
                <w:color w:val="000000"/>
                <w:sz w:val="20"/>
                <w:lang w:eastAsia="lt-LT"/>
              </w:rPr>
              <w:t>Benzo</w:t>
            </w:r>
            <w:proofErr w:type="spellEnd"/>
            <w:r>
              <w:rPr>
                <w:color w:val="000000"/>
                <w:sz w:val="20"/>
                <w:lang w:eastAsia="lt-LT"/>
              </w:rPr>
              <w:t>(b)</w:t>
            </w:r>
            <w:proofErr w:type="spellStart"/>
            <w:r>
              <w:rPr>
                <w:color w:val="000000"/>
                <w:sz w:val="20"/>
                <w:lang w:eastAsia="lt-LT"/>
              </w:rPr>
              <w:t>fluorantenas</w:t>
            </w:r>
            <w:proofErr w:type="spellEnd"/>
          </w:p>
        </w:tc>
        <w:tc>
          <w:tcPr>
            <w:tcW w:w="123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t</w:t>
            </w:r>
          </w:p>
        </w:tc>
        <w:tc>
          <w:tcPr>
            <w:tcW w:w="1161"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7,333</w:t>
            </w:r>
          </w:p>
        </w:tc>
        <w:tc>
          <w:tcPr>
            <w:tcW w:w="1343"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3,937</w:t>
            </w:r>
          </w:p>
        </w:tc>
        <w:tc>
          <w:tcPr>
            <w:tcW w:w="1737"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rPr>
            </w:pPr>
            <w:r>
              <w:rPr>
                <w:color w:val="000000"/>
                <w:sz w:val="20"/>
              </w:rPr>
              <w:t>-46,3%</w:t>
            </w:r>
          </w:p>
        </w:tc>
      </w:tr>
      <w:tr w:rsidR="000E7C4C">
        <w:tc>
          <w:tcPr>
            <w:tcW w:w="419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proofErr w:type="spellStart"/>
            <w:r>
              <w:rPr>
                <w:color w:val="000000"/>
                <w:sz w:val="20"/>
                <w:lang w:eastAsia="lt-LT"/>
              </w:rPr>
              <w:t>Benzo</w:t>
            </w:r>
            <w:proofErr w:type="spellEnd"/>
            <w:r>
              <w:rPr>
                <w:color w:val="000000"/>
                <w:sz w:val="20"/>
                <w:lang w:eastAsia="lt-LT"/>
              </w:rPr>
              <w:t>(k)</w:t>
            </w:r>
            <w:proofErr w:type="spellStart"/>
            <w:r>
              <w:rPr>
                <w:color w:val="000000"/>
                <w:sz w:val="20"/>
                <w:lang w:eastAsia="lt-LT"/>
              </w:rPr>
              <w:t>fluorantenas</w:t>
            </w:r>
            <w:proofErr w:type="spellEnd"/>
          </w:p>
        </w:tc>
        <w:tc>
          <w:tcPr>
            <w:tcW w:w="123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t</w:t>
            </w:r>
          </w:p>
        </w:tc>
        <w:tc>
          <w:tcPr>
            <w:tcW w:w="1161"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2,917</w:t>
            </w:r>
          </w:p>
        </w:tc>
        <w:tc>
          <w:tcPr>
            <w:tcW w:w="1343"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1,522</w:t>
            </w:r>
          </w:p>
        </w:tc>
        <w:tc>
          <w:tcPr>
            <w:tcW w:w="1737"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rPr>
            </w:pPr>
            <w:r>
              <w:rPr>
                <w:color w:val="000000"/>
                <w:sz w:val="20"/>
              </w:rPr>
              <w:t>-47,8%</w:t>
            </w:r>
          </w:p>
        </w:tc>
      </w:tr>
      <w:tr w:rsidR="000E7C4C">
        <w:tc>
          <w:tcPr>
            <w:tcW w:w="419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proofErr w:type="spellStart"/>
            <w:r>
              <w:rPr>
                <w:color w:val="000000"/>
                <w:sz w:val="20"/>
                <w:lang w:eastAsia="lt-LT"/>
              </w:rPr>
              <w:t>Indeno</w:t>
            </w:r>
            <w:proofErr w:type="spellEnd"/>
            <w:r>
              <w:rPr>
                <w:color w:val="000000"/>
                <w:sz w:val="20"/>
                <w:lang w:eastAsia="lt-LT"/>
              </w:rPr>
              <w:t>(1,2,3-cd)</w:t>
            </w:r>
            <w:proofErr w:type="spellStart"/>
            <w:r>
              <w:rPr>
                <w:color w:val="000000"/>
                <w:sz w:val="20"/>
                <w:lang w:eastAsia="lt-LT"/>
              </w:rPr>
              <w:t>pirenas</w:t>
            </w:r>
            <w:proofErr w:type="spellEnd"/>
          </w:p>
        </w:tc>
        <w:tc>
          <w:tcPr>
            <w:tcW w:w="123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t</w:t>
            </w:r>
          </w:p>
        </w:tc>
        <w:tc>
          <w:tcPr>
            <w:tcW w:w="1161"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2,741</w:t>
            </w:r>
          </w:p>
        </w:tc>
        <w:tc>
          <w:tcPr>
            <w:tcW w:w="1343"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1,946</w:t>
            </w:r>
          </w:p>
        </w:tc>
        <w:tc>
          <w:tcPr>
            <w:tcW w:w="1737"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rPr>
            </w:pPr>
            <w:r>
              <w:rPr>
                <w:color w:val="000000"/>
                <w:sz w:val="20"/>
              </w:rPr>
              <w:t>-29,0%</w:t>
            </w:r>
          </w:p>
        </w:tc>
      </w:tr>
      <w:tr w:rsidR="000E7C4C">
        <w:tc>
          <w:tcPr>
            <w:tcW w:w="419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r>
              <w:rPr>
                <w:color w:val="000000"/>
                <w:sz w:val="20"/>
                <w:lang w:eastAsia="lt-LT"/>
              </w:rPr>
              <w:t>Dioksinai/</w:t>
            </w:r>
            <w:proofErr w:type="spellStart"/>
            <w:r>
              <w:rPr>
                <w:color w:val="000000"/>
                <w:sz w:val="20"/>
                <w:lang w:eastAsia="lt-LT"/>
              </w:rPr>
              <w:t>furanai</w:t>
            </w:r>
            <w:proofErr w:type="spellEnd"/>
            <w:r>
              <w:rPr>
                <w:color w:val="000000"/>
                <w:sz w:val="20"/>
                <w:lang w:eastAsia="lt-LT"/>
              </w:rPr>
              <w:t xml:space="preserve"> (PCDD/F) </w:t>
            </w:r>
          </w:p>
        </w:tc>
        <w:tc>
          <w:tcPr>
            <w:tcW w:w="123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g I-TEQ</w:t>
            </w:r>
          </w:p>
        </w:tc>
        <w:tc>
          <w:tcPr>
            <w:tcW w:w="1161"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28,219</w:t>
            </w:r>
          </w:p>
        </w:tc>
        <w:tc>
          <w:tcPr>
            <w:tcW w:w="1343"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23,759</w:t>
            </w:r>
          </w:p>
        </w:tc>
        <w:tc>
          <w:tcPr>
            <w:tcW w:w="1737"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rPr>
            </w:pPr>
            <w:r>
              <w:rPr>
                <w:color w:val="000000"/>
                <w:sz w:val="20"/>
              </w:rPr>
              <w:t>-15,8%</w:t>
            </w:r>
          </w:p>
        </w:tc>
      </w:tr>
      <w:tr w:rsidR="000E7C4C">
        <w:tc>
          <w:tcPr>
            <w:tcW w:w="4194" w:type="dxa"/>
            <w:tcBorders>
              <w:top w:val="single" w:sz="4" w:space="0" w:color="auto"/>
              <w:left w:val="single" w:sz="4" w:space="0" w:color="auto"/>
              <w:bottom w:val="single" w:sz="4" w:space="0" w:color="auto"/>
              <w:right w:val="single" w:sz="4" w:space="0" w:color="auto"/>
            </w:tcBorders>
            <w:vAlign w:val="bottom"/>
            <w:hideMark/>
          </w:tcPr>
          <w:p w:rsidR="000E7C4C" w:rsidRDefault="003C3EA6">
            <w:pPr>
              <w:rPr>
                <w:color w:val="000000"/>
                <w:sz w:val="20"/>
                <w:lang w:eastAsia="lt-LT"/>
              </w:rPr>
            </w:pPr>
            <w:proofErr w:type="spellStart"/>
            <w:r>
              <w:rPr>
                <w:color w:val="000000"/>
                <w:sz w:val="20"/>
                <w:lang w:eastAsia="lt-LT"/>
              </w:rPr>
              <w:t>Heksachlorbenzenas</w:t>
            </w:r>
            <w:proofErr w:type="spellEnd"/>
          </w:p>
        </w:tc>
        <w:tc>
          <w:tcPr>
            <w:tcW w:w="1232"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kg</w:t>
            </w:r>
          </w:p>
        </w:tc>
        <w:tc>
          <w:tcPr>
            <w:tcW w:w="1161"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11,131</w:t>
            </w:r>
          </w:p>
        </w:tc>
        <w:tc>
          <w:tcPr>
            <w:tcW w:w="1343" w:type="dxa"/>
            <w:tcBorders>
              <w:top w:val="single" w:sz="4" w:space="0" w:color="auto"/>
              <w:left w:val="single" w:sz="4" w:space="0" w:color="auto"/>
              <w:bottom w:val="single" w:sz="4" w:space="0" w:color="auto"/>
              <w:right w:val="single" w:sz="4" w:space="0" w:color="auto"/>
            </w:tcBorders>
            <w:vAlign w:val="bottom"/>
            <w:hideMark/>
          </w:tcPr>
          <w:p w:rsidR="000E7C4C" w:rsidRDefault="003C3EA6">
            <w:pPr>
              <w:jc w:val="center"/>
              <w:rPr>
                <w:color w:val="000000"/>
                <w:sz w:val="20"/>
                <w:lang w:eastAsia="lt-LT"/>
              </w:rPr>
            </w:pPr>
            <w:r>
              <w:rPr>
                <w:color w:val="000000"/>
                <w:sz w:val="20"/>
                <w:lang w:eastAsia="lt-LT"/>
              </w:rPr>
              <w:t>0,364</w:t>
            </w:r>
          </w:p>
        </w:tc>
        <w:tc>
          <w:tcPr>
            <w:tcW w:w="1737" w:type="dxa"/>
            <w:tcBorders>
              <w:top w:val="single" w:sz="4" w:space="0" w:color="auto"/>
              <w:left w:val="single" w:sz="4" w:space="0" w:color="auto"/>
              <w:bottom w:val="single" w:sz="4" w:space="0" w:color="auto"/>
              <w:right w:val="single" w:sz="4" w:space="0" w:color="auto"/>
            </w:tcBorders>
            <w:hideMark/>
          </w:tcPr>
          <w:p w:rsidR="000E7C4C" w:rsidRDefault="003C3EA6">
            <w:pPr>
              <w:jc w:val="center"/>
              <w:rPr>
                <w:color w:val="000000"/>
                <w:sz w:val="20"/>
              </w:rPr>
            </w:pPr>
            <w:r>
              <w:rPr>
                <w:color w:val="000000"/>
                <w:sz w:val="20"/>
              </w:rPr>
              <w:t>-96,7%</w:t>
            </w:r>
          </w:p>
        </w:tc>
      </w:tr>
    </w:tbl>
    <w:p w:rsidR="000E7C4C" w:rsidRDefault="000E7C4C"/>
    <w:p w:rsidR="000E7C4C" w:rsidRDefault="003C3EA6">
      <w:pPr>
        <w:jc w:val="center"/>
        <w:rPr>
          <w:color w:val="000000"/>
          <w:sz w:val="20"/>
          <w:szCs w:val="21"/>
        </w:rPr>
      </w:pPr>
      <w:r>
        <w:rPr>
          <w:color w:val="000000"/>
          <w:sz w:val="20"/>
          <w:szCs w:val="21"/>
        </w:rPr>
        <w:t>(Duomenų šaltinis: Aplinkos apsaugos agentūra (toliau – AAA)</w:t>
      </w:r>
    </w:p>
    <w:p w:rsidR="000E7C4C" w:rsidRDefault="003C3EA6">
      <w:pPr>
        <w:jc w:val="both"/>
        <w:rPr>
          <w:color w:val="000000"/>
          <w:szCs w:val="21"/>
        </w:rPr>
      </w:pPr>
    </w:p>
    <w:p w:rsidR="000E7C4C" w:rsidRDefault="003C3EA6">
      <w:pPr>
        <w:tabs>
          <w:tab w:val="left" w:pos="851"/>
        </w:tabs>
        <w:ind w:firstLine="567"/>
        <w:jc w:val="both"/>
        <w:rPr>
          <w:color w:val="000000"/>
          <w:szCs w:val="24"/>
        </w:rPr>
      </w:pPr>
      <w:r>
        <w:rPr>
          <w:color w:val="000000"/>
          <w:szCs w:val="24"/>
        </w:rPr>
        <w:t>2</w:t>
      </w:r>
      <w:r>
        <w:rPr>
          <w:color w:val="000000"/>
          <w:szCs w:val="24"/>
        </w:rPr>
        <w:t>.</w:t>
      </w:r>
      <w:r>
        <w:rPr>
          <w:color w:val="000000"/>
          <w:szCs w:val="24"/>
        </w:rPr>
        <w:tab/>
        <w:t xml:space="preserve">Analizuojant 1990–2015 m. duomenis, nustatyta, kad išmestas </w:t>
      </w:r>
      <w:proofErr w:type="spellStart"/>
      <w:r>
        <w:rPr>
          <w:color w:val="000000"/>
          <w:szCs w:val="24"/>
        </w:rPr>
        <w:t>Cd</w:t>
      </w:r>
      <w:proofErr w:type="spellEnd"/>
      <w:r>
        <w:rPr>
          <w:color w:val="000000"/>
          <w:szCs w:val="24"/>
        </w:rPr>
        <w:t xml:space="preserve"> kiekis dažnai viršydavo 1990 m. išmestą kiekį, todėl turi būti imamasi priemonių, kurios leistų užtikrinti 2015 m. išmesto </w:t>
      </w:r>
      <w:proofErr w:type="spellStart"/>
      <w:r>
        <w:rPr>
          <w:color w:val="000000"/>
          <w:szCs w:val="24"/>
        </w:rPr>
        <w:t>Cd</w:t>
      </w:r>
      <w:proofErr w:type="spellEnd"/>
      <w:r>
        <w:rPr>
          <w:color w:val="000000"/>
          <w:szCs w:val="24"/>
        </w:rPr>
        <w:t xml:space="preserve"> kiekio išlaikymą arba mažintų išmetamą </w:t>
      </w:r>
      <w:proofErr w:type="spellStart"/>
      <w:r>
        <w:rPr>
          <w:color w:val="000000"/>
          <w:szCs w:val="24"/>
        </w:rPr>
        <w:t>Cd</w:t>
      </w:r>
      <w:proofErr w:type="spellEnd"/>
      <w:r>
        <w:rPr>
          <w:color w:val="000000"/>
          <w:szCs w:val="24"/>
        </w:rPr>
        <w:t xml:space="preserve"> kiekį.</w:t>
      </w:r>
    </w:p>
    <w:p w:rsidR="000E7C4C" w:rsidRDefault="003C3EA6">
      <w:pPr>
        <w:tabs>
          <w:tab w:val="left" w:pos="851"/>
        </w:tabs>
        <w:ind w:firstLine="567"/>
        <w:jc w:val="both"/>
        <w:rPr>
          <w:color w:val="000000"/>
          <w:szCs w:val="24"/>
        </w:rPr>
      </w:pPr>
      <w:r>
        <w:rPr>
          <w:color w:val="000000"/>
          <w:szCs w:val="24"/>
        </w:rPr>
        <w:t>3</w:t>
      </w:r>
      <w:r>
        <w:rPr>
          <w:color w:val="000000"/>
          <w:szCs w:val="24"/>
        </w:rPr>
        <w:t>.</w:t>
      </w:r>
      <w:r>
        <w:rPr>
          <w:color w:val="000000"/>
          <w:szCs w:val="24"/>
        </w:rPr>
        <w:tab/>
        <w:t xml:space="preserve">Analizuojant Kitų teršalų </w:t>
      </w:r>
      <w:proofErr w:type="spellStart"/>
      <w:r>
        <w:rPr>
          <w:color w:val="000000"/>
          <w:szCs w:val="24"/>
        </w:rPr>
        <w:t>išmetimus</w:t>
      </w:r>
      <w:proofErr w:type="spellEnd"/>
      <w:r>
        <w:rPr>
          <w:color w:val="000000"/>
          <w:szCs w:val="24"/>
        </w:rPr>
        <w:t xml:space="preserve"> 1990–2015 m., nustatyta, kad nuo 2007 m. nebuvo viršijamas 1990 m. išmestas kiekvieno jų kiekis, todėl turi būti imamasi veiksmų, kad iki 2030 m. išmestas šių teršalų kiekis bent jau neviršytų 1990 m. išmesto kiekio.</w:t>
      </w:r>
    </w:p>
    <w:p w:rsidR="000E7C4C" w:rsidRDefault="000E7C4C">
      <w:pPr>
        <w:tabs>
          <w:tab w:val="num" w:pos="360"/>
        </w:tabs>
        <w:ind w:firstLine="567"/>
        <w:jc w:val="both"/>
        <w:rPr>
          <w:color w:val="000000"/>
          <w:szCs w:val="21"/>
        </w:rPr>
      </w:pPr>
    </w:p>
    <w:p w:rsidR="000E7C4C" w:rsidRDefault="000E7C4C">
      <w:pPr>
        <w:rPr>
          <w:color w:val="000000"/>
          <w:szCs w:val="21"/>
        </w:rPr>
        <w:sectPr w:rsidR="000E7C4C" w:rsidSect="003C3EA6">
          <w:pgSz w:w="11906" w:h="16838"/>
          <w:pgMar w:top="1134" w:right="567" w:bottom="1134" w:left="1134" w:header="567" w:footer="567" w:gutter="0"/>
          <w:pgNumType w:start="1"/>
          <w:cols w:space="1296"/>
          <w:titlePg/>
          <w:docGrid w:linePitch="326"/>
        </w:sectPr>
      </w:pPr>
    </w:p>
    <w:p w:rsidR="000E7C4C" w:rsidRDefault="003C3EA6">
      <w:pPr>
        <w:jc w:val="both"/>
        <w:rPr>
          <w:color w:val="000000"/>
          <w:szCs w:val="24"/>
        </w:rPr>
      </w:pPr>
      <w:r>
        <w:rPr>
          <w:color w:val="000000"/>
          <w:szCs w:val="24"/>
        </w:rPr>
        <w:t>2 lentelė. Kitų teršalų išmesto kiekio dinamika 1990–2015 m.</w:t>
      </w:r>
    </w:p>
    <w:p w:rsidR="000E7C4C" w:rsidRDefault="003C3EA6">
      <w:pPr>
        <w:jc w:val="both"/>
        <w:rPr>
          <w:color w:val="000000"/>
          <w:szCs w:val="21"/>
        </w:rPr>
      </w:pPr>
      <w:r>
        <w:rPr>
          <w:noProof/>
          <w:color w:val="000000"/>
          <w:szCs w:val="21"/>
          <w:lang w:eastAsia="lt-LT"/>
        </w:rPr>
        <w:drawing>
          <wp:inline distT="0" distB="0" distL="0" distR="0" wp14:anchorId="24400447" wp14:editId="46F0D888">
            <wp:extent cx="9572625" cy="2390775"/>
            <wp:effectExtent l="0" t="0" r="9525" b="9525"/>
            <wp:docPr id="254" name="Paveikslėlis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72625" cy="2390775"/>
                    </a:xfrm>
                    <a:prstGeom prst="rect">
                      <a:avLst/>
                    </a:prstGeom>
                    <a:noFill/>
                    <a:ln>
                      <a:noFill/>
                    </a:ln>
                  </pic:spPr>
                </pic:pic>
              </a:graphicData>
            </a:graphic>
          </wp:inline>
        </w:drawing>
      </w:r>
    </w:p>
    <w:p w:rsidR="000E7C4C" w:rsidRDefault="003C3EA6">
      <w:pPr>
        <w:jc w:val="center"/>
        <w:rPr>
          <w:color w:val="000000"/>
          <w:sz w:val="20"/>
          <w:szCs w:val="21"/>
        </w:rPr>
      </w:pPr>
      <w:r>
        <w:rPr>
          <w:color w:val="000000"/>
          <w:sz w:val="20"/>
          <w:szCs w:val="21"/>
        </w:rPr>
        <w:t>(Duomenų šaltinis: AAA)</w:t>
      </w:r>
    </w:p>
    <w:p w:rsidR="000E7C4C" w:rsidRDefault="000E7C4C">
      <w:pPr>
        <w:jc w:val="both"/>
        <w:rPr>
          <w:color w:val="000000"/>
          <w:szCs w:val="21"/>
        </w:rPr>
      </w:pPr>
    </w:p>
    <w:p w:rsidR="000E7C4C" w:rsidRDefault="000E7C4C">
      <w:pPr>
        <w:ind w:firstLine="720"/>
        <w:jc w:val="both"/>
        <w:rPr>
          <w:color w:val="000000"/>
          <w:szCs w:val="21"/>
        </w:rPr>
      </w:pPr>
    </w:p>
    <w:p w:rsidR="000E7C4C" w:rsidRDefault="000E7C4C">
      <w:pPr>
        <w:rPr>
          <w:color w:val="000000"/>
          <w:szCs w:val="21"/>
        </w:rPr>
        <w:sectPr w:rsidR="000E7C4C">
          <w:pgSz w:w="16838" w:h="11906" w:orient="landscape"/>
          <w:pgMar w:top="1701" w:right="1701" w:bottom="567" w:left="1134" w:header="567" w:footer="567" w:gutter="0"/>
          <w:cols w:space="1296"/>
        </w:sectPr>
      </w:pPr>
    </w:p>
    <w:p w:rsidR="000E7C4C" w:rsidRDefault="00FC3082">
      <w:pPr>
        <w:tabs>
          <w:tab w:val="center" w:pos="4819"/>
          <w:tab w:val="right" w:pos="9638"/>
        </w:tabs>
      </w:pPr>
    </w:p>
    <w:p w:rsidR="000E7C4C" w:rsidRDefault="003C3EA6">
      <w:pPr>
        <w:tabs>
          <w:tab w:val="left" w:pos="851"/>
        </w:tabs>
        <w:ind w:firstLine="567"/>
        <w:jc w:val="both"/>
        <w:rPr>
          <w:color w:val="000000"/>
          <w:szCs w:val="21"/>
        </w:rPr>
      </w:pPr>
      <w:r>
        <w:rPr>
          <w:color w:val="000000"/>
          <w:szCs w:val="21"/>
        </w:rPr>
        <w:t>4</w:t>
      </w:r>
      <w:r>
        <w:rPr>
          <w:color w:val="000000"/>
          <w:szCs w:val="21"/>
        </w:rPr>
        <w:t>.</w:t>
      </w:r>
      <w:r>
        <w:rPr>
          <w:color w:val="000000"/>
          <w:szCs w:val="21"/>
        </w:rPr>
        <w:tab/>
        <w:t xml:space="preserve">Atlikus pagrindinių šiuos teršalus išmetančių veiklos sričių (kategorijų) analizę, nustatyta, kad sunkiųjų metalų išmetimų struktūra pasikeitė nagrinėjamu laikotarpiu. </w:t>
      </w:r>
      <w:proofErr w:type="spellStart"/>
      <w:r>
        <w:rPr>
          <w:color w:val="000000"/>
          <w:szCs w:val="21"/>
        </w:rPr>
        <w:t>Cd</w:t>
      </w:r>
      <w:proofErr w:type="spellEnd"/>
      <w:r>
        <w:rPr>
          <w:color w:val="000000"/>
          <w:szCs w:val="21"/>
        </w:rPr>
        <w:t xml:space="preserve"> reikšmingiausiais teršėjais 2015 m. buvo namų ūkių stacionarus deginimas ir viešoji elektros energijos gamyba.  Daugiausia </w:t>
      </w:r>
      <w:proofErr w:type="spellStart"/>
      <w:r>
        <w:rPr>
          <w:color w:val="000000"/>
          <w:szCs w:val="21"/>
        </w:rPr>
        <w:t>Pb</w:t>
      </w:r>
      <w:proofErr w:type="spellEnd"/>
      <w:r>
        <w:rPr>
          <w:color w:val="000000"/>
          <w:szCs w:val="21"/>
        </w:rPr>
        <w:t xml:space="preserve"> 2005 m. į aplinkos orą išmetė lengvieji automobiliai, o  2015 m. reikšmingiausiu teršėju tapo namų ūkių stacionarus deginimas (toliau – namų ūkis), o lengvųjų automobilių </w:t>
      </w:r>
      <w:proofErr w:type="spellStart"/>
      <w:r>
        <w:rPr>
          <w:color w:val="000000"/>
          <w:szCs w:val="21"/>
        </w:rPr>
        <w:t>Pb</w:t>
      </w:r>
      <w:proofErr w:type="spellEnd"/>
      <w:r>
        <w:rPr>
          <w:color w:val="000000"/>
          <w:szCs w:val="21"/>
        </w:rPr>
        <w:t xml:space="preserve"> išmetimų dalis bendroje </w:t>
      </w:r>
      <w:proofErr w:type="spellStart"/>
      <w:r>
        <w:rPr>
          <w:color w:val="000000"/>
          <w:szCs w:val="21"/>
        </w:rPr>
        <w:t>Pb</w:t>
      </w:r>
      <w:proofErr w:type="spellEnd"/>
      <w:r>
        <w:rPr>
          <w:color w:val="000000"/>
          <w:szCs w:val="21"/>
        </w:rPr>
        <w:t xml:space="preserve"> išmetimų struktūroje ženkliai sumažėjo. </w:t>
      </w:r>
      <w:proofErr w:type="spellStart"/>
      <w:r>
        <w:rPr>
          <w:color w:val="000000"/>
          <w:szCs w:val="21"/>
        </w:rPr>
        <w:t>Hg</w:t>
      </w:r>
      <w:proofErr w:type="spellEnd"/>
      <w:r>
        <w:rPr>
          <w:color w:val="000000"/>
          <w:szCs w:val="21"/>
        </w:rPr>
        <w:t xml:space="preserve"> </w:t>
      </w:r>
      <w:proofErr w:type="spellStart"/>
      <w:r>
        <w:rPr>
          <w:color w:val="000000"/>
          <w:szCs w:val="21"/>
        </w:rPr>
        <w:t>išmetimams</w:t>
      </w:r>
      <w:proofErr w:type="spellEnd"/>
      <w:r>
        <w:rPr>
          <w:color w:val="000000"/>
          <w:szCs w:val="21"/>
        </w:rPr>
        <w:t xml:space="preserve"> didžiausią įtaką tiek 2005 m., tiek 2015 m. darė mineralinių medžiagų apdirbimo pramonės stacionarus deginimas, tačiau 2015 m. šio sektoriaus dalis bendroje </w:t>
      </w:r>
      <w:proofErr w:type="spellStart"/>
      <w:r>
        <w:rPr>
          <w:color w:val="000000"/>
          <w:szCs w:val="21"/>
        </w:rPr>
        <w:t>Hg</w:t>
      </w:r>
      <w:proofErr w:type="spellEnd"/>
      <w:r>
        <w:rPr>
          <w:color w:val="000000"/>
          <w:szCs w:val="21"/>
        </w:rPr>
        <w:t xml:space="preserve"> išmetimų struktūroje padidėjo.</w:t>
      </w:r>
    </w:p>
    <w:p w:rsidR="000E7C4C" w:rsidRDefault="000E7C4C">
      <w:pPr>
        <w:jc w:val="both"/>
        <w:rPr>
          <w:color w:val="000000"/>
          <w:szCs w:val="21"/>
        </w:rPr>
      </w:pPr>
    </w:p>
    <w:p w:rsidR="000E7C4C" w:rsidRDefault="003C3EA6">
      <w:pPr>
        <w:jc w:val="both"/>
        <w:rPr>
          <w:color w:val="000000"/>
          <w:szCs w:val="24"/>
        </w:rPr>
      </w:pPr>
      <w:r>
        <w:rPr>
          <w:color w:val="000000"/>
          <w:szCs w:val="24"/>
        </w:rPr>
        <w:t>3 lentelė. Kitų (sunkiųjų metalų) išmetimai: pagrindinių kategorijų analizė</w:t>
      </w:r>
    </w:p>
    <w:tbl>
      <w:tblPr>
        <w:tblW w:w="9675" w:type="dxa"/>
        <w:tblBorders>
          <w:top w:val="single" w:sz="12" w:space="0" w:color="FFFFFF"/>
          <w:bottom w:val="single" w:sz="2" w:space="0" w:color="1F497D"/>
          <w:insideH w:val="single" w:sz="2" w:space="0" w:color="1F497D"/>
          <w:insideV w:val="single" w:sz="12" w:space="0" w:color="FFFFFF"/>
        </w:tblBorders>
        <w:tblLayout w:type="fixed"/>
        <w:tblCellMar>
          <w:top w:w="28" w:type="dxa"/>
          <w:left w:w="28" w:type="dxa"/>
          <w:bottom w:w="28" w:type="dxa"/>
          <w:right w:w="28" w:type="dxa"/>
        </w:tblCellMar>
        <w:tblLook w:val="04A0" w:firstRow="1" w:lastRow="0" w:firstColumn="1" w:lastColumn="0" w:noHBand="0" w:noVBand="1"/>
      </w:tblPr>
      <w:tblGrid>
        <w:gridCol w:w="879"/>
        <w:gridCol w:w="1418"/>
        <w:gridCol w:w="1277"/>
        <w:gridCol w:w="1135"/>
        <w:gridCol w:w="1135"/>
        <w:gridCol w:w="852"/>
        <w:gridCol w:w="1277"/>
        <w:gridCol w:w="1135"/>
        <w:gridCol w:w="567"/>
      </w:tblGrid>
      <w:tr w:rsidR="000E7C4C">
        <w:trPr>
          <w:tblHeader/>
        </w:trPr>
        <w:tc>
          <w:tcPr>
            <w:tcW w:w="879" w:type="dxa"/>
            <w:tcBorders>
              <w:top w:val="single" w:sz="12" w:space="0" w:color="FFFFFF"/>
              <w:left w:val="nil"/>
              <w:bottom w:val="single" w:sz="2" w:space="0" w:color="1F497D"/>
              <w:right w:val="single" w:sz="12" w:space="0" w:color="FFFFFF"/>
            </w:tcBorders>
            <w:shd w:val="clear" w:color="auto" w:fill="002060"/>
            <w:hideMark/>
          </w:tcPr>
          <w:p w:rsidR="000E7C4C" w:rsidRDefault="003C3EA6">
            <w:pPr>
              <w:jc w:val="center"/>
              <w:rPr>
                <w:color w:val="FFFFFF"/>
                <w:sz w:val="16"/>
                <w:szCs w:val="16"/>
              </w:rPr>
            </w:pPr>
            <w:r>
              <w:rPr>
                <w:noProof/>
                <w:lang w:eastAsia="lt-LT"/>
              </w:rPr>
              <mc:AlternateContent>
                <mc:Choice Requires="wps">
                  <w:drawing>
                    <wp:anchor distT="0" distB="0" distL="114300" distR="114300" simplePos="0" relativeHeight="251684864" behindDoc="1" locked="0" layoutInCell="1" allowOverlap="1" wp14:anchorId="20AFB0DA" wp14:editId="0F204DB3">
                      <wp:simplePos x="0" y="0"/>
                      <wp:positionH relativeFrom="column">
                        <wp:posOffset>-36195</wp:posOffset>
                      </wp:positionH>
                      <wp:positionV relativeFrom="paragraph">
                        <wp:posOffset>-12065</wp:posOffset>
                      </wp:positionV>
                      <wp:extent cx="6149340" cy="234315"/>
                      <wp:effectExtent l="0" t="0" r="3810" b="0"/>
                      <wp:wrapNone/>
                      <wp:docPr id="512" name="Stačiakampis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234315"/>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6C10B4A0" id="Stačiakampis 512" o:spid="_x0000_s1026" style="position:absolute;margin-left:-2.85pt;margin-top:-.95pt;width:484.2pt;height:18.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mJnVVQIAAJAEAAAOAAAAZHJzL2Uyb0RvYy54bWysVEtu3DAM3RfoHQTtG9uTmTQx4gmCpCkK 9BMgLbrmyLItRL9SmvGkd+iterBSsidNP6uiG4EWRfLxPdLnF3uj2U5iUM42vDoqOZNWuFbZvuGf Pt68OOUsRLAtaGdlwx9k4Bfr58/OR1/LhRucbiUySmJDPfqGDzH6uiiCGKSBcOS8tOTsHBqI9Il9 0SKMlN3oYlGWJ8XosPXohAyBbq8nJ1/n/F0nRfzQdUFGphtO2GI+MZ+bdBbrc6h7BD8oMcOAf0Bh QFkq+pjqGiKwLao/Uhkl0AXXxSPhTOG6TgmZe6BuqvK3bu4G8DL3QuQE/0hT+H9pxfvdLTLVNnxV LTizYEikuwjfvym4B+NVYMlBNI0+1PT6zt9iajT4t07cB2bd1QC2l5eIbhwktASuSu+LXwLSR6BQ thnfuZZqwDa6zNi+Q5MSEhdsn4V5eBRG7iMTdHlSLc+Ol6SfIN/ieHlcrXIJqA/RHkN8LZ1hyWg4 kvA5O+zehpjQQH14MsvU3iitGbr4WcUhM53KZmegmMlg3lE/03XAfnOlke0gzVJZVovLGUQfnr6u yFf+NWS1fHnyJIQw9YdSWllGNKZaLAjQkhSZaMwzlcGmItqyseFnq8UqQ7UudZGH2KhIm6SVafjp hCBfJ0le2TbbEZSebCqt7axRkmWSd+PaB5KIOMk4aK3JGBx+5WykFWl4+LIFlJzpNzbTwuLBwIOx ORhgBYU2PHJqLJlXcdq7rUfVD5S5mlu4pFHoVFYpjcmEYgZHY5/Fm1c07dXT7/zq549k/QMAAP// AwBQSwMEFAAGAAgAAAAhANAaSAXfAAAACAEAAA8AAABkcnMvZG93bnJldi54bWxMj0FPwzAMhe9I /IfISNy2ZEPr1tJ0QghubBJj3LPGtBWN0zVZ1/HrMadxsuz39Py9fD26VgzYh8aThtlUgUAqvW2o 0rD/eJ2sQIRoyJrWE2q4YIB1cXuTm8z6M73jsIuV4BAKmdFQx9hlUoayRmfC1HdIrH353pnIa19J 25szh7tWzpVKpDMN8YfadPhcY/m9OzkN6qfZ7lfbzfL40pefb+mQHNUl0fr+bnx6BBFxjFcz/OEz OhTMdPAnskG0GiaLJTt5zlIQrKfJnA8HDQ8LBbLI5f8CxS8AAAD//wMAUEsBAi0AFAAGAAgAAAAh ALaDOJL+AAAA4QEAABMAAAAAAAAAAAAAAAAAAAAAAFtDb250ZW50X1R5cGVzXS54bWxQSwECLQAU AAYACAAAACEAOP0h/9YAAACUAQAACwAAAAAAAAAAAAAAAAAvAQAAX3JlbHMvLnJlbHNQSwECLQAU AAYACAAAACEAeZiZ1VUCAACQBAAADgAAAAAAAAAAAAAAAAAuAgAAZHJzL2Uyb0RvYy54bWxQSwEC LQAUAAYACAAAACEA0BpIBd8AAAAIAQAADwAAAAAAAAAAAAAAAACvBAAAZHJzL2Rvd25yZXYueG1s UEsFBgAAAAAEAAQA8wAAALsFAAAAAA== " fillcolor="#00012a" stroked="f">
                      <v:fill color2="#005476" angle="90" focus="100%" type="gradient"/>
                      <v:textbox inset="0,0,0,0"/>
                    </v:rect>
                  </w:pict>
                </mc:Fallback>
              </mc:AlternateContent>
            </w:r>
            <w:r>
              <w:rPr>
                <w:noProof/>
                <w:lang w:eastAsia="lt-LT"/>
              </w:rPr>
              <mc:AlternateContent>
                <mc:Choice Requires="wps">
                  <w:drawing>
                    <wp:anchor distT="0" distB="0" distL="114300" distR="114300" simplePos="0" relativeHeight="251686912" behindDoc="1" locked="0" layoutInCell="1" allowOverlap="1" wp14:anchorId="65518FD6" wp14:editId="0507ED59">
                      <wp:simplePos x="0" y="0"/>
                      <wp:positionH relativeFrom="column">
                        <wp:posOffset>-28575</wp:posOffset>
                      </wp:positionH>
                      <wp:positionV relativeFrom="paragraph">
                        <wp:posOffset>-12065</wp:posOffset>
                      </wp:positionV>
                      <wp:extent cx="6073140" cy="234315"/>
                      <wp:effectExtent l="0" t="0" r="3810" b="0"/>
                      <wp:wrapNone/>
                      <wp:docPr id="518" name="Stačiakampis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234315"/>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246D79D8" id="Stačiakampis 518" o:spid="_x0000_s1026" style="position:absolute;margin-left:-2.25pt;margin-top:-.95pt;width:478.2pt;height:18.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e3NoVQIAAJAEAAAOAAAAZHJzL2Uyb0RvYy54bWysVNtu1DAQfUfiHyy/0yTbbluiZquqpQip QKWCeJ51nMSqb4y9my3/0L/iwxg72VIuT4gXa+LxzJw5ZyZn5zuj2VZiUM42vDooOZNWuFbZvuGf P12/OuUsRLAtaGdlwx9k4Oerly/ORl/LhRucbiUySmJDPfqGDzH6uiiCGKSBcOC8tOTsHBqI9Il9 0SKMlN3oYlGWx8XosPXohAyBbq8mJ1/l/F0nRfzYdUFGphtO2GI+MZ/rdBarM6h7BD8oMcOAf0Bh QFkq+pTqCiKwDao/Uhkl0AXXxQPhTOG6TgmZe6BuqvK3bu4G8DL3QuQE/0RT+H9pxYftLTLVNnxZ kVQWDIl0F+H7o4J7MF4FlhxE0+hDTa/v/C2mRoO/ceI+MOsuB7C9vEB04yChJXBVel/8EpA+AoWy 9fjetVQDNtFlxnYdmpSQuGC7LMzDkzByF5mgy+Py5LA6Iv0E+RaHR4fVMpeAeh/tMcS30hmWjIYj CZ+zw/YmxIQG6v2TWab2WmnN0MUvKg6Z6VQ2OwPFTAbzjvqZrgP260uNbAtplsqyWlzMIPrw/HVF vvKvIcujk+NnIYSp35fSyjKiMdViQYCWpMhEY56pDDYV0ZaNDX+9XCwzVOtSF3mIjYq0SVqZhp9O CPJ1kuSNbbMdQenJptLazholWSZ51659IImIk4yD1pqMweE3zkZakYaHrxtAyZl+ZzMtLO4N3Bvr vQFWUGjDI6fGknkZp73beFT9QJmruYULGoVOZZXSmEwoZnA09lm8eUXTXj3/zq9+/khWPwAAAP// AwBQSwMEFAAGAAgAAAAhAF6lgyveAAAACAEAAA8AAABkcnMvZG93bnJldi54bWxMj0FPwzAMhe9I /IfISNy2ZEDLWppOCMENJjHGPWtMW9E4XZN1Hb8e7wQn23pPz98rVpPrxIhDaD1pWMwVCKTK25Zq DduPl9kSRIiGrOk8oYYTBliVlxeFya0/0juOm1gLDqGQGw1NjH0uZagadCbMfY/E2pcfnIl8DrW0 gzlyuOvkjVKpdKYl/tCYHp8arL43B6dB/bTr7XL9dr9/HqrP12xM9+qUan19NT0+gIg4xT8znPEZ HUpm2vkD2SA6DbO7hJ08FxkI1rPkvOw03CYKZFnI/wXKXwAAAP//AwBQSwECLQAUAAYACAAAACEA toM4kv4AAADhAQAAEwAAAAAAAAAAAAAAAAAAAAAAW0NvbnRlbnRfVHlwZXNdLnhtbFBLAQItABQA BgAIAAAAIQA4/SH/1gAAAJQBAAALAAAAAAAAAAAAAAAAAC8BAABfcmVscy8ucmVsc1BLAQItABQA BgAIAAAAIQAhe3NoVQIAAJAEAAAOAAAAAAAAAAAAAAAAAC4CAABkcnMvZTJvRG9jLnhtbFBLAQIt ABQABgAIAAAAIQBepYMr3gAAAAgBAAAPAAAAAAAAAAAAAAAAAK8EAABkcnMvZG93bnJldi54bWxQ SwUGAAAAAAQABADzAAAAugUAAAAA " fillcolor="#00012a" stroked="f">
                      <v:fill color2="#005476" angle="90" focus="100%" type="gradient"/>
                      <v:textbox inset="0,0,0,0"/>
                    </v:rect>
                  </w:pict>
                </mc:Fallback>
              </mc:AlternateContent>
            </w:r>
            <w:r>
              <w:rPr>
                <w:color w:val="FFFFFF"/>
                <w:sz w:val="16"/>
                <w:szCs w:val="16"/>
                <w:lang w:eastAsia="lt-LT"/>
              </w:rPr>
              <w:t>Teršalo pavadinimas</w:t>
            </w:r>
          </w:p>
        </w:tc>
        <w:tc>
          <w:tcPr>
            <w:tcW w:w="8222" w:type="dxa"/>
            <w:gridSpan w:val="7"/>
            <w:tcBorders>
              <w:top w:val="single" w:sz="12" w:space="0" w:color="FFFFFF"/>
              <w:left w:val="single" w:sz="12" w:space="0" w:color="FFFFFF"/>
              <w:bottom w:val="single" w:sz="2" w:space="0" w:color="1F497D"/>
              <w:right w:val="single" w:sz="12" w:space="0" w:color="FFFFFF"/>
            </w:tcBorders>
            <w:shd w:val="clear" w:color="auto" w:fill="002060"/>
            <w:vAlign w:val="center"/>
            <w:hideMark/>
          </w:tcPr>
          <w:p w:rsidR="000E7C4C" w:rsidRDefault="003C3EA6">
            <w:pPr>
              <w:jc w:val="center"/>
              <w:rPr>
                <w:bCs/>
                <w:color w:val="FFFFFF"/>
                <w:sz w:val="16"/>
                <w:szCs w:val="16"/>
                <w:lang w:eastAsia="en-GB"/>
              </w:rPr>
            </w:pPr>
            <w:r>
              <w:rPr>
                <w:bCs/>
                <w:color w:val="FFFFFF"/>
                <w:sz w:val="16"/>
                <w:szCs w:val="16"/>
                <w:lang w:eastAsia="en-GB"/>
              </w:rPr>
              <w:t>Pagrindinės kategorijos (surūšiuotos nuo aukščiausios iki žemiausios, iš kairės į dešinę)</w:t>
            </w:r>
          </w:p>
        </w:tc>
        <w:tc>
          <w:tcPr>
            <w:tcW w:w="567" w:type="dxa"/>
            <w:tcBorders>
              <w:top w:val="single" w:sz="12" w:space="0" w:color="FFFFFF"/>
              <w:left w:val="single" w:sz="12" w:space="0" w:color="FFFFFF"/>
              <w:bottom w:val="single" w:sz="2" w:space="0" w:color="1F497D"/>
              <w:right w:val="nil"/>
            </w:tcBorders>
            <w:shd w:val="clear" w:color="auto" w:fill="002060"/>
            <w:vAlign w:val="center"/>
            <w:hideMark/>
          </w:tcPr>
          <w:p w:rsidR="000E7C4C" w:rsidRDefault="003C3EA6">
            <w:pPr>
              <w:jc w:val="center"/>
              <w:rPr>
                <w:bCs/>
                <w:color w:val="FFFFFF"/>
                <w:sz w:val="16"/>
                <w:szCs w:val="16"/>
                <w:lang w:eastAsia="en-GB"/>
              </w:rPr>
            </w:pPr>
            <w:r>
              <w:rPr>
                <w:bCs/>
                <w:color w:val="FFFFFF"/>
                <w:sz w:val="16"/>
                <w:szCs w:val="16"/>
                <w:lang w:eastAsia="en-GB"/>
              </w:rPr>
              <w:t>Iš viso</w:t>
            </w:r>
          </w:p>
        </w:tc>
      </w:tr>
      <w:tr w:rsidR="000E7C4C">
        <w:tc>
          <w:tcPr>
            <w:tcW w:w="9668" w:type="dxa"/>
            <w:gridSpan w:val="9"/>
            <w:tcBorders>
              <w:top w:val="single" w:sz="2" w:space="0" w:color="1F497D"/>
              <w:left w:val="nil"/>
              <w:bottom w:val="single" w:sz="2" w:space="0" w:color="1F497D"/>
              <w:right w:val="nil"/>
            </w:tcBorders>
            <w:shd w:val="clear" w:color="auto" w:fill="D9D9D9" w:themeFill="background1" w:themeFillShade="D9"/>
            <w:vAlign w:val="center"/>
            <w:hideMark/>
          </w:tcPr>
          <w:p w:rsidR="000E7C4C" w:rsidRDefault="003C3EA6">
            <w:pPr>
              <w:jc w:val="center"/>
              <w:rPr>
                <w:color w:val="000000"/>
                <w:sz w:val="16"/>
                <w:szCs w:val="16"/>
              </w:rPr>
            </w:pPr>
            <w:r>
              <w:rPr>
                <w:color w:val="000000"/>
                <w:sz w:val="16"/>
                <w:szCs w:val="16"/>
              </w:rPr>
              <w:t>1990</w:t>
            </w:r>
          </w:p>
        </w:tc>
      </w:tr>
      <w:tr w:rsidR="000E7C4C">
        <w:tc>
          <w:tcPr>
            <w:tcW w:w="879" w:type="dxa"/>
            <w:vMerge w:val="restart"/>
            <w:tcBorders>
              <w:top w:val="single" w:sz="2" w:space="0" w:color="1F497D"/>
              <w:left w:val="nil"/>
              <w:bottom w:val="single" w:sz="2" w:space="0" w:color="1F497D"/>
              <w:right w:val="single" w:sz="12" w:space="0" w:color="FFFFFF"/>
            </w:tcBorders>
            <w:vAlign w:val="center"/>
            <w:hideMark/>
          </w:tcPr>
          <w:p w:rsidR="000E7C4C" w:rsidRDefault="003C3EA6">
            <w:pPr>
              <w:jc w:val="center"/>
              <w:rPr>
                <w:color w:val="000000"/>
                <w:sz w:val="16"/>
                <w:szCs w:val="16"/>
              </w:rPr>
            </w:pPr>
            <w:proofErr w:type="spellStart"/>
            <w:r>
              <w:rPr>
                <w:color w:val="000000"/>
                <w:sz w:val="16"/>
                <w:szCs w:val="16"/>
              </w:rPr>
              <w:t>Cd</w:t>
            </w:r>
            <w:proofErr w:type="spellEnd"/>
          </w:p>
        </w:tc>
        <w:tc>
          <w:tcPr>
            <w:tcW w:w="1417"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 xml:space="preserve">1A4bi </w:t>
            </w:r>
          </w:p>
          <w:p w:rsidR="000E7C4C" w:rsidRDefault="003C3EA6">
            <w:pPr>
              <w:jc w:val="center"/>
              <w:rPr>
                <w:color w:val="000000"/>
                <w:sz w:val="16"/>
                <w:szCs w:val="16"/>
              </w:rPr>
            </w:pPr>
            <w:r>
              <w:rPr>
                <w:color w:val="000000"/>
                <w:sz w:val="16"/>
                <w:szCs w:val="16"/>
              </w:rPr>
              <w:t>Namų ūkių stacionarus deginimas</w:t>
            </w:r>
          </w:p>
        </w:tc>
        <w:tc>
          <w:tcPr>
            <w:tcW w:w="1276"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 xml:space="preserve">1A1a </w:t>
            </w:r>
          </w:p>
          <w:p w:rsidR="000E7C4C" w:rsidRDefault="003C3EA6">
            <w:pPr>
              <w:jc w:val="center"/>
              <w:rPr>
                <w:color w:val="000000"/>
                <w:sz w:val="16"/>
                <w:szCs w:val="16"/>
              </w:rPr>
            </w:pPr>
            <w:r>
              <w:rPr>
                <w:color w:val="000000"/>
                <w:sz w:val="16"/>
                <w:szCs w:val="16"/>
              </w:rPr>
              <w:t>Viešoji elektros energijos ir šilumos gamyba</w:t>
            </w:r>
          </w:p>
        </w:tc>
        <w:tc>
          <w:tcPr>
            <w:tcW w:w="1134"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1A1b</w:t>
            </w:r>
          </w:p>
          <w:p w:rsidR="000E7C4C" w:rsidRDefault="003C3EA6">
            <w:pPr>
              <w:jc w:val="center"/>
              <w:rPr>
                <w:color w:val="000000"/>
                <w:sz w:val="16"/>
                <w:szCs w:val="16"/>
              </w:rPr>
            </w:pPr>
            <w:r>
              <w:rPr>
                <w:color w:val="000000"/>
                <w:sz w:val="16"/>
                <w:szCs w:val="16"/>
              </w:rPr>
              <w:t>Naftos perdirbimas</w:t>
            </w:r>
          </w:p>
        </w:tc>
        <w:tc>
          <w:tcPr>
            <w:tcW w:w="1134"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2A3</w:t>
            </w:r>
          </w:p>
          <w:p w:rsidR="000E7C4C" w:rsidRDefault="003C3EA6">
            <w:pPr>
              <w:jc w:val="center"/>
              <w:rPr>
                <w:color w:val="000000"/>
                <w:sz w:val="16"/>
                <w:szCs w:val="16"/>
              </w:rPr>
            </w:pPr>
            <w:r>
              <w:rPr>
                <w:color w:val="000000"/>
                <w:sz w:val="16"/>
                <w:szCs w:val="16"/>
              </w:rPr>
              <w:t>Stiklo gamyba</w:t>
            </w:r>
          </w:p>
        </w:tc>
        <w:tc>
          <w:tcPr>
            <w:tcW w:w="851"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16"/>
                <w:szCs w:val="16"/>
              </w:rPr>
            </w:pPr>
            <w:r>
              <w:rPr>
                <w:color w:val="000000"/>
                <w:sz w:val="16"/>
                <w:szCs w:val="16"/>
              </w:rPr>
              <w:t xml:space="preserve">1A3biii </w:t>
            </w:r>
          </w:p>
          <w:p w:rsidR="000E7C4C" w:rsidRDefault="003C3EA6">
            <w:pPr>
              <w:jc w:val="center"/>
              <w:rPr>
                <w:color w:val="000000"/>
                <w:sz w:val="16"/>
                <w:szCs w:val="16"/>
              </w:rPr>
            </w:pPr>
            <w:r>
              <w:rPr>
                <w:color w:val="000000"/>
                <w:sz w:val="16"/>
                <w:szCs w:val="16"/>
              </w:rPr>
              <w:t>Kelių transportas: sunkvežimiai ir autobusai</w:t>
            </w:r>
          </w:p>
        </w:tc>
        <w:tc>
          <w:tcPr>
            <w:tcW w:w="1276"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16"/>
                <w:szCs w:val="16"/>
              </w:rPr>
            </w:pPr>
            <w:r>
              <w:rPr>
                <w:color w:val="000000"/>
                <w:sz w:val="16"/>
                <w:szCs w:val="16"/>
              </w:rPr>
              <w:t>1A2c</w:t>
            </w:r>
          </w:p>
          <w:p w:rsidR="000E7C4C" w:rsidRDefault="003C3EA6">
            <w:pPr>
              <w:jc w:val="center"/>
              <w:rPr>
                <w:color w:val="000000"/>
                <w:sz w:val="16"/>
                <w:szCs w:val="16"/>
              </w:rPr>
            </w:pPr>
            <w:r>
              <w:rPr>
                <w:color w:val="000000"/>
                <w:sz w:val="16"/>
                <w:szCs w:val="16"/>
              </w:rPr>
              <w:t>Stacionarus deginimas chemijos pramonėje</w:t>
            </w:r>
          </w:p>
        </w:tc>
        <w:tc>
          <w:tcPr>
            <w:tcW w:w="1134"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16"/>
                <w:szCs w:val="16"/>
              </w:rPr>
            </w:pPr>
            <w:r>
              <w:rPr>
                <w:color w:val="000000"/>
                <w:sz w:val="16"/>
                <w:szCs w:val="16"/>
              </w:rPr>
              <w:t>1A2c</w:t>
            </w:r>
          </w:p>
          <w:p w:rsidR="000E7C4C" w:rsidRDefault="003C3EA6">
            <w:pPr>
              <w:jc w:val="center"/>
              <w:rPr>
                <w:color w:val="000000"/>
                <w:sz w:val="16"/>
                <w:szCs w:val="16"/>
              </w:rPr>
            </w:pPr>
            <w:r>
              <w:rPr>
                <w:color w:val="000000"/>
                <w:sz w:val="16"/>
                <w:szCs w:val="16"/>
              </w:rPr>
              <w:t xml:space="preserve">Stacionarus deginimas popieriaus ir </w:t>
            </w:r>
            <w:proofErr w:type="spellStart"/>
            <w:r>
              <w:rPr>
                <w:color w:val="000000"/>
                <w:sz w:val="16"/>
                <w:szCs w:val="16"/>
              </w:rPr>
              <w:t>poligrafijospramonėje</w:t>
            </w:r>
            <w:proofErr w:type="spellEnd"/>
          </w:p>
        </w:tc>
        <w:tc>
          <w:tcPr>
            <w:tcW w:w="567" w:type="dxa"/>
            <w:vMerge w:val="restart"/>
            <w:tcBorders>
              <w:top w:val="single" w:sz="2" w:space="0" w:color="1F497D"/>
              <w:left w:val="single" w:sz="12" w:space="0" w:color="FFFFFF"/>
              <w:bottom w:val="single" w:sz="2" w:space="0" w:color="1F497D"/>
              <w:right w:val="nil"/>
            </w:tcBorders>
            <w:hideMark/>
          </w:tcPr>
          <w:p w:rsidR="000E7C4C" w:rsidRDefault="003C3EA6">
            <w:pPr>
              <w:jc w:val="center"/>
              <w:rPr>
                <w:color w:val="000000"/>
                <w:sz w:val="16"/>
                <w:szCs w:val="16"/>
              </w:rPr>
            </w:pPr>
            <w:r>
              <w:rPr>
                <w:color w:val="000000"/>
                <w:sz w:val="16"/>
                <w:szCs w:val="16"/>
              </w:rPr>
              <w:t>81,1%</w:t>
            </w:r>
          </w:p>
        </w:tc>
      </w:tr>
      <w:tr w:rsidR="000E7C4C">
        <w:tc>
          <w:tcPr>
            <w:tcW w:w="9668"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16"/>
                <w:szCs w:val="16"/>
              </w:rPr>
            </w:pPr>
          </w:p>
        </w:tc>
        <w:tc>
          <w:tcPr>
            <w:tcW w:w="1417"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16"/>
                <w:szCs w:val="16"/>
              </w:rPr>
            </w:pPr>
            <w:r>
              <w:rPr>
                <w:color w:val="000000"/>
                <w:sz w:val="16"/>
                <w:szCs w:val="16"/>
              </w:rPr>
              <w:t>42,0%</w:t>
            </w:r>
          </w:p>
        </w:tc>
        <w:tc>
          <w:tcPr>
            <w:tcW w:w="1276"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16"/>
                <w:szCs w:val="16"/>
              </w:rPr>
            </w:pPr>
            <w:r>
              <w:rPr>
                <w:color w:val="000000"/>
                <w:sz w:val="16"/>
                <w:szCs w:val="16"/>
              </w:rPr>
              <w:t>21,9%</w:t>
            </w:r>
          </w:p>
        </w:tc>
        <w:tc>
          <w:tcPr>
            <w:tcW w:w="1134"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16"/>
                <w:szCs w:val="16"/>
              </w:rPr>
            </w:pPr>
            <w:r>
              <w:rPr>
                <w:color w:val="000000"/>
                <w:sz w:val="16"/>
                <w:szCs w:val="16"/>
              </w:rPr>
              <w:t>5,3%</w:t>
            </w:r>
          </w:p>
        </w:tc>
        <w:tc>
          <w:tcPr>
            <w:tcW w:w="1134"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16"/>
                <w:szCs w:val="16"/>
              </w:rPr>
            </w:pPr>
            <w:r>
              <w:rPr>
                <w:color w:val="000000"/>
                <w:sz w:val="16"/>
                <w:szCs w:val="16"/>
              </w:rPr>
              <w:t>4,6%</w:t>
            </w:r>
          </w:p>
        </w:tc>
        <w:tc>
          <w:tcPr>
            <w:tcW w:w="851"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16"/>
                <w:szCs w:val="16"/>
              </w:rPr>
            </w:pPr>
            <w:r>
              <w:rPr>
                <w:color w:val="000000"/>
                <w:sz w:val="16"/>
                <w:szCs w:val="16"/>
              </w:rPr>
              <w:t>2,8%</w:t>
            </w:r>
          </w:p>
        </w:tc>
        <w:tc>
          <w:tcPr>
            <w:tcW w:w="1276"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16"/>
                <w:szCs w:val="16"/>
              </w:rPr>
            </w:pPr>
            <w:r>
              <w:rPr>
                <w:color w:val="000000"/>
                <w:sz w:val="16"/>
                <w:szCs w:val="16"/>
              </w:rPr>
              <w:t>2,3%</w:t>
            </w:r>
          </w:p>
        </w:tc>
        <w:tc>
          <w:tcPr>
            <w:tcW w:w="1134"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16"/>
                <w:szCs w:val="16"/>
              </w:rPr>
            </w:pPr>
            <w:r>
              <w:rPr>
                <w:color w:val="000000"/>
                <w:sz w:val="16"/>
                <w:szCs w:val="16"/>
              </w:rPr>
              <w:t>2,3%</w:t>
            </w:r>
          </w:p>
        </w:tc>
        <w:tc>
          <w:tcPr>
            <w:tcW w:w="567" w:type="dxa"/>
            <w:vMerge/>
            <w:tcBorders>
              <w:top w:val="single" w:sz="2" w:space="0" w:color="1F497D"/>
              <w:left w:val="single" w:sz="12" w:space="0" w:color="FFFFFF"/>
              <w:bottom w:val="single" w:sz="2" w:space="0" w:color="1F497D"/>
              <w:right w:val="nil"/>
            </w:tcBorders>
            <w:vAlign w:val="center"/>
            <w:hideMark/>
          </w:tcPr>
          <w:p w:rsidR="000E7C4C" w:rsidRDefault="000E7C4C">
            <w:pPr>
              <w:rPr>
                <w:color w:val="000000"/>
                <w:sz w:val="16"/>
                <w:szCs w:val="16"/>
              </w:rPr>
            </w:pPr>
          </w:p>
        </w:tc>
      </w:tr>
      <w:tr w:rsidR="000E7C4C">
        <w:tc>
          <w:tcPr>
            <w:tcW w:w="879" w:type="dxa"/>
            <w:vMerge w:val="restart"/>
            <w:tcBorders>
              <w:top w:val="single" w:sz="2" w:space="0" w:color="1F497D"/>
              <w:left w:val="nil"/>
              <w:bottom w:val="single" w:sz="2" w:space="0" w:color="1F497D"/>
              <w:right w:val="single" w:sz="12" w:space="0" w:color="FFFFFF"/>
            </w:tcBorders>
            <w:vAlign w:val="center"/>
          </w:tcPr>
          <w:p w:rsidR="000E7C4C" w:rsidRDefault="003C3EA6">
            <w:pPr>
              <w:jc w:val="center"/>
              <w:rPr>
                <w:color w:val="000000"/>
                <w:sz w:val="16"/>
                <w:szCs w:val="16"/>
              </w:rPr>
            </w:pPr>
            <w:proofErr w:type="spellStart"/>
            <w:r>
              <w:rPr>
                <w:color w:val="000000"/>
                <w:sz w:val="16"/>
                <w:szCs w:val="16"/>
              </w:rPr>
              <w:t>Pb</w:t>
            </w:r>
            <w:proofErr w:type="spellEnd"/>
          </w:p>
          <w:p w:rsidR="000E7C4C" w:rsidRDefault="000E7C4C">
            <w:pPr>
              <w:jc w:val="center"/>
              <w:rPr>
                <w:color w:val="000000"/>
                <w:sz w:val="16"/>
                <w:szCs w:val="16"/>
              </w:rPr>
            </w:pPr>
          </w:p>
          <w:p w:rsidR="000E7C4C" w:rsidRDefault="000E7C4C">
            <w:pPr>
              <w:jc w:val="center"/>
              <w:rPr>
                <w:color w:val="000000"/>
                <w:sz w:val="16"/>
                <w:szCs w:val="16"/>
              </w:rPr>
            </w:pPr>
          </w:p>
        </w:tc>
        <w:tc>
          <w:tcPr>
            <w:tcW w:w="1417"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 xml:space="preserve">1A3bi </w:t>
            </w:r>
          </w:p>
          <w:p w:rsidR="000E7C4C" w:rsidRDefault="003C3EA6">
            <w:pPr>
              <w:jc w:val="center"/>
              <w:rPr>
                <w:color w:val="000000"/>
                <w:sz w:val="16"/>
                <w:szCs w:val="16"/>
              </w:rPr>
            </w:pPr>
            <w:r>
              <w:rPr>
                <w:color w:val="000000"/>
                <w:sz w:val="16"/>
                <w:szCs w:val="16"/>
              </w:rPr>
              <w:t>Kelių transportas: lengvieji automobiliai</w:t>
            </w:r>
          </w:p>
        </w:tc>
        <w:tc>
          <w:tcPr>
            <w:tcW w:w="1276"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 xml:space="preserve">1A3biii </w:t>
            </w:r>
          </w:p>
          <w:p w:rsidR="000E7C4C" w:rsidRDefault="003C3EA6">
            <w:pPr>
              <w:jc w:val="center"/>
              <w:rPr>
                <w:color w:val="000000"/>
                <w:sz w:val="16"/>
                <w:szCs w:val="16"/>
              </w:rPr>
            </w:pPr>
            <w:r>
              <w:rPr>
                <w:color w:val="000000"/>
                <w:sz w:val="16"/>
                <w:szCs w:val="16"/>
              </w:rPr>
              <w:t>Kelių transportas: sunkvežimiai ir autobusai</w:t>
            </w:r>
          </w:p>
        </w:tc>
        <w:tc>
          <w:tcPr>
            <w:tcW w:w="1134" w:type="dxa"/>
            <w:tcBorders>
              <w:top w:val="single" w:sz="2" w:space="0" w:color="1F497D"/>
              <w:left w:val="single" w:sz="12" w:space="0" w:color="FFFFFF"/>
              <w:bottom w:val="single" w:sz="2" w:space="0" w:color="1F497D"/>
              <w:right w:val="single" w:sz="12" w:space="0" w:color="FFFFFF"/>
            </w:tcBorders>
            <w:vAlign w:val="center"/>
          </w:tcPr>
          <w:p w:rsidR="000E7C4C" w:rsidRDefault="000E7C4C">
            <w:pPr>
              <w:jc w:val="center"/>
              <w:rPr>
                <w:color w:val="000000"/>
                <w:sz w:val="16"/>
                <w:szCs w:val="16"/>
              </w:rPr>
            </w:pPr>
          </w:p>
        </w:tc>
        <w:tc>
          <w:tcPr>
            <w:tcW w:w="1134" w:type="dxa"/>
            <w:tcBorders>
              <w:top w:val="single" w:sz="2" w:space="0" w:color="1F497D"/>
              <w:left w:val="single" w:sz="12" w:space="0" w:color="FFFFFF"/>
              <w:bottom w:val="single" w:sz="2" w:space="0" w:color="1F497D"/>
              <w:right w:val="single" w:sz="12" w:space="0" w:color="FFFFFF"/>
            </w:tcBorders>
            <w:vAlign w:val="center"/>
          </w:tcPr>
          <w:p w:rsidR="000E7C4C" w:rsidRDefault="000E7C4C">
            <w:pPr>
              <w:jc w:val="center"/>
              <w:rPr>
                <w:color w:val="000000"/>
                <w:sz w:val="16"/>
                <w:szCs w:val="16"/>
              </w:rPr>
            </w:pPr>
          </w:p>
        </w:tc>
        <w:tc>
          <w:tcPr>
            <w:tcW w:w="851" w:type="dxa"/>
            <w:tcBorders>
              <w:top w:val="single" w:sz="2" w:space="0" w:color="1F497D"/>
              <w:left w:val="single" w:sz="12" w:space="0" w:color="FFFFFF"/>
              <w:bottom w:val="single" w:sz="2" w:space="0" w:color="1F497D"/>
              <w:right w:val="single" w:sz="12" w:space="0" w:color="FFFFFF"/>
            </w:tcBorders>
            <w:vAlign w:val="center"/>
          </w:tcPr>
          <w:p w:rsidR="000E7C4C" w:rsidRDefault="000E7C4C">
            <w:pPr>
              <w:jc w:val="center"/>
              <w:rPr>
                <w:color w:val="000000"/>
                <w:sz w:val="16"/>
                <w:szCs w:val="16"/>
              </w:rPr>
            </w:pPr>
          </w:p>
        </w:tc>
        <w:tc>
          <w:tcPr>
            <w:tcW w:w="1276" w:type="dxa"/>
            <w:tcBorders>
              <w:top w:val="single" w:sz="2" w:space="0" w:color="1F497D"/>
              <w:left w:val="single" w:sz="12" w:space="0" w:color="FFFFFF"/>
              <w:bottom w:val="single" w:sz="2" w:space="0" w:color="1F497D"/>
              <w:right w:val="single" w:sz="12" w:space="0" w:color="FFFFFF"/>
            </w:tcBorders>
            <w:vAlign w:val="center"/>
          </w:tcPr>
          <w:p w:rsidR="000E7C4C" w:rsidRDefault="000E7C4C">
            <w:pPr>
              <w:jc w:val="center"/>
              <w:rPr>
                <w:color w:val="000000"/>
                <w:sz w:val="16"/>
                <w:szCs w:val="16"/>
              </w:rPr>
            </w:pPr>
          </w:p>
        </w:tc>
        <w:tc>
          <w:tcPr>
            <w:tcW w:w="1134" w:type="dxa"/>
            <w:tcBorders>
              <w:top w:val="single" w:sz="2" w:space="0" w:color="1F497D"/>
              <w:left w:val="single" w:sz="12" w:space="0" w:color="FFFFFF"/>
              <w:bottom w:val="single" w:sz="2" w:space="0" w:color="1F497D"/>
              <w:right w:val="single" w:sz="12" w:space="0" w:color="FFFFFF"/>
            </w:tcBorders>
            <w:vAlign w:val="center"/>
          </w:tcPr>
          <w:p w:rsidR="000E7C4C" w:rsidRDefault="000E7C4C">
            <w:pPr>
              <w:jc w:val="center"/>
              <w:rPr>
                <w:color w:val="000000"/>
                <w:sz w:val="16"/>
                <w:szCs w:val="16"/>
              </w:rPr>
            </w:pPr>
          </w:p>
        </w:tc>
        <w:tc>
          <w:tcPr>
            <w:tcW w:w="567" w:type="dxa"/>
            <w:vMerge w:val="restart"/>
            <w:tcBorders>
              <w:top w:val="single" w:sz="2" w:space="0" w:color="1F497D"/>
              <w:left w:val="single" w:sz="12" w:space="0" w:color="FFFFFF"/>
              <w:bottom w:val="single" w:sz="2" w:space="0" w:color="1F497D"/>
              <w:right w:val="nil"/>
            </w:tcBorders>
            <w:hideMark/>
          </w:tcPr>
          <w:p w:rsidR="000E7C4C" w:rsidRDefault="003C3EA6">
            <w:pPr>
              <w:jc w:val="center"/>
              <w:rPr>
                <w:color w:val="000000"/>
                <w:sz w:val="16"/>
                <w:szCs w:val="16"/>
              </w:rPr>
            </w:pPr>
            <w:r>
              <w:rPr>
                <w:color w:val="000000"/>
                <w:sz w:val="16"/>
                <w:szCs w:val="16"/>
              </w:rPr>
              <w:t>81,8%</w:t>
            </w:r>
          </w:p>
        </w:tc>
      </w:tr>
      <w:tr w:rsidR="000E7C4C">
        <w:tc>
          <w:tcPr>
            <w:tcW w:w="9668"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16"/>
                <w:szCs w:val="16"/>
              </w:rPr>
            </w:pPr>
          </w:p>
        </w:tc>
        <w:tc>
          <w:tcPr>
            <w:tcW w:w="1417"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16"/>
                <w:szCs w:val="16"/>
              </w:rPr>
            </w:pPr>
            <w:r>
              <w:rPr>
                <w:color w:val="000000"/>
                <w:sz w:val="16"/>
                <w:szCs w:val="16"/>
              </w:rPr>
              <w:t>48,1%</w:t>
            </w:r>
          </w:p>
        </w:tc>
        <w:tc>
          <w:tcPr>
            <w:tcW w:w="1276"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16"/>
                <w:szCs w:val="16"/>
              </w:rPr>
            </w:pPr>
            <w:r>
              <w:rPr>
                <w:color w:val="000000"/>
                <w:sz w:val="16"/>
                <w:szCs w:val="16"/>
              </w:rPr>
              <w:t>33,7%</w:t>
            </w:r>
          </w:p>
        </w:tc>
        <w:tc>
          <w:tcPr>
            <w:tcW w:w="1134"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1134"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851"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1276"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1134"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567" w:type="dxa"/>
            <w:vMerge/>
            <w:tcBorders>
              <w:top w:val="single" w:sz="2" w:space="0" w:color="1F497D"/>
              <w:left w:val="single" w:sz="12" w:space="0" w:color="FFFFFF"/>
              <w:bottom w:val="single" w:sz="2" w:space="0" w:color="1F497D"/>
              <w:right w:val="nil"/>
            </w:tcBorders>
            <w:vAlign w:val="center"/>
            <w:hideMark/>
          </w:tcPr>
          <w:p w:rsidR="000E7C4C" w:rsidRDefault="000E7C4C">
            <w:pPr>
              <w:rPr>
                <w:color w:val="000000"/>
                <w:sz w:val="16"/>
                <w:szCs w:val="16"/>
              </w:rPr>
            </w:pPr>
          </w:p>
        </w:tc>
      </w:tr>
      <w:tr w:rsidR="000E7C4C">
        <w:tc>
          <w:tcPr>
            <w:tcW w:w="879" w:type="dxa"/>
            <w:vMerge w:val="restart"/>
            <w:tcBorders>
              <w:top w:val="single" w:sz="2" w:space="0" w:color="1F497D"/>
              <w:left w:val="nil"/>
              <w:bottom w:val="single" w:sz="2" w:space="0" w:color="1F497D"/>
              <w:right w:val="single" w:sz="12" w:space="0" w:color="FFFFFF"/>
            </w:tcBorders>
            <w:vAlign w:val="center"/>
          </w:tcPr>
          <w:p w:rsidR="000E7C4C" w:rsidRDefault="003C3EA6">
            <w:pPr>
              <w:jc w:val="center"/>
              <w:rPr>
                <w:color w:val="000000"/>
                <w:sz w:val="16"/>
                <w:szCs w:val="16"/>
              </w:rPr>
            </w:pPr>
            <w:proofErr w:type="spellStart"/>
            <w:r>
              <w:rPr>
                <w:color w:val="000000"/>
                <w:sz w:val="16"/>
                <w:szCs w:val="16"/>
              </w:rPr>
              <w:t>Hg</w:t>
            </w:r>
            <w:proofErr w:type="spellEnd"/>
          </w:p>
          <w:p w:rsidR="000E7C4C" w:rsidRDefault="000E7C4C">
            <w:pPr>
              <w:jc w:val="center"/>
              <w:rPr>
                <w:color w:val="000000"/>
                <w:sz w:val="16"/>
                <w:szCs w:val="16"/>
              </w:rPr>
            </w:pPr>
          </w:p>
          <w:p w:rsidR="000E7C4C" w:rsidRDefault="000E7C4C">
            <w:pPr>
              <w:jc w:val="center"/>
              <w:rPr>
                <w:color w:val="000000"/>
                <w:sz w:val="16"/>
                <w:szCs w:val="16"/>
              </w:rPr>
            </w:pPr>
          </w:p>
        </w:tc>
        <w:tc>
          <w:tcPr>
            <w:tcW w:w="1417"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rFonts w:eastAsia="Calibri"/>
                <w:color w:val="000000"/>
                <w:sz w:val="16"/>
                <w:szCs w:val="16"/>
                <w:lang w:eastAsia="lt-LT"/>
              </w:rPr>
            </w:pPr>
            <w:r>
              <w:rPr>
                <w:color w:val="000000"/>
                <w:sz w:val="16"/>
                <w:szCs w:val="16"/>
              </w:rPr>
              <w:t>1A2f</w:t>
            </w:r>
            <w:r>
              <w:rPr>
                <w:rFonts w:eastAsia="Calibri"/>
                <w:color w:val="000000"/>
                <w:sz w:val="16"/>
                <w:szCs w:val="16"/>
                <w:lang w:eastAsia="lt-LT"/>
              </w:rPr>
              <w:t xml:space="preserve"> </w:t>
            </w:r>
          </w:p>
          <w:p w:rsidR="000E7C4C" w:rsidRDefault="003C3EA6">
            <w:pPr>
              <w:jc w:val="center"/>
              <w:rPr>
                <w:color w:val="000000"/>
                <w:sz w:val="16"/>
                <w:szCs w:val="16"/>
              </w:rPr>
            </w:pPr>
            <w:r>
              <w:rPr>
                <w:rFonts w:eastAsia="Calibri"/>
                <w:color w:val="000000"/>
                <w:sz w:val="16"/>
                <w:szCs w:val="16"/>
                <w:lang w:eastAsia="lt-LT"/>
              </w:rPr>
              <w:t>Mineralinių medžiagų apdirbimo pramonės stacionarus deginimas</w:t>
            </w:r>
          </w:p>
        </w:tc>
        <w:tc>
          <w:tcPr>
            <w:tcW w:w="1276"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 xml:space="preserve">2K </w:t>
            </w:r>
          </w:p>
          <w:p w:rsidR="000E7C4C" w:rsidRDefault="003C3EA6">
            <w:pPr>
              <w:jc w:val="center"/>
              <w:rPr>
                <w:color w:val="000000"/>
                <w:sz w:val="16"/>
                <w:szCs w:val="16"/>
              </w:rPr>
            </w:pPr>
            <w:r>
              <w:rPr>
                <w:color w:val="000000"/>
                <w:sz w:val="16"/>
                <w:szCs w:val="16"/>
              </w:rPr>
              <w:t xml:space="preserve">1A4ai </w:t>
            </w:r>
          </w:p>
          <w:p w:rsidR="000E7C4C" w:rsidRDefault="003C3EA6">
            <w:pPr>
              <w:jc w:val="center"/>
              <w:rPr>
                <w:color w:val="000000"/>
                <w:sz w:val="16"/>
                <w:szCs w:val="16"/>
              </w:rPr>
            </w:pPr>
            <w:r>
              <w:rPr>
                <w:color w:val="000000"/>
                <w:sz w:val="16"/>
                <w:szCs w:val="16"/>
              </w:rPr>
              <w:t>Stacionarus deginimas komerciniuose/instituciniuose pastatuose</w:t>
            </w:r>
          </w:p>
        </w:tc>
        <w:tc>
          <w:tcPr>
            <w:tcW w:w="1134"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 xml:space="preserve">1A4bi </w:t>
            </w:r>
          </w:p>
          <w:p w:rsidR="000E7C4C" w:rsidRDefault="003C3EA6">
            <w:pPr>
              <w:jc w:val="center"/>
              <w:rPr>
                <w:color w:val="000000"/>
                <w:sz w:val="16"/>
                <w:szCs w:val="16"/>
              </w:rPr>
            </w:pPr>
            <w:r>
              <w:rPr>
                <w:color w:val="000000"/>
                <w:sz w:val="16"/>
                <w:szCs w:val="16"/>
              </w:rPr>
              <w:t>Namų ūkių stacionarus deginimas</w:t>
            </w:r>
          </w:p>
        </w:tc>
        <w:tc>
          <w:tcPr>
            <w:tcW w:w="1134"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5C2</w:t>
            </w:r>
          </w:p>
          <w:p w:rsidR="000E7C4C" w:rsidRDefault="003C3EA6">
            <w:pPr>
              <w:jc w:val="center"/>
              <w:rPr>
                <w:color w:val="000000"/>
                <w:sz w:val="16"/>
                <w:szCs w:val="16"/>
              </w:rPr>
            </w:pPr>
            <w:r>
              <w:rPr>
                <w:color w:val="000000"/>
                <w:sz w:val="16"/>
                <w:szCs w:val="16"/>
              </w:rPr>
              <w:t>Atviras atliekų deginimas</w:t>
            </w:r>
          </w:p>
        </w:tc>
        <w:tc>
          <w:tcPr>
            <w:tcW w:w="851"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 xml:space="preserve">1A1a </w:t>
            </w:r>
          </w:p>
          <w:p w:rsidR="000E7C4C" w:rsidRDefault="003C3EA6">
            <w:pPr>
              <w:jc w:val="center"/>
              <w:rPr>
                <w:color w:val="000000"/>
                <w:sz w:val="16"/>
                <w:szCs w:val="16"/>
              </w:rPr>
            </w:pPr>
            <w:r>
              <w:rPr>
                <w:color w:val="000000"/>
                <w:sz w:val="16"/>
                <w:szCs w:val="16"/>
              </w:rPr>
              <w:t>Viešoji elektros energijos ir šilumos gamyba</w:t>
            </w:r>
          </w:p>
        </w:tc>
        <w:tc>
          <w:tcPr>
            <w:tcW w:w="1276"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 xml:space="preserve">2K </w:t>
            </w:r>
          </w:p>
          <w:p w:rsidR="000E7C4C" w:rsidRDefault="003C3EA6">
            <w:pPr>
              <w:jc w:val="center"/>
              <w:rPr>
                <w:color w:val="000000"/>
                <w:sz w:val="16"/>
                <w:szCs w:val="16"/>
              </w:rPr>
            </w:pPr>
            <w:r>
              <w:rPr>
                <w:color w:val="000000"/>
                <w:sz w:val="16"/>
                <w:szCs w:val="16"/>
              </w:rPr>
              <w:t>Patvariųjų organinių teršalų ir sunkiųjų metalų suvartojimas (pvz. elektros ir mokslo įranga)</w:t>
            </w:r>
          </w:p>
        </w:tc>
        <w:tc>
          <w:tcPr>
            <w:tcW w:w="1134" w:type="dxa"/>
            <w:tcBorders>
              <w:top w:val="single" w:sz="2" w:space="0" w:color="1F497D"/>
              <w:left w:val="single" w:sz="12" w:space="0" w:color="FFFFFF"/>
              <w:bottom w:val="single" w:sz="2" w:space="0" w:color="1F497D"/>
              <w:right w:val="single" w:sz="12" w:space="0" w:color="FFFFFF"/>
            </w:tcBorders>
            <w:vAlign w:val="center"/>
          </w:tcPr>
          <w:p w:rsidR="000E7C4C" w:rsidRDefault="000E7C4C">
            <w:pPr>
              <w:jc w:val="center"/>
              <w:rPr>
                <w:color w:val="000000"/>
                <w:sz w:val="16"/>
                <w:szCs w:val="16"/>
              </w:rPr>
            </w:pPr>
          </w:p>
        </w:tc>
        <w:tc>
          <w:tcPr>
            <w:tcW w:w="567" w:type="dxa"/>
            <w:vMerge w:val="restart"/>
            <w:tcBorders>
              <w:top w:val="single" w:sz="2" w:space="0" w:color="1F497D"/>
              <w:left w:val="single" w:sz="12" w:space="0" w:color="FFFFFF"/>
              <w:bottom w:val="single" w:sz="2" w:space="0" w:color="1F497D"/>
              <w:right w:val="nil"/>
            </w:tcBorders>
            <w:hideMark/>
          </w:tcPr>
          <w:p w:rsidR="000E7C4C" w:rsidRDefault="003C3EA6">
            <w:pPr>
              <w:jc w:val="center"/>
              <w:rPr>
                <w:color w:val="000000"/>
                <w:sz w:val="16"/>
                <w:szCs w:val="16"/>
              </w:rPr>
            </w:pPr>
            <w:r>
              <w:rPr>
                <w:color w:val="000000"/>
                <w:sz w:val="16"/>
                <w:szCs w:val="16"/>
              </w:rPr>
              <w:t>83,9%</w:t>
            </w:r>
          </w:p>
        </w:tc>
      </w:tr>
      <w:tr w:rsidR="000E7C4C">
        <w:tc>
          <w:tcPr>
            <w:tcW w:w="9668"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16"/>
                <w:szCs w:val="16"/>
              </w:rPr>
            </w:pPr>
          </w:p>
        </w:tc>
        <w:tc>
          <w:tcPr>
            <w:tcW w:w="1417"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25,2%</w:t>
            </w:r>
          </w:p>
        </w:tc>
        <w:tc>
          <w:tcPr>
            <w:tcW w:w="1276"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17,4%</w:t>
            </w:r>
          </w:p>
        </w:tc>
        <w:tc>
          <w:tcPr>
            <w:tcW w:w="1134"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14,6%</w:t>
            </w:r>
          </w:p>
        </w:tc>
        <w:tc>
          <w:tcPr>
            <w:tcW w:w="1134"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11,9%</w:t>
            </w:r>
          </w:p>
        </w:tc>
        <w:tc>
          <w:tcPr>
            <w:tcW w:w="851"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8,7%</w:t>
            </w:r>
          </w:p>
        </w:tc>
        <w:tc>
          <w:tcPr>
            <w:tcW w:w="1276"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6,0%</w:t>
            </w:r>
          </w:p>
        </w:tc>
        <w:tc>
          <w:tcPr>
            <w:tcW w:w="1134" w:type="dxa"/>
            <w:tcBorders>
              <w:top w:val="single" w:sz="2" w:space="0" w:color="1F497D"/>
              <w:left w:val="single" w:sz="12" w:space="0" w:color="FFFFFF"/>
              <w:bottom w:val="single" w:sz="2" w:space="0" w:color="1F497D"/>
              <w:right w:val="single" w:sz="12" w:space="0" w:color="FFFFFF"/>
            </w:tcBorders>
            <w:vAlign w:val="center"/>
          </w:tcPr>
          <w:p w:rsidR="000E7C4C" w:rsidRDefault="000E7C4C">
            <w:pPr>
              <w:jc w:val="center"/>
              <w:rPr>
                <w:color w:val="000000"/>
                <w:sz w:val="16"/>
                <w:szCs w:val="16"/>
              </w:rPr>
            </w:pPr>
          </w:p>
        </w:tc>
        <w:tc>
          <w:tcPr>
            <w:tcW w:w="567" w:type="dxa"/>
            <w:vMerge/>
            <w:tcBorders>
              <w:top w:val="single" w:sz="2" w:space="0" w:color="1F497D"/>
              <w:left w:val="single" w:sz="12" w:space="0" w:color="FFFFFF"/>
              <w:bottom w:val="single" w:sz="2" w:space="0" w:color="1F497D"/>
              <w:right w:val="nil"/>
            </w:tcBorders>
            <w:vAlign w:val="center"/>
            <w:hideMark/>
          </w:tcPr>
          <w:p w:rsidR="000E7C4C" w:rsidRDefault="000E7C4C">
            <w:pPr>
              <w:rPr>
                <w:color w:val="000000"/>
                <w:sz w:val="16"/>
                <w:szCs w:val="16"/>
              </w:rPr>
            </w:pPr>
          </w:p>
        </w:tc>
      </w:tr>
      <w:tr w:rsidR="000E7C4C">
        <w:tc>
          <w:tcPr>
            <w:tcW w:w="9668" w:type="dxa"/>
            <w:gridSpan w:val="9"/>
            <w:tcBorders>
              <w:top w:val="single" w:sz="2" w:space="0" w:color="1F497D"/>
              <w:left w:val="nil"/>
              <w:bottom w:val="single" w:sz="2" w:space="0" w:color="1F497D"/>
              <w:right w:val="nil"/>
            </w:tcBorders>
            <w:shd w:val="clear" w:color="auto" w:fill="D9D9D9" w:themeFill="background1" w:themeFillShade="D9"/>
            <w:vAlign w:val="center"/>
            <w:hideMark/>
          </w:tcPr>
          <w:p w:rsidR="000E7C4C" w:rsidRDefault="003C3EA6">
            <w:pPr>
              <w:jc w:val="center"/>
              <w:rPr>
                <w:color w:val="000000"/>
                <w:sz w:val="16"/>
                <w:szCs w:val="16"/>
              </w:rPr>
            </w:pPr>
            <w:r>
              <w:rPr>
                <w:color w:val="000000"/>
                <w:sz w:val="16"/>
                <w:szCs w:val="16"/>
              </w:rPr>
              <w:t>2015</w:t>
            </w:r>
          </w:p>
        </w:tc>
      </w:tr>
      <w:tr w:rsidR="000E7C4C">
        <w:tc>
          <w:tcPr>
            <w:tcW w:w="879" w:type="dxa"/>
            <w:tcBorders>
              <w:top w:val="single" w:sz="2" w:space="0" w:color="1F497D"/>
              <w:left w:val="nil"/>
              <w:bottom w:val="single" w:sz="2" w:space="0" w:color="1F497D"/>
              <w:right w:val="single" w:sz="12" w:space="0" w:color="FFFFFF"/>
            </w:tcBorders>
            <w:vAlign w:val="center"/>
          </w:tcPr>
          <w:p w:rsidR="000E7C4C" w:rsidRDefault="003C3EA6">
            <w:pPr>
              <w:jc w:val="center"/>
              <w:rPr>
                <w:color w:val="000000"/>
                <w:sz w:val="16"/>
                <w:szCs w:val="16"/>
              </w:rPr>
            </w:pPr>
            <w:proofErr w:type="spellStart"/>
            <w:r>
              <w:rPr>
                <w:color w:val="000000"/>
                <w:sz w:val="16"/>
                <w:szCs w:val="16"/>
              </w:rPr>
              <w:t>Cd</w:t>
            </w:r>
            <w:proofErr w:type="spellEnd"/>
          </w:p>
          <w:p w:rsidR="000E7C4C" w:rsidRDefault="000E7C4C">
            <w:pPr>
              <w:jc w:val="both"/>
              <w:rPr>
                <w:color w:val="000000"/>
                <w:sz w:val="16"/>
                <w:szCs w:val="16"/>
              </w:rPr>
            </w:pPr>
          </w:p>
          <w:p w:rsidR="000E7C4C" w:rsidRDefault="000E7C4C">
            <w:pPr>
              <w:jc w:val="center"/>
              <w:rPr>
                <w:color w:val="000000"/>
                <w:sz w:val="16"/>
                <w:szCs w:val="16"/>
              </w:rPr>
            </w:pPr>
          </w:p>
        </w:tc>
        <w:tc>
          <w:tcPr>
            <w:tcW w:w="1417"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1A4bi </w:t>
            </w:r>
          </w:p>
          <w:p w:rsidR="000E7C4C" w:rsidRDefault="003C3EA6">
            <w:pPr>
              <w:jc w:val="center"/>
              <w:rPr>
                <w:color w:val="000000"/>
                <w:sz w:val="16"/>
                <w:szCs w:val="16"/>
              </w:rPr>
            </w:pPr>
            <w:r>
              <w:rPr>
                <w:color w:val="000000"/>
                <w:sz w:val="16"/>
                <w:szCs w:val="16"/>
              </w:rPr>
              <w:t>Namų ūkių stacionarus deginimas</w:t>
            </w:r>
          </w:p>
        </w:tc>
        <w:tc>
          <w:tcPr>
            <w:tcW w:w="127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1A1a </w:t>
            </w:r>
          </w:p>
          <w:p w:rsidR="000E7C4C" w:rsidRDefault="003C3EA6">
            <w:pPr>
              <w:jc w:val="center"/>
              <w:rPr>
                <w:color w:val="000000"/>
                <w:sz w:val="16"/>
                <w:szCs w:val="16"/>
              </w:rPr>
            </w:pPr>
            <w:r>
              <w:rPr>
                <w:color w:val="000000"/>
                <w:sz w:val="16"/>
                <w:szCs w:val="16"/>
              </w:rPr>
              <w:t>Viešoji elektros energijos ir šilumos gamyba</w:t>
            </w:r>
          </w:p>
        </w:tc>
        <w:tc>
          <w:tcPr>
            <w:tcW w:w="1134"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1134"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851"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1276"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1134"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567" w:type="dxa"/>
            <w:tcBorders>
              <w:top w:val="single" w:sz="2" w:space="0" w:color="1F497D"/>
              <w:left w:val="single" w:sz="12" w:space="0" w:color="FFFFFF"/>
              <w:bottom w:val="single" w:sz="2" w:space="0" w:color="1F497D"/>
              <w:right w:val="nil"/>
            </w:tcBorders>
            <w:hideMark/>
          </w:tcPr>
          <w:p w:rsidR="000E7C4C" w:rsidRDefault="003C3EA6">
            <w:pPr>
              <w:jc w:val="center"/>
              <w:rPr>
                <w:color w:val="000000"/>
                <w:sz w:val="16"/>
                <w:szCs w:val="16"/>
              </w:rPr>
            </w:pPr>
            <w:r>
              <w:rPr>
                <w:color w:val="000000"/>
                <w:sz w:val="16"/>
                <w:szCs w:val="16"/>
              </w:rPr>
              <w:t>81,9%</w:t>
            </w:r>
          </w:p>
        </w:tc>
      </w:tr>
      <w:tr w:rsidR="000E7C4C">
        <w:tc>
          <w:tcPr>
            <w:tcW w:w="879" w:type="dxa"/>
            <w:tcBorders>
              <w:top w:val="single" w:sz="2" w:space="0" w:color="1F497D"/>
              <w:left w:val="nil"/>
              <w:bottom w:val="single" w:sz="2" w:space="0" w:color="1F497D"/>
              <w:right w:val="single" w:sz="12" w:space="0" w:color="FFFFFF"/>
            </w:tcBorders>
            <w:vAlign w:val="center"/>
          </w:tcPr>
          <w:p w:rsidR="000E7C4C" w:rsidRDefault="000E7C4C">
            <w:pPr>
              <w:jc w:val="center"/>
              <w:rPr>
                <w:color w:val="000000"/>
                <w:sz w:val="16"/>
                <w:szCs w:val="16"/>
              </w:rPr>
            </w:pPr>
          </w:p>
        </w:tc>
        <w:tc>
          <w:tcPr>
            <w:tcW w:w="1417"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76,5%</w:t>
            </w:r>
          </w:p>
        </w:tc>
        <w:tc>
          <w:tcPr>
            <w:tcW w:w="127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5,4%</w:t>
            </w:r>
          </w:p>
        </w:tc>
        <w:tc>
          <w:tcPr>
            <w:tcW w:w="1134"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1134"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851"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1276"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1134"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567" w:type="dxa"/>
            <w:tcBorders>
              <w:top w:val="single" w:sz="2" w:space="0" w:color="1F497D"/>
              <w:left w:val="single" w:sz="12" w:space="0" w:color="FFFFFF"/>
              <w:bottom w:val="single" w:sz="2" w:space="0" w:color="1F497D"/>
              <w:right w:val="nil"/>
            </w:tcBorders>
          </w:tcPr>
          <w:p w:rsidR="000E7C4C" w:rsidRDefault="000E7C4C">
            <w:pPr>
              <w:jc w:val="center"/>
              <w:rPr>
                <w:color w:val="000000"/>
                <w:sz w:val="16"/>
                <w:szCs w:val="16"/>
              </w:rPr>
            </w:pPr>
          </w:p>
        </w:tc>
      </w:tr>
      <w:tr w:rsidR="000E7C4C">
        <w:tc>
          <w:tcPr>
            <w:tcW w:w="879" w:type="dxa"/>
            <w:tcBorders>
              <w:top w:val="single" w:sz="2" w:space="0" w:color="1F497D"/>
              <w:left w:val="nil"/>
              <w:bottom w:val="single" w:sz="2" w:space="0" w:color="1F497D"/>
              <w:right w:val="single" w:sz="12" w:space="0" w:color="FFFFFF"/>
            </w:tcBorders>
            <w:vAlign w:val="center"/>
          </w:tcPr>
          <w:p w:rsidR="000E7C4C" w:rsidRDefault="003C3EA6">
            <w:pPr>
              <w:jc w:val="center"/>
              <w:rPr>
                <w:color w:val="000000"/>
                <w:sz w:val="16"/>
                <w:szCs w:val="16"/>
              </w:rPr>
            </w:pPr>
            <w:proofErr w:type="spellStart"/>
            <w:r>
              <w:rPr>
                <w:color w:val="000000"/>
                <w:sz w:val="16"/>
                <w:szCs w:val="16"/>
              </w:rPr>
              <w:t>Pb</w:t>
            </w:r>
            <w:proofErr w:type="spellEnd"/>
          </w:p>
          <w:p w:rsidR="000E7C4C" w:rsidRDefault="000E7C4C">
            <w:pPr>
              <w:jc w:val="center"/>
              <w:rPr>
                <w:color w:val="000000"/>
                <w:sz w:val="16"/>
                <w:szCs w:val="16"/>
              </w:rPr>
            </w:pPr>
          </w:p>
          <w:p w:rsidR="000E7C4C" w:rsidRDefault="000E7C4C">
            <w:pPr>
              <w:jc w:val="center"/>
              <w:rPr>
                <w:color w:val="000000"/>
                <w:sz w:val="16"/>
                <w:szCs w:val="16"/>
              </w:rPr>
            </w:pPr>
          </w:p>
        </w:tc>
        <w:tc>
          <w:tcPr>
            <w:tcW w:w="1417"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1A4bi </w:t>
            </w:r>
          </w:p>
          <w:p w:rsidR="000E7C4C" w:rsidRDefault="003C3EA6">
            <w:pPr>
              <w:jc w:val="center"/>
              <w:rPr>
                <w:color w:val="000000"/>
                <w:sz w:val="16"/>
                <w:szCs w:val="16"/>
              </w:rPr>
            </w:pPr>
            <w:r>
              <w:rPr>
                <w:color w:val="000000"/>
                <w:sz w:val="16"/>
                <w:szCs w:val="16"/>
              </w:rPr>
              <w:t>Namų ūkių stacionarus deginimas</w:t>
            </w:r>
          </w:p>
        </w:tc>
        <w:tc>
          <w:tcPr>
            <w:tcW w:w="127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1A1a </w:t>
            </w:r>
          </w:p>
          <w:p w:rsidR="000E7C4C" w:rsidRDefault="003C3EA6">
            <w:pPr>
              <w:jc w:val="center"/>
              <w:rPr>
                <w:color w:val="000000"/>
                <w:sz w:val="16"/>
                <w:szCs w:val="16"/>
              </w:rPr>
            </w:pPr>
            <w:r>
              <w:rPr>
                <w:color w:val="000000"/>
                <w:sz w:val="16"/>
                <w:szCs w:val="16"/>
              </w:rPr>
              <w:t>Viešoji elektros energijos ir šilumos gamyba</w:t>
            </w:r>
          </w:p>
        </w:tc>
        <w:tc>
          <w:tcPr>
            <w:tcW w:w="113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1A3bi </w:t>
            </w:r>
          </w:p>
          <w:p w:rsidR="000E7C4C" w:rsidRDefault="003C3EA6">
            <w:pPr>
              <w:jc w:val="center"/>
              <w:rPr>
                <w:color w:val="000000"/>
                <w:sz w:val="16"/>
                <w:szCs w:val="16"/>
              </w:rPr>
            </w:pPr>
            <w:r>
              <w:rPr>
                <w:color w:val="000000"/>
                <w:sz w:val="16"/>
                <w:szCs w:val="16"/>
              </w:rPr>
              <w:t>Kelių transportas: lengvieji automobiliai</w:t>
            </w:r>
          </w:p>
        </w:tc>
        <w:tc>
          <w:tcPr>
            <w:tcW w:w="113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2G </w:t>
            </w:r>
          </w:p>
          <w:p w:rsidR="000E7C4C" w:rsidRDefault="003C3EA6">
            <w:pPr>
              <w:jc w:val="center"/>
              <w:rPr>
                <w:color w:val="000000"/>
                <w:sz w:val="16"/>
                <w:szCs w:val="16"/>
              </w:rPr>
            </w:pPr>
            <w:r>
              <w:rPr>
                <w:color w:val="000000"/>
                <w:sz w:val="16"/>
                <w:szCs w:val="16"/>
              </w:rPr>
              <w:t>Tirpiklių vartojimas: kiti produktai</w:t>
            </w:r>
          </w:p>
        </w:tc>
        <w:tc>
          <w:tcPr>
            <w:tcW w:w="851"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1A3bvi </w:t>
            </w:r>
          </w:p>
          <w:p w:rsidR="000E7C4C" w:rsidRDefault="003C3EA6">
            <w:pPr>
              <w:jc w:val="center"/>
              <w:rPr>
                <w:color w:val="000000"/>
                <w:sz w:val="16"/>
                <w:szCs w:val="16"/>
              </w:rPr>
            </w:pPr>
            <w:r>
              <w:rPr>
                <w:color w:val="000000"/>
                <w:sz w:val="16"/>
                <w:szCs w:val="16"/>
              </w:rPr>
              <w:t>Kelių transportas: automobilių padangos ir stabdžių trinkelės</w:t>
            </w:r>
          </w:p>
        </w:tc>
        <w:tc>
          <w:tcPr>
            <w:tcW w:w="127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1A3biii </w:t>
            </w:r>
          </w:p>
          <w:p w:rsidR="000E7C4C" w:rsidRDefault="003C3EA6">
            <w:pPr>
              <w:jc w:val="center"/>
              <w:rPr>
                <w:color w:val="000000"/>
                <w:sz w:val="16"/>
                <w:szCs w:val="16"/>
              </w:rPr>
            </w:pPr>
            <w:r>
              <w:rPr>
                <w:color w:val="000000"/>
                <w:sz w:val="16"/>
                <w:szCs w:val="16"/>
              </w:rPr>
              <w:t>Kelių transportas: sunkvežimiai ir autobusai</w:t>
            </w:r>
          </w:p>
        </w:tc>
        <w:tc>
          <w:tcPr>
            <w:tcW w:w="1134"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567" w:type="dxa"/>
            <w:tcBorders>
              <w:top w:val="single" w:sz="2" w:space="0" w:color="1F497D"/>
              <w:left w:val="single" w:sz="12" w:space="0" w:color="FFFFFF"/>
              <w:bottom w:val="single" w:sz="2" w:space="0" w:color="1F497D"/>
              <w:right w:val="nil"/>
            </w:tcBorders>
            <w:hideMark/>
          </w:tcPr>
          <w:p w:rsidR="000E7C4C" w:rsidRDefault="003C3EA6">
            <w:pPr>
              <w:jc w:val="center"/>
              <w:rPr>
                <w:color w:val="000000"/>
                <w:sz w:val="16"/>
                <w:szCs w:val="16"/>
              </w:rPr>
            </w:pPr>
            <w:r>
              <w:rPr>
                <w:color w:val="000000"/>
                <w:sz w:val="16"/>
                <w:szCs w:val="16"/>
              </w:rPr>
              <w:t>80.5%</w:t>
            </w:r>
          </w:p>
        </w:tc>
      </w:tr>
      <w:tr w:rsidR="000E7C4C">
        <w:tc>
          <w:tcPr>
            <w:tcW w:w="879" w:type="dxa"/>
            <w:tcBorders>
              <w:top w:val="single" w:sz="2" w:space="0" w:color="1F497D"/>
              <w:left w:val="nil"/>
              <w:bottom w:val="single" w:sz="2" w:space="0" w:color="1F497D"/>
              <w:right w:val="single" w:sz="12" w:space="0" w:color="FFFFFF"/>
            </w:tcBorders>
            <w:vAlign w:val="center"/>
          </w:tcPr>
          <w:p w:rsidR="000E7C4C" w:rsidRDefault="000E7C4C">
            <w:pPr>
              <w:jc w:val="center"/>
              <w:rPr>
                <w:color w:val="000000"/>
                <w:sz w:val="16"/>
                <w:szCs w:val="16"/>
              </w:rPr>
            </w:pPr>
          </w:p>
        </w:tc>
        <w:tc>
          <w:tcPr>
            <w:tcW w:w="1417"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19,8%</w:t>
            </w:r>
          </w:p>
        </w:tc>
        <w:tc>
          <w:tcPr>
            <w:tcW w:w="127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17,0%</w:t>
            </w:r>
          </w:p>
        </w:tc>
        <w:tc>
          <w:tcPr>
            <w:tcW w:w="113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13,0%</w:t>
            </w:r>
          </w:p>
        </w:tc>
        <w:tc>
          <w:tcPr>
            <w:tcW w:w="113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11,6%</w:t>
            </w:r>
          </w:p>
        </w:tc>
        <w:tc>
          <w:tcPr>
            <w:tcW w:w="851"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10,8%</w:t>
            </w:r>
          </w:p>
        </w:tc>
        <w:tc>
          <w:tcPr>
            <w:tcW w:w="127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8,3%</w:t>
            </w:r>
          </w:p>
        </w:tc>
        <w:tc>
          <w:tcPr>
            <w:tcW w:w="1134"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567" w:type="dxa"/>
            <w:tcBorders>
              <w:top w:val="single" w:sz="2" w:space="0" w:color="1F497D"/>
              <w:left w:val="single" w:sz="12" w:space="0" w:color="FFFFFF"/>
              <w:bottom w:val="single" w:sz="2" w:space="0" w:color="1F497D"/>
              <w:right w:val="nil"/>
            </w:tcBorders>
          </w:tcPr>
          <w:p w:rsidR="000E7C4C" w:rsidRDefault="000E7C4C">
            <w:pPr>
              <w:jc w:val="center"/>
              <w:rPr>
                <w:color w:val="000000"/>
                <w:sz w:val="16"/>
                <w:szCs w:val="16"/>
              </w:rPr>
            </w:pPr>
          </w:p>
        </w:tc>
      </w:tr>
      <w:tr w:rsidR="000E7C4C">
        <w:tc>
          <w:tcPr>
            <w:tcW w:w="879" w:type="dxa"/>
            <w:tcBorders>
              <w:top w:val="single" w:sz="2" w:space="0" w:color="1F497D"/>
              <w:left w:val="nil"/>
              <w:bottom w:val="single" w:sz="2" w:space="0" w:color="1F497D"/>
              <w:right w:val="single" w:sz="12" w:space="0" w:color="FFFFFF"/>
            </w:tcBorders>
            <w:vAlign w:val="center"/>
          </w:tcPr>
          <w:p w:rsidR="000E7C4C" w:rsidRDefault="003C3EA6">
            <w:pPr>
              <w:jc w:val="center"/>
              <w:rPr>
                <w:color w:val="000000"/>
                <w:sz w:val="16"/>
                <w:szCs w:val="16"/>
              </w:rPr>
            </w:pPr>
            <w:proofErr w:type="spellStart"/>
            <w:r>
              <w:rPr>
                <w:color w:val="000000"/>
                <w:sz w:val="16"/>
                <w:szCs w:val="16"/>
              </w:rPr>
              <w:t>Hg</w:t>
            </w:r>
            <w:proofErr w:type="spellEnd"/>
          </w:p>
          <w:p w:rsidR="000E7C4C" w:rsidRDefault="000E7C4C">
            <w:pPr>
              <w:jc w:val="center"/>
              <w:rPr>
                <w:color w:val="000000"/>
                <w:sz w:val="16"/>
                <w:szCs w:val="16"/>
              </w:rPr>
            </w:pPr>
          </w:p>
          <w:p w:rsidR="000E7C4C" w:rsidRDefault="000E7C4C">
            <w:pPr>
              <w:jc w:val="center"/>
              <w:rPr>
                <w:color w:val="000000"/>
                <w:sz w:val="16"/>
                <w:szCs w:val="16"/>
              </w:rPr>
            </w:pPr>
          </w:p>
        </w:tc>
        <w:tc>
          <w:tcPr>
            <w:tcW w:w="1417"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rFonts w:eastAsia="Calibri"/>
                <w:color w:val="000000"/>
                <w:sz w:val="16"/>
                <w:szCs w:val="16"/>
                <w:lang w:eastAsia="lt-LT"/>
              </w:rPr>
            </w:pPr>
            <w:r>
              <w:rPr>
                <w:color w:val="000000"/>
                <w:sz w:val="16"/>
                <w:szCs w:val="16"/>
              </w:rPr>
              <w:t>1A2f</w:t>
            </w:r>
            <w:r>
              <w:rPr>
                <w:rFonts w:eastAsia="Calibri"/>
                <w:color w:val="000000"/>
                <w:sz w:val="16"/>
                <w:szCs w:val="16"/>
                <w:lang w:eastAsia="lt-LT"/>
              </w:rPr>
              <w:t xml:space="preserve"> </w:t>
            </w:r>
          </w:p>
          <w:p w:rsidR="000E7C4C" w:rsidRDefault="003C3EA6">
            <w:pPr>
              <w:jc w:val="center"/>
              <w:rPr>
                <w:color w:val="000000"/>
                <w:sz w:val="16"/>
                <w:szCs w:val="16"/>
              </w:rPr>
            </w:pPr>
            <w:r>
              <w:rPr>
                <w:rFonts w:eastAsia="Calibri"/>
                <w:color w:val="000000"/>
                <w:sz w:val="16"/>
                <w:szCs w:val="16"/>
                <w:lang w:eastAsia="lt-LT"/>
              </w:rPr>
              <w:t>Mineralinių medžiagų apdirbimo pramonės stacionarus deginimas</w:t>
            </w:r>
          </w:p>
        </w:tc>
        <w:tc>
          <w:tcPr>
            <w:tcW w:w="127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2K </w:t>
            </w:r>
          </w:p>
          <w:p w:rsidR="000E7C4C" w:rsidRDefault="003C3EA6">
            <w:pPr>
              <w:jc w:val="center"/>
              <w:rPr>
                <w:color w:val="000000"/>
                <w:sz w:val="16"/>
                <w:szCs w:val="16"/>
              </w:rPr>
            </w:pPr>
            <w:r>
              <w:rPr>
                <w:color w:val="000000"/>
                <w:sz w:val="16"/>
                <w:szCs w:val="16"/>
              </w:rPr>
              <w:t>Patvariųjų organinių teršalų ir sunkiųjų metalų suvartojimas (pvz. elektros ir mokslo įranga)</w:t>
            </w:r>
          </w:p>
        </w:tc>
        <w:tc>
          <w:tcPr>
            <w:tcW w:w="113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1A1a </w:t>
            </w:r>
          </w:p>
          <w:p w:rsidR="000E7C4C" w:rsidRDefault="003C3EA6">
            <w:pPr>
              <w:jc w:val="center"/>
              <w:rPr>
                <w:color w:val="000000"/>
                <w:sz w:val="16"/>
                <w:szCs w:val="16"/>
              </w:rPr>
            </w:pPr>
            <w:r>
              <w:rPr>
                <w:color w:val="000000"/>
                <w:sz w:val="16"/>
                <w:szCs w:val="16"/>
              </w:rPr>
              <w:t>Viešoji elektros energijos ir šilumos gamyba</w:t>
            </w:r>
          </w:p>
        </w:tc>
        <w:tc>
          <w:tcPr>
            <w:tcW w:w="113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1A4bi </w:t>
            </w:r>
          </w:p>
          <w:p w:rsidR="000E7C4C" w:rsidRDefault="003C3EA6">
            <w:pPr>
              <w:jc w:val="center"/>
              <w:rPr>
                <w:color w:val="000000"/>
                <w:sz w:val="16"/>
                <w:szCs w:val="16"/>
              </w:rPr>
            </w:pPr>
            <w:r>
              <w:rPr>
                <w:color w:val="000000"/>
                <w:sz w:val="16"/>
                <w:szCs w:val="16"/>
              </w:rPr>
              <w:t>Namų ūkių stacionarus deginimas</w:t>
            </w:r>
          </w:p>
        </w:tc>
        <w:tc>
          <w:tcPr>
            <w:tcW w:w="851"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1A3biv </w:t>
            </w:r>
          </w:p>
          <w:p w:rsidR="000E7C4C" w:rsidRDefault="003C3EA6">
            <w:pPr>
              <w:jc w:val="center"/>
              <w:rPr>
                <w:color w:val="000000"/>
                <w:sz w:val="16"/>
                <w:szCs w:val="16"/>
              </w:rPr>
            </w:pPr>
            <w:r>
              <w:rPr>
                <w:color w:val="000000"/>
                <w:sz w:val="16"/>
                <w:szCs w:val="16"/>
              </w:rPr>
              <w:t>Kelių transportas: mopedai ir motociklai</w:t>
            </w:r>
          </w:p>
        </w:tc>
        <w:tc>
          <w:tcPr>
            <w:tcW w:w="127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rFonts w:eastAsia="Calibri"/>
                <w:color w:val="000000"/>
                <w:sz w:val="16"/>
                <w:szCs w:val="16"/>
                <w:lang w:eastAsia="lt-LT"/>
              </w:rPr>
            </w:pPr>
            <w:r>
              <w:rPr>
                <w:color w:val="000000"/>
                <w:sz w:val="16"/>
                <w:szCs w:val="16"/>
              </w:rPr>
              <w:t>2D3a</w:t>
            </w:r>
            <w:r>
              <w:rPr>
                <w:rFonts w:eastAsia="Calibri"/>
                <w:color w:val="000000"/>
                <w:sz w:val="16"/>
                <w:szCs w:val="16"/>
                <w:lang w:eastAsia="lt-LT"/>
              </w:rPr>
              <w:t xml:space="preserve"> </w:t>
            </w:r>
          </w:p>
          <w:p w:rsidR="000E7C4C" w:rsidRDefault="003C3EA6">
            <w:pPr>
              <w:jc w:val="center"/>
              <w:rPr>
                <w:color w:val="000000"/>
                <w:sz w:val="16"/>
                <w:szCs w:val="16"/>
              </w:rPr>
            </w:pPr>
            <w:r>
              <w:rPr>
                <w:rFonts w:eastAsia="Calibri"/>
                <w:color w:val="000000"/>
                <w:sz w:val="16"/>
                <w:szCs w:val="16"/>
                <w:lang w:eastAsia="lt-LT"/>
              </w:rPr>
              <w:t>Tirpiklių naudojimas buityje, įskaitant fungicidus</w:t>
            </w:r>
          </w:p>
        </w:tc>
        <w:tc>
          <w:tcPr>
            <w:tcW w:w="113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2D3f </w:t>
            </w:r>
          </w:p>
          <w:p w:rsidR="000E7C4C" w:rsidRDefault="003C3EA6">
            <w:pPr>
              <w:jc w:val="center"/>
              <w:rPr>
                <w:color w:val="000000"/>
                <w:sz w:val="16"/>
                <w:szCs w:val="16"/>
              </w:rPr>
            </w:pPr>
            <w:r>
              <w:rPr>
                <w:color w:val="000000"/>
                <w:sz w:val="16"/>
                <w:szCs w:val="16"/>
              </w:rPr>
              <w:t>Sausas valymas</w:t>
            </w:r>
          </w:p>
        </w:tc>
        <w:tc>
          <w:tcPr>
            <w:tcW w:w="567" w:type="dxa"/>
            <w:tcBorders>
              <w:top w:val="single" w:sz="2" w:space="0" w:color="1F497D"/>
              <w:left w:val="single" w:sz="12" w:space="0" w:color="FFFFFF"/>
              <w:bottom w:val="single" w:sz="2" w:space="0" w:color="1F497D"/>
              <w:right w:val="nil"/>
            </w:tcBorders>
            <w:hideMark/>
          </w:tcPr>
          <w:p w:rsidR="000E7C4C" w:rsidRDefault="003C3EA6">
            <w:pPr>
              <w:jc w:val="center"/>
              <w:rPr>
                <w:color w:val="000000"/>
                <w:sz w:val="16"/>
                <w:szCs w:val="16"/>
              </w:rPr>
            </w:pPr>
            <w:r>
              <w:rPr>
                <w:color w:val="000000"/>
                <w:sz w:val="16"/>
                <w:szCs w:val="16"/>
              </w:rPr>
              <w:t>82.8%</w:t>
            </w:r>
          </w:p>
        </w:tc>
      </w:tr>
      <w:tr w:rsidR="000E7C4C">
        <w:tc>
          <w:tcPr>
            <w:tcW w:w="879" w:type="dxa"/>
            <w:tcBorders>
              <w:top w:val="single" w:sz="2" w:space="0" w:color="1F497D"/>
              <w:left w:val="nil"/>
              <w:bottom w:val="single" w:sz="2" w:space="0" w:color="1F497D"/>
              <w:right w:val="single" w:sz="12" w:space="0" w:color="FFFFFF"/>
            </w:tcBorders>
            <w:vAlign w:val="center"/>
          </w:tcPr>
          <w:p w:rsidR="000E7C4C" w:rsidRDefault="000E7C4C">
            <w:pPr>
              <w:jc w:val="center"/>
              <w:rPr>
                <w:color w:val="000000"/>
                <w:sz w:val="16"/>
                <w:szCs w:val="16"/>
              </w:rPr>
            </w:pPr>
          </w:p>
        </w:tc>
        <w:tc>
          <w:tcPr>
            <w:tcW w:w="1417"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22,8%</w:t>
            </w:r>
          </w:p>
        </w:tc>
        <w:tc>
          <w:tcPr>
            <w:tcW w:w="127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12,6%</w:t>
            </w:r>
          </w:p>
        </w:tc>
        <w:tc>
          <w:tcPr>
            <w:tcW w:w="113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11,3%</w:t>
            </w:r>
          </w:p>
        </w:tc>
        <w:tc>
          <w:tcPr>
            <w:tcW w:w="113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11,0%</w:t>
            </w:r>
          </w:p>
        </w:tc>
        <w:tc>
          <w:tcPr>
            <w:tcW w:w="851"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10,9%</w:t>
            </w:r>
          </w:p>
        </w:tc>
        <w:tc>
          <w:tcPr>
            <w:tcW w:w="127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7,1%</w:t>
            </w:r>
          </w:p>
        </w:tc>
        <w:tc>
          <w:tcPr>
            <w:tcW w:w="113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7,1%</w:t>
            </w:r>
          </w:p>
        </w:tc>
        <w:tc>
          <w:tcPr>
            <w:tcW w:w="567" w:type="dxa"/>
            <w:tcBorders>
              <w:top w:val="single" w:sz="2" w:space="0" w:color="1F497D"/>
              <w:left w:val="single" w:sz="12" w:space="0" w:color="FFFFFF"/>
              <w:bottom w:val="single" w:sz="2" w:space="0" w:color="1F497D"/>
              <w:right w:val="nil"/>
            </w:tcBorders>
          </w:tcPr>
          <w:p w:rsidR="000E7C4C" w:rsidRDefault="000E7C4C">
            <w:pPr>
              <w:jc w:val="center"/>
              <w:rPr>
                <w:color w:val="000000"/>
                <w:sz w:val="16"/>
                <w:szCs w:val="16"/>
              </w:rPr>
            </w:pPr>
          </w:p>
        </w:tc>
      </w:tr>
    </w:tbl>
    <w:p w:rsidR="000E7C4C" w:rsidRDefault="003C3EA6">
      <w:pPr>
        <w:jc w:val="center"/>
        <w:rPr>
          <w:color w:val="000000"/>
          <w:sz w:val="20"/>
          <w:szCs w:val="21"/>
        </w:rPr>
      </w:pPr>
      <w:r>
        <w:rPr>
          <w:color w:val="000000"/>
          <w:sz w:val="20"/>
          <w:szCs w:val="21"/>
        </w:rPr>
        <w:t>(Duomenų šaltinis: AAA)</w:t>
      </w:r>
    </w:p>
    <w:p w:rsidR="000E7C4C" w:rsidRDefault="003C3EA6">
      <w:pPr>
        <w:jc w:val="both"/>
        <w:rPr>
          <w:color w:val="000000"/>
          <w:szCs w:val="21"/>
        </w:rPr>
      </w:pPr>
    </w:p>
    <w:p w:rsidR="000E7C4C" w:rsidRDefault="003C3EA6">
      <w:pPr>
        <w:tabs>
          <w:tab w:val="left" w:pos="851"/>
        </w:tabs>
        <w:ind w:firstLine="567"/>
        <w:jc w:val="both"/>
        <w:rPr>
          <w:color w:val="000000"/>
          <w:szCs w:val="21"/>
        </w:rPr>
      </w:pPr>
      <w:r>
        <w:rPr>
          <w:color w:val="000000"/>
          <w:szCs w:val="21"/>
        </w:rPr>
        <w:t>5</w:t>
      </w:r>
      <w:r>
        <w:rPr>
          <w:color w:val="000000"/>
          <w:szCs w:val="21"/>
        </w:rPr>
        <w:t>.</w:t>
      </w:r>
      <w:r>
        <w:rPr>
          <w:color w:val="000000"/>
          <w:szCs w:val="21"/>
        </w:rPr>
        <w:tab/>
        <w:t xml:space="preserve">Kitų (patvariųjų organinių) teršalų išmetimų struktūra kito nežymiai. Didžiausiu </w:t>
      </w:r>
      <w:proofErr w:type="spellStart"/>
      <w:r>
        <w:rPr>
          <w:color w:val="000000"/>
          <w:szCs w:val="21"/>
        </w:rPr>
        <w:t>benzo</w:t>
      </w:r>
      <w:proofErr w:type="spellEnd"/>
      <w:r>
        <w:rPr>
          <w:color w:val="000000"/>
          <w:szCs w:val="21"/>
        </w:rPr>
        <w:t>(a)</w:t>
      </w:r>
      <w:proofErr w:type="spellStart"/>
      <w:r>
        <w:rPr>
          <w:color w:val="000000"/>
          <w:szCs w:val="21"/>
        </w:rPr>
        <w:t>pireno</w:t>
      </w:r>
      <w:proofErr w:type="spellEnd"/>
      <w:r>
        <w:rPr>
          <w:color w:val="000000"/>
          <w:szCs w:val="21"/>
        </w:rPr>
        <w:t xml:space="preserve"> teršėju tiek 2005, tiek 2015 m. buvo namų ūkiai, vis dėlto, 2015 m. namų ūkių stacionaraus deginimo dalis bendroje </w:t>
      </w:r>
      <w:proofErr w:type="spellStart"/>
      <w:r>
        <w:rPr>
          <w:color w:val="000000"/>
          <w:szCs w:val="21"/>
        </w:rPr>
        <w:t>benzo</w:t>
      </w:r>
      <w:proofErr w:type="spellEnd"/>
      <w:r>
        <w:rPr>
          <w:color w:val="000000"/>
          <w:szCs w:val="21"/>
        </w:rPr>
        <w:t>(a)</w:t>
      </w:r>
      <w:proofErr w:type="spellStart"/>
      <w:r>
        <w:rPr>
          <w:color w:val="000000"/>
          <w:szCs w:val="21"/>
        </w:rPr>
        <w:t>pireno</w:t>
      </w:r>
      <w:proofErr w:type="spellEnd"/>
      <w:r>
        <w:rPr>
          <w:color w:val="000000"/>
          <w:szCs w:val="21"/>
        </w:rPr>
        <w:t xml:space="preserve"> struktūroje sumažėjo 1,7 procentiniu punktu, palyginus su 2005 m. </w:t>
      </w:r>
      <w:proofErr w:type="spellStart"/>
      <w:r>
        <w:rPr>
          <w:color w:val="000000"/>
          <w:szCs w:val="21"/>
        </w:rPr>
        <w:t>Benzo</w:t>
      </w:r>
      <w:proofErr w:type="spellEnd"/>
      <w:r>
        <w:rPr>
          <w:color w:val="000000"/>
          <w:szCs w:val="21"/>
        </w:rPr>
        <w:t>(b)</w:t>
      </w:r>
      <w:proofErr w:type="spellStart"/>
      <w:r>
        <w:rPr>
          <w:color w:val="000000"/>
          <w:szCs w:val="21"/>
        </w:rPr>
        <w:t>fluoranteno</w:t>
      </w:r>
      <w:proofErr w:type="spellEnd"/>
      <w:r>
        <w:rPr>
          <w:color w:val="000000"/>
          <w:szCs w:val="21"/>
        </w:rPr>
        <w:t xml:space="preserve"> </w:t>
      </w:r>
      <w:proofErr w:type="spellStart"/>
      <w:r>
        <w:rPr>
          <w:color w:val="000000"/>
          <w:szCs w:val="21"/>
        </w:rPr>
        <w:t>išmetimams</w:t>
      </w:r>
      <w:proofErr w:type="spellEnd"/>
      <w:r>
        <w:rPr>
          <w:color w:val="000000"/>
          <w:szCs w:val="21"/>
        </w:rPr>
        <w:t xml:space="preserve"> didžiausią įtaką tiek 2005, tiek 2015 m. darė taip pat namų ūkiai ir žemės ūkio atliekų deginimas lauke, tačiau pastarojo sektoriaus dalis bendroje </w:t>
      </w:r>
      <w:proofErr w:type="spellStart"/>
      <w:r>
        <w:rPr>
          <w:color w:val="000000"/>
          <w:szCs w:val="21"/>
        </w:rPr>
        <w:t>benzo</w:t>
      </w:r>
      <w:proofErr w:type="spellEnd"/>
      <w:r>
        <w:rPr>
          <w:color w:val="000000"/>
          <w:szCs w:val="21"/>
        </w:rPr>
        <w:t>(b)</w:t>
      </w:r>
      <w:proofErr w:type="spellStart"/>
      <w:r>
        <w:rPr>
          <w:color w:val="000000"/>
          <w:szCs w:val="21"/>
        </w:rPr>
        <w:t>fluoranteno</w:t>
      </w:r>
      <w:proofErr w:type="spellEnd"/>
      <w:r>
        <w:rPr>
          <w:color w:val="000000"/>
          <w:szCs w:val="21"/>
        </w:rPr>
        <w:t xml:space="preserve"> struktūroje sumažėjo 4,6 procentinio punkto. </w:t>
      </w:r>
      <w:proofErr w:type="spellStart"/>
      <w:r>
        <w:rPr>
          <w:color w:val="000000"/>
          <w:szCs w:val="21"/>
        </w:rPr>
        <w:t>Benzo</w:t>
      </w:r>
      <w:proofErr w:type="spellEnd"/>
      <w:r>
        <w:rPr>
          <w:color w:val="000000"/>
          <w:szCs w:val="21"/>
        </w:rPr>
        <w:t>(k)</w:t>
      </w:r>
      <w:proofErr w:type="spellStart"/>
      <w:r>
        <w:rPr>
          <w:color w:val="000000"/>
          <w:szCs w:val="21"/>
        </w:rPr>
        <w:t>fluoranteno</w:t>
      </w:r>
      <w:proofErr w:type="spellEnd"/>
      <w:r>
        <w:rPr>
          <w:color w:val="000000"/>
          <w:szCs w:val="21"/>
        </w:rPr>
        <w:t xml:space="preserve"> </w:t>
      </w:r>
      <w:proofErr w:type="spellStart"/>
      <w:r>
        <w:rPr>
          <w:color w:val="000000"/>
          <w:szCs w:val="21"/>
        </w:rPr>
        <w:t>išmetimams</w:t>
      </w:r>
      <w:proofErr w:type="spellEnd"/>
      <w:r>
        <w:rPr>
          <w:color w:val="000000"/>
          <w:szCs w:val="21"/>
        </w:rPr>
        <w:t xml:space="preserve"> didžiausią įtaką turėjo namų ūkiai ir žemės ūkio atliekų deginimas lauke. Pažymėtina, kad namų ūkių </w:t>
      </w:r>
      <w:proofErr w:type="spellStart"/>
      <w:r>
        <w:rPr>
          <w:color w:val="000000"/>
          <w:szCs w:val="21"/>
        </w:rPr>
        <w:t>benzo</w:t>
      </w:r>
      <w:proofErr w:type="spellEnd"/>
      <w:r>
        <w:rPr>
          <w:color w:val="000000"/>
          <w:szCs w:val="21"/>
        </w:rPr>
        <w:t>(k)</w:t>
      </w:r>
      <w:proofErr w:type="spellStart"/>
      <w:r>
        <w:rPr>
          <w:color w:val="000000"/>
          <w:szCs w:val="21"/>
        </w:rPr>
        <w:t>fluoranteno</w:t>
      </w:r>
      <w:proofErr w:type="spellEnd"/>
      <w:r>
        <w:rPr>
          <w:color w:val="000000"/>
          <w:szCs w:val="21"/>
        </w:rPr>
        <w:t xml:space="preserve"> išmetimų dalis bendroje </w:t>
      </w:r>
      <w:proofErr w:type="spellStart"/>
      <w:r>
        <w:rPr>
          <w:color w:val="000000"/>
          <w:szCs w:val="21"/>
        </w:rPr>
        <w:t>benzo</w:t>
      </w:r>
      <w:proofErr w:type="spellEnd"/>
      <w:r>
        <w:rPr>
          <w:color w:val="000000"/>
          <w:szCs w:val="21"/>
        </w:rPr>
        <w:t>(k)</w:t>
      </w:r>
      <w:proofErr w:type="spellStart"/>
      <w:r>
        <w:rPr>
          <w:color w:val="000000"/>
          <w:szCs w:val="21"/>
        </w:rPr>
        <w:t>fluoranteno</w:t>
      </w:r>
      <w:proofErr w:type="spellEnd"/>
      <w:r>
        <w:rPr>
          <w:color w:val="000000"/>
          <w:szCs w:val="21"/>
        </w:rPr>
        <w:t xml:space="preserve"> išmetimų struktūroje 2015 m. padidėjo 1 procentiniu punktu, palyginus su 2005 m., o žemės ūkio atliekų deginimo </w:t>
      </w:r>
      <w:proofErr w:type="spellStart"/>
      <w:r>
        <w:rPr>
          <w:color w:val="000000"/>
          <w:szCs w:val="21"/>
        </w:rPr>
        <w:t>benzo</w:t>
      </w:r>
      <w:proofErr w:type="spellEnd"/>
      <w:r>
        <w:rPr>
          <w:color w:val="000000"/>
          <w:szCs w:val="21"/>
        </w:rPr>
        <w:t>(k)</w:t>
      </w:r>
      <w:proofErr w:type="spellStart"/>
      <w:r>
        <w:rPr>
          <w:color w:val="000000"/>
          <w:szCs w:val="21"/>
        </w:rPr>
        <w:t>fluoranteno</w:t>
      </w:r>
      <w:proofErr w:type="spellEnd"/>
      <w:r>
        <w:rPr>
          <w:color w:val="000000"/>
          <w:szCs w:val="21"/>
        </w:rPr>
        <w:t xml:space="preserve"> išmetimų dalis bendroje </w:t>
      </w:r>
      <w:proofErr w:type="spellStart"/>
      <w:r>
        <w:rPr>
          <w:color w:val="000000"/>
          <w:szCs w:val="21"/>
        </w:rPr>
        <w:t>benzo</w:t>
      </w:r>
      <w:proofErr w:type="spellEnd"/>
      <w:r>
        <w:rPr>
          <w:color w:val="000000"/>
          <w:szCs w:val="21"/>
        </w:rPr>
        <w:t>(k)</w:t>
      </w:r>
      <w:proofErr w:type="spellStart"/>
      <w:r>
        <w:rPr>
          <w:color w:val="000000"/>
          <w:szCs w:val="21"/>
        </w:rPr>
        <w:t>fluoranteno</w:t>
      </w:r>
      <w:proofErr w:type="spellEnd"/>
      <w:r>
        <w:rPr>
          <w:color w:val="000000"/>
          <w:szCs w:val="21"/>
        </w:rPr>
        <w:t xml:space="preserve"> išmetimų struktūroje 2015 m. sumažėjo 4,8 procentinio punkto, palyginus su 2005 m.</w:t>
      </w:r>
    </w:p>
    <w:p w:rsidR="000E7C4C" w:rsidRDefault="000E7C4C">
      <w:pPr>
        <w:jc w:val="both"/>
        <w:rPr>
          <w:color w:val="000000"/>
          <w:szCs w:val="21"/>
        </w:rPr>
      </w:pPr>
    </w:p>
    <w:p w:rsidR="000E7C4C" w:rsidRDefault="003C3EA6">
      <w:pPr>
        <w:jc w:val="both"/>
        <w:rPr>
          <w:color w:val="000000"/>
          <w:szCs w:val="24"/>
        </w:rPr>
      </w:pPr>
      <w:r>
        <w:rPr>
          <w:color w:val="000000"/>
          <w:szCs w:val="24"/>
        </w:rPr>
        <w:t>4 lentelė. Kitų (patvariųjų organinių) teršalų išmetimai: pagrindinių kategorijų analizė</w:t>
      </w:r>
    </w:p>
    <w:tbl>
      <w:tblPr>
        <w:tblW w:w="9660" w:type="dxa"/>
        <w:tblBorders>
          <w:top w:val="single" w:sz="12" w:space="0" w:color="FFFFFF"/>
          <w:bottom w:val="single" w:sz="2" w:space="0" w:color="1F497D"/>
          <w:insideH w:val="single" w:sz="2" w:space="0" w:color="1F497D"/>
          <w:insideV w:val="single" w:sz="12" w:space="0" w:color="FFFFFF"/>
        </w:tblBorders>
        <w:tblLayout w:type="fixed"/>
        <w:tblCellMar>
          <w:top w:w="28" w:type="dxa"/>
          <w:left w:w="28" w:type="dxa"/>
          <w:bottom w:w="28" w:type="dxa"/>
          <w:right w:w="28" w:type="dxa"/>
        </w:tblCellMar>
        <w:tblLook w:val="04A0" w:firstRow="1" w:lastRow="0" w:firstColumn="1" w:lastColumn="0" w:noHBand="0" w:noVBand="1"/>
      </w:tblPr>
      <w:tblGrid>
        <w:gridCol w:w="1640"/>
        <w:gridCol w:w="4359"/>
        <w:gridCol w:w="1749"/>
        <w:gridCol w:w="571"/>
        <w:gridCol w:w="481"/>
        <w:gridCol w:w="860"/>
      </w:tblGrid>
      <w:tr w:rsidR="000E7C4C">
        <w:trPr>
          <w:tblHeader/>
        </w:trPr>
        <w:tc>
          <w:tcPr>
            <w:tcW w:w="1588" w:type="dxa"/>
            <w:tcBorders>
              <w:top w:val="single" w:sz="12" w:space="0" w:color="FFFFFF"/>
              <w:left w:val="nil"/>
              <w:bottom w:val="single" w:sz="2" w:space="0" w:color="1F497D"/>
              <w:right w:val="single" w:sz="12" w:space="0" w:color="FFFFFF"/>
            </w:tcBorders>
            <w:shd w:val="clear" w:color="auto" w:fill="002060"/>
            <w:hideMark/>
          </w:tcPr>
          <w:p w:rsidR="000E7C4C" w:rsidRDefault="003C3EA6">
            <w:pPr>
              <w:jc w:val="center"/>
              <w:rPr>
                <w:color w:val="FFFFFF"/>
                <w:sz w:val="16"/>
                <w:szCs w:val="16"/>
              </w:rPr>
            </w:pPr>
            <w:r>
              <w:rPr>
                <w:noProof/>
                <w:lang w:eastAsia="lt-LT"/>
              </w:rPr>
              <mc:AlternateContent>
                <mc:Choice Requires="wps">
                  <w:drawing>
                    <wp:anchor distT="0" distB="0" distL="114300" distR="114300" simplePos="0" relativeHeight="251685888" behindDoc="1" locked="0" layoutInCell="1" allowOverlap="1" wp14:anchorId="1C291253" wp14:editId="6EB0CD52">
                      <wp:simplePos x="0" y="0"/>
                      <wp:positionH relativeFrom="column">
                        <wp:posOffset>-24765</wp:posOffset>
                      </wp:positionH>
                      <wp:positionV relativeFrom="paragraph">
                        <wp:posOffset>-39370</wp:posOffset>
                      </wp:positionV>
                      <wp:extent cx="5764530" cy="167005"/>
                      <wp:effectExtent l="0" t="0" r="7620" b="4445"/>
                      <wp:wrapNone/>
                      <wp:docPr id="255" name="Stačiakampis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4530" cy="166370"/>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4E18BBA9" id="Stačiakampis 255" o:spid="_x0000_s1026" style="position:absolute;margin-left:-1.95pt;margin-top:-3.1pt;width:453.9pt;height:13.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p88lVgIAAJAEAAAOAAAAZHJzL2Uyb0RvYy54bWysVEtu3DAM3RfoHQTtG9uTeJIa8QRB0hQF +gmQFl1zZNkWol8pzXjSO/RWPVgpeSZNP6uiG4EWRfI9PtLnFzuj2VZiUM62vDoqOZNWuE7ZoeWf Pt68OOMsRLAdaGdlyx9k4Ber58/OJ9/IhRud7iQySmJDM/mWjzH6piiCGKWBcOS8tOTsHRqI9IlD 0SFMlN3oYlGWy2Jy2Hl0QoZAt9ezk69y/r6XIn7o+yAj0y0nbDGfmM91OovVOTQDgh+V2MOAf0Bh QFkq+pjqGiKwDao/Uhkl0AXXxyPhTOH6XgmZORCbqvyNzd0IXmYu1JzgH9sU/l9a8X57i0x1LV/U NWcWDIl0F+H7NwX3YLwKLDmoTZMPDb2+87eYiAb/1on7wKy7GsEO8hLRTaOEjsBV6X3xS0D6CBTK 1tM711EN2ESXO7br0aSE1Au2y8I8PAojd5EJuqxPlyf1MeknyFctl8enWbkCmkO0xxBfS2dYMlqO JHzODtu3ISY00Bye7GXqbpTWDF38rOKYO53KZmegmNlg3hGf+TrgsL7SyLaQZqksq8Vl5kmih6ev K/KVfw2pT06XT0II03AopZVl1MZUiwUBWpIicxvzTGWwqYi2bGr5y3pRZ6jWJRZ5iI2KtElamZaf zQjydZLkle2yHUHp2abS2u41SrLM8q5d90ASUU8yDlprMkaHXzmbaEVaHr5sACVn+o3NbWHxYODB WB8MsIJCWx45EUvmVZz3buNRDSNlrvYULmkUepVVSmMyo9iDo7HP4u1XNO3V0+/86uePZPUDAAD/ /wMAUEsDBBQABgAIAAAAIQD4ZdGh3QAAAAgBAAAPAAAAZHJzL2Rvd25yZXYueG1sTI9BT8MwDIXv SPyHyEjctmRFKmtpOiEEN5i0Me5ZY9qKxumarOv49XincbLs9/T8vWI1uU6MOITWk4bFXIFAqrxt qdaw+3ybLUGEaMiazhNqOGOAVXl7U5jc+hNtcNzGWnAIhdxoaGLscylD1aAzYe57JNa+/eBM5HWo pR3MicNdJxOlUulMS/yhMT2+NFj9bI9Og/pt17vl+uPx8DpUX+/ZmB7UOdX6/m56fgIRcYpXM1zw GR1KZtr7I9kgOg2zh4ydPNMEBOuZuhz2GhK1AFkW8n+B8g8AAP//AwBQSwECLQAUAAYACAAAACEA toM4kv4AAADhAQAAEwAAAAAAAAAAAAAAAAAAAAAAW0NvbnRlbnRfVHlwZXNdLnhtbFBLAQItABQA BgAIAAAAIQA4/SH/1gAAAJQBAAALAAAAAAAAAAAAAAAAAC8BAABfcmVscy8ucmVsc1BLAQItABQA BgAIAAAAIQBup88lVgIAAJAEAAAOAAAAAAAAAAAAAAAAAC4CAABkcnMvZTJvRG9jLnhtbFBLAQIt ABQABgAIAAAAIQD4ZdGh3QAAAAgBAAAPAAAAAAAAAAAAAAAAALAEAABkcnMvZG93bnJldi54bWxQ SwUGAAAAAAQABADzAAAAugUAAAAA " fillcolor="#00012a" stroked="f">
                      <v:fill color2="#005476" angle="90" focus="100%" type="gradient"/>
                      <v:textbox inset="0,0,0,0"/>
                    </v:rect>
                  </w:pict>
                </mc:Fallback>
              </mc:AlternateContent>
            </w:r>
            <w:r>
              <w:rPr>
                <w:color w:val="000000"/>
                <w:sz w:val="16"/>
                <w:szCs w:val="16"/>
              </w:rPr>
              <w:t xml:space="preserve"> </w:t>
            </w:r>
            <w:r>
              <w:rPr>
                <w:color w:val="FFFFFF"/>
                <w:sz w:val="16"/>
                <w:szCs w:val="16"/>
                <w:lang w:eastAsia="lt-LT"/>
              </w:rPr>
              <w:t>Teršalo pavadinimas</w:t>
            </w:r>
          </w:p>
        </w:tc>
        <w:tc>
          <w:tcPr>
            <w:tcW w:w="6776" w:type="dxa"/>
            <w:gridSpan w:val="4"/>
            <w:tcBorders>
              <w:top w:val="single" w:sz="12" w:space="0" w:color="FFFFFF"/>
              <w:left w:val="single" w:sz="12" w:space="0" w:color="FFFFFF"/>
              <w:bottom w:val="single" w:sz="2" w:space="0" w:color="1F497D"/>
              <w:right w:val="single" w:sz="12" w:space="0" w:color="FFFFFF"/>
            </w:tcBorders>
            <w:shd w:val="clear" w:color="auto" w:fill="002060"/>
            <w:hideMark/>
          </w:tcPr>
          <w:p w:rsidR="000E7C4C" w:rsidRDefault="003C3EA6">
            <w:pPr>
              <w:jc w:val="center"/>
              <w:rPr>
                <w:bCs/>
                <w:color w:val="FFFFFF"/>
                <w:sz w:val="16"/>
                <w:szCs w:val="16"/>
                <w:lang w:eastAsia="en-GB"/>
              </w:rPr>
            </w:pPr>
            <w:r>
              <w:rPr>
                <w:bCs/>
                <w:color w:val="FFFFFF"/>
                <w:sz w:val="16"/>
                <w:szCs w:val="16"/>
                <w:lang w:eastAsia="en-GB"/>
              </w:rPr>
              <w:t>Pagrindinės kategorijos (surūšiuotos nuo aukščiausios iki žemiausios, iš kairės į dešinę)</w:t>
            </w:r>
          </w:p>
        </w:tc>
        <w:tc>
          <w:tcPr>
            <w:tcW w:w="1303" w:type="dxa"/>
            <w:tcBorders>
              <w:top w:val="single" w:sz="12" w:space="0" w:color="FFFFFF"/>
              <w:left w:val="single" w:sz="12" w:space="0" w:color="FFFFFF"/>
              <w:bottom w:val="single" w:sz="2" w:space="0" w:color="1F497D"/>
              <w:right w:val="nil"/>
            </w:tcBorders>
            <w:shd w:val="clear" w:color="auto" w:fill="002060"/>
            <w:hideMark/>
          </w:tcPr>
          <w:p w:rsidR="000E7C4C" w:rsidRDefault="003C3EA6">
            <w:pPr>
              <w:ind w:left="-290" w:firstLine="290"/>
              <w:jc w:val="center"/>
              <w:rPr>
                <w:bCs/>
                <w:color w:val="FFFFFF"/>
                <w:sz w:val="16"/>
                <w:szCs w:val="16"/>
                <w:lang w:eastAsia="en-GB"/>
              </w:rPr>
            </w:pPr>
            <w:r>
              <w:rPr>
                <w:bCs/>
                <w:color w:val="FFFFFF"/>
                <w:sz w:val="16"/>
                <w:szCs w:val="16"/>
                <w:lang w:eastAsia="en-GB"/>
              </w:rPr>
              <w:t>Iš viso</w:t>
            </w:r>
          </w:p>
        </w:tc>
      </w:tr>
      <w:tr w:rsidR="000E7C4C">
        <w:tc>
          <w:tcPr>
            <w:tcW w:w="9667" w:type="dxa"/>
            <w:gridSpan w:val="6"/>
            <w:tcBorders>
              <w:top w:val="single" w:sz="2" w:space="0" w:color="1F497D"/>
              <w:left w:val="nil"/>
              <w:bottom w:val="single" w:sz="2" w:space="0" w:color="1F497D"/>
              <w:right w:val="nil"/>
            </w:tcBorders>
            <w:shd w:val="clear" w:color="auto" w:fill="D9D9D9" w:themeFill="background1" w:themeFillShade="D9"/>
            <w:vAlign w:val="center"/>
            <w:hideMark/>
          </w:tcPr>
          <w:p w:rsidR="000E7C4C" w:rsidRDefault="003C3EA6">
            <w:pPr>
              <w:jc w:val="center"/>
              <w:rPr>
                <w:color w:val="000000"/>
                <w:sz w:val="16"/>
                <w:szCs w:val="16"/>
              </w:rPr>
            </w:pPr>
            <w:r>
              <w:rPr>
                <w:color w:val="000000"/>
                <w:sz w:val="16"/>
                <w:szCs w:val="16"/>
              </w:rPr>
              <w:t>1990</w:t>
            </w:r>
          </w:p>
        </w:tc>
      </w:tr>
      <w:tr w:rsidR="000E7C4C">
        <w:tc>
          <w:tcPr>
            <w:tcW w:w="1588" w:type="dxa"/>
            <w:vMerge w:val="restart"/>
            <w:tcBorders>
              <w:top w:val="single" w:sz="2" w:space="0" w:color="1F497D"/>
              <w:left w:val="nil"/>
              <w:bottom w:val="single" w:sz="2" w:space="0" w:color="1F497D"/>
              <w:right w:val="single" w:sz="12" w:space="0" w:color="FFFFFF"/>
            </w:tcBorders>
            <w:vAlign w:val="center"/>
          </w:tcPr>
          <w:p w:rsidR="000E7C4C" w:rsidRDefault="003C3EA6">
            <w:pPr>
              <w:jc w:val="center"/>
              <w:rPr>
                <w:color w:val="000000"/>
                <w:sz w:val="16"/>
                <w:szCs w:val="16"/>
              </w:rPr>
            </w:pPr>
            <w:proofErr w:type="spellStart"/>
            <w:r>
              <w:rPr>
                <w:color w:val="000000"/>
                <w:sz w:val="16"/>
                <w:szCs w:val="16"/>
              </w:rPr>
              <w:t>Benzo</w:t>
            </w:r>
            <w:proofErr w:type="spellEnd"/>
            <w:r>
              <w:rPr>
                <w:color w:val="000000"/>
                <w:sz w:val="16"/>
                <w:szCs w:val="16"/>
              </w:rPr>
              <w:t>(a)</w:t>
            </w:r>
            <w:proofErr w:type="spellStart"/>
            <w:r>
              <w:rPr>
                <w:color w:val="000000"/>
                <w:sz w:val="16"/>
                <w:szCs w:val="16"/>
              </w:rPr>
              <w:t>pirenas</w:t>
            </w:r>
            <w:proofErr w:type="spellEnd"/>
          </w:p>
          <w:p w:rsidR="000E7C4C" w:rsidRDefault="000E7C4C">
            <w:pPr>
              <w:jc w:val="center"/>
              <w:rPr>
                <w:color w:val="000000"/>
                <w:sz w:val="16"/>
                <w:szCs w:val="16"/>
              </w:rPr>
            </w:pPr>
          </w:p>
          <w:p w:rsidR="000E7C4C" w:rsidRDefault="000E7C4C">
            <w:pPr>
              <w:jc w:val="center"/>
              <w:rPr>
                <w:color w:val="000000"/>
                <w:sz w:val="16"/>
                <w:szCs w:val="16"/>
              </w:rPr>
            </w:pPr>
          </w:p>
        </w:tc>
        <w:tc>
          <w:tcPr>
            <w:tcW w:w="2523"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16"/>
                <w:szCs w:val="16"/>
              </w:rPr>
            </w:pPr>
            <w:r>
              <w:rPr>
                <w:color w:val="000000"/>
                <w:sz w:val="16"/>
                <w:szCs w:val="16"/>
              </w:rPr>
              <w:t>1A4bi</w:t>
            </w:r>
          </w:p>
          <w:p w:rsidR="000E7C4C" w:rsidRDefault="003C3EA6">
            <w:pPr>
              <w:jc w:val="center"/>
              <w:rPr>
                <w:color w:val="000000"/>
                <w:sz w:val="16"/>
                <w:szCs w:val="16"/>
              </w:rPr>
            </w:pPr>
            <w:r>
              <w:rPr>
                <w:color w:val="000000"/>
                <w:sz w:val="16"/>
                <w:szCs w:val="16"/>
              </w:rPr>
              <w:t>Namų ūkių stacionarus deginimas</w:t>
            </w:r>
          </w:p>
        </w:tc>
        <w:tc>
          <w:tcPr>
            <w:tcW w:w="2693"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851"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709"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1303" w:type="dxa"/>
            <w:vMerge w:val="restart"/>
            <w:tcBorders>
              <w:top w:val="single" w:sz="2" w:space="0" w:color="1F497D"/>
              <w:left w:val="single" w:sz="12" w:space="0" w:color="FFFFFF"/>
              <w:bottom w:val="single" w:sz="2" w:space="0" w:color="1F497D"/>
              <w:right w:val="nil"/>
            </w:tcBorders>
            <w:hideMark/>
          </w:tcPr>
          <w:p w:rsidR="000E7C4C" w:rsidRDefault="003C3EA6">
            <w:pPr>
              <w:jc w:val="center"/>
              <w:rPr>
                <w:color w:val="000000"/>
                <w:sz w:val="16"/>
                <w:szCs w:val="16"/>
              </w:rPr>
            </w:pPr>
            <w:r>
              <w:rPr>
                <w:color w:val="000000"/>
                <w:sz w:val="16"/>
                <w:szCs w:val="16"/>
              </w:rPr>
              <w:t>83,8%</w:t>
            </w:r>
          </w:p>
        </w:tc>
      </w:tr>
      <w:tr w:rsidR="000E7C4C">
        <w:tc>
          <w:tcPr>
            <w:tcW w:w="9667"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16"/>
                <w:szCs w:val="16"/>
              </w:rPr>
            </w:pPr>
          </w:p>
        </w:tc>
        <w:tc>
          <w:tcPr>
            <w:tcW w:w="2523" w:type="dxa"/>
            <w:tcBorders>
              <w:top w:val="single" w:sz="2" w:space="0" w:color="1F497D"/>
              <w:left w:val="single" w:sz="12" w:space="0" w:color="FFFFFF"/>
              <w:bottom w:val="single" w:sz="2" w:space="0" w:color="1F497D"/>
              <w:right w:val="single" w:sz="12" w:space="0" w:color="FFFFFF"/>
            </w:tcBorders>
            <w:vAlign w:val="bottom"/>
            <w:hideMark/>
          </w:tcPr>
          <w:p w:rsidR="000E7C4C" w:rsidRDefault="003C3EA6">
            <w:pPr>
              <w:jc w:val="center"/>
              <w:rPr>
                <w:color w:val="000000"/>
                <w:sz w:val="16"/>
                <w:szCs w:val="16"/>
              </w:rPr>
            </w:pPr>
            <w:r>
              <w:rPr>
                <w:color w:val="000000"/>
                <w:sz w:val="16"/>
                <w:szCs w:val="16"/>
              </w:rPr>
              <w:t>83,8%</w:t>
            </w:r>
          </w:p>
        </w:tc>
        <w:tc>
          <w:tcPr>
            <w:tcW w:w="2693"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851"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709"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1303" w:type="dxa"/>
            <w:vMerge/>
            <w:tcBorders>
              <w:top w:val="single" w:sz="2" w:space="0" w:color="1F497D"/>
              <w:left w:val="single" w:sz="12" w:space="0" w:color="FFFFFF"/>
              <w:bottom w:val="single" w:sz="2" w:space="0" w:color="1F497D"/>
              <w:right w:val="nil"/>
            </w:tcBorders>
            <w:vAlign w:val="center"/>
            <w:hideMark/>
          </w:tcPr>
          <w:p w:rsidR="000E7C4C" w:rsidRDefault="003C3EA6">
            <w:pPr>
              <w:jc w:val="center"/>
            </w:pPr>
            <w:r>
              <w:rPr>
                <w:color w:val="000000"/>
                <w:sz w:val="16"/>
                <w:szCs w:val="16"/>
              </w:rPr>
              <w:t>1.</w:t>
            </w:r>
            <w:r>
              <w:rPr>
                <w:color w:val="000000"/>
                <w:sz w:val="16"/>
                <w:szCs w:val="16"/>
              </w:rPr>
              <w:tab/>
            </w:r>
          </w:p>
          <w:p w:rsidR="000E7C4C" w:rsidRDefault="000E7C4C">
            <w:pPr>
              <w:rPr>
                <w:color w:val="000000"/>
                <w:sz w:val="16"/>
                <w:szCs w:val="16"/>
              </w:rPr>
            </w:pPr>
          </w:p>
        </w:tc>
      </w:tr>
      <w:tr w:rsidR="000E7C4C">
        <w:trPr>
          <w:trHeight w:val="333"/>
        </w:trPr>
        <w:tc>
          <w:tcPr>
            <w:tcW w:w="1588" w:type="dxa"/>
            <w:vMerge w:val="restart"/>
            <w:tcBorders>
              <w:top w:val="single" w:sz="2" w:space="0" w:color="1F497D"/>
              <w:left w:val="nil"/>
              <w:bottom w:val="single" w:sz="2" w:space="0" w:color="1F497D"/>
              <w:right w:val="single" w:sz="12" w:space="0" w:color="FFFFFF"/>
            </w:tcBorders>
            <w:vAlign w:val="center"/>
          </w:tcPr>
          <w:p w:rsidR="000E7C4C" w:rsidRDefault="003C3EA6">
            <w:pPr>
              <w:rPr>
                <w:color w:val="000000"/>
                <w:sz w:val="16"/>
                <w:szCs w:val="16"/>
              </w:rPr>
            </w:pPr>
            <w:proofErr w:type="spellStart"/>
            <w:r>
              <w:rPr>
                <w:color w:val="000000"/>
                <w:sz w:val="16"/>
                <w:szCs w:val="16"/>
              </w:rPr>
              <w:t>Benzo</w:t>
            </w:r>
            <w:proofErr w:type="spellEnd"/>
            <w:r>
              <w:rPr>
                <w:color w:val="000000"/>
                <w:sz w:val="16"/>
                <w:szCs w:val="16"/>
              </w:rPr>
              <w:t>(b)</w:t>
            </w:r>
            <w:proofErr w:type="spellStart"/>
            <w:r>
              <w:rPr>
                <w:color w:val="000000"/>
                <w:sz w:val="16"/>
                <w:szCs w:val="16"/>
              </w:rPr>
              <w:t>fluorantenas</w:t>
            </w:r>
            <w:proofErr w:type="spellEnd"/>
          </w:p>
        </w:tc>
        <w:tc>
          <w:tcPr>
            <w:tcW w:w="6776" w:type="dxa"/>
            <w:vAlign w:val="center"/>
            <w:hideMark/>
          </w:tcPr>
          <w:p w:rsidR="000E7C4C" w:rsidRDefault="000E7C4C">
            <w:pPr>
              <w:jc w:val="center"/>
              <w:rPr>
                <w:color w:val="000000"/>
                <w:sz w:val="16"/>
                <w:szCs w:val="16"/>
              </w:rPr>
            </w:pPr>
          </w:p>
          <w:p w:rsidR="000E7C4C" w:rsidRDefault="000E7C4C">
            <w:pPr>
              <w:jc w:val="center"/>
              <w:rPr>
                <w:color w:val="000000"/>
                <w:sz w:val="16"/>
                <w:szCs w:val="16"/>
              </w:rPr>
            </w:pPr>
          </w:p>
          <w:p w:rsidR="000E7C4C" w:rsidRDefault="000E7C4C">
            <w:pPr>
              <w:rPr>
                <w:sz w:val="20"/>
                <w:lang w:eastAsia="lt-LT"/>
              </w:rPr>
            </w:pPr>
          </w:p>
        </w:tc>
        <w:tc>
          <w:tcPr>
            <w:tcW w:w="2693" w:type="dxa"/>
            <w:vAlign w:val="center"/>
            <w:hideMark/>
          </w:tcPr>
          <w:p w:rsidR="000E7C4C" w:rsidRDefault="000E7C4C">
            <w:pPr>
              <w:rPr>
                <w:sz w:val="20"/>
                <w:lang w:eastAsia="lt-LT"/>
              </w:rPr>
            </w:pPr>
          </w:p>
        </w:tc>
        <w:tc>
          <w:tcPr>
            <w:tcW w:w="851" w:type="dxa"/>
            <w:vAlign w:val="center"/>
            <w:hideMark/>
          </w:tcPr>
          <w:p w:rsidR="000E7C4C" w:rsidRDefault="000E7C4C">
            <w:pPr>
              <w:rPr>
                <w:sz w:val="20"/>
                <w:lang w:eastAsia="lt-LT"/>
              </w:rPr>
            </w:pPr>
          </w:p>
        </w:tc>
        <w:tc>
          <w:tcPr>
            <w:tcW w:w="709" w:type="dxa"/>
            <w:vAlign w:val="center"/>
            <w:hideMark/>
          </w:tcPr>
          <w:p w:rsidR="000E7C4C" w:rsidRDefault="000E7C4C">
            <w:pPr>
              <w:rPr>
                <w:sz w:val="20"/>
                <w:lang w:eastAsia="lt-LT"/>
              </w:rPr>
            </w:pPr>
          </w:p>
        </w:tc>
        <w:tc>
          <w:tcPr>
            <w:tcW w:w="1303" w:type="dxa"/>
            <w:vAlign w:val="center"/>
            <w:hideMark/>
          </w:tcPr>
          <w:p w:rsidR="000E7C4C" w:rsidRDefault="000E7C4C">
            <w:pPr>
              <w:rPr>
                <w:sz w:val="20"/>
                <w:lang w:eastAsia="lt-LT"/>
              </w:rPr>
            </w:pPr>
          </w:p>
        </w:tc>
      </w:tr>
      <w:tr w:rsidR="000E7C4C">
        <w:trPr>
          <w:trHeight w:val="333"/>
        </w:trPr>
        <w:tc>
          <w:tcPr>
            <w:tcW w:w="9667"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16"/>
                <w:szCs w:val="16"/>
              </w:rPr>
            </w:pPr>
          </w:p>
        </w:tc>
        <w:tc>
          <w:tcPr>
            <w:tcW w:w="2523"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1A4bi</w:t>
            </w:r>
          </w:p>
          <w:p w:rsidR="000E7C4C" w:rsidRDefault="003C3EA6">
            <w:pPr>
              <w:jc w:val="center"/>
              <w:rPr>
                <w:color w:val="000000"/>
                <w:sz w:val="16"/>
                <w:szCs w:val="16"/>
              </w:rPr>
            </w:pPr>
            <w:r>
              <w:rPr>
                <w:color w:val="000000"/>
                <w:sz w:val="16"/>
                <w:szCs w:val="16"/>
              </w:rPr>
              <w:t>Namų ūkių stacionarus deginimas</w:t>
            </w:r>
          </w:p>
        </w:tc>
        <w:tc>
          <w:tcPr>
            <w:tcW w:w="2693" w:type="dxa"/>
            <w:tcBorders>
              <w:top w:val="single" w:sz="2" w:space="0" w:color="1F497D"/>
              <w:left w:val="single" w:sz="12" w:space="0" w:color="FFFFFF"/>
              <w:bottom w:val="single" w:sz="2" w:space="0" w:color="1F497D"/>
              <w:right w:val="single" w:sz="12" w:space="0" w:color="FFFFFF"/>
            </w:tcBorders>
            <w:vAlign w:val="center"/>
          </w:tcPr>
          <w:p w:rsidR="000E7C4C" w:rsidRDefault="000E7C4C">
            <w:pPr>
              <w:jc w:val="center"/>
              <w:rPr>
                <w:color w:val="000000"/>
                <w:sz w:val="16"/>
                <w:szCs w:val="16"/>
              </w:rPr>
            </w:pPr>
          </w:p>
        </w:tc>
        <w:tc>
          <w:tcPr>
            <w:tcW w:w="851"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709"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1303" w:type="dxa"/>
            <w:vMerge w:val="restart"/>
            <w:tcBorders>
              <w:top w:val="single" w:sz="2" w:space="0" w:color="1F497D"/>
              <w:left w:val="single" w:sz="12" w:space="0" w:color="FFFFFF"/>
              <w:bottom w:val="single" w:sz="2" w:space="0" w:color="1F497D"/>
              <w:right w:val="nil"/>
            </w:tcBorders>
            <w:hideMark/>
          </w:tcPr>
          <w:p w:rsidR="000E7C4C" w:rsidRDefault="003C3EA6">
            <w:pPr>
              <w:jc w:val="center"/>
              <w:rPr>
                <w:color w:val="000000"/>
                <w:sz w:val="16"/>
                <w:szCs w:val="16"/>
              </w:rPr>
            </w:pPr>
            <w:r>
              <w:rPr>
                <w:color w:val="000000"/>
                <w:sz w:val="16"/>
                <w:szCs w:val="16"/>
              </w:rPr>
              <w:t>82,6%</w:t>
            </w:r>
          </w:p>
        </w:tc>
      </w:tr>
      <w:tr w:rsidR="000E7C4C">
        <w:tc>
          <w:tcPr>
            <w:tcW w:w="2523"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82,6%</w:t>
            </w:r>
          </w:p>
        </w:tc>
        <w:tc>
          <w:tcPr>
            <w:tcW w:w="2693" w:type="dxa"/>
            <w:tcBorders>
              <w:top w:val="single" w:sz="2" w:space="0" w:color="1F497D"/>
              <w:left w:val="single" w:sz="12" w:space="0" w:color="FFFFFF"/>
              <w:bottom w:val="single" w:sz="2" w:space="0" w:color="1F497D"/>
              <w:right w:val="single" w:sz="12" w:space="0" w:color="FFFFFF"/>
            </w:tcBorders>
            <w:vAlign w:val="center"/>
          </w:tcPr>
          <w:p w:rsidR="000E7C4C" w:rsidRDefault="000E7C4C">
            <w:pPr>
              <w:jc w:val="center"/>
              <w:rPr>
                <w:color w:val="000000"/>
                <w:sz w:val="16"/>
                <w:szCs w:val="16"/>
              </w:rPr>
            </w:pPr>
          </w:p>
        </w:tc>
        <w:tc>
          <w:tcPr>
            <w:tcW w:w="851" w:type="dxa"/>
            <w:tcBorders>
              <w:top w:val="single" w:sz="2" w:space="0" w:color="1F497D"/>
              <w:left w:val="single" w:sz="12" w:space="0" w:color="FFFFFF"/>
              <w:bottom w:val="single" w:sz="2" w:space="0" w:color="1F497D"/>
              <w:right w:val="single" w:sz="12" w:space="0" w:color="FFFFFF"/>
            </w:tcBorders>
            <w:vAlign w:val="center"/>
          </w:tcPr>
          <w:p w:rsidR="000E7C4C" w:rsidRDefault="000E7C4C">
            <w:pPr>
              <w:jc w:val="center"/>
              <w:rPr>
                <w:color w:val="000000"/>
                <w:sz w:val="16"/>
                <w:szCs w:val="16"/>
              </w:rPr>
            </w:pPr>
          </w:p>
        </w:tc>
        <w:tc>
          <w:tcPr>
            <w:tcW w:w="709" w:type="dxa"/>
            <w:tcBorders>
              <w:top w:val="single" w:sz="2" w:space="0" w:color="1F497D"/>
              <w:left w:val="single" w:sz="12" w:space="0" w:color="FFFFFF"/>
              <w:bottom w:val="single" w:sz="2" w:space="0" w:color="1F497D"/>
              <w:right w:val="single" w:sz="12" w:space="0" w:color="FFFFFF"/>
            </w:tcBorders>
            <w:vAlign w:val="center"/>
          </w:tcPr>
          <w:p w:rsidR="000E7C4C" w:rsidRDefault="000E7C4C">
            <w:pPr>
              <w:jc w:val="center"/>
              <w:rPr>
                <w:color w:val="000000"/>
                <w:sz w:val="16"/>
                <w:szCs w:val="16"/>
              </w:rPr>
            </w:pPr>
          </w:p>
        </w:tc>
        <w:tc>
          <w:tcPr>
            <w:tcW w:w="709" w:type="dxa"/>
            <w:vAlign w:val="center"/>
            <w:hideMark/>
          </w:tcPr>
          <w:p w:rsidR="000E7C4C" w:rsidRDefault="003C3EA6">
            <w:pPr>
              <w:jc w:val="center"/>
            </w:pPr>
            <w:r>
              <w:rPr>
                <w:color w:val="000000"/>
                <w:sz w:val="16"/>
                <w:szCs w:val="16"/>
              </w:rPr>
              <w:t>1.</w:t>
            </w:r>
            <w:r>
              <w:rPr>
                <w:color w:val="000000"/>
                <w:sz w:val="16"/>
                <w:szCs w:val="16"/>
              </w:rPr>
              <w:tab/>
            </w:r>
          </w:p>
          <w:p w:rsidR="000E7C4C" w:rsidRDefault="000E7C4C">
            <w:pPr>
              <w:rPr>
                <w:sz w:val="20"/>
                <w:lang w:eastAsia="lt-LT"/>
              </w:rPr>
            </w:pPr>
          </w:p>
        </w:tc>
        <w:tc>
          <w:tcPr>
            <w:tcW w:w="1303" w:type="dxa"/>
            <w:vMerge/>
            <w:tcBorders>
              <w:top w:val="single" w:sz="2" w:space="0" w:color="1F497D"/>
              <w:left w:val="single" w:sz="12" w:space="0" w:color="FFFFFF"/>
              <w:bottom w:val="single" w:sz="2" w:space="0" w:color="1F497D"/>
              <w:right w:val="nil"/>
            </w:tcBorders>
            <w:vAlign w:val="center"/>
            <w:hideMark/>
          </w:tcPr>
          <w:p w:rsidR="000E7C4C" w:rsidRDefault="000E7C4C">
            <w:pPr>
              <w:rPr>
                <w:color w:val="000000"/>
                <w:sz w:val="16"/>
                <w:szCs w:val="16"/>
              </w:rPr>
            </w:pPr>
          </w:p>
        </w:tc>
      </w:tr>
      <w:tr w:rsidR="000E7C4C">
        <w:tc>
          <w:tcPr>
            <w:tcW w:w="1588" w:type="dxa"/>
            <w:vMerge w:val="restart"/>
            <w:tcBorders>
              <w:top w:val="single" w:sz="2" w:space="0" w:color="1F497D"/>
              <w:left w:val="nil"/>
              <w:bottom w:val="single" w:sz="2" w:space="0" w:color="1F497D"/>
              <w:right w:val="single" w:sz="12" w:space="0" w:color="FFFFFF"/>
            </w:tcBorders>
            <w:vAlign w:val="center"/>
          </w:tcPr>
          <w:p w:rsidR="000E7C4C" w:rsidRDefault="003C3EA6">
            <w:pPr>
              <w:rPr>
                <w:color w:val="000000"/>
                <w:sz w:val="16"/>
                <w:szCs w:val="16"/>
              </w:rPr>
            </w:pPr>
            <w:proofErr w:type="spellStart"/>
            <w:r>
              <w:rPr>
                <w:color w:val="000000"/>
                <w:sz w:val="16"/>
                <w:szCs w:val="16"/>
              </w:rPr>
              <w:t>Benzo</w:t>
            </w:r>
            <w:proofErr w:type="spellEnd"/>
            <w:r>
              <w:rPr>
                <w:color w:val="000000"/>
                <w:sz w:val="16"/>
                <w:szCs w:val="16"/>
              </w:rPr>
              <w:t>(k)</w:t>
            </w:r>
            <w:proofErr w:type="spellStart"/>
            <w:r>
              <w:rPr>
                <w:color w:val="000000"/>
                <w:sz w:val="16"/>
                <w:szCs w:val="16"/>
              </w:rPr>
              <w:t>fluorantenas</w:t>
            </w:r>
            <w:proofErr w:type="spellEnd"/>
          </w:p>
        </w:tc>
        <w:tc>
          <w:tcPr>
            <w:tcW w:w="6776" w:type="dxa"/>
            <w:vAlign w:val="center"/>
            <w:hideMark/>
          </w:tcPr>
          <w:p w:rsidR="000E7C4C" w:rsidRDefault="000E7C4C">
            <w:pPr>
              <w:jc w:val="center"/>
              <w:rPr>
                <w:color w:val="000000"/>
                <w:sz w:val="16"/>
                <w:szCs w:val="16"/>
              </w:rPr>
            </w:pPr>
          </w:p>
          <w:p w:rsidR="000E7C4C" w:rsidRDefault="000E7C4C">
            <w:pPr>
              <w:rPr>
                <w:sz w:val="20"/>
                <w:lang w:eastAsia="lt-LT"/>
              </w:rPr>
            </w:pPr>
          </w:p>
        </w:tc>
        <w:tc>
          <w:tcPr>
            <w:tcW w:w="2693" w:type="dxa"/>
            <w:vAlign w:val="center"/>
            <w:hideMark/>
          </w:tcPr>
          <w:p w:rsidR="000E7C4C" w:rsidRDefault="000E7C4C">
            <w:pPr>
              <w:rPr>
                <w:sz w:val="20"/>
                <w:lang w:eastAsia="lt-LT"/>
              </w:rPr>
            </w:pPr>
          </w:p>
        </w:tc>
        <w:tc>
          <w:tcPr>
            <w:tcW w:w="851" w:type="dxa"/>
            <w:vAlign w:val="center"/>
            <w:hideMark/>
          </w:tcPr>
          <w:p w:rsidR="000E7C4C" w:rsidRDefault="000E7C4C">
            <w:pPr>
              <w:rPr>
                <w:sz w:val="20"/>
                <w:lang w:eastAsia="lt-LT"/>
              </w:rPr>
            </w:pPr>
          </w:p>
        </w:tc>
        <w:tc>
          <w:tcPr>
            <w:tcW w:w="709" w:type="dxa"/>
            <w:vAlign w:val="center"/>
            <w:hideMark/>
          </w:tcPr>
          <w:p w:rsidR="000E7C4C" w:rsidRDefault="000E7C4C">
            <w:pPr>
              <w:rPr>
                <w:sz w:val="20"/>
                <w:lang w:eastAsia="lt-LT"/>
              </w:rPr>
            </w:pPr>
          </w:p>
        </w:tc>
        <w:tc>
          <w:tcPr>
            <w:tcW w:w="1303" w:type="dxa"/>
            <w:vAlign w:val="center"/>
            <w:hideMark/>
          </w:tcPr>
          <w:p w:rsidR="000E7C4C" w:rsidRDefault="000E7C4C">
            <w:pPr>
              <w:rPr>
                <w:sz w:val="20"/>
                <w:lang w:eastAsia="lt-LT"/>
              </w:rPr>
            </w:pPr>
          </w:p>
        </w:tc>
      </w:tr>
      <w:tr w:rsidR="000E7C4C">
        <w:tc>
          <w:tcPr>
            <w:tcW w:w="9667"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16"/>
                <w:szCs w:val="16"/>
              </w:rPr>
            </w:pPr>
          </w:p>
        </w:tc>
        <w:tc>
          <w:tcPr>
            <w:tcW w:w="2523"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1A4bi</w:t>
            </w:r>
          </w:p>
          <w:p w:rsidR="000E7C4C" w:rsidRDefault="003C3EA6">
            <w:pPr>
              <w:jc w:val="center"/>
              <w:rPr>
                <w:color w:val="000000"/>
                <w:sz w:val="16"/>
                <w:szCs w:val="16"/>
              </w:rPr>
            </w:pPr>
            <w:r>
              <w:rPr>
                <w:color w:val="000000"/>
                <w:sz w:val="16"/>
                <w:szCs w:val="16"/>
              </w:rPr>
              <w:t>Namų ūkių stacionarus deginimas</w:t>
            </w:r>
          </w:p>
        </w:tc>
        <w:tc>
          <w:tcPr>
            <w:tcW w:w="2693" w:type="dxa"/>
            <w:tcBorders>
              <w:top w:val="single" w:sz="2" w:space="0" w:color="1F497D"/>
              <w:left w:val="single" w:sz="12" w:space="0" w:color="FFFFFF"/>
              <w:bottom w:val="single" w:sz="2" w:space="0" w:color="1F497D"/>
              <w:right w:val="single" w:sz="12" w:space="0" w:color="FFFFFF"/>
            </w:tcBorders>
            <w:vAlign w:val="center"/>
          </w:tcPr>
          <w:p w:rsidR="000E7C4C" w:rsidRDefault="000E7C4C">
            <w:pPr>
              <w:jc w:val="center"/>
              <w:rPr>
                <w:color w:val="000000"/>
                <w:sz w:val="16"/>
                <w:szCs w:val="16"/>
              </w:rPr>
            </w:pPr>
          </w:p>
        </w:tc>
        <w:tc>
          <w:tcPr>
            <w:tcW w:w="851"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709"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1303" w:type="dxa"/>
            <w:vMerge w:val="restart"/>
            <w:tcBorders>
              <w:top w:val="single" w:sz="2" w:space="0" w:color="1F497D"/>
              <w:left w:val="single" w:sz="12" w:space="0" w:color="FFFFFF"/>
              <w:bottom w:val="single" w:sz="2" w:space="0" w:color="1F497D"/>
              <w:right w:val="nil"/>
            </w:tcBorders>
            <w:hideMark/>
          </w:tcPr>
          <w:p w:rsidR="000E7C4C" w:rsidRDefault="003C3EA6">
            <w:pPr>
              <w:jc w:val="center"/>
              <w:rPr>
                <w:color w:val="000000"/>
                <w:sz w:val="16"/>
                <w:szCs w:val="16"/>
              </w:rPr>
            </w:pPr>
            <w:r>
              <w:rPr>
                <w:color w:val="000000"/>
                <w:sz w:val="16"/>
                <w:szCs w:val="16"/>
              </w:rPr>
              <w:t>81,2%</w:t>
            </w:r>
          </w:p>
        </w:tc>
      </w:tr>
      <w:tr w:rsidR="000E7C4C">
        <w:tc>
          <w:tcPr>
            <w:tcW w:w="2523"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81,2%</w:t>
            </w:r>
          </w:p>
        </w:tc>
        <w:tc>
          <w:tcPr>
            <w:tcW w:w="2693" w:type="dxa"/>
            <w:tcBorders>
              <w:top w:val="single" w:sz="2" w:space="0" w:color="1F497D"/>
              <w:left w:val="single" w:sz="12" w:space="0" w:color="FFFFFF"/>
              <w:bottom w:val="single" w:sz="2" w:space="0" w:color="1F497D"/>
              <w:right w:val="single" w:sz="12" w:space="0" w:color="FFFFFF"/>
            </w:tcBorders>
            <w:vAlign w:val="center"/>
          </w:tcPr>
          <w:p w:rsidR="000E7C4C" w:rsidRDefault="000E7C4C">
            <w:pPr>
              <w:jc w:val="center"/>
              <w:rPr>
                <w:color w:val="000000"/>
                <w:sz w:val="16"/>
                <w:szCs w:val="16"/>
              </w:rPr>
            </w:pPr>
          </w:p>
        </w:tc>
        <w:tc>
          <w:tcPr>
            <w:tcW w:w="851"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709"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709" w:type="dxa"/>
            <w:vAlign w:val="center"/>
            <w:hideMark/>
          </w:tcPr>
          <w:p w:rsidR="000E7C4C" w:rsidRDefault="000E7C4C">
            <w:pPr>
              <w:rPr>
                <w:sz w:val="20"/>
                <w:lang w:eastAsia="lt-LT"/>
              </w:rPr>
            </w:pPr>
          </w:p>
        </w:tc>
        <w:tc>
          <w:tcPr>
            <w:tcW w:w="1303" w:type="dxa"/>
            <w:vMerge/>
            <w:tcBorders>
              <w:top w:val="single" w:sz="2" w:space="0" w:color="1F497D"/>
              <w:left w:val="single" w:sz="12" w:space="0" w:color="FFFFFF"/>
              <w:bottom w:val="single" w:sz="2" w:space="0" w:color="1F497D"/>
              <w:right w:val="nil"/>
            </w:tcBorders>
            <w:vAlign w:val="center"/>
            <w:hideMark/>
          </w:tcPr>
          <w:p w:rsidR="000E7C4C" w:rsidRDefault="000E7C4C">
            <w:pPr>
              <w:rPr>
                <w:color w:val="000000"/>
                <w:sz w:val="16"/>
                <w:szCs w:val="16"/>
              </w:rPr>
            </w:pPr>
          </w:p>
        </w:tc>
      </w:tr>
      <w:tr w:rsidR="000E7C4C">
        <w:tc>
          <w:tcPr>
            <w:tcW w:w="1588" w:type="dxa"/>
            <w:vMerge w:val="restart"/>
            <w:tcBorders>
              <w:top w:val="single" w:sz="2" w:space="0" w:color="1F497D"/>
              <w:left w:val="nil"/>
              <w:bottom w:val="single" w:sz="2" w:space="0" w:color="1F497D"/>
              <w:right w:val="single" w:sz="12" w:space="0" w:color="FFFFFF"/>
            </w:tcBorders>
            <w:vAlign w:val="center"/>
          </w:tcPr>
          <w:p w:rsidR="000E7C4C" w:rsidRDefault="003C3EA6">
            <w:pPr>
              <w:jc w:val="center"/>
              <w:rPr>
                <w:color w:val="000000"/>
                <w:sz w:val="16"/>
                <w:szCs w:val="16"/>
              </w:rPr>
            </w:pPr>
            <w:proofErr w:type="spellStart"/>
            <w:r>
              <w:rPr>
                <w:color w:val="000000"/>
                <w:sz w:val="16"/>
                <w:szCs w:val="16"/>
              </w:rPr>
              <w:t>Indeno</w:t>
            </w:r>
            <w:proofErr w:type="spellEnd"/>
            <w:r>
              <w:rPr>
                <w:color w:val="000000"/>
                <w:sz w:val="16"/>
                <w:szCs w:val="16"/>
              </w:rPr>
              <w:t>(1,2,3-cd)</w:t>
            </w:r>
            <w:proofErr w:type="spellStart"/>
            <w:r>
              <w:rPr>
                <w:color w:val="000000"/>
                <w:sz w:val="16"/>
                <w:szCs w:val="16"/>
              </w:rPr>
              <w:t>pirenas</w:t>
            </w:r>
            <w:proofErr w:type="spellEnd"/>
          </w:p>
          <w:p w:rsidR="000E7C4C" w:rsidRDefault="000E7C4C">
            <w:pPr>
              <w:jc w:val="center"/>
              <w:rPr>
                <w:color w:val="000000"/>
                <w:sz w:val="16"/>
                <w:szCs w:val="16"/>
              </w:rPr>
            </w:pPr>
          </w:p>
          <w:p w:rsidR="000E7C4C" w:rsidRDefault="000E7C4C">
            <w:pPr>
              <w:jc w:val="center"/>
              <w:rPr>
                <w:color w:val="000000"/>
                <w:sz w:val="16"/>
                <w:szCs w:val="16"/>
              </w:rPr>
            </w:pPr>
          </w:p>
        </w:tc>
        <w:tc>
          <w:tcPr>
            <w:tcW w:w="2523"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1A4bi</w:t>
            </w:r>
          </w:p>
          <w:p w:rsidR="000E7C4C" w:rsidRDefault="003C3EA6">
            <w:pPr>
              <w:jc w:val="center"/>
              <w:rPr>
                <w:color w:val="000000"/>
                <w:sz w:val="16"/>
                <w:szCs w:val="16"/>
              </w:rPr>
            </w:pPr>
            <w:r>
              <w:rPr>
                <w:color w:val="000000"/>
                <w:sz w:val="16"/>
                <w:szCs w:val="16"/>
              </w:rPr>
              <w:t>Namų ūkių stacionarus deginimas</w:t>
            </w:r>
          </w:p>
        </w:tc>
        <w:tc>
          <w:tcPr>
            <w:tcW w:w="2693"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851"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709"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1303" w:type="dxa"/>
            <w:vMerge w:val="restart"/>
            <w:tcBorders>
              <w:top w:val="single" w:sz="2" w:space="0" w:color="1F497D"/>
              <w:left w:val="single" w:sz="12" w:space="0" w:color="FFFFFF"/>
              <w:bottom w:val="single" w:sz="2" w:space="0" w:color="1F497D"/>
              <w:right w:val="nil"/>
            </w:tcBorders>
            <w:hideMark/>
          </w:tcPr>
          <w:p w:rsidR="000E7C4C" w:rsidRDefault="003C3EA6">
            <w:pPr>
              <w:jc w:val="center"/>
              <w:rPr>
                <w:color w:val="000000"/>
                <w:sz w:val="16"/>
                <w:szCs w:val="16"/>
              </w:rPr>
            </w:pPr>
            <w:r>
              <w:rPr>
                <w:color w:val="000000"/>
                <w:sz w:val="16"/>
                <w:szCs w:val="16"/>
              </w:rPr>
              <w:t>84,8%</w:t>
            </w:r>
          </w:p>
        </w:tc>
      </w:tr>
      <w:tr w:rsidR="000E7C4C">
        <w:tc>
          <w:tcPr>
            <w:tcW w:w="9667"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16"/>
                <w:szCs w:val="16"/>
              </w:rPr>
            </w:pPr>
          </w:p>
        </w:tc>
        <w:tc>
          <w:tcPr>
            <w:tcW w:w="2523"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84,8%</w:t>
            </w:r>
          </w:p>
        </w:tc>
        <w:tc>
          <w:tcPr>
            <w:tcW w:w="2693"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851"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709"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1303" w:type="dxa"/>
            <w:vMerge/>
            <w:tcBorders>
              <w:top w:val="single" w:sz="2" w:space="0" w:color="1F497D"/>
              <w:left w:val="single" w:sz="12" w:space="0" w:color="FFFFFF"/>
              <w:bottom w:val="single" w:sz="2" w:space="0" w:color="1F497D"/>
              <w:right w:val="nil"/>
            </w:tcBorders>
            <w:vAlign w:val="center"/>
            <w:hideMark/>
          </w:tcPr>
          <w:p w:rsidR="000E7C4C" w:rsidRDefault="000E7C4C">
            <w:pPr>
              <w:rPr>
                <w:color w:val="000000"/>
                <w:sz w:val="16"/>
                <w:szCs w:val="16"/>
              </w:rPr>
            </w:pPr>
          </w:p>
        </w:tc>
      </w:tr>
      <w:tr w:rsidR="000E7C4C">
        <w:tc>
          <w:tcPr>
            <w:tcW w:w="1588" w:type="dxa"/>
            <w:vMerge w:val="restart"/>
            <w:tcBorders>
              <w:top w:val="single" w:sz="2" w:space="0" w:color="1F497D"/>
              <w:left w:val="nil"/>
              <w:bottom w:val="single" w:sz="2" w:space="0" w:color="1F497D"/>
              <w:right w:val="single" w:sz="12" w:space="0" w:color="FFFFFF"/>
            </w:tcBorders>
            <w:vAlign w:val="center"/>
          </w:tcPr>
          <w:p w:rsidR="000E7C4C" w:rsidRDefault="003C3EA6">
            <w:pPr>
              <w:jc w:val="center"/>
              <w:rPr>
                <w:color w:val="000000"/>
                <w:sz w:val="16"/>
                <w:szCs w:val="16"/>
              </w:rPr>
            </w:pPr>
            <w:r>
              <w:rPr>
                <w:color w:val="000000"/>
                <w:sz w:val="16"/>
                <w:szCs w:val="16"/>
              </w:rPr>
              <w:t>Dioksinai/</w:t>
            </w:r>
            <w:proofErr w:type="spellStart"/>
            <w:r>
              <w:rPr>
                <w:color w:val="000000"/>
                <w:sz w:val="16"/>
                <w:szCs w:val="16"/>
              </w:rPr>
              <w:t>furanai</w:t>
            </w:r>
            <w:proofErr w:type="spellEnd"/>
            <w:r>
              <w:rPr>
                <w:color w:val="000000"/>
                <w:sz w:val="16"/>
                <w:szCs w:val="16"/>
              </w:rPr>
              <w:t xml:space="preserve"> (PCDD/F)</w:t>
            </w:r>
          </w:p>
          <w:p w:rsidR="000E7C4C" w:rsidRDefault="000E7C4C">
            <w:pPr>
              <w:jc w:val="center"/>
              <w:rPr>
                <w:color w:val="000000"/>
                <w:sz w:val="16"/>
                <w:szCs w:val="16"/>
              </w:rPr>
            </w:pPr>
          </w:p>
          <w:p w:rsidR="000E7C4C" w:rsidRDefault="000E7C4C">
            <w:pPr>
              <w:jc w:val="center"/>
              <w:rPr>
                <w:color w:val="000000"/>
                <w:sz w:val="16"/>
                <w:szCs w:val="16"/>
              </w:rPr>
            </w:pPr>
          </w:p>
        </w:tc>
        <w:tc>
          <w:tcPr>
            <w:tcW w:w="2523"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1A4bi</w:t>
            </w:r>
          </w:p>
          <w:p w:rsidR="000E7C4C" w:rsidRDefault="003C3EA6">
            <w:pPr>
              <w:jc w:val="center"/>
              <w:rPr>
                <w:color w:val="000000"/>
                <w:sz w:val="16"/>
                <w:szCs w:val="16"/>
              </w:rPr>
            </w:pPr>
            <w:r>
              <w:rPr>
                <w:color w:val="000000"/>
                <w:sz w:val="16"/>
                <w:szCs w:val="16"/>
              </w:rPr>
              <w:t>Namų ūkių stacionarus deginimas</w:t>
            </w:r>
          </w:p>
        </w:tc>
        <w:tc>
          <w:tcPr>
            <w:tcW w:w="2693"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 xml:space="preserve">1A4ai </w:t>
            </w:r>
          </w:p>
          <w:p w:rsidR="000E7C4C" w:rsidRDefault="003C3EA6">
            <w:pPr>
              <w:jc w:val="center"/>
              <w:rPr>
                <w:color w:val="000000"/>
                <w:sz w:val="16"/>
                <w:szCs w:val="16"/>
              </w:rPr>
            </w:pPr>
            <w:r>
              <w:rPr>
                <w:color w:val="000000"/>
                <w:sz w:val="16"/>
                <w:szCs w:val="16"/>
              </w:rPr>
              <w:t>Stacionarus deginimas komerciniuose/instituciniuose pastatuose</w:t>
            </w:r>
          </w:p>
        </w:tc>
        <w:tc>
          <w:tcPr>
            <w:tcW w:w="851"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5E</w:t>
            </w:r>
          </w:p>
          <w:p w:rsidR="000E7C4C" w:rsidRDefault="003C3EA6">
            <w:pPr>
              <w:jc w:val="center"/>
              <w:rPr>
                <w:color w:val="000000"/>
                <w:sz w:val="16"/>
                <w:szCs w:val="16"/>
              </w:rPr>
            </w:pPr>
            <w:r>
              <w:rPr>
                <w:rFonts w:eastAsia="Calibri"/>
                <w:color w:val="000000"/>
                <w:sz w:val="16"/>
                <w:szCs w:val="18"/>
                <w:lang w:eastAsia="lt-LT"/>
              </w:rPr>
              <w:t>Gaisrai</w:t>
            </w:r>
          </w:p>
        </w:tc>
        <w:tc>
          <w:tcPr>
            <w:tcW w:w="709"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1303" w:type="dxa"/>
            <w:vMerge w:val="restart"/>
            <w:tcBorders>
              <w:top w:val="single" w:sz="2" w:space="0" w:color="1F497D"/>
              <w:left w:val="single" w:sz="12" w:space="0" w:color="FFFFFF"/>
              <w:bottom w:val="single" w:sz="2" w:space="0" w:color="1F497D"/>
              <w:right w:val="nil"/>
            </w:tcBorders>
            <w:hideMark/>
          </w:tcPr>
          <w:p w:rsidR="000E7C4C" w:rsidRDefault="003C3EA6">
            <w:pPr>
              <w:jc w:val="center"/>
              <w:rPr>
                <w:color w:val="000000"/>
                <w:sz w:val="16"/>
                <w:szCs w:val="16"/>
              </w:rPr>
            </w:pPr>
            <w:r>
              <w:rPr>
                <w:color w:val="000000"/>
                <w:sz w:val="16"/>
                <w:szCs w:val="16"/>
              </w:rPr>
              <w:t>82,2%</w:t>
            </w:r>
          </w:p>
        </w:tc>
      </w:tr>
      <w:tr w:rsidR="000E7C4C">
        <w:tc>
          <w:tcPr>
            <w:tcW w:w="9667"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16"/>
                <w:szCs w:val="16"/>
              </w:rPr>
            </w:pPr>
          </w:p>
        </w:tc>
        <w:tc>
          <w:tcPr>
            <w:tcW w:w="2523"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66,1%</w:t>
            </w:r>
          </w:p>
        </w:tc>
        <w:tc>
          <w:tcPr>
            <w:tcW w:w="2693"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10,0%</w:t>
            </w:r>
          </w:p>
        </w:tc>
        <w:tc>
          <w:tcPr>
            <w:tcW w:w="851"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6,2%</w:t>
            </w:r>
          </w:p>
        </w:tc>
        <w:tc>
          <w:tcPr>
            <w:tcW w:w="709"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1303" w:type="dxa"/>
            <w:vMerge/>
            <w:tcBorders>
              <w:top w:val="single" w:sz="2" w:space="0" w:color="1F497D"/>
              <w:left w:val="single" w:sz="12" w:space="0" w:color="FFFFFF"/>
              <w:bottom w:val="single" w:sz="2" w:space="0" w:color="1F497D"/>
              <w:right w:val="nil"/>
            </w:tcBorders>
            <w:vAlign w:val="center"/>
            <w:hideMark/>
          </w:tcPr>
          <w:p w:rsidR="000E7C4C" w:rsidRDefault="000E7C4C">
            <w:pPr>
              <w:rPr>
                <w:color w:val="000000"/>
                <w:sz w:val="16"/>
                <w:szCs w:val="16"/>
              </w:rPr>
            </w:pPr>
          </w:p>
        </w:tc>
      </w:tr>
      <w:tr w:rsidR="000E7C4C">
        <w:tc>
          <w:tcPr>
            <w:tcW w:w="1588" w:type="dxa"/>
            <w:vMerge w:val="restart"/>
            <w:tcBorders>
              <w:top w:val="single" w:sz="2" w:space="0" w:color="1F497D"/>
              <w:left w:val="nil"/>
              <w:bottom w:val="single" w:sz="2" w:space="0" w:color="1F497D"/>
              <w:right w:val="single" w:sz="12" w:space="0" w:color="FFFFFF"/>
            </w:tcBorders>
            <w:vAlign w:val="center"/>
          </w:tcPr>
          <w:p w:rsidR="000E7C4C" w:rsidRDefault="003C3EA6">
            <w:pPr>
              <w:jc w:val="center"/>
              <w:rPr>
                <w:color w:val="000000"/>
                <w:sz w:val="16"/>
                <w:szCs w:val="16"/>
              </w:rPr>
            </w:pPr>
            <w:proofErr w:type="spellStart"/>
            <w:r>
              <w:rPr>
                <w:color w:val="000000"/>
                <w:sz w:val="16"/>
                <w:szCs w:val="16"/>
              </w:rPr>
              <w:t>Heksachlorbenzenas</w:t>
            </w:r>
            <w:proofErr w:type="spellEnd"/>
          </w:p>
          <w:p w:rsidR="000E7C4C" w:rsidRDefault="000E7C4C">
            <w:pPr>
              <w:jc w:val="center"/>
              <w:rPr>
                <w:color w:val="000000"/>
                <w:sz w:val="16"/>
                <w:szCs w:val="16"/>
              </w:rPr>
            </w:pPr>
          </w:p>
        </w:tc>
        <w:tc>
          <w:tcPr>
            <w:tcW w:w="2523"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16"/>
                <w:szCs w:val="16"/>
              </w:rPr>
            </w:pPr>
            <w:r>
              <w:rPr>
                <w:color w:val="000000"/>
                <w:sz w:val="16"/>
                <w:szCs w:val="16"/>
              </w:rPr>
              <w:t>3Df</w:t>
            </w:r>
          </w:p>
          <w:p w:rsidR="000E7C4C" w:rsidRDefault="003C3EA6">
            <w:pPr>
              <w:jc w:val="center"/>
              <w:rPr>
                <w:color w:val="000000"/>
                <w:sz w:val="16"/>
                <w:szCs w:val="16"/>
              </w:rPr>
            </w:pPr>
            <w:r>
              <w:rPr>
                <w:color w:val="000000"/>
                <w:sz w:val="16"/>
                <w:szCs w:val="16"/>
              </w:rPr>
              <w:t>Pesticidų vartojimas</w:t>
            </w:r>
          </w:p>
        </w:tc>
        <w:tc>
          <w:tcPr>
            <w:tcW w:w="2693"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851"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709" w:type="dxa"/>
            <w:tcBorders>
              <w:top w:val="single" w:sz="2" w:space="0" w:color="1F497D"/>
              <w:left w:val="single" w:sz="12" w:space="0" w:color="FFFFFF"/>
              <w:bottom w:val="single" w:sz="2" w:space="0" w:color="1F497D"/>
              <w:right w:val="single" w:sz="12" w:space="0" w:color="FFFFFF"/>
            </w:tcBorders>
            <w:vAlign w:val="bottom"/>
          </w:tcPr>
          <w:p w:rsidR="000E7C4C" w:rsidRDefault="000E7C4C">
            <w:pPr>
              <w:jc w:val="center"/>
              <w:rPr>
                <w:color w:val="000000"/>
                <w:sz w:val="16"/>
                <w:szCs w:val="16"/>
              </w:rPr>
            </w:pPr>
          </w:p>
        </w:tc>
        <w:tc>
          <w:tcPr>
            <w:tcW w:w="1303" w:type="dxa"/>
            <w:vMerge w:val="restart"/>
            <w:tcBorders>
              <w:top w:val="single" w:sz="2" w:space="0" w:color="1F497D"/>
              <w:left w:val="single" w:sz="12" w:space="0" w:color="FFFFFF"/>
              <w:bottom w:val="single" w:sz="2" w:space="0" w:color="1F497D"/>
              <w:right w:val="nil"/>
            </w:tcBorders>
            <w:hideMark/>
          </w:tcPr>
          <w:p w:rsidR="000E7C4C" w:rsidRDefault="003C3EA6">
            <w:pPr>
              <w:jc w:val="center"/>
              <w:rPr>
                <w:color w:val="000000"/>
                <w:sz w:val="16"/>
                <w:szCs w:val="16"/>
              </w:rPr>
            </w:pPr>
            <w:r>
              <w:rPr>
                <w:color w:val="000000"/>
                <w:sz w:val="16"/>
                <w:szCs w:val="16"/>
              </w:rPr>
              <w:t>97,8%</w:t>
            </w:r>
          </w:p>
        </w:tc>
      </w:tr>
      <w:tr w:rsidR="000E7C4C">
        <w:tc>
          <w:tcPr>
            <w:tcW w:w="9667"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16"/>
                <w:szCs w:val="16"/>
              </w:rPr>
            </w:pPr>
          </w:p>
        </w:tc>
        <w:tc>
          <w:tcPr>
            <w:tcW w:w="2523"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97,8%</w:t>
            </w:r>
          </w:p>
        </w:tc>
        <w:tc>
          <w:tcPr>
            <w:tcW w:w="2693"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851"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709"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1303" w:type="dxa"/>
            <w:vMerge/>
            <w:tcBorders>
              <w:top w:val="single" w:sz="2" w:space="0" w:color="1F497D"/>
              <w:left w:val="single" w:sz="12" w:space="0" w:color="FFFFFF"/>
              <w:bottom w:val="single" w:sz="2" w:space="0" w:color="1F497D"/>
              <w:right w:val="nil"/>
            </w:tcBorders>
            <w:vAlign w:val="center"/>
            <w:hideMark/>
          </w:tcPr>
          <w:p w:rsidR="000E7C4C" w:rsidRDefault="000E7C4C">
            <w:pPr>
              <w:rPr>
                <w:color w:val="000000"/>
                <w:sz w:val="16"/>
                <w:szCs w:val="16"/>
              </w:rPr>
            </w:pPr>
          </w:p>
        </w:tc>
      </w:tr>
      <w:tr w:rsidR="000E7C4C">
        <w:tc>
          <w:tcPr>
            <w:tcW w:w="9667" w:type="dxa"/>
            <w:gridSpan w:val="6"/>
            <w:tcBorders>
              <w:top w:val="single" w:sz="2" w:space="0" w:color="1F497D"/>
              <w:left w:val="nil"/>
              <w:bottom w:val="single" w:sz="2" w:space="0" w:color="1F497D"/>
              <w:right w:val="nil"/>
            </w:tcBorders>
            <w:shd w:val="clear" w:color="auto" w:fill="D9D9D9" w:themeFill="background1" w:themeFillShade="D9"/>
            <w:vAlign w:val="center"/>
            <w:hideMark/>
          </w:tcPr>
          <w:p w:rsidR="000E7C4C" w:rsidRDefault="003C3EA6">
            <w:pPr>
              <w:jc w:val="center"/>
              <w:rPr>
                <w:color w:val="000000"/>
                <w:sz w:val="16"/>
                <w:szCs w:val="16"/>
              </w:rPr>
            </w:pPr>
            <w:r>
              <w:rPr>
                <w:color w:val="000000"/>
                <w:sz w:val="16"/>
                <w:szCs w:val="16"/>
              </w:rPr>
              <w:t>2015</w:t>
            </w:r>
          </w:p>
        </w:tc>
      </w:tr>
      <w:tr w:rsidR="000E7C4C">
        <w:tc>
          <w:tcPr>
            <w:tcW w:w="1588" w:type="dxa"/>
            <w:vMerge w:val="restart"/>
            <w:tcBorders>
              <w:top w:val="single" w:sz="2" w:space="0" w:color="1F497D"/>
              <w:left w:val="nil"/>
              <w:bottom w:val="single" w:sz="2" w:space="0" w:color="1F497D"/>
              <w:right w:val="single" w:sz="12" w:space="0" w:color="FFFFFF"/>
            </w:tcBorders>
            <w:vAlign w:val="center"/>
          </w:tcPr>
          <w:p w:rsidR="000E7C4C" w:rsidRDefault="003C3EA6">
            <w:pPr>
              <w:jc w:val="center"/>
              <w:rPr>
                <w:color w:val="000000"/>
                <w:sz w:val="16"/>
                <w:szCs w:val="16"/>
              </w:rPr>
            </w:pPr>
            <w:proofErr w:type="spellStart"/>
            <w:r>
              <w:rPr>
                <w:color w:val="000000"/>
                <w:sz w:val="16"/>
                <w:szCs w:val="16"/>
              </w:rPr>
              <w:t>Benzo</w:t>
            </w:r>
            <w:proofErr w:type="spellEnd"/>
            <w:r>
              <w:rPr>
                <w:color w:val="000000"/>
                <w:sz w:val="16"/>
                <w:szCs w:val="16"/>
              </w:rPr>
              <w:t>(a)</w:t>
            </w:r>
            <w:proofErr w:type="spellStart"/>
            <w:r>
              <w:rPr>
                <w:color w:val="000000"/>
                <w:sz w:val="16"/>
                <w:szCs w:val="16"/>
              </w:rPr>
              <w:t>pirenas</w:t>
            </w:r>
            <w:proofErr w:type="spellEnd"/>
          </w:p>
          <w:p w:rsidR="000E7C4C" w:rsidRDefault="000E7C4C">
            <w:pPr>
              <w:jc w:val="center"/>
              <w:rPr>
                <w:color w:val="000000"/>
                <w:sz w:val="16"/>
                <w:szCs w:val="16"/>
              </w:rPr>
            </w:pPr>
          </w:p>
          <w:p w:rsidR="000E7C4C" w:rsidRDefault="000E7C4C">
            <w:pPr>
              <w:jc w:val="center"/>
              <w:rPr>
                <w:color w:val="000000"/>
                <w:sz w:val="16"/>
                <w:szCs w:val="16"/>
              </w:rPr>
            </w:pPr>
          </w:p>
        </w:tc>
        <w:tc>
          <w:tcPr>
            <w:tcW w:w="2523"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1A4bi </w:t>
            </w:r>
          </w:p>
          <w:p w:rsidR="000E7C4C" w:rsidRDefault="003C3EA6">
            <w:pPr>
              <w:jc w:val="center"/>
              <w:rPr>
                <w:color w:val="000000"/>
                <w:sz w:val="16"/>
                <w:szCs w:val="16"/>
              </w:rPr>
            </w:pPr>
            <w:r>
              <w:rPr>
                <w:color w:val="000000"/>
                <w:sz w:val="16"/>
                <w:szCs w:val="16"/>
              </w:rPr>
              <w:t>Namų ūkių stacionarus deginimas</w:t>
            </w:r>
          </w:p>
        </w:tc>
        <w:tc>
          <w:tcPr>
            <w:tcW w:w="2693"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851"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709"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1303" w:type="dxa"/>
            <w:vMerge w:val="restart"/>
            <w:tcBorders>
              <w:top w:val="single" w:sz="2" w:space="0" w:color="1F497D"/>
              <w:left w:val="single" w:sz="12" w:space="0" w:color="FFFFFF"/>
              <w:bottom w:val="single" w:sz="2" w:space="0" w:color="1F497D"/>
              <w:right w:val="nil"/>
            </w:tcBorders>
            <w:hideMark/>
          </w:tcPr>
          <w:p w:rsidR="000E7C4C" w:rsidRDefault="003C3EA6">
            <w:pPr>
              <w:jc w:val="center"/>
              <w:rPr>
                <w:color w:val="000000"/>
                <w:sz w:val="16"/>
                <w:szCs w:val="16"/>
              </w:rPr>
            </w:pPr>
            <w:r>
              <w:rPr>
                <w:color w:val="000000"/>
                <w:sz w:val="16"/>
                <w:szCs w:val="16"/>
              </w:rPr>
              <w:t>83.5%</w:t>
            </w:r>
          </w:p>
        </w:tc>
      </w:tr>
      <w:tr w:rsidR="000E7C4C">
        <w:tc>
          <w:tcPr>
            <w:tcW w:w="9667"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16"/>
                <w:szCs w:val="16"/>
              </w:rPr>
            </w:pPr>
          </w:p>
        </w:tc>
        <w:tc>
          <w:tcPr>
            <w:tcW w:w="2523"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83,5%</w:t>
            </w:r>
          </w:p>
        </w:tc>
        <w:tc>
          <w:tcPr>
            <w:tcW w:w="2693"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851"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709"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1303" w:type="dxa"/>
            <w:vMerge/>
            <w:tcBorders>
              <w:top w:val="single" w:sz="2" w:space="0" w:color="1F497D"/>
              <w:left w:val="single" w:sz="12" w:space="0" w:color="FFFFFF"/>
              <w:bottom w:val="single" w:sz="2" w:space="0" w:color="1F497D"/>
              <w:right w:val="nil"/>
            </w:tcBorders>
            <w:vAlign w:val="center"/>
            <w:hideMark/>
          </w:tcPr>
          <w:p w:rsidR="000E7C4C" w:rsidRDefault="003C3EA6">
            <w:pPr>
              <w:jc w:val="center"/>
            </w:pPr>
            <w:r>
              <w:rPr>
                <w:color w:val="000000"/>
                <w:sz w:val="16"/>
                <w:szCs w:val="16"/>
              </w:rPr>
              <w:t>1.</w:t>
            </w:r>
            <w:r>
              <w:rPr>
                <w:color w:val="000000"/>
                <w:sz w:val="16"/>
                <w:szCs w:val="16"/>
              </w:rPr>
              <w:tab/>
            </w:r>
          </w:p>
          <w:p w:rsidR="000E7C4C" w:rsidRDefault="000E7C4C">
            <w:pPr>
              <w:rPr>
                <w:color w:val="000000"/>
                <w:sz w:val="16"/>
                <w:szCs w:val="16"/>
              </w:rPr>
            </w:pPr>
          </w:p>
        </w:tc>
      </w:tr>
      <w:tr w:rsidR="000E7C4C">
        <w:tc>
          <w:tcPr>
            <w:tcW w:w="1588" w:type="dxa"/>
            <w:vMerge w:val="restart"/>
            <w:tcBorders>
              <w:top w:val="single" w:sz="2" w:space="0" w:color="1F497D"/>
              <w:left w:val="nil"/>
              <w:bottom w:val="single" w:sz="2" w:space="0" w:color="1F497D"/>
              <w:right w:val="single" w:sz="12" w:space="0" w:color="FFFFFF"/>
            </w:tcBorders>
            <w:vAlign w:val="center"/>
          </w:tcPr>
          <w:p w:rsidR="000E7C4C" w:rsidRDefault="003C3EA6">
            <w:pPr>
              <w:rPr>
                <w:color w:val="000000"/>
                <w:sz w:val="16"/>
                <w:szCs w:val="16"/>
              </w:rPr>
            </w:pPr>
            <w:proofErr w:type="spellStart"/>
            <w:r>
              <w:rPr>
                <w:color w:val="000000"/>
                <w:sz w:val="16"/>
                <w:szCs w:val="16"/>
              </w:rPr>
              <w:t>Benzo</w:t>
            </w:r>
            <w:proofErr w:type="spellEnd"/>
            <w:r>
              <w:rPr>
                <w:color w:val="000000"/>
                <w:sz w:val="16"/>
                <w:szCs w:val="16"/>
              </w:rPr>
              <w:t>(b)</w:t>
            </w:r>
            <w:proofErr w:type="spellStart"/>
            <w:r>
              <w:rPr>
                <w:color w:val="000000"/>
                <w:sz w:val="16"/>
                <w:szCs w:val="16"/>
              </w:rPr>
              <w:t>fluorantenas</w:t>
            </w:r>
            <w:proofErr w:type="spellEnd"/>
          </w:p>
        </w:tc>
        <w:tc>
          <w:tcPr>
            <w:tcW w:w="6776" w:type="dxa"/>
            <w:vAlign w:val="center"/>
            <w:hideMark/>
          </w:tcPr>
          <w:p w:rsidR="000E7C4C" w:rsidRDefault="000E7C4C">
            <w:pPr>
              <w:jc w:val="center"/>
              <w:rPr>
                <w:color w:val="000000"/>
                <w:sz w:val="16"/>
                <w:szCs w:val="16"/>
              </w:rPr>
            </w:pPr>
          </w:p>
          <w:p w:rsidR="000E7C4C" w:rsidRDefault="000E7C4C">
            <w:pPr>
              <w:jc w:val="center"/>
              <w:rPr>
                <w:color w:val="000000"/>
                <w:sz w:val="16"/>
                <w:szCs w:val="16"/>
              </w:rPr>
            </w:pPr>
          </w:p>
          <w:p w:rsidR="000E7C4C" w:rsidRDefault="000E7C4C">
            <w:pPr>
              <w:rPr>
                <w:sz w:val="20"/>
                <w:lang w:eastAsia="lt-LT"/>
              </w:rPr>
            </w:pPr>
          </w:p>
        </w:tc>
        <w:tc>
          <w:tcPr>
            <w:tcW w:w="2693" w:type="dxa"/>
            <w:vAlign w:val="center"/>
            <w:hideMark/>
          </w:tcPr>
          <w:p w:rsidR="000E7C4C" w:rsidRDefault="000E7C4C">
            <w:pPr>
              <w:rPr>
                <w:sz w:val="20"/>
                <w:lang w:eastAsia="lt-LT"/>
              </w:rPr>
            </w:pPr>
          </w:p>
        </w:tc>
        <w:tc>
          <w:tcPr>
            <w:tcW w:w="851" w:type="dxa"/>
            <w:vAlign w:val="center"/>
            <w:hideMark/>
          </w:tcPr>
          <w:p w:rsidR="000E7C4C" w:rsidRDefault="000E7C4C">
            <w:pPr>
              <w:rPr>
                <w:sz w:val="20"/>
                <w:lang w:eastAsia="lt-LT"/>
              </w:rPr>
            </w:pPr>
          </w:p>
        </w:tc>
        <w:tc>
          <w:tcPr>
            <w:tcW w:w="709" w:type="dxa"/>
            <w:vAlign w:val="center"/>
            <w:hideMark/>
          </w:tcPr>
          <w:p w:rsidR="000E7C4C" w:rsidRDefault="000E7C4C">
            <w:pPr>
              <w:rPr>
                <w:sz w:val="20"/>
                <w:lang w:eastAsia="lt-LT"/>
              </w:rPr>
            </w:pPr>
          </w:p>
        </w:tc>
        <w:tc>
          <w:tcPr>
            <w:tcW w:w="1303" w:type="dxa"/>
            <w:vAlign w:val="center"/>
            <w:hideMark/>
          </w:tcPr>
          <w:p w:rsidR="000E7C4C" w:rsidRDefault="000E7C4C">
            <w:pPr>
              <w:rPr>
                <w:sz w:val="20"/>
                <w:lang w:eastAsia="lt-LT"/>
              </w:rPr>
            </w:pPr>
          </w:p>
        </w:tc>
      </w:tr>
      <w:tr w:rsidR="000E7C4C">
        <w:tc>
          <w:tcPr>
            <w:tcW w:w="9667"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16"/>
                <w:szCs w:val="16"/>
              </w:rPr>
            </w:pPr>
          </w:p>
        </w:tc>
        <w:tc>
          <w:tcPr>
            <w:tcW w:w="2523"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1A4bi </w:t>
            </w:r>
          </w:p>
          <w:p w:rsidR="000E7C4C" w:rsidRDefault="003C3EA6">
            <w:pPr>
              <w:jc w:val="center"/>
              <w:rPr>
                <w:color w:val="000000"/>
                <w:sz w:val="16"/>
                <w:szCs w:val="16"/>
              </w:rPr>
            </w:pPr>
            <w:r>
              <w:rPr>
                <w:color w:val="000000"/>
                <w:sz w:val="16"/>
                <w:szCs w:val="16"/>
              </w:rPr>
              <w:t>Namų ūkių stacionarus deginimas</w:t>
            </w:r>
          </w:p>
        </w:tc>
        <w:tc>
          <w:tcPr>
            <w:tcW w:w="2693"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3F </w:t>
            </w:r>
          </w:p>
          <w:p w:rsidR="000E7C4C" w:rsidRDefault="003C3EA6">
            <w:pPr>
              <w:jc w:val="center"/>
              <w:rPr>
                <w:color w:val="000000"/>
                <w:sz w:val="16"/>
                <w:szCs w:val="16"/>
              </w:rPr>
            </w:pPr>
            <w:r>
              <w:rPr>
                <w:color w:val="000000"/>
                <w:sz w:val="16"/>
                <w:szCs w:val="16"/>
              </w:rPr>
              <w:t>Žemės ūkio atliekų deginimas lauke</w:t>
            </w:r>
          </w:p>
        </w:tc>
        <w:tc>
          <w:tcPr>
            <w:tcW w:w="851"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709"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1303" w:type="dxa"/>
            <w:vMerge w:val="restart"/>
            <w:tcBorders>
              <w:top w:val="single" w:sz="2" w:space="0" w:color="1F497D"/>
              <w:left w:val="single" w:sz="12" w:space="0" w:color="FFFFFF"/>
              <w:bottom w:val="single" w:sz="2" w:space="0" w:color="1F497D"/>
              <w:right w:val="nil"/>
            </w:tcBorders>
            <w:hideMark/>
          </w:tcPr>
          <w:p w:rsidR="000E7C4C" w:rsidRDefault="003C3EA6">
            <w:pPr>
              <w:jc w:val="center"/>
              <w:rPr>
                <w:color w:val="000000"/>
                <w:sz w:val="16"/>
                <w:szCs w:val="16"/>
              </w:rPr>
            </w:pPr>
            <w:r>
              <w:rPr>
                <w:color w:val="000000"/>
                <w:sz w:val="16"/>
                <w:szCs w:val="16"/>
              </w:rPr>
              <w:t>84.0%</w:t>
            </w:r>
          </w:p>
        </w:tc>
      </w:tr>
      <w:tr w:rsidR="000E7C4C">
        <w:tc>
          <w:tcPr>
            <w:tcW w:w="2523"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72,3%</w:t>
            </w:r>
          </w:p>
        </w:tc>
        <w:tc>
          <w:tcPr>
            <w:tcW w:w="2693"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11,7%</w:t>
            </w:r>
          </w:p>
        </w:tc>
        <w:tc>
          <w:tcPr>
            <w:tcW w:w="851"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709"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709" w:type="dxa"/>
            <w:vAlign w:val="center"/>
            <w:hideMark/>
          </w:tcPr>
          <w:p w:rsidR="000E7C4C" w:rsidRDefault="003C3EA6">
            <w:pPr>
              <w:jc w:val="center"/>
            </w:pPr>
            <w:r>
              <w:rPr>
                <w:color w:val="000000"/>
                <w:sz w:val="16"/>
                <w:szCs w:val="16"/>
              </w:rPr>
              <w:t>1.</w:t>
            </w:r>
            <w:r>
              <w:rPr>
                <w:color w:val="000000"/>
                <w:sz w:val="16"/>
                <w:szCs w:val="16"/>
              </w:rPr>
              <w:tab/>
            </w:r>
          </w:p>
          <w:p w:rsidR="000E7C4C" w:rsidRDefault="000E7C4C">
            <w:pPr>
              <w:rPr>
                <w:sz w:val="20"/>
                <w:lang w:eastAsia="lt-LT"/>
              </w:rPr>
            </w:pPr>
          </w:p>
        </w:tc>
        <w:tc>
          <w:tcPr>
            <w:tcW w:w="1303" w:type="dxa"/>
            <w:vMerge/>
            <w:tcBorders>
              <w:top w:val="single" w:sz="2" w:space="0" w:color="1F497D"/>
              <w:left w:val="single" w:sz="12" w:space="0" w:color="FFFFFF"/>
              <w:bottom w:val="single" w:sz="2" w:space="0" w:color="1F497D"/>
              <w:right w:val="nil"/>
            </w:tcBorders>
            <w:vAlign w:val="center"/>
            <w:hideMark/>
          </w:tcPr>
          <w:p w:rsidR="000E7C4C" w:rsidRDefault="000E7C4C">
            <w:pPr>
              <w:rPr>
                <w:color w:val="000000"/>
                <w:sz w:val="16"/>
                <w:szCs w:val="16"/>
              </w:rPr>
            </w:pPr>
          </w:p>
        </w:tc>
      </w:tr>
      <w:tr w:rsidR="000E7C4C">
        <w:tc>
          <w:tcPr>
            <w:tcW w:w="1588" w:type="dxa"/>
            <w:vMerge w:val="restart"/>
            <w:tcBorders>
              <w:top w:val="single" w:sz="2" w:space="0" w:color="1F497D"/>
              <w:left w:val="nil"/>
              <w:bottom w:val="single" w:sz="2" w:space="0" w:color="1F497D"/>
              <w:right w:val="single" w:sz="12" w:space="0" w:color="FFFFFF"/>
            </w:tcBorders>
            <w:vAlign w:val="center"/>
          </w:tcPr>
          <w:p w:rsidR="000E7C4C" w:rsidRDefault="003C3EA6">
            <w:pPr>
              <w:rPr>
                <w:color w:val="000000"/>
                <w:sz w:val="16"/>
                <w:szCs w:val="16"/>
              </w:rPr>
            </w:pPr>
            <w:proofErr w:type="spellStart"/>
            <w:r>
              <w:rPr>
                <w:color w:val="000000"/>
                <w:sz w:val="16"/>
                <w:szCs w:val="16"/>
              </w:rPr>
              <w:t>Benzo</w:t>
            </w:r>
            <w:proofErr w:type="spellEnd"/>
            <w:r>
              <w:rPr>
                <w:color w:val="000000"/>
                <w:sz w:val="16"/>
                <w:szCs w:val="16"/>
              </w:rPr>
              <w:t>(k)</w:t>
            </w:r>
            <w:proofErr w:type="spellStart"/>
            <w:r>
              <w:rPr>
                <w:color w:val="000000"/>
                <w:sz w:val="16"/>
                <w:szCs w:val="16"/>
              </w:rPr>
              <w:t>fluorantenas</w:t>
            </w:r>
            <w:proofErr w:type="spellEnd"/>
          </w:p>
        </w:tc>
        <w:tc>
          <w:tcPr>
            <w:tcW w:w="6776" w:type="dxa"/>
            <w:vAlign w:val="center"/>
            <w:hideMark/>
          </w:tcPr>
          <w:p w:rsidR="000E7C4C" w:rsidRDefault="000E7C4C">
            <w:pPr>
              <w:jc w:val="center"/>
              <w:rPr>
                <w:color w:val="000000"/>
                <w:sz w:val="16"/>
                <w:szCs w:val="16"/>
              </w:rPr>
            </w:pPr>
          </w:p>
          <w:p w:rsidR="000E7C4C" w:rsidRDefault="000E7C4C">
            <w:pPr>
              <w:rPr>
                <w:sz w:val="20"/>
                <w:lang w:eastAsia="lt-LT"/>
              </w:rPr>
            </w:pPr>
          </w:p>
        </w:tc>
        <w:tc>
          <w:tcPr>
            <w:tcW w:w="2693" w:type="dxa"/>
            <w:vAlign w:val="center"/>
            <w:hideMark/>
          </w:tcPr>
          <w:p w:rsidR="000E7C4C" w:rsidRDefault="000E7C4C">
            <w:pPr>
              <w:rPr>
                <w:sz w:val="20"/>
                <w:lang w:eastAsia="lt-LT"/>
              </w:rPr>
            </w:pPr>
          </w:p>
        </w:tc>
        <w:tc>
          <w:tcPr>
            <w:tcW w:w="851" w:type="dxa"/>
            <w:vAlign w:val="center"/>
            <w:hideMark/>
          </w:tcPr>
          <w:p w:rsidR="000E7C4C" w:rsidRDefault="000E7C4C">
            <w:pPr>
              <w:rPr>
                <w:sz w:val="20"/>
                <w:lang w:eastAsia="lt-LT"/>
              </w:rPr>
            </w:pPr>
          </w:p>
        </w:tc>
        <w:tc>
          <w:tcPr>
            <w:tcW w:w="709" w:type="dxa"/>
            <w:vAlign w:val="center"/>
            <w:hideMark/>
          </w:tcPr>
          <w:p w:rsidR="000E7C4C" w:rsidRDefault="000E7C4C">
            <w:pPr>
              <w:rPr>
                <w:sz w:val="20"/>
                <w:lang w:eastAsia="lt-LT"/>
              </w:rPr>
            </w:pPr>
          </w:p>
        </w:tc>
        <w:tc>
          <w:tcPr>
            <w:tcW w:w="1303" w:type="dxa"/>
            <w:vAlign w:val="center"/>
            <w:hideMark/>
          </w:tcPr>
          <w:p w:rsidR="000E7C4C" w:rsidRDefault="000E7C4C">
            <w:pPr>
              <w:rPr>
                <w:sz w:val="20"/>
                <w:lang w:eastAsia="lt-LT"/>
              </w:rPr>
            </w:pPr>
          </w:p>
        </w:tc>
      </w:tr>
      <w:tr w:rsidR="000E7C4C">
        <w:tc>
          <w:tcPr>
            <w:tcW w:w="9667"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16"/>
                <w:szCs w:val="16"/>
              </w:rPr>
            </w:pPr>
          </w:p>
        </w:tc>
        <w:tc>
          <w:tcPr>
            <w:tcW w:w="2523"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1A4bi </w:t>
            </w:r>
          </w:p>
          <w:p w:rsidR="000E7C4C" w:rsidRDefault="003C3EA6">
            <w:pPr>
              <w:jc w:val="center"/>
              <w:rPr>
                <w:color w:val="000000"/>
                <w:sz w:val="16"/>
                <w:szCs w:val="16"/>
              </w:rPr>
            </w:pPr>
            <w:r>
              <w:rPr>
                <w:color w:val="000000"/>
                <w:sz w:val="16"/>
                <w:szCs w:val="16"/>
              </w:rPr>
              <w:t>Namų ūkių stacionarus deginimas</w:t>
            </w:r>
          </w:p>
        </w:tc>
        <w:tc>
          <w:tcPr>
            <w:tcW w:w="2693"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3F </w:t>
            </w:r>
          </w:p>
          <w:p w:rsidR="000E7C4C" w:rsidRDefault="003C3EA6">
            <w:pPr>
              <w:jc w:val="center"/>
              <w:rPr>
                <w:color w:val="000000"/>
                <w:sz w:val="16"/>
                <w:szCs w:val="16"/>
              </w:rPr>
            </w:pPr>
            <w:r>
              <w:rPr>
                <w:color w:val="000000"/>
                <w:sz w:val="16"/>
                <w:szCs w:val="16"/>
              </w:rPr>
              <w:t>Žemės ūkio atliekų deginimas lauke</w:t>
            </w:r>
          </w:p>
        </w:tc>
        <w:tc>
          <w:tcPr>
            <w:tcW w:w="851"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709"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1303" w:type="dxa"/>
            <w:vMerge w:val="restart"/>
            <w:tcBorders>
              <w:top w:val="single" w:sz="2" w:space="0" w:color="1F497D"/>
              <w:left w:val="single" w:sz="12" w:space="0" w:color="FFFFFF"/>
              <w:bottom w:val="single" w:sz="2" w:space="0" w:color="1F497D"/>
              <w:right w:val="nil"/>
            </w:tcBorders>
            <w:hideMark/>
          </w:tcPr>
          <w:p w:rsidR="000E7C4C" w:rsidRDefault="003C3EA6">
            <w:pPr>
              <w:jc w:val="center"/>
              <w:rPr>
                <w:color w:val="000000"/>
                <w:sz w:val="16"/>
                <w:szCs w:val="16"/>
              </w:rPr>
            </w:pPr>
            <w:r>
              <w:rPr>
                <w:color w:val="000000"/>
                <w:sz w:val="16"/>
                <w:szCs w:val="16"/>
              </w:rPr>
              <w:t>84.3%</w:t>
            </w:r>
          </w:p>
        </w:tc>
      </w:tr>
      <w:tr w:rsidR="000E7C4C">
        <w:tc>
          <w:tcPr>
            <w:tcW w:w="2523"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71,3%</w:t>
            </w:r>
          </w:p>
        </w:tc>
        <w:tc>
          <w:tcPr>
            <w:tcW w:w="2693"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12,9%</w:t>
            </w:r>
          </w:p>
        </w:tc>
        <w:tc>
          <w:tcPr>
            <w:tcW w:w="851"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709"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709" w:type="dxa"/>
            <w:vAlign w:val="center"/>
            <w:hideMark/>
          </w:tcPr>
          <w:p w:rsidR="000E7C4C" w:rsidRDefault="003C3EA6">
            <w:pPr>
              <w:jc w:val="center"/>
            </w:pPr>
            <w:r>
              <w:rPr>
                <w:color w:val="000000"/>
                <w:sz w:val="16"/>
                <w:szCs w:val="16"/>
              </w:rPr>
              <w:t>1.</w:t>
            </w:r>
            <w:r>
              <w:rPr>
                <w:color w:val="000000"/>
                <w:sz w:val="16"/>
                <w:szCs w:val="16"/>
              </w:rPr>
              <w:tab/>
            </w:r>
          </w:p>
          <w:p w:rsidR="000E7C4C" w:rsidRDefault="000E7C4C">
            <w:pPr>
              <w:rPr>
                <w:sz w:val="20"/>
                <w:lang w:eastAsia="lt-LT"/>
              </w:rPr>
            </w:pPr>
          </w:p>
        </w:tc>
        <w:tc>
          <w:tcPr>
            <w:tcW w:w="1303" w:type="dxa"/>
            <w:vMerge/>
            <w:tcBorders>
              <w:top w:val="single" w:sz="2" w:space="0" w:color="1F497D"/>
              <w:left w:val="single" w:sz="12" w:space="0" w:color="FFFFFF"/>
              <w:bottom w:val="single" w:sz="2" w:space="0" w:color="1F497D"/>
              <w:right w:val="nil"/>
            </w:tcBorders>
            <w:vAlign w:val="center"/>
            <w:hideMark/>
          </w:tcPr>
          <w:p w:rsidR="000E7C4C" w:rsidRDefault="000E7C4C">
            <w:pPr>
              <w:rPr>
                <w:color w:val="000000"/>
                <w:sz w:val="16"/>
                <w:szCs w:val="16"/>
              </w:rPr>
            </w:pPr>
          </w:p>
        </w:tc>
      </w:tr>
      <w:tr w:rsidR="000E7C4C">
        <w:tc>
          <w:tcPr>
            <w:tcW w:w="1588" w:type="dxa"/>
            <w:vMerge w:val="restart"/>
            <w:tcBorders>
              <w:top w:val="single" w:sz="2" w:space="0" w:color="1F497D"/>
              <w:left w:val="nil"/>
              <w:bottom w:val="single" w:sz="2" w:space="0" w:color="1F497D"/>
              <w:right w:val="single" w:sz="12" w:space="0" w:color="FFFFFF"/>
            </w:tcBorders>
            <w:vAlign w:val="center"/>
          </w:tcPr>
          <w:p w:rsidR="000E7C4C" w:rsidRDefault="003C3EA6">
            <w:pPr>
              <w:rPr>
                <w:color w:val="000000"/>
                <w:sz w:val="16"/>
                <w:szCs w:val="16"/>
              </w:rPr>
            </w:pPr>
            <w:proofErr w:type="spellStart"/>
            <w:r>
              <w:rPr>
                <w:color w:val="000000"/>
                <w:sz w:val="16"/>
                <w:szCs w:val="16"/>
              </w:rPr>
              <w:t>Indeno</w:t>
            </w:r>
            <w:proofErr w:type="spellEnd"/>
            <w:r>
              <w:rPr>
                <w:color w:val="000000"/>
                <w:sz w:val="16"/>
                <w:szCs w:val="16"/>
              </w:rPr>
              <w:t>(1,2,3-cd)</w:t>
            </w:r>
            <w:proofErr w:type="spellStart"/>
            <w:r>
              <w:rPr>
                <w:color w:val="000000"/>
                <w:sz w:val="16"/>
                <w:szCs w:val="16"/>
              </w:rPr>
              <w:t>pirenas</w:t>
            </w:r>
            <w:proofErr w:type="spellEnd"/>
          </w:p>
        </w:tc>
        <w:tc>
          <w:tcPr>
            <w:tcW w:w="6776" w:type="dxa"/>
            <w:vAlign w:val="center"/>
            <w:hideMark/>
          </w:tcPr>
          <w:p w:rsidR="000E7C4C" w:rsidRDefault="000E7C4C">
            <w:pPr>
              <w:jc w:val="center"/>
              <w:rPr>
                <w:color w:val="000000"/>
                <w:sz w:val="16"/>
                <w:szCs w:val="16"/>
              </w:rPr>
            </w:pPr>
          </w:p>
          <w:p w:rsidR="000E7C4C" w:rsidRDefault="000E7C4C">
            <w:pPr>
              <w:jc w:val="center"/>
              <w:rPr>
                <w:color w:val="000000"/>
                <w:sz w:val="16"/>
                <w:szCs w:val="16"/>
              </w:rPr>
            </w:pPr>
          </w:p>
          <w:p w:rsidR="000E7C4C" w:rsidRDefault="000E7C4C">
            <w:pPr>
              <w:rPr>
                <w:sz w:val="20"/>
                <w:lang w:eastAsia="lt-LT"/>
              </w:rPr>
            </w:pPr>
          </w:p>
        </w:tc>
        <w:tc>
          <w:tcPr>
            <w:tcW w:w="2693" w:type="dxa"/>
            <w:vAlign w:val="center"/>
            <w:hideMark/>
          </w:tcPr>
          <w:p w:rsidR="000E7C4C" w:rsidRDefault="000E7C4C">
            <w:pPr>
              <w:rPr>
                <w:sz w:val="20"/>
                <w:lang w:eastAsia="lt-LT"/>
              </w:rPr>
            </w:pPr>
          </w:p>
        </w:tc>
        <w:tc>
          <w:tcPr>
            <w:tcW w:w="851" w:type="dxa"/>
            <w:vAlign w:val="center"/>
            <w:hideMark/>
          </w:tcPr>
          <w:p w:rsidR="000E7C4C" w:rsidRDefault="000E7C4C">
            <w:pPr>
              <w:rPr>
                <w:sz w:val="20"/>
                <w:lang w:eastAsia="lt-LT"/>
              </w:rPr>
            </w:pPr>
          </w:p>
        </w:tc>
        <w:tc>
          <w:tcPr>
            <w:tcW w:w="709" w:type="dxa"/>
            <w:vAlign w:val="center"/>
            <w:hideMark/>
          </w:tcPr>
          <w:p w:rsidR="000E7C4C" w:rsidRDefault="000E7C4C">
            <w:pPr>
              <w:rPr>
                <w:sz w:val="20"/>
                <w:lang w:eastAsia="lt-LT"/>
              </w:rPr>
            </w:pPr>
          </w:p>
        </w:tc>
        <w:tc>
          <w:tcPr>
            <w:tcW w:w="1303" w:type="dxa"/>
            <w:vAlign w:val="center"/>
            <w:hideMark/>
          </w:tcPr>
          <w:p w:rsidR="000E7C4C" w:rsidRDefault="000E7C4C">
            <w:pPr>
              <w:rPr>
                <w:sz w:val="20"/>
                <w:lang w:eastAsia="lt-LT"/>
              </w:rPr>
            </w:pPr>
          </w:p>
        </w:tc>
      </w:tr>
      <w:tr w:rsidR="000E7C4C">
        <w:tc>
          <w:tcPr>
            <w:tcW w:w="9667"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16"/>
                <w:szCs w:val="16"/>
              </w:rPr>
            </w:pPr>
          </w:p>
        </w:tc>
        <w:tc>
          <w:tcPr>
            <w:tcW w:w="2523"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1A4bi </w:t>
            </w:r>
          </w:p>
          <w:p w:rsidR="000E7C4C" w:rsidRDefault="003C3EA6">
            <w:pPr>
              <w:jc w:val="center"/>
              <w:rPr>
                <w:color w:val="000000"/>
                <w:sz w:val="16"/>
                <w:szCs w:val="16"/>
              </w:rPr>
            </w:pPr>
            <w:r>
              <w:rPr>
                <w:color w:val="000000"/>
                <w:sz w:val="16"/>
                <w:szCs w:val="16"/>
              </w:rPr>
              <w:t>Namų ūkių stacionarus deginimas</w:t>
            </w:r>
          </w:p>
        </w:tc>
        <w:tc>
          <w:tcPr>
            <w:tcW w:w="2693"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851"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709"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1303" w:type="dxa"/>
            <w:vMerge w:val="restart"/>
            <w:tcBorders>
              <w:top w:val="single" w:sz="2" w:space="0" w:color="1F497D"/>
              <w:left w:val="single" w:sz="12" w:space="0" w:color="FFFFFF"/>
              <w:bottom w:val="single" w:sz="2" w:space="0" w:color="1F497D"/>
              <w:right w:val="nil"/>
            </w:tcBorders>
            <w:hideMark/>
          </w:tcPr>
          <w:p w:rsidR="000E7C4C" w:rsidRDefault="003C3EA6">
            <w:pPr>
              <w:jc w:val="center"/>
              <w:rPr>
                <w:color w:val="000000"/>
                <w:sz w:val="16"/>
                <w:szCs w:val="16"/>
              </w:rPr>
            </w:pPr>
            <w:r>
              <w:rPr>
                <w:color w:val="000000"/>
                <w:sz w:val="16"/>
                <w:szCs w:val="16"/>
              </w:rPr>
              <w:t>83.1%</w:t>
            </w:r>
          </w:p>
        </w:tc>
      </w:tr>
      <w:tr w:rsidR="000E7C4C">
        <w:tc>
          <w:tcPr>
            <w:tcW w:w="2523"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83,1%</w:t>
            </w:r>
          </w:p>
        </w:tc>
        <w:tc>
          <w:tcPr>
            <w:tcW w:w="2693"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851"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709"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709" w:type="dxa"/>
            <w:vAlign w:val="center"/>
            <w:hideMark/>
          </w:tcPr>
          <w:p w:rsidR="000E7C4C" w:rsidRDefault="003C3EA6">
            <w:pPr>
              <w:jc w:val="center"/>
            </w:pPr>
            <w:r>
              <w:rPr>
                <w:color w:val="000000"/>
                <w:sz w:val="16"/>
                <w:szCs w:val="16"/>
              </w:rPr>
              <w:t>1.</w:t>
            </w:r>
            <w:r>
              <w:rPr>
                <w:color w:val="000000"/>
                <w:sz w:val="16"/>
                <w:szCs w:val="16"/>
              </w:rPr>
              <w:tab/>
            </w:r>
          </w:p>
          <w:p w:rsidR="000E7C4C" w:rsidRDefault="000E7C4C">
            <w:pPr>
              <w:rPr>
                <w:sz w:val="20"/>
                <w:lang w:eastAsia="lt-LT"/>
              </w:rPr>
            </w:pPr>
          </w:p>
        </w:tc>
        <w:tc>
          <w:tcPr>
            <w:tcW w:w="1303" w:type="dxa"/>
            <w:vMerge/>
            <w:tcBorders>
              <w:top w:val="single" w:sz="2" w:space="0" w:color="1F497D"/>
              <w:left w:val="single" w:sz="12" w:space="0" w:color="FFFFFF"/>
              <w:bottom w:val="single" w:sz="2" w:space="0" w:color="1F497D"/>
              <w:right w:val="nil"/>
            </w:tcBorders>
            <w:vAlign w:val="center"/>
            <w:hideMark/>
          </w:tcPr>
          <w:p w:rsidR="000E7C4C" w:rsidRDefault="000E7C4C">
            <w:pPr>
              <w:rPr>
                <w:color w:val="000000"/>
                <w:sz w:val="16"/>
                <w:szCs w:val="16"/>
              </w:rPr>
            </w:pPr>
          </w:p>
        </w:tc>
      </w:tr>
      <w:tr w:rsidR="000E7C4C">
        <w:tc>
          <w:tcPr>
            <w:tcW w:w="1588" w:type="dxa"/>
            <w:vMerge w:val="restart"/>
            <w:tcBorders>
              <w:top w:val="single" w:sz="2" w:space="0" w:color="1F497D"/>
              <w:left w:val="nil"/>
              <w:bottom w:val="single" w:sz="2" w:space="0" w:color="1F497D"/>
              <w:right w:val="single" w:sz="12" w:space="0" w:color="FFFFFF"/>
            </w:tcBorders>
            <w:vAlign w:val="center"/>
          </w:tcPr>
          <w:p w:rsidR="000E7C4C" w:rsidRDefault="003C3EA6">
            <w:pPr>
              <w:rPr>
                <w:color w:val="000000"/>
                <w:sz w:val="16"/>
                <w:szCs w:val="16"/>
              </w:rPr>
            </w:pPr>
            <w:r>
              <w:rPr>
                <w:color w:val="000000"/>
                <w:sz w:val="16"/>
                <w:szCs w:val="16"/>
              </w:rPr>
              <w:t>Dioksinai/</w:t>
            </w:r>
            <w:proofErr w:type="spellStart"/>
            <w:r>
              <w:rPr>
                <w:color w:val="000000"/>
                <w:sz w:val="16"/>
                <w:szCs w:val="16"/>
              </w:rPr>
              <w:t>furanai</w:t>
            </w:r>
            <w:proofErr w:type="spellEnd"/>
            <w:r>
              <w:rPr>
                <w:color w:val="000000"/>
                <w:sz w:val="16"/>
                <w:szCs w:val="16"/>
              </w:rPr>
              <w:t xml:space="preserve"> (PCDD/F)</w:t>
            </w:r>
          </w:p>
        </w:tc>
        <w:tc>
          <w:tcPr>
            <w:tcW w:w="6776" w:type="dxa"/>
            <w:vAlign w:val="center"/>
            <w:hideMark/>
          </w:tcPr>
          <w:p w:rsidR="000E7C4C" w:rsidRDefault="000E7C4C">
            <w:pPr>
              <w:jc w:val="center"/>
              <w:rPr>
                <w:color w:val="000000"/>
                <w:sz w:val="16"/>
                <w:szCs w:val="16"/>
              </w:rPr>
            </w:pPr>
          </w:p>
          <w:p w:rsidR="000E7C4C" w:rsidRDefault="000E7C4C">
            <w:pPr>
              <w:jc w:val="center"/>
              <w:rPr>
                <w:color w:val="000000"/>
                <w:sz w:val="16"/>
                <w:szCs w:val="16"/>
              </w:rPr>
            </w:pPr>
          </w:p>
          <w:p w:rsidR="000E7C4C" w:rsidRDefault="000E7C4C">
            <w:pPr>
              <w:rPr>
                <w:sz w:val="20"/>
                <w:lang w:eastAsia="lt-LT"/>
              </w:rPr>
            </w:pPr>
          </w:p>
        </w:tc>
        <w:tc>
          <w:tcPr>
            <w:tcW w:w="2693" w:type="dxa"/>
            <w:vAlign w:val="center"/>
            <w:hideMark/>
          </w:tcPr>
          <w:p w:rsidR="000E7C4C" w:rsidRDefault="000E7C4C">
            <w:pPr>
              <w:rPr>
                <w:sz w:val="20"/>
                <w:lang w:eastAsia="lt-LT"/>
              </w:rPr>
            </w:pPr>
          </w:p>
        </w:tc>
        <w:tc>
          <w:tcPr>
            <w:tcW w:w="851" w:type="dxa"/>
            <w:vAlign w:val="center"/>
            <w:hideMark/>
          </w:tcPr>
          <w:p w:rsidR="000E7C4C" w:rsidRDefault="000E7C4C">
            <w:pPr>
              <w:rPr>
                <w:sz w:val="20"/>
                <w:lang w:eastAsia="lt-LT"/>
              </w:rPr>
            </w:pPr>
          </w:p>
        </w:tc>
        <w:tc>
          <w:tcPr>
            <w:tcW w:w="709" w:type="dxa"/>
            <w:vAlign w:val="center"/>
            <w:hideMark/>
          </w:tcPr>
          <w:p w:rsidR="000E7C4C" w:rsidRDefault="000E7C4C">
            <w:pPr>
              <w:rPr>
                <w:sz w:val="20"/>
                <w:lang w:eastAsia="lt-LT"/>
              </w:rPr>
            </w:pPr>
          </w:p>
        </w:tc>
        <w:tc>
          <w:tcPr>
            <w:tcW w:w="1303" w:type="dxa"/>
            <w:vAlign w:val="center"/>
            <w:hideMark/>
          </w:tcPr>
          <w:p w:rsidR="000E7C4C" w:rsidRDefault="000E7C4C">
            <w:pPr>
              <w:rPr>
                <w:sz w:val="20"/>
                <w:lang w:eastAsia="lt-LT"/>
              </w:rPr>
            </w:pPr>
          </w:p>
        </w:tc>
      </w:tr>
      <w:tr w:rsidR="000E7C4C">
        <w:tc>
          <w:tcPr>
            <w:tcW w:w="9667"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16"/>
                <w:szCs w:val="16"/>
              </w:rPr>
            </w:pPr>
          </w:p>
        </w:tc>
        <w:tc>
          <w:tcPr>
            <w:tcW w:w="2523"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1A4bi </w:t>
            </w:r>
          </w:p>
          <w:p w:rsidR="000E7C4C" w:rsidRDefault="003C3EA6">
            <w:pPr>
              <w:jc w:val="center"/>
              <w:rPr>
                <w:color w:val="000000"/>
                <w:sz w:val="16"/>
                <w:szCs w:val="16"/>
              </w:rPr>
            </w:pPr>
            <w:r>
              <w:rPr>
                <w:color w:val="000000"/>
                <w:sz w:val="16"/>
                <w:szCs w:val="16"/>
              </w:rPr>
              <w:t>Namų ūkių stacionarus deginimas</w:t>
            </w:r>
          </w:p>
        </w:tc>
        <w:tc>
          <w:tcPr>
            <w:tcW w:w="2693"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5E </w:t>
            </w:r>
          </w:p>
          <w:p w:rsidR="000E7C4C" w:rsidRDefault="003C3EA6">
            <w:pPr>
              <w:jc w:val="center"/>
              <w:rPr>
                <w:color w:val="000000"/>
                <w:sz w:val="16"/>
                <w:szCs w:val="16"/>
              </w:rPr>
            </w:pPr>
            <w:r>
              <w:rPr>
                <w:rFonts w:eastAsia="Calibri"/>
                <w:color w:val="000000"/>
                <w:sz w:val="16"/>
                <w:szCs w:val="18"/>
                <w:lang w:eastAsia="lt-LT"/>
              </w:rPr>
              <w:t>Gaisrai</w:t>
            </w:r>
          </w:p>
        </w:tc>
        <w:tc>
          <w:tcPr>
            <w:tcW w:w="851"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709"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1303" w:type="dxa"/>
            <w:vMerge w:val="restart"/>
            <w:tcBorders>
              <w:top w:val="single" w:sz="2" w:space="0" w:color="1F497D"/>
              <w:left w:val="single" w:sz="12" w:space="0" w:color="FFFFFF"/>
              <w:bottom w:val="single" w:sz="2" w:space="0" w:color="1F497D"/>
              <w:right w:val="nil"/>
            </w:tcBorders>
            <w:hideMark/>
          </w:tcPr>
          <w:p w:rsidR="000E7C4C" w:rsidRDefault="003C3EA6">
            <w:pPr>
              <w:jc w:val="center"/>
              <w:rPr>
                <w:color w:val="000000"/>
                <w:sz w:val="16"/>
                <w:szCs w:val="16"/>
              </w:rPr>
            </w:pPr>
            <w:r>
              <w:rPr>
                <w:color w:val="000000"/>
                <w:sz w:val="16"/>
                <w:szCs w:val="16"/>
              </w:rPr>
              <w:t>80.9%</w:t>
            </w:r>
          </w:p>
        </w:tc>
      </w:tr>
      <w:tr w:rsidR="000E7C4C">
        <w:tc>
          <w:tcPr>
            <w:tcW w:w="2523"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65,2%</w:t>
            </w:r>
          </w:p>
        </w:tc>
        <w:tc>
          <w:tcPr>
            <w:tcW w:w="2693"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15,8%</w:t>
            </w:r>
          </w:p>
        </w:tc>
        <w:tc>
          <w:tcPr>
            <w:tcW w:w="851"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709" w:type="dxa"/>
            <w:tcBorders>
              <w:top w:val="single" w:sz="2" w:space="0" w:color="1F497D"/>
              <w:left w:val="single" w:sz="12" w:space="0" w:color="FFFFFF"/>
              <w:bottom w:val="single" w:sz="2" w:space="0" w:color="1F497D"/>
              <w:right w:val="single" w:sz="12" w:space="0" w:color="FFFFFF"/>
            </w:tcBorders>
          </w:tcPr>
          <w:p w:rsidR="000E7C4C" w:rsidRDefault="000E7C4C">
            <w:pPr>
              <w:jc w:val="center"/>
              <w:rPr>
                <w:color w:val="000000"/>
                <w:sz w:val="16"/>
                <w:szCs w:val="16"/>
              </w:rPr>
            </w:pPr>
          </w:p>
        </w:tc>
        <w:tc>
          <w:tcPr>
            <w:tcW w:w="709" w:type="dxa"/>
            <w:vAlign w:val="center"/>
            <w:hideMark/>
          </w:tcPr>
          <w:p w:rsidR="000E7C4C" w:rsidRDefault="003C3EA6">
            <w:pPr>
              <w:jc w:val="center"/>
            </w:pPr>
            <w:r>
              <w:rPr>
                <w:color w:val="000000"/>
                <w:sz w:val="16"/>
                <w:szCs w:val="16"/>
              </w:rPr>
              <w:t>1.</w:t>
            </w:r>
            <w:r>
              <w:rPr>
                <w:color w:val="000000"/>
                <w:sz w:val="16"/>
                <w:szCs w:val="16"/>
              </w:rPr>
              <w:tab/>
            </w:r>
          </w:p>
          <w:p w:rsidR="000E7C4C" w:rsidRDefault="000E7C4C">
            <w:pPr>
              <w:rPr>
                <w:sz w:val="20"/>
                <w:lang w:eastAsia="lt-LT"/>
              </w:rPr>
            </w:pPr>
          </w:p>
        </w:tc>
        <w:tc>
          <w:tcPr>
            <w:tcW w:w="1303" w:type="dxa"/>
            <w:vMerge/>
            <w:tcBorders>
              <w:top w:val="single" w:sz="2" w:space="0" w:color="1F497D"/>
              <w:left w:val="single" w:sz="12" w:space="0" w:color="FFFFFF"/>
              <w:bottom w:val="single" w:sz="2" w:space="0" w:color="1F497D"/>
              <w:right w:val="nil"/>
            </w:tcBorders>
            <w:vAlign w:val="center"/>
            <w:hideMark/>
          </w:tcPr>
          <w:p w:rsidR="000E7C4C" w:rsidRDefault="000E7C4C">
            <w:pPr>
              <w:rPr>
                <w:color w:val="000000"/>
                <w:sz w:val="16"/>
                <w:szCs w:val="16"/>
              </w:rPr>
            </w:pPr>
          </w:p>
        </w:tc>
      </w:tr>
      <w:tr w:rsidR="000E7C4C">
        <w:tc>
          <w:tcPr>
            <w:tcW w:w="1588" w:type="dxa"/>
            <w:vMerge w:val="restart"/>
            <w:tcBorders>
              <w:top w:val="single" w:sz="2" w:space="0" w:color="1F497D"/>
              <w:left w:val="nil"/>
              <w:bottom w:val="single" w:sz="2" w:space="0" w:color="1F497D"/>
              <w:right w:val="single" w:sz="12" w:space="0" w:color="FFFFFF"/>
            </w:tcBorders>
            <w:vAlign w:val="center"/>
          </w:tcPr>
          <w:p w:rsidR="000E7C4C" w:rsidRDefault="003C3EA6">
            <w:pPr>
              <w:rPr>
                <w:color w:val="000000"/>
                <w:sz w:val="16"/>
                <w:szCs w:val="16"/>
              </w:rPr>
            </w:pPr>
            <w:proofErr w:type="spellStart"/>
            <w:r>
              <w:rPr>
                <w:color w:val="000000"/>
                <w:sz w:val="16"/>
                <w:szCs w:val="16"/>
              </w:rPr>
              <w:t>Heksachlorbenzenas</w:t>
            </w:r>
            <w:proofErr w:type="spellEnd"/>
          </w:p>
        </w:tc>
        <w:tc>
          <w:tcPr>
            <w:tcW w:w="6776" w:type="dxa"/>
            <w:vAlign w:val="center"/>
            <w:hideMark/>
          </w:tcPr>
          <w:p w:rsidR="000E7C4C" w:rsidRDefault="000E7C4C">
            <w:pPr>
              <w:jc w:val="center"/>
              <w:rPr>
                <w:color w:val="000000"/>
                <w:sz w:val="16"/>
                <w:szCs w:val="16"/>
              </w:rPr>
            </w:pPr>
          </w:p>
          <w:p w:rsidR="000E7C4C" w:rsidRDefault="000E7C4C">
            <w:pPr>
              <w:rPr>
                <w:sz w:val="20"/>
                <w:lang w:eastAsia="lt-LT"/>
              </w:rPr>
            </w:pPr>
          </w:p>
        </w:tc>
        <w:tc>
          <w:tcPr>
            <w:tcW w:w="2693" w:type="dxa"/>
            <w:vAlign w:val="center"/>
            <w:hideMark/>
          </w:tcPr>
          <w:p w:rsidR="000E7C4C" w:rsidRDefault="000E7C4C">
            <w:pPr>
              <w:rPr>
                <w:sz w:val="20"/>
                <w:lang w:eastAsia="lt-LT"/>
              </w:rPr>
            </w:pPr>
          </w:p>
        </w:tc>
        <w:tc>
          <w:tcPr>
            <w:tcW w:w="851" w:type="dxa"/>
            <w:vAlign w:val="center"/>
            <w:hideMark/>
          </w:tcPr>
          <w:p w:rsidR="000E7C4C" w:rsidRDefault="000E7C4C">
            <w:pPr>
              <w:rPr>
                <w:sz w:val="20"/>
                <w:lang w:eastAsia="lt-LT"/>
              </w:rPr>
            </w:pPr>
          </w:p>
        </w:tc>
        <w:tc>
          <w:tcPr>
            <w:tcW w:w="709" w:type="dxa"/>
            <w:vAlign w:val="center"/>
            <w:hideMark/>
          </w:tcPr>
          <w:p w:rsidR="000E7C4C" w:rsidRDefault="000E7C4C">
            <w:pPr>
              <w:rPr>
                <w:sz w:val="20"/>
                <w:lang w:eastAsia="lt-LT"/>
              </w:rPr>
            </w:pPr>
          </w:p>
        </w:tc>
        <w:tc>
          <w:tcPr>
            <w:tcW w:w="1303" w:type="dxa"/>
            <w:vAlign w:val="center"/>
            <w:hideMark/>
          </w:tcPr>
          <w:p w:rsidR="000E7C4C" w:rsidRDefault="000E7C4C">
            <w:pPr>
              <w:rPr>
                <w:sz w:val="20"/>
                <w:lang w:eastAsia="lt-LT"/>
              </w:rPr>
            </w:pPr>
          </w:p>
        </w:tc>
      </w:tr>
      <w:tr w:rsidR="000E7C4C">
        <w:tc>
          <w:tcPr>
            <w:tcW w:w="9667"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16"/>
                <w:szCs w:val="16"/>
              </w:rPr>
            </w:pPr>
          </w:p>
        </w:tc>
        <w:tc>
          <w:tcPr>
            <w:tcW w:w="2523"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1A1a </w:t>
            </w:r>
          </w:p>
          <w:p w:rsidR="000E7C4C" w:rsidRDefault="003C3EA6">
            <w:pPr>
              <w:jc w:val="center"/>
              <w:rPr>
                <w:color w:val="000000"/>
                <w:sz w:val="16"/>
                <w:szCs w:val="16"/>
              </w:rPr>
            </w:pPr>
            <w:r>
              <w:rPr>
                <w:color w:val="000000"/>
                <w:sz w:val="16"/>
                <w:szCs w:val="16"/>
              </w:rPr>
              <w:t>Viešoji elektros energijos ir šilumos gamyba</w:t>
            </w:r>
          </w:p>
        </w:tc>
        <w:tc>
          <w:tcPr>
            <w:tcW w:w="2693"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1A4bi </w:t>
            </w:r>
          </w:p>
          <w:p w:rsidR="000E7C4C" w:rsidRDefault="003C3EA6">
            <w:pPr>
              <w:jc w:val="center"/>
              <w:rPr>
                <w:color w:val="000000"/>
                <w:sz w:val="16"/>
                <w:szCs w:val="16"/>
              </w:rPr>
            </w:pPr>
            <w:r>
              <w:rPr>
                <w:color w:val="000000"/>
                <w:sz w:val="16"/>
                <w:szCs w:val="16"/>
              </w:rPr>
              <w:t>Namų ūkių stacionarus deginimas</w:t>
            </w:r>
          </w:p>
        </w:tc>
        <w:tc>
          <w:tcPr>
            <w:tcW w:w="851"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3Df </w:t>
            </w:r>
          </w:p>
          <w:p w:rsidR="000E7C4C" w:rsidRDefault="003C3EA6">
            <w:pPr>
              <w:jc w:val="center"/>
              <w:rPr>
                <w:color w:val="000000"/>
                <w:sz w:val="16"/>
                <w:szCs w:val="16"/>
              </w:rPr>
            </w:pPr>
            <w:r>
              <w:rPr>
                <w:color w:val="000000"/>
                <w:sz w:val="16"/>
                <w:szCs w:val="16"/>
              </w:rPr>
              <w:t>Pesticidų vartojimas</w:t>
            </w:r>
          </w:p>
        </w:tc>
        <w:tc>
          <w:tcPr>
            <w:tcW w:w="709"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 xml:space="preserve">5C1biii </w:t>
            </w:r>
          </w:p>
          <w:p w:rsidR="000E7C4C" w:rsidRDefault="003C3EA6">
            <w:pPr>
              <w:jc w:val="center"/>
              <w:rPr>
                <w:color w:val="000000"/>
                <w:sz w:val="16"/>
                <w:szCs w:val="16"/>
              </w:rPr>
            </w:pPr>
            <w:r>
              <w:rPr>
                <w:color w:val="000000"/>
                <w:sz w:val="16"/>
                <w:szCs w:val="16"/>
              </w:rPr>
              <w:t>Klinikinių atliekų deginimas</w:t>
            </w:r>
          </w:p>
        </w:tc>
        <w:tc>
          <w:tcPr>
            <w:tcW w:w="1303" w:type="dxa"/>
            <w:vMerge w:val="restart"/>
            <w:tcBorders>
              <w:top w:val="single" w:sz="2" w:space="0" w:color="1F497D"/>
              <w:left w:val="single" w:sz="12" w:space="0" w:color="FFFFFF"/>
              <w:bottom w:val="single" w:sz="2" w:space="0" w:color="1F497D"/>
              <w:right w:val="nil"/>
            </w:tcBorders>
            <w:hideMark/>
          </w:tcPr>
          <w:p w:rsidR="000E7C4C" w:rsidRDefault="003C3EA6">
            <w:pPr>
              <w:jc w:val="center"/>
              <w:rPr>
                <w:color w:val="000000"/>
                <w:sz w:val="16"/>
                <w:szCs w:val="16"/>
              </w:rPr>
            </w:pPr>
            <w:r>
              <w:rPr>
                <w:color w:val="000000"/>
                <w:sz w:val="16"/>
                <w:szCs w:val="16"/>
              </w:rPr>
              <w:t>87.7%</w:t>
            </w:r>
          </w:p>
        </w:tc>
      </w:tr>
      <w:tr w:rsidR="000E7C4C">
        <w:tc>
          <w:tcPr>
            <w:tcW w:w="2523"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33,5%</w:t>
            </w:r>
          </w:p>
        </w:tc>
        <w:tc>
          <w:tcPr>
            <w:tcW w:w="2693"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28,6%</w:t>
            </w:r>
          </w:p>
        </w:tc>
        <w:tc>
          <w:tcPr>
            <w:tcW w:w="851"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15,2%</w:t>
            </w:r>
          </w:p>
        </w:tc>
        <w:tc>
          <w:tcPr>
            <w:tcW w:w="709"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16"/>
                <w:szCs w:val="16"/>
              </w:rPr>
            </w:pPr>
            <w:r>
              <w:rPr>
                <w:color w:val="000000"/>
                <w:sz w:val="16"/>
                <w:szCs w:val="16"/>
              </w:rPr>
              <w:t>10,4%</w:t>
            </w:r>
          </w:p>
        </w:tc>
        <w:tc>
          <w:tcPr>
            <w:tcW w:w="709" w:type="dxa"/>
            <w:vAlign w:val="center"/>
            <w:hideMark/>
          </w:tcPr>
          <w:p w:rsidR="000E7C4C" w:rsidRDefault="003C3EA6">
            <w:pPr>
              <w:jc w:val="center"/>
            </w:pPr>
            <w:r>
              <w:rPr>
                <w:color w:val="000000"/>
                <w:sz w:val="16"/>
                <w:szCs w:val="16"/>
              </w:rPr>
              <w:t>1.</w:t>
            </w:r>
            <w:r>
              <w:rPr>
                <w:color w:val="000000"/>
                <w:sz w:val="16"/>
                <w:szCs w:val="16"/>
              </w:rPr>
              <w:tab/>
            </w:r>
          </w:p>
          <w:p w:rsidR="000E7C4C" w:rsidRDefault="000E7C4C">
            <w:pPr>
              <w:rPr>
                <w:sz w:val="20"/>
                <w:lang w:eastAsia="lt-LT"/>
              </w:rPr>
            </w:pPr>
          </w:p>
        </w:tc>
        <w:tc>
          <w:tcPr>
            <w:tcW w:w="1303" w:type="dxa"/>
            <w:vMerge/>
            <w:tcBorders>
              <w:top w:val="single" w:sz="2" w:space="0" w:color="1F497D"/>
              <w:left w:val="single" w:sz="12" w:space="0" w:color="FFFFFF"/>
              <w:bottom w:val="single" w:sz="2" w:space="0" w:color="1F497D"/>
              <w:right w:val="nil"/>
            </w:tcBorders>
            <w:vAlign w:val="center"/>
            <w:hideMark/>
          </w:tcPr>
          <w:p w:rsidR="000E7C4C" w:rsidRDefault="000E7C4C">
            <w:pPr>
              <w:rPr>
                <w:color w:val="000000"/>
                <w:sz w:val="16"/>
                <w:szCs w:val="16"/>
              </w:rPr>
            </w:pPr>
          </w:p>
        </w:tc>
      </w:tr>
    </w:tbl>
    <w:p w:rsidR="000E7C4C" w:rsidRDefault="003C3EA6">
      <w:pPr>
        <w:rPr>
          <w:color w:val="000000"/>
          <w:sz w:val="20"/>
          <w:szCs w:val="21"/>
        </w:rPr>
      </w:pPr>
      <w:r>
        <w:rPr>
          <w:color w:val="000000"/>
          <w:sz w:val="20"/>
          <w:szCs w:val="21"/>
        </w:rPr>
        <w:t>(Duomenų šaltinis: AAA)</w:t>
      </w:r>
      <w:r>
        <w:rPr>
          <w:szCs w:val="24"/>
          <w:lang w:eastAsia="lt-LT"/>
        </w:rPr>
        <w:t xml:space="preserve"> </w:t>
      </w:r>
    </w:p>
    <w:p w:rsidR="000E7C4C" w:rsidRDefault="003C3EA6">
      <w:pPr>
        <w:jc w:val="both"/>
        <w:rPr>
          <w:color w:val="000000"/>
          <w:szCs w:val="21"/>
        </w:rPr>
      </w:pPr>
    </w:p>
    <w:p w:rsidR="000E7C4C" w:rsidRDefault="003C3EA6">
      <w:pPr>
        <w:tabs>
          <w:tab w:val="left" w:pos="851"/>
        </w:tabs>
        <w:ind w:firstLine="567"/>
        <w:jc w:val="both"/>
        <w:rPr>
          <w:color w:val="000000"/>
          <w:szCs w:val="21"/>
        </w:rPr>
      </w:pPr>
      <w:r>
        <w:rPr>
          <w:color w:val="000000"/>
          <w:szCs w:val="21"/>
        </w:rPr>
        <w:t>6</w:t>
      </w:r>
      <w:r>
        <w:rPr>
          <w:color w:val="000000"/>
          <w:szCs w:val="21"/>
        </w:rPr>
        <w:t>.</w:t>
      </w:r>
      <w:r>
        <w:rPr>
          <w:color w:val="000000"/>
          <w:szCs w:val="21"/>
        </w:rPr>
        <w:tab/>
        <w:t xml:space="preserve">Daugiau nei 80 proc. </w:t>
      </w:r>
      <w:proofErr w:type="spellStart"/>
      <w:r>
        <w:rPr>
          <w:color w:val="000000"/>
          <w:szCs w:val="21"/>
        </w:rPr>
        <w:t>indeno</w:t>
      </w:r>
      <w:proofErr w:type="spellEnd"/>
      <w:r>
        <w:rPr>
          <w:color w:val="000000"/>
          <w:szCs w:val="21"/>
        </w:rPr>
        <w:t>(1,2,3-cd)</w:t>
      </w:r>
      <w:proofErr w:type="spellStart"/>
      <w:r>
        <w:rPr>
          <w:color w:val="000000"/>
          <w:szCs w:val="21"/>
        </w:rPr>
        <w:t>pireno</w:t>
      </w:r>
      <w:proofErr w:type="spellEnd"/>
      <w:r>
        <w:rPr>
          <w:color w:val="000000"/>
          <w:szCs w:val="21"/>
        </w:rPr>
        <w:t xml:space="preserve"> išmetimų sudarė taip pat namų ūkių išmetimai tiek 2005, tiek 2015 m. Dioksinų/</w:t>
      </w:r>
      <w:proofErr w:type="spellStart"/>
      <w:r>
        <w:rPr>
          <w:color w:val="000000"/>
          <w:szCs w:val="21"/>
        </w:rPr>
        <w:t>furanų</w:t>
      </w:r>
      <w:proofErr w:type="spellEnd"/>
      <w:r>
        <w:rPr>
          <w:color w:val="000000"/>
          <w:szCs w:val="21"/>
        </w:rPr>
        <w:t xml:space="preserve"> (PCDD/F) </w:t>
      </w:r>
      <w:proofErr w:type="spellStart"/>
      <w:r>
        <w:rPr>
          <w:color w:val="000000"/>
          <w:szCs w:val="21"/>
        </w:rPr>
        <w:t>išmetimams</w:t>
      </w:r>
      <w:proofErr w:type="spellEnd"/>
      <w:r>
        <w:rPr>
          <w:color w:val="000000"/>
          <w:szCs w:val="21"/>
        </w:rPr>
        <w:t xml:space="preserve"> didžiausią įtaką darė namų ūkiai ir kitos atliekos. Pažymėtina, kad namų ūkių dioksinų/</w:t>
      </w:r>
      <w:proofErr w:type="spellStart"/>
      <w:r>
        <w:rPr>
          <w:color w:val="000000"/>
          <w:szCs w:val="21"/>
        </w:rPr>
        <w:t>furanų</w:t>
      </w:r>
      <w:proofErr w:type="spellEnd"/>
      <w:r>
        <w:rPr>
          <w:color w:val="000000"/>
          <w:szCs w:val="21"/>
        </w:rPr>
        <w:t xml:space="preserve"> (PCDD/F) išmetimų dalis bendroje dioksinų/</w:t>
      </w:r>
      <w:proofErr w:type="spellStart"/>
      <w:r>
        <w:rPr>
          <w:color w:val="000000"/>
          <w:szCs w:val="21"/>
        </w:rPr>
        <w:t>furanų</w:t>
      </w:r>
      <w:proofErr w:type="spellEnd"/>
      <w:r>
        <w:rPr>
          <w:color w:val="000000"/>
          <w:szCs w:val="21"/>
        </w:rPr>
        <w:t xml:space="preserve"> (PCDD/F) išmetimų struktūroje 2015 m. padidėjo 2,3 procentinio punkto, palyginus su 2005 m. Gaisrų dioksinų/</w:t>
      </w:r>
      <w:proofErr w:type="spellStart"/>
      <w:r>
        <w:rPr>
          <w:color w:val="000000"/>
          <w:szCs w:val="21"/>
        </w:rPr>
        <w:t>furanų</w:t>
      </w:r>
      <w:proofErr w:type="spellEnd"/>
      <w:r>
        <w:rPr>
          <w:color w:val="000000"/>
          <w:szCs w:val="21"/>
        </w:rPr>
        <w:t xml:space="preserve"> (PCDD/F) išmetimų dalis bendroje dioksinų/</w:t>
      </w:r>
      <w:proofErr w:type="spellStart"/>
      <w:r>
        <w:rPr>
          <w:color w:val="000000"/>
          <w:szCs w:val="21"/>
        </w:rPr>
        <w:t>furanų</w:t>
      </w:r>
      <w:proofErr w:type="spellEnd"/>
      <w:r>
        <w:rPr>
          <w:color w:val="000000"/>
          <w:szCs w:val="21"/>
        </w:rPr>
        <w:t xml:space="preserve"> (PCDD/F) išmetimų struktūroje 2015 m. sumažėjo 5,4 procentiniais punktais, palyginus su 2005 m. </w:t>
      </w:r>
    </w:p>
    <w:p w:rsidR="000E7C4C" w:rsidRDefault="003C3EA6">
      <w:pPr>
        <w:tabs>
          <w:tab w:val="left" w:pos="851"/>
        </w:tabs>
        <w:ind w:firstLine="567"/>
        <w:jc w:val="both"/>
        <w:rPr>
          <w:color w:val="000000"/>
          <w:szCs w:val="21"/>
        </w:rPr>
      </w:pPr>
      <w:r>
        <w:rPr>
          <w:color w:val="000000"/>
          <w:szCs w:val="21"/>
        </w:rPr>
        <w:t>7</w:t>
      </w:r>
      <w:r>
        <w:rPr>
          <w:color w:val="000000"/>
          <w:szCs w:val="21"/>
        </w:rPr>
        <w:t>.</w:t>
      </w:r>
      <w:r>
        <w:rPr>
          <w:color w:val="000000"/>
          <w:szCs w:val="21"/>
        </w:rPr>
        <w:tab/>
      </w:r>
      <w:proofErr w:type="spellStart"/>
      <w:r>
        <w:rPr>
          <w:color w:val="000000"/>
          <w:szCs w:val="21"/>
        </w:rPr>
        <w:t>Heksachlorbenzeno</w:t>
      </w:r>
      <w:proofErr w:type="spellEnd"/>
      <w:r>
        <w:rPr>
          <w:color w:val="000000"/>
          <w:szCs w:val="21"/>
        </w:rPr>
        <w:t xml:space="preserve"> išmetimų struktūra ženkliai pasikeitė, palyginus 2005 ir 2015 m. 2005 m. didžiausią įtaką </w:t>
      </w:r>
      <w:proofErr w:type="spellStart"/>
      <w:r>
        <w:rPr>
          <w:color w:val="000000"/>
          <w:szCs w:val="21"/>
        </w:rPr>
        <w:t>heksachlorbenzeno</w:t>
      </w:r>
      <w:proofErr w:type="spellEnd"/>
      <w:r>
        <w:rPr>
          <w:color w:val="000000"/>
          <w:szCs w:val="21"/>
        </w:rPr>
        <w:t xml:space="preserve"> </w:t>
      </w:r>
      <w:proofErr w:type="spellStart"/>
      <w:r>
        <w:rPr>
          <w:color w:val="000000"/>
          <w:szCs w:val="21"/>
        </w:rPr>
        <w:t>išmetimams</w:t>
      </w:r>
      <w:proofErr w:type="spellEnd"/>
      <w:r>
        <w:rPr>
          <w:color w:val="000000"/>
          <w:szCs w:val="21"/>
        </w:rPr>
        <w:t xml:space="preserve"> darė pesticidų vartojimas – pesticidų vartojimo sukelti išmetimai sudarė 85,3 proc. visų </w:t>
      </w:r>
      <w:proofErr w:type="spellStart"/>
      <w:r>
        <w:rPr>
          <w:color w:val="000000"/>
          <w:szCs w:val="21"/>
        </w:rPr>
        <w:t>heksachlorbenzeno</w:t>
      </w:r>
      <w:proofErr w:type="spellEnd"/>
      <w:r>
        <w:rPr>
          <w:color w:val="000000"/>
          <w:szCs w:val="21"/>
        </w:rPr>
        <w:t xml:space="preserve"> išmetimų. Tuo tarpu 2015 m. daugiau nei trečdalį </w:t>
      </w:r>
      <w:proofErr w:type="spellStart"/>
      <w:r>
        <w:rPr>
          <w:color w:val="000000"/>
          <w:szCs w:val="21"/>
        </w:rPr>
        <w:t>heksachlorbenzeno</w:t>
      </w:r>
      <w:proofErr w:type="spellEnd"/>
      <w:r>
        <w:rPr>
          <w:color w:val="000000"/>
          <w:szCs w:val="21"/>
        </w:rPr>
        <w:t xml:space="preserve"> išmetimų sudarė viešosios elektros energijos ir šilumos gamybos išmetimai, daugiau nei ketvirtadalį – namų ūkių išmetimai. Išmetimų dalis dėl pesticidų vartojimo bendroje </w:t>
      </w:r>
      <w:proofErr w:type="spellStart"/>
      <w:r>
        <w:rPr>
          <w:color w:val="000000"/>
          <w:szCs w:val="21"/>
        </w:rPr>
        <w:t>heksachlorbenzeno</w:t>
      </w:r>
      <w:proofErr w:type="spellEnd"/>
      <w:r>
        <w:rPr>
          <w:color w:val="000000"/>
          <w:szCs w:val="21"/>
        </w:rPr>
        <w:t xml:space="preserve"> išmetimų struktūroje 2015 m. sumažėjo 70,1 procentiniu punktu ir sudarė vos 15,2 proc. visų </w:t>
      </w:r>
      <w:proofErr w:type="spellStart"/>
      <w:r>
        <w:rPr>
          <w:color w:val="000000"/>
          <w:szCs w:val="21"/>
        </w:rPr>
        <w:t>heksachlorbenzeno</w:t>
      </w:r>
      <w:proofErr w:type="spellEnd"/>
      <w:r>
        <w:rPr>
          <w:color w:val="000000"/>
          <w:szCs w:val="21"/>
        </w:rPr>
        <w:t xml:space="preserve"> išmetimų. Daugiau nei 10 proc. visų </w:t>
      </w:r>
      <w:proofErr w:type="spellStart"/>
      <w:r>
        <w:rPr>
          <w:color w:val="000000"/>
          <w:szCs w:val="21"/>
        </w:rPr>
        <w:t>heksachlorbenzeno</w:t>
      </w:r>
      <w:proofErr w:type="spellEnd"/>
      <w:r>
        <w:rPr>
          <w:color w:val="000000"/>
          <w:szCs w:val="21"/>
        </w:rPr>
        <w:t xml:space="preserve"> išmetimų 2015 m. sudarė medicininių atliekų deginimas. Tokie </w:t>
      </w:r>
      <w:proofErr w:type="spellStart"/>
      <w:r>
        <w:rPr>
          <w:color w:val="000000"/>
          <w:szCs w:val="21"/>
        </w:rPr>
        <w:t>heksachlorbenzeno</w:t>
      </w:r>
      <w:proofErr w:type="spellEnd"/>
      <w:r>
        <w:rPr>
          <w:color w:val="000000"/>
          <w:szCs w:val="21"/>
        </w:rPr>
        <w:t xml:space="preserve"> išmetimų struktūros pokyčiai gali būti paaiškinti tuo, kad pesticidų vartojimo išmetimai sumažėjo nuo 1,61 kg 2005 m. iki 0,06 kg 2015 m. arba 96,6 proc. Tuo metu kitų reikšmingiausių teršėjų išmetimai nagrinėjamu laikotarpiu didėjo.</w:t>
      </w:r>
    </w:p>
    <w:p w:rsidR="000E7C4C" w:rsidRDefault="003C3EA6">
      <w:pPr>
        <w:tabs>
          <w:tab w:val="left" w:pos="851"/>
        </w:tabs>
        <w:ind w:firstLine="567"/>
        <w:jc w:val="both"/>
        <w:rPr>
          <w:color w:val="000000"/>
          <w:szCs w:val="21"/>
        </w:rPr>
      </w:pPr>
      <w:r>
        <w:rPr>
          <w:color w:val="000000"/>
          <w:szCs w:val="21"/>
        </w:rPr>
        <w:t>8</w:t>
      </w:r>
      <w:r>
        <w:rPr>
          <w:color w:val="000000"/>
          <w:szCs w:val="21"/>
        </w:rPr>
        <w:t>.</w:t>
      </w:r>
      <w:r>
        <w:rPr>
          <w:color w:val="000000"/>
          <w:szCs w:val="21"/>
        </w:rPr>
        <w:tab/>
        <w:t xml:space="preserve">Apibendrinant atliktą analizę, darytina išvada, kad sunkiųjų metalų </w:t>
      </w:r>
      <w:proofErr w:type="spellStart"/>
      <w:r>
        <w:rPr>
          <w:color w:val="000000"/>
          <w:szCs w:val="21"/>
        </w:rPr>
        <w:t>išmetimus</w:t>
      </w:r>
      <w:proofErr w:type="spellEnd"/>
      <w:r>
        <w:rPr>
          <w:color w:val="000000"/>
          <w:szCs w:val="21"/>
        </w:rPr>
        <w:t xml:space="preserve"> daugiausia lemia namų ūkiai, patvariųjų organinių teršalų ir sunkiųjų metalų vartojimas, įvairių tirpiklių vartojimas ir kelių transportas. Patvariųjų organinių teršalų </w:t>
      </w:r>
      <w:proofErr w:type="spellStart"/>
      <w:r>
        <w:rPr>
          <w:color w:val="000000"/>
          <w:szCs w:val="21"/>
        </w:rPr>
        <w:t>išmetimams</w:t>
      </w:r>
      <w:proofErr w:type="spellEnd"/>
      <w:r>
        <w:rPr>
          <w:color w:val="000000"/>
          <w:szCs w:val="21"/>
        </w:rPr>
        <w:t xml:space="preserve"> daugiausia įtakos taip pat daro namų ūkiai bei įvairių atliekų deginimas.</w:t>
      </w:r>
    </w:p>
    <w:p w:rsidR="000E7C4C" w:rsidRDefault="00FC3082">
      <w:pPr>
        <w:tabs>
          <w:tab w:val="num" w:pos="360"/>
        </w:tabs>
        <w:jc w:val="both"/>
        <w:rPr>
          <w:color w:val="000000"/>
          <w:szCs w:val="21"/>
          <w:lang w:val="en-US"/>
        </w:rPr>
      </w:pPr>
    </w:p>
    <w:p w:rsidR="000E7C4C" w:rsidRDefault="003C3EA6" w:rsidP="00FC3082">
      <w:pPr>
        <w:tabs>
          <w:tab w:val="num" w:pos="360"/>
        </w:tabs>
        <w:spacing w:line="360" w:lineRule="atLeast"/>
        <w:jc w:val="center"/>
        <w:rPr>
          <w:color w:val="000000"/>
          <w:szCs w:val="21"/>
          <w:lang w:val="en-US"/>
        </w:rPr>
      </w:pPr>
      <w:r>
        <w:rPr>
          <w:color w:val="000000"/>
          <w:szCs w:val="21"/>
          <w:lang w:val="en-US"/>
        </w:rPr>
        <w:t>____________________________</w:t>
      </w:r>
    </w:p>
    <w:p w:rsidR="000E7C4C" w:rsidRDefault="00FC3082">
      <w:pPr>
        <w:tabs>
          <w:tab w:val="center" w:pos="4819"/>
          <w:tab w:val="right" w:pos="9638"/>
        </w:tabs>
        <w:jc w:val="both"/>
        <w:rPr>
          <w:color w:val="000000"/>
          <w:szCs w:val="21"/>
          <w:lang w:val="en-US"/>
        </w:rPr>
      </w:pPr>
    </w:p>
    <w:p w:rsidR="00FC3082" w:rsidRDefault="00FC3082">
      <w:pPr>
        <w:ind w:left="7088"/>
        <w:sectPr w:rsidR="00FC3082">
          <w:pgSz w:w="11906" w:h="16838"/>
          <w:pgMar w:top="1701" w:right="567" w:bottom="1134" w:left="1701" w:header="567" w:footer="567" w:gutter="0"/>
          <w:pgNumType w:start="1"/>
          <w:cols w:space="1296"/>
          <w:titlePg/>
          <w:docGrid w:linePitch="360"/>
        </w:sectPr>
      </w:pPr>
    </w:p>
    <w:p w:rsidR="000E7C4C" w:rsidRDefault="003C3EA6">
      <w:pPr>
        <w:ind w:left="7088"/>
        <w:rPr>
          <w:color w:val="000000"/>
          <w:szCs w:val="24"/>
        </w:rPr>
      </w:pPr>
      <w:r>
        <w:rPr>
          <w:color w:val="000000"/>
          <w:szCs w:val="24"/>
        </w:rPr>
        <w:t xml:space="preserve">Nacionalinio oro taršos </w:t>
      </w:r>
    </w:p>
    <w:p w:rsidR="000E7C4C" w:rsidRDefault="003C3EA6">
      <w:pPr>
        <w:ind w:left="7088"/>
        <w:rPr>
          <w:color w:val="000000"/>
          <w:szCs w:val="24"/>
        </w:rPr>
      </w:pPr>
      <w:r>
        <w:rPr>
          <w:color w:val="000000"/>
          <w:szCs w:val="24"/>
        </w:rPr>
        <w:t>mažinimo plano</w:t>
      </w:r>
    </w:p>
    <w:p w:rsidR="000E7C4C" w:rsidRDefault="003C3EA6">
      <w:pPr>
        <w:ind w:left="7088"/>
        <w:rPr>
          <w:color w:val="000000"/>
          <w:szCs w:val="24"/>
        </w:rPr>
      </w:pPr>
      <w:r>
        <w:rPr>
          <w:color w:val="000000"/>
          <w:szCs w:val="24"/>
        </w:rPr>
        <w:t>12</w:t>
      </w:r>
      <w:r>
        <w:rPr>
          <w:color w:val="000000"/>
          <w:szCs w:val="24"/>
        </w:rPr>
        <w:t xml:space="preserve"> priedas</w:t>
      </w:r>
    </w:p>
    <w:p w:rsidR="000E7C4C" w:rsidRDefault="000E7C4C">
      <w:pPr>
        <w:ind w:firstLine="567"/>
        <w:jc w:val="right"/>
        <w:rPr>
          <w:color w:val="000000"/>
          <w:szCs w:val="24"/>
        </w:rPr>
      </w:pPr>
    </w:p>
    <w:p w:rsidR="000E7C4C" w:rsidRDefault="003C3EA6">
      <w:pPr>
        <w:tabs>
          <w:tab w:val="num" w:pos="360"/>
        </w:tabs>
        <w:jc w:val="center"/>
        <w:rPr>
          <w:b/>
          <w:color w:val="000000"/>
          <w:szCs w:val="24"/>
          <w:lang w:val="en-US"/>
        </w:rPr>
      </w:pPr>
      <w:r>
        <w:rPr>
          <w:b/>
          <w:color w:val="000000"/>
          <w:szCs w:val="24"/>
          <w:lang w:val="en-US"/>
        </w:rPr>
        <w:t>PROGNOZUOJAMAS IŠMESTI Į APLINKOS ORĄ TERŠALŲ KIEKIS (ESAMŲ PRIEMONIŲ SCENARIJUS)</w:t>
      </w:r>
    </w:p>
    <w:p w:rsidR="000E7C4C" w:rsidRDefault="000E7C4C">
      <w:pPr>
        <w:tabs>
          <w:tab w:val="num" w:pos="360"/>
        </w:tabs>
        <w:jc w:val="center"/>
        <w:rPr>
          <w:b/>
          <w:color w:val="000000"/>
          <w:szCs w:val="24"/>
          <w:lang w:val="en-US"/>
        </w:rPr>
      </w:pPr>
    </w:p>
    <w:p w:rsidR="000E7C4C" w:rsidRDefault="003C3EA6">
      <w:pPr>
        <w:tabs>
          <w:tab w:val="num" w:pos="360"/>
        </w:tabs>
        <w:jc w:val="center"/>
        <w:rPr>
          <w:b/>
          <w:color w:val="000000"/>
          <w:szCs w:val="24"/>
          <w:lang w:val="en-US"/>
        </w:rPr>
      </w:pPr>
      <w:r>
        <w:rPr>
          <w:b/>
          <w:color w:val="000000"/>
          <w:szCs w:val="24"/>
          <w:lang w:val="en-US"/>
        </w:rPr>
        <w:t>I</w:t>
      </w:r>
      <w:r>
        <w:rPr>
          <w:b/>
          <w:color w:val="000000"/>
          <w:szCs w:val="24"/>
          <w:lang w:val="en-US"/>
        </w:rPr>
        <w:t xml:space="preserve"> SKYRIUS</w:t>
      </w:r>
    </w:p>
    <w:p w:rsidR="000E7C4C" w:rsidRDefault="003C3EA6">
      <w:pPr>
        <w:jc w:val="center"/>
        <w:rPr>
          <w:b/>
          <w:color w:val="000000"/>
          <w:szCs w:val="24"/>
        </w:rPr>
      </w:pPr>
      <w:r>
        <w:rPr>
          <w:b/>
          <w:color w:val="000000"/>
          <w:szCs w:val="24"/>
        </w:rPr>
        <w:t>PROGNOZUOJAMAS IŠMESTI Į APLINKOS ORĄ SIEROS DIOKSIDO KIEKIS</w:t>
      </w:r>
    </w:p>
    <w:p w:rsidR="000E7C4C" w:rsidRDefault="000E7C4C">
      <w:pPr>
        <w:ind w:firstLine="567"/>
        <w:jc w:val="center"/>
        <w:rPr>
          <w:b/>
          <w:color w:val="000000"/>
          <w:szCs w:val="24"/>
        </w:rPr>
      </w:pPr>
    </w:p>
    <w:p w:rsidR="000E7C4C" w:rsidRDefault="003C3EA6">
      <w:pPr>
        <w:tabs>
          <w:tab w:val="left" w:pos="851"/>
        </w:tabs>
        <w:ind w:firstLine="567"/>
        <w:jc w:val="both"/>
        <w:rPr>
          <w:color w:val="000000"/>
          <w:szCs w:val="24"/>
        </w:rPr>
      </w:pPr>
      <w:r>
        <w:rPr>
          <w:color w:val="000000"/>
          <w:szCs w:val="24"/>
        </w:rPr>
        <w:t>1</w:t>
      </w:r>
      <w:r>
        <w:rPr>
          <w:color w:val="000000"/>
          <w:szCs w:val="24"/>
        </w:rPr>
        <w:t>.</w:t>
      </w:r>
      <w:r>
        <w:rPr>
          <w:color w:val="000000"/>
          <w:szCs w:val="24"/>
        </w:rPr>
        <w:tab/>
        <w:t>Siekiant įvertinti, kaip keisis išmetamas į aplinkos orą sieros dioksido (toliau – SO</w:t>
      </w:r>
      <w:r>
        <w:rPr>
          <w:color w:val="000000"/>
          <w:szCs w:val="24"/>
          <w:vertAlign w:val="subscript"/>
        </w:rPr>
        <w:t>2</w:t>
      </w:r>
      <w:r>
        <w:rPr>
          <w:color w:val="000000"/>
          <w:szCs w:val="24"/>
        </w:rPr>
        <w:t>) kiekis 2020, 2025, 2030 m., remtasi Aplinkos apsaugos agentūros (toliau – AAA), kuri teisės aktų nustatyta tvarka vykdo nacionalinę į aplinkos orą išmetamo teršalų kiekio apskaitą ir prognozes, parengtomis išmetamų į aplinkos orą teršalų prognozėmis. Kaip parodyta 1 paveiksle, 2020 m. nustatytas tikslas yra išmesto SO</w:t>
      </w:r>
      <w:r>
        <w:rPr>
          <w:color w:val="000000"/>
          <w:szCs w:val="24"/>
          <w:vertAlign w:val="subscript"/>
        </w:rPr>
        <w:t>2</w:t>
      </w:r>
      <w:r>
        <w:rPr>
          <w:color w:val="000000"/>
          <w:szCs w:val="24"/>
        </w:rPr>
        <w:t xml:space="preserve"> kiekio sumažėjimas 55 proc., 2030 m. – 60 proc., palyginus su 2005 m. išmestu kiekiu. Pagal prognozes, įgyvendinant esamas priemones, 2020 m. išmestas SO</w:t>
      </w:r>
      <w:r>
        <w:rPr>
          <w:color w:val="000000"/>
          <w:szCs w:val="24"/>
          <w:vertAlign w:val="subscript"/>
        </w:rPr>
        <w:t>2</w:t>
      </w:r>
      <w:r>
        <w:rPr>
          <w:color w:val="000000"/>
          <w:szCs w:val="24"/>
        </w:rPr>
        <w:t xml:space="preserve"> kiekis sumažės 38,9 proc., 2025 m. – 36,7 proc., 2030 m. – 34,2 proc., palyginus su 2005 m. išmestu kiekiu, todėl nustatyti tikslai nebus pasiekti. </w:t>
      </w:r>
    </w:p>
    <w:p w:rsidR="000E7C4C" w:rsidRDefault="000E7C4C">
      <w:pPr>
        <w:tabs>
          <w:tab w:val="num" w:pos="360"/>
        </w:tabs>
        <w:ind w:firstLine="567"/>
        <w:jc w:val="both"/>
        <w:rPr>
          <w:color w:val="000000"/>
          <w:szCs w:val="24"/>
        </w:rPr>
      </w:pPr>
    </w:p>
    <w:p w:rsidR="000E7C4C" w:rsidRDefault="003C3EA6">
      <w:pPr>
        <w:spacing w:line="360" w:lineRule="atLeast"/>
        <w:jc w:val="center"/>
        <w:rPr>
          <w:b/>
          <w:color w:val="000000"/>
          <w:szCs w:val="21"/>
        </w:rPr>
      </w:pPr>
      <w:r>
        <w:rPr>
          <w:b/>
          <w:noProof/>
          <w:color w:val="000000"/>
          <w:szCs w:val="21"/>
          <w:lang w:eastAsia="lt-LT"/>
        </w:rPr>
        <w:drawing>
          <wp:inline distT="0" distB="0" distL="0" distR="0" wp14:anchorId="4F170BEE" wp14:editId="7402C22A">
            <wp:extent cx="4324350" cy="2962275"/>
            <wp:effectExtent l="0" t="0" r="0" b="9525"/>
            <wp:docPr id="517" name="Paveikslėlis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24350" cy="2962275"/>
                    </a:xfrm>
                    <a:prstGeom prst="rect">
                      <a:avLst/>
                    </a:prstGeom>
                    <a:noFill/>
                    <a:ln>
                      <a:noFill/>
                    </a:ln>
                  </pic:spPr>
                </pic:pic>
              </a:graphicData>
            </a:graphic>
          </wp:inline>
        </w:drawing>
      </w:r>
    </w:p>
    <w:p w:rsidR="000E7C4C" w:rsidRDefault="003C3EA6">
      <w:pPr>
        <w:keepNext/>
        <w:tabs>
          <w:tab w:val="left" w:pos="993"/>
        </w:tabs>
        <w:spacing w:line="360" w:lineRule="atLeast"/>
        <w:jc w:val="center"/>
        <w:rPr>
          <w:color w:val="000000"/>
          <w:sz w:val="20"/>
        </w:rPr>
      </w:pPr>
      <w:r>
        <w:rPr>
          <w:color w:val="000000"/>
          <w:sz w:val="20"/>
        </w:rPr>
        <w:t>1 paveikslas. Išmesto SO</w:t>
      </w:r>
      <w:r>
        <w:rPr>
          <w:color w:val="000000"/>
          <w:sz w:val="20"/>
          <w:vertAlign w:val="subscript"/>
        </w:rPr>
        <w:t>2</w:t>
      </w:r>
      <w:r>
        <w:rPr>
          <w:color w:val="000000"/>
          <w:sz w:val="20"/>
        </w:rPr>
        <w:t xml:space="preserve"> kiekio prognozė 2020 m., 2025 m., 2030 m.</w:t>
      </w:r>
    </w:p>
    <w:p w:rsidR="000E7C4C" w:rsidRDefault="003C3EA6">
      <w:pPr>
        <w:tabs>
          <w:tab w:val="left" w:pos="1296"/>
        </w:tabs>
        <w:spacing w:line="360" w:lineRule="atLeast"/>
        <w:jc w:val="center"/>
        <w:rPr>
          <w:color w:val="000000"/>
          <w:sz w:val="20"/>
        </w:rPr>
      </w:pPr>
      <w:r>
        <w:rPr>
          <w:color w:val="000000"/>
          <w:sz w:val="20"/>
        </w:rPr>
        <w:t>(Duomenų šaltinis: AAA)</w:t>
      </w:r>
    </w:p>
    <w:p w:rsidR="000E7C4C" w:rsidRDefault="003C3EA6">
      <w:pPr>
        <w:spacing w:line="360" w:lineRule="atLeast"/>
        <w:jc w:val="both"/>
        <w:rPr>
          <w:b/>
          <w:color w:val="000000"/>
          <w:szCs w:val="21"/>
        </w:rPr>
      </w:pPr>
    </w:p>
    <w:p w:rsidR="000E7C4C" w:rsidRDefault="003C3EA6">
      <w:pPr>
        <w:tabs>
          <w:tab w:val="left" w:pos="851"/>
        </w:tabs>
        <w:ind w:firstLine="567"/>
        <w:jc w:val="both"/>
        <w:rPr>
          <w:color w:val="000000"/>
          <w:szCs w:val="21"/>
        </w:rPr>
      </w:pPr>
      <w:r>
        <w:rPr>
          <w:color w:val="000000"/>
          <w:szCs w:val="21"/>
        </w:rPr>
        <w:t>2</w:t>
      </w:r>
      <w:r>
        <w:rPr>
          <w:color w:val="000000"/>
          <w:szCs w:val="21"/>
        </w:rPr>
        <w:t>.</w:t>
      </w:r>
      <w:r>
        <w:rPr>
          <w:color w:val="000000"/>
          <w:szCs w:val="21"/>
        </w:rPr>
        <w:tab/>
        <w:t>Išanalizavus išmesto SO</w:t>
      </w:r>
      <w:r>
        <w:rPr>
          <w:color w:val="000000"/>
          <w:szCs w:val="21"/>
          <w:vertAlign w:val="subscript"/>
        </w:rPr>
        <w:t>2</w:t>
      </w:r>
      <w:r>
        <w:rPr>
          <w:color w:val="000000"/>
          <w:szCs w:val="21"/>
        </w:rPr>
        <w:t xml:space="preserve"> kiekio prognozes pagal sektorius, nustatyta, kad išmetantys SO</w:t>
      </w:r>
      <w:r>
        <w:rPr>
          <w:color w:val="000000"/>
          <w:szCs w:val="21"/>
          <w:vertAlign w:val="subscript"/>
        </w:rPr>
        <w:t>2</w:t>
      </w:r>
      <w:r>
        <w:rPr>
          <w:color w:val="000000"/>
          <w:szCs w:val="21"/>
        </w:rPr>
        <w:t xml:space="preserve"> sektoriai ateityje keisis: sumažės gamybos pramonės ir statybos sektoriaus stacionaraus deginimo ir kitų sektorių įtaka, tarp reikšmingiausių sektorių išliks energijos gamyba, garavimo emisijos ir kitų sektorių stacionarus deginimas, t. y. išmestas SO</w:t>
      </w:r>
      <w:r>
        <w:rPr>
          <w:color w:val="000000"/>
          <w:szCs w:val="21"/>
          <w:vertAlign w:val="subscript"/>
        </w:rPr>
        <w:t>2</w:t>
      </w:r>
      <w:r>
        <w:rPr>
          <w:color w:val="000000"/>
          <w:szCs w:val="21"/>
        </w:rPr>
        <w:t xml:space="preserve"> kiekis priklausys nuo elektros ir šilumos energijos gamybos ir garavimų naftos pramonėje. Kitaip tariant, išmestas SO</w:t>
      </w:r>
      <w:r>
        <w:rPr>
          <w:color w:val="000000"/>
          <w:szCs w:val="21"/>
          <w:vertAlign w:val="subscript"/>
        </w:rPr>
        <w:t>2</w:t>
      </w:r>
      <w:r>
        <w:rPr>
          <w:color w:val="000000"/>
          <w:szCs w:val="21"/>
        </w:rPr>
        <w:t xml:space="preserve"> kiekis priklausys nuo naudojamų kuro rūšių, taikomų technologijų energijos gamybai ir taikomų technologijų naftos perdirbimo, naftos produktų saugojimo ir paskirstymo veikloje.</w:t>
      </w:r>
    </w:p>
    <w:p w:rsidR="000E7C4C" w:rsidRDefault="000E7C4C">
      <w:pPr>
        <w:spacing w:line="360" w:lineRule="atLeast"/>
        <w:jc w:val="both"/>
        <w:rPr>
          <w:color w:val="000000"/>
          <w:szCs w:val="21"/>
        </w:rPr>
      </w:pPr>
    </w:p>
    <w:p w:rsidR="000E7C4C" w:rsidRDefault="000E7C4C">
      <w:pPr>
        <w:spacing w:line="360" w:lineRule="atLeast"/>
        <w:jc w:val="both"/>
        <w:rPr>
          <w:color w:val="000000"/>
          <w:szCs w:val="21"/>
        </w:rPr>
      </w:pPr>
    </w:p>
    <w:p w:rsidR="000E7C4C" w:rsidRDefault="000E7C4C">
      <w:pPr>
        <w:spacing w:line="360" w:lineRule="atLeast"/>
        <w:jc w:val="both"/>
        <w:rPr>
          <w:color w:val="000000"/>
          <w:szCs w:val="21"/>
        </w:rPr>
      </w:pPr>
    </w:p>
    <w:p w:rsidR="000E7C4C" w:rsidRDefault="000E7C4C">
      <w:pPr>
        <w:spacing w:line="360" w:lineRule="atLeast"/>
        <w:jc w:val="both"/>
        <w:rPr>
          <w:color w:val="000000"/>
          <w:szCs w:val="21"/>
        </w:rPr>
      </w:pPr>
    </w:p>
    <w:p w:rsidR="000E7C4C" w:rsidRDefault="003C3EA6">
      <w:pPr>
        <w:ind w:right="282"/>
        <w:jc w:val="both"/>
        <w:rPr>
          <w:color w:val="000000"/>
          <w:szCs w:val="24"/>
        </w:rPr>
      </w:pPr>
      <w:r>
        <w:rPr>
          <w:color w:val="000000"/>
          <w:szCs w:val="24"/>
        </w:rPr>
        <w:t>1 lentelė. Išmestas į aplinkos orą SO</w:t>
      </w:r>
      <w:r>
        <w:rPr>
          <w:color w:val="000000"/>
          <w:szCs w:val="24"/>
          <w:vertAlign w:val="subscript"/>
        </w:rPr>
        <w:t>2</w:t>
      </w:r>
      <w:r>
        <w:rPr>
          <w:color w:val="000000"/>
          <w:szCs w:val="24"/>
        </w:rPr>
        <w:t xml:space="preserve"> kiekis: pagrindinių kategorijų analizė baziniais, paskutiniais prieinamais ir prognozuojamais metais</w:t>
      </w:r>
    </w:p>
    <w:tbl>
      <w:tblPr>
        <w:tblW w:w="9510" w:type="dxa"/>
        <w:jc w:val="center"/>
        <w:tblBorders>
          <w:top w:val="single" w:sz="12" w:space="0" w:color="FFFFFF"/>
          <w:bottom w:val="single" w:sz="2" w:space="0" w:color="1F497D"/>
          <w:insideH w:val="single" w:sz="2" w:space="0" w:color="1F497D"/>
          <w:insideV w:val="single" w:sz="12" w:space="0" w:color="FFFFFF"/>
        </w:tblBorders>
        <w:tblLayout w:type="fixed"/>
        <w:tblCellMar>
          <w:top w:w="28" w:type="dxa"/>
          <w:left w:w="28" w:type="dxa"/>
          <w:bottom w:w="28" w:type="dxa"/>
          <w:right w:w="28" w:type="dxa"/>
        </w:tblCellMar>
        <w:tblLook w:val="04A0" w:firstRow="1" w:lastRow="0" w:firstColumn="1" w:lastColumn="0" w:noHBand="0" w:noVBand="1"/>
      </w:tblPr>
      <w:tblGrid>
        <w:gridCol w:w="1277"/>
        <w:gridCol w:w="1419"/>
        <w:gridCol w:w="2162"/>
        <w:gridCol w:w="1803"/>
        <w:gridCol w:w="1721"/>
        <w:gridCol w:w="53"/>
        <w:gridCol w:w="1058"/>
        <w:gridCol w:w="17"/>
      </w:tblGrid>
      <w:tr w:rsidR="000E7C4C">
        <w:trPr>
          <w:tblHeader/>
          <w:jc w:val="center"/>
        </w:trPr>
        <w:tc>
          <w:tcPr>
            <w:tcW w:w="1277" w:type="dxa"/>
            <w:tcBorders>
              <w:top w:val="single" w:sz="12" w:space="0" w:color="FFFFFF" w:themeColor="background1"/>
              <w:left w:val="nil"/>
              <w:bottom w:val="single" w:sz="2" w:space="0" w:color="1F497D" w:themeColor="text2"/>
              <w:right w:val="single" w:sz="12" w:space="0" w:color="FFFFFF" w:themeColor="background1"/>
            </w:tcBorders>
            <w:shd w:val="clear" w:color="auto" w:fill="002060"/>
            <w:vAlign w:val="center"/>
            <w:hideMark/>
          </w:tcPr>
          <w:p w:rsidR="000E7C4C" w:rsidRDefault="003C3EA6">
            <w:pPr>
              <w:tabs>
                <w:tab w:val="left" w:pos="1296"/>
              </w:tabs>
              <w:spacing w:line="276" w:lineRule="auto"/>
              <w:jc w:val="center"/>
              <w:rPr>
                <w:color w:val="FFFFFF"/>
                <w:sz w:val="20"/>
              </w:rPr>
            </w:pPr>
            <w:r>
              <w:rPr>
                <w:noProof/>
                <w:lang w:eastAsia="lt-LT"/>
              </w:rPr>
              <mc:AlternateContent>
                <mc:Choice Requires="wps">
                  <w:drawing>
                    <wp:anchor distT="0" distB="0" distL="114300" distR="114300" simplePos="0" relativeHeight="251691008" behindDoc="1" locked="0" layoutInCell="1" allowOverlap="1" wp14:anchorId="50C8E322" wp14:editId="409096E6">
                      <wp:simplePos x="0" y="0"/>
                      <wp:positionH relativeFrom="column">
                        <wp:posOffset>-27305</wp:posOffset>
                      </wp:positionH>
                      <wp:positionV relativeFrom="paragraph">
                        <wp:posOffset>-12065</wp:posOffset>
                      </wp:positionV>
                      <wp:extent cx="5701030" cy="152400"/>
                      <wp:effectExtent l="0" t="0" r="0" b="0"/>
                      <wp:wrapNone/>
                      <wp:docPr id="527" name="Stačiakampis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1030" cy="152400"/>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4D827784" id="Stačiakampis 527" o:spid="_x0000_s1026" style="position:absolute;margin-left:-2.15pt;margin-top:-.95pt;width:448.9pt;height:1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e7YWVwIAAJAEAAAOAAAAZHJzL2Uyb0RvYy54bWysVM1u1DAQviPxDpbvNMnSbUu02WrVUoRU oNKCOM86TmLVf4y9my3vwFvxYIyd3VLKDXGxJh7PzDffN5PF5d5otpMYlLMNr05KzqQVrlW2b/iX zzevLjgLEWwL2lnZ8AcZ+OXy5YvF6Gs5c4PTrURGSWyoR9/wIUZfF0UQgzQQTpyXlpydQwORPrEv WoSRshtdzMryrBgdth6dkCHQ7fXk5Mucv+ukiJ+6LsjIdMMJW8wn5nOTzmK5gLpH8IMSBxjwDygM KEtFH1NdQwS2RfVXKqMEuuC6eCKcKVzXKSFzD9RNVT7rZj2Al7kXIif4R5rC/0srPu7ukKm24fPZ OWcWDIm0jvDzh4J7MF4FlhxE0+hDTa/X/g5To8HfOnEfmHVXA9herhDdOEhoCVyV3hd/BKSPQKFs M35wLdWAbXSZsX2HJiUkLtg+C/PwKIzcRybocn5O5Lwm/QT5qvnstMzKFVAfoz2G+E46w5LRcCTh c3bY3YaY0EB9fHKQqb1RWjN08auKQ2Y6lc3OQDGTwbyjfqbrgP3mSiPbQZqlsqxmq9wniR6evq7I R/jS1bOQ+en52ZMQwtQfS2llGdGYarEgQEtSZKIxz1QGmzJqy8aGv5nP5rmAdamLPMRGRdokrUzD LyYE+TpJ8ta22Y6g9GRTaW0PGiVZJnk3rn0giYiTjIPWmozB4XfORlqRhodvW0DJmX5vMy0sHg08 GpujAVZQaMMjp8aSeRWnvdt6VP1AmatDCysahU5lldKYTCgO4Gjss3iHFU179fQ7v/r9I1n+AgAA //8DAFBLAwQUAAYACAAAACEAyZJ1G98AAAAIAQAADwAAAGRycy9kb3ducmV2LnhtbEyPwU7DMBBE 70j8g7VI3Fo7KYQkxKkQghtUopS7G5skIl6ntpumfD3LCU6j1Yxm3lbr2Q5sMj70DiUkSwHMYON0 j62E3fvzIgcWokKtBodGwtkEWNeXF5UqtTvhm5m2sWVUgqFUEroYx5Lz0HTGqrB0o0HyPp23KtLp W669OlG5HXgqRMat6pEWOjWax840X9ujlSC++80u37zeHZ588/FSTNlBnDMpr6/mh3tg0czxLwy/ +IQONTHt3RF1YIOExc2KkqRJAYz8vFjdAttLSNMEeF3x/w/UPwAAAP//AwBQSwECLQAUAAYACAAA ACEAtoM4kv4AAADhAQAAEwAAAAAAAAAAAAAAAAAAAAAAW0NvbnRlbnRfVHlwZXNdLnhtbFBLAQIt ABQABgAIAAAAIQA4/SH/1gAAAJQBAAALAAAAAAAAAAAAAAAAAC8BAABfcmVscy8ucmVsc1BLAQIt ABQABgAIAAAAIQCte7YWVwIAAJAEAAAOAAAAAAAAAAAAAAAAAC4CAABkcnMvZTJvRG9jLnhtbFBL AQItABQABgAIAAAAIQDJknUb3wAAAAgBAAAPAAAAAAAAAAAAAAAAALEEAABkcnMvZG93bnJldi54 bWxQSwUGAAAAAAQABADzAAAAvQUAAAAA " fillcolor="#00012a" stroked="f">
                      <v:fill color2="#005476" angle="90" focus="100%" type="gradient"/>
                      <v:textbox inset="0,0,0,0"/>
                    </v:rect>
                  </w:pict>
                </mc:Fallback>
              </mc:AlternateContent>
            </w:r>
            <w:r>
              <w:rPr>
                <w:noProof/>
                <w:lang w:eastAsia="lt-LT"/>
              </w:rPr>
              <mc:AlternateContent>
                <mc:Choice Requires="wps">
                  <w:drawing>
                    <wp:anchor distT="0" distB="0" distL="114300" distR="114300" simplePos="0" relativeHeight="251689984" behindDoc="1" locked="0" layoutInCell="1" allowOverlap="1" wp14:anchorId="45BE6D03" wp14:editId="3419A04B">
                      <wp:simplePos x="0" y="0"/>
                      <wp:positionH relativeFrom="column">
                        <wp:posOffset>-34925</wp:posOffset>
                      </wp:positionH>
                      <wp:positionV relativeFrom="paragraph">
                        <wp:posOffset>-12065</wp:posOffset>
                      </wp:positionV>
                      <wp:extent cx="5701030" cy="152400"/>
                      <wp:effectExtent l="0" t="0" r="0" b="0"/>
                      <wp:wrapNone/>
                      <wp:docPr id="520" name="Stačiakampis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1030" cy="152400"/>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0E4C0FEB" id="Stačiakampis 520" o:spid="_x0000_s1026" style="position:absolute;margin-left:-2.75pt;margin-top:-.95pt;width:448.9pt;height:1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0HarVgIAAJAEAAAOAAAAZHJzL2Uyb0RvYy54bWysVM1u1DAQviPxDpbvNMnSbUu02WrVUoRU oNKCOM86TmLVf4y9my3vwFvxYIyd3VLKDXGxJh7PzDffN5PF5d5otpMYlLMNr05KzqQVrlW2b/iX zzevLjgLEWwL2lnZ8AcZ+OXy5YvF6Gs5c4PTrURGSWyoR9/wIUZfF0UQgzQQTpyXlpydQwORPrEv WoSRshtdzMryrBgdth6dkCHQ7fXk5Mucv+ukiJ+6LsjIdMMJW8wn5nOTzmK5gLpH8IMSBxjwDygM KEtFH1NdQwS2RfVXKqMEuuC6eCKcKVzXKSFzD9RNVT7rZj2Al7kXIif4R5rC/0srPu7ukKm24fMZ 8WPBkEjrCD9/KLgH41VgyUE0jT7U9Hrt7zA1GvytE/eBWXc1gO3lCtGNg4SWwFXpffFHQPoIFMo2 4wfXUg3YRpcZ23doUkLigu2zMA+Pwsh9ZIIu5+dEzmvCJ8hXzWenZYZUQH2M9hjiO+kMS0bDkYTP 2WF3G2JCA/XxyUGm9kZpzdDFryoOmelUNjsDxUwG8476ma4D9psrjWwHaZbKspqtcp8kenj6uiIf 4UtXz0Lmp+dnT0IIU38spZVlRGOqxYIALUmRicY8UxlsyqgtGxv+Zj6b5wLWpS7yEBsVaZO0Mg2/ mBDk6yTJW9tmO4LSk02ltT1olGSZ5N249oEkIk4yDlprMgaH3zkbaUUaHr5tASVn+r3NtLB4NPBo bI4GWEGhDY+cGkvmVZz2butR9QNlrg4trGgUOpVVSmMyoTiAo7HP4h1WNO3V0+/86vePZPkLAAD/ /wMAUEsDBBQABgAIAAAAIQATi//53wAAAAgBAAAPAAAAZHJzL2Rvd25yZXYueG1sTI/BTsMwEETv SPyDtUjcWjtBDUmIUyEEN6jUUu5ubJKIeJ3abpry9SwnOI1WM5p5W61nO7DJ+NA7lJAsBTCDjdM9 thL27y+LHFiICrUaHBoJFxNgXV9fVarU7oxbM+1iy6gEQ6kkdDGOJeeh6YxVYelGg+R9Om9VpNO3 XHt1pnI78FSIjFvVIy10ajRPnWm+dicrQXz3m32+ebs/Pvvm47WYsqO4ZFLe3syPD8CimeNfGH7x CR1qYjq4E+rABgmL1YqSpEkBjPy8SO+AHSSkaQK8rvj/B+ofAAAA//8DAFBLAQItABQABgAIAAAA IQC2gziS/gAAAOEBAAATAAAAAAAAAAAAAAAAAAAAAABbQ29udGVudF9UeXBlc10ueG1sUEsBAi0A FAAGAAgAAAAhADj9If/WAAAAlAEAAAsAAAAAAAAAAAAAAAAALwEAAF9yZWxzLy5yZWxzUEsBAi0A FAAGAAgAAAAhAMDQdqtWAgAAkAQAAA4AAAAAAAAAAAAAAAAALgIAAGRycy9lMm9Eb2MueG1sUEsB Ai0AFAAGAAgAAAAhABOL//nfAAAACAEAAA8AAAAAAAAAAAAAAAAAsAQAAGRycy9kb3ducmV2Lnht bFBLBQYAAAAABAAEAPMAAAC8BQAAAAA= " fillcolor="#00012a" stroked="f">
                      <v:fill color2="#005476" angle="90" focus="100%" type="gradient"/>
                      <v:textbox inset="0,0,0,0"/>
                    </v:rect>
                  </w:pict>
                </mc:Fallback>
              </mc:AlternateContent>
            </w:r>
            <w:r>
              <w:rPr>
                <w:color w:val="FFFFFF"/>
                <w:sz w:val="20"/>
                <w:lang w:eastAsia="lt-LT"/>
              </w:rPr>
              <w:t>Metai</w:t>
            </w:r>
          </w:p>
        </w:tc>
        <w:tc>
          <w:tcPr>
            <w:tcW w:w="7154" w:type="dxa"/>
            <w:gridSpan w:val="5"/>
            <w:tcBorders>
              <w:top w:val="single" w:sz="12" w:space="0" w:color="FFFFFF" w:themeColor="background1"/>
              <w:left w:val="single" w:sz="12" w:space="0" w:color="FFFFFF" w:themeColor="background1"/>
              <w:bottom w:val="single" w:sz="2" w:space="0" w:color="1F497D" w:themeColor="text2"/>
              <w:right w:val="single" w:sz="12" w:space="0" w:color="FFFFFF" w:themeColor="background1"/>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Pagrindinės kategorijos (surūšiuotos nuo aukščiausios iki žemiausios, iš kairės į dešinę)</w:t>
            </w:r>
          </w:p>
        </w:tc>
        <w:tc>
          <w:tcPr>
            <w:tcW w:w="1074" w:type="dxa"/>
            <w:gridSpan w:val="2"/>
            <w:tcBorders>
              <w:top w:val="single" w:sz="12" w:space="0" w:color="FFFFFF" w:themeColor="background1"/>
              <w:left w:val="single" w:sz="12" w:space="0" w:color="FFFFFF" w:themeColor="background1"/>
              <w:bottom w:val="single" w:sz="2" w:space="0" w:color="1F497D" w:themeColor="text2"/>
              <w:right w:val="nil"/>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Iš viso</w:t>
            </w:r>
          </w:p>
        </w:tc>
      </w:tr>
      <w:tr w:rsidR="000E7C4C">
        <w:trPr>
          <w:gridAfter w:val="1"/>
          <w:wAfter w:w="17" w:type="dxa"/>
          <w:jc w:val="center"/>
        </w:trPr>
        <w:tc>
          <w:tcPr>
            <w:tcW w:w="1277" w:type="dxa"/>
            <w:vMerge w:val="restart"/>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2005</w:t>
            </w:r>
          </w:p>
        </w:tc>
        <w:tc>
          <w:tcPr>
            <w:tcW w:w="14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tcPr>
          <w:p w:rsidR="000E7C4C" w:rsidRDefault="003C3EA6">
            <w:pPr>
              <w:jc w:val="center"/>
              <w:rPr>
                <w:color w:val="000000"/>
                <w:sz w:val="20"/>
                <w:lang w:eastAsia="lt-LT"/>
              </w:rPr>
            </w:pPr>
            <w:r>
              <w:rPr>
                <w:color w:val="000000"/>
                <w:sz w:val="20"/>
                <w:lang w:eastAsia="lt-LT"/>
              </w:rPr>
              <w:t>1A1</w:t>
            </w:r>
          </w:p>
          <w:p w:rsidR="000E7C4C" w:rsidRDefault="003C3EA6">
            <w:pPr>
              <w:jc w:val="center"/>
              <w:rPr>
                <w:color w:val="000000"/>
                <w:sz w:val="20"/>
                <w:lang w:eastAsia="lt-LT"/>
              </w:rPr>
            </w:pPr>
            <w:r>
              <w:rPr>
                <w:color w:val="000000"/>
                <w:sz w:val="20"/>
                <w:lang w:eastAsia="lt-LT"/>
              </w:rPr>
              <w:t>Energijos gamyba</w:t>
            </w:r>
          </w:p>
          <w:p w:rsidR="000E7C4C" w:rsidRDefault="000E7C4C">
            <w:pPr>
              <w:jc w:val="center"/>
              <w:rPr>
                <w:color w:val="000000"/>
                <w:sz w:val="20"/>
                <w:lang w:eastAsia="lt-LT"/>
              </w:rPr>
            </w:pPr>
          </w:p>
        </w:tc>
        <w:tc>
          <w:tcPr>
            <w:tcW w:w="216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1A5</w:t>
            </w:r>
          </w:p>
          <w:p w:rsidR="000E7C4C" w:rsidRDefault="003C3EA6">
            <w:pPr>
              <w:jc w:val="center"/>
              <w:rPr>
                <w:color w:val="000000"/>
                <w:sz w:val="20"/>
                <w:lang w:eastAsia="lt-LT"/>
              </w:rPr>
            </w:pPr>
            <w:r>
              <w:rPr>
                <w:color w:val="000000"/>
                <w:sz w:val="20"/>
                <w:lang w:eastAsia="lt-LT"/>
              </w:rPr>
              <w:t>Kita</w:t>
            </w:r>
          </w:p>
        </w:tc>
        <w:tc>
          <w:tcPr>
            <w:tcW w:w="180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1B</w:t>
            </w:r>
          </w:p>
          <w:p w:rsidR="000E7C4C" w:rsidRDefault="003C3EA6">
            <w:pPr>
              <w:jc w:val="center"/>
              <w:rPr>
                <w:color w:val="000000"/>
                <w:sz w:val="20"/>
                <w:lang w:eastAsia="lt-LT"/>
              </w:rPr>
            </w:pPr>
            <w:r>
              <w:rPr>
                <w:color w:val="000000"/>
                <w:sz w:val="20"/>
                <w:lang w:eastAsia="lt-LT"/>
              </w:rPr>
              <w:t>Garavimo emisijos (naftos ir jos produktų garavimo emisijos)</w:t>
            </w:r>
          </w:p>
        </w:tc>
        <w:tc>
          <w:tcPr>
            <w:tcW w:w="1720"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1A2</w:t>
            </w:r>
          </w:p>
          <w:p w:rsidR="000E7C4C" w:rsidRDefault="003C3EA6">
            <w:pPr>
              <w:jc w:val="center"/>
              <w:rPr>
                <w:color w:val="000000"/>
                <w:sz w:val="20"/>
                <w:lang w:eastAsia="lt-LT"/>
              </w:rPr>
            </w:pPr>
            <w:r>
              <w:rPr>
                <w:color w:val="000000"/>
                <w:sz w:val="20"/>
                <w:lang w:eastAsia="lt-LT"/>
              </w:rPr>
              <w:t>Gamybos pramonė ir statybos sektorius (deginimas, įskaitant mobilų)</w:t>
            </w:r>
          </w:p>
        </w:tc>
        <w:tc>
          <w:tcPr>
            <w:tcW w:w="1110" w:type="dxa"/>
            <w:gridSpan w:val="2"/>
            <w:vMerge w:val="restart"/>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3C3EA6">
            <w:pPr>
              <w:jc w:val="center"/>
              <w:rPr>
                <w:color w:val="000000"/>
                <w:sz w:val="20"/>
              </w:rPr>
            </w:pPr>
            <w:r>
              <w:rPr>
                <w:color w:val="000000"/>
                <w:sz w:val="20"/>
              </w:rPr>
              <w:t>88,3%</w:t>
            </w:r>
          </w:p>
        </w:tc>
      </w:tr>
      <w:tr w:rsidR="000E7C4C">
        <w:trPr>
          <w:gridAfter w:val="1"/>
          <w:wAfter w:w="17" w:type="dxa"/>
          <w:jc w:val="center"/>
        </w:trPr>
        <w:tc>
          <w:tcPr>
            <w:tcW w:w="1277" w:type="dxa"/>
            <w:vMerge/>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0E7C4C">
            <w:pPr>
              <w:rPr>
                <w:color w:val="000000"/>
                <w:sz w:val="20"/>
              </w:rPr>
            </w:pPr>
          </w:p>
        </w:tc>
        <w:tc>
          <w:tcPr>
            <w:tcW w:w="14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58,5%</w:t>
            </w:r>
          </w:p>
        </w:tc>
        <w:tc>
          <w:tcPr>
            <w:tcW w:w="216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15,1%</w:t>
            </w:r>
          </w:p>
        </w:tc>
        <w:tc>
          <w:tcPr>
            <w:tcW w:w="180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14,7%</w:t>
            </w:r>
          </w:p>
        </w:tc>
        <w:tc>
          <w:tcPr>
            <w:tcW w:w="1720"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5,2%</w:t>
            </w:r>
          </w:p>
        </w:tc>
        <w:tc>
          <w:tcPr>
            <w:tcW w:w="2184" w:type="dxa"/>
            <w:gridSpan w:val="2"/>
            <w:vMerge/>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0E7C4C">
            <w:pPr>
              <w:rPr>
                <w:color w:val="000000"/>
                <w:sz w:val="20"/>
              </w:rPr>
            </w:pPr>
          </w:p>
        </w:tc>
      </w:tr>
      <w:tr w:rsidR="000E7C4C">
        <w:trPr>
          <w:gridAfter w:val="1"/>
          <w:wAfter w:w="17" w:type="dxa"/>
          <w:jc w:val="center"/>
        </w:trPr>
        <w:tc>
          <w:tcPr>
            <w:tcW w:w="1277" w:type="dxa"/>
            <w:vMerge w:val="restart"/>
            <w:tcBorders>
              <w:top w:val="single" w:sz="2" w:space="0" w:color="1F497D" w:themeColor="text2"/>
              <w:left w:val="nil"/>
              <w:bottom w:val="single" w:sz="2" w:space="0" w:color="1F497D" w:themeColor="text2"/>
              <w:right w:val="single" w:sz="12" w:space="0" w:color="FFFFFF" w:themeColor="background1"/>
            </w:tcBorders>
            <w:vAlign w:val="center"/>
          </w:tcPr>
          <w:p w:rsidR="000E7C4C" w:rsidRDefault="003C3EA6">
            <w:pPr>
              <w:jc w:val="center"/>
              <w:rPr>
                <w:color w:val="000000"/>
                <w:sz w:val="20"/>
              </w:rPr>
            </w:pPr>
            <w:r>
              <w:rPr>
                <w:color w:val="000000"/>
                <w:sz w:val="20"/>
              </w:rPr>
              <w:t>2015</w:t>
            </w:r>
          </w:p>
          <w:p w:rsidR="000E7C4C" w:rsidRDefault="000E7C4C">
            <w:pPr>
              <w:jc w:val="center"/>
              <w:rPr>
                <w:color w:val="000000"/>
                <w:sz w:val="20"/>
              </w:rPr>
            </w:pPr>
          </w:p>
          <w:p w:rsidR="000E7C4C" w:rsidRDefault="000E7C4C">
            <w:pPr>
              <w:jc w:val="center"/>
              <w:rPr>
                <w:color w:val="000000"/>
                <w:sz w:val="20"/>
              </w:rPr>
            </w:pPr>
          </w:p>
        </w:tc>
        <w:tc>
          <w:tcPr>
            <w:tcW w:w="14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1B</w:t>
            </w:r>
          </w:p>
          <w:p w:rsidR="000E7C4C" w:rsidRDefault="003C3EA6">
            <w:pPr>
              <w:jc w:val="center"/>
              <w:rPr>
                <w:color w:val="000000"/>
                <w:sz w:val="20"/>
              </w:rPr>
            </w:pPr>
            <w:r>
              <w:rPr>
                <w:color w:val="000000"/>
                <w:sz w:val="20"/>
                <w:lang w:eastAsia="lt-LT"/>
              </w:rPr>
              <w:t>Garavimo emisijos (naftos ir jos produktų garavimo emisijos)</w:t>
            </w:r>
          </w:p>
        </w:tc>
        <w:tc>
          <w:tcPr>
            <w:tcW w:w="216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tcPr>
          <w:p w:rsidR="000E7C4C" w:rsidRDefault="003C3EA6">
            <w:pPr>
              <w:jc w:val="center"/>
              <w:rPr>
                <w:color w:val="000000"/>
                <w:sz w:val="20"/>
                <w:lang w:eastAsia="lt-LT"/>
              </w:rPr>
            </w:pPr>
            <w:r>
              <w:rPr>
                <w:color w:val="000000"/>
                <w:sz w:val="20"/>
                <w:lang w:eastAsia="lt-LT"/>
              </w:rPr>
              <w:t>1A1</w:t>
            </w:r>
          </w:p>
          <w:p w:rsidR="000E7C4C" w:rsidRDefault="003C3EA6">
            <w:pPr>
              <w:jc w:val="center"/>
              <w:rPr>
                <w:color w:val="000000"/>
                <w:sz w:val="20"/>
                <w:lang w:eastAsia="lt-LT"/>
              </w:rPr>
            </w:pPr>
            <w:r>
              <w:rPr>
                <w:color w:val="000000"/>
                <w:sz w:val="20"/>
                <w:lang w:eastAsia="lt-LT"/>
              </w:rPr>
              <w:t>Energijos gamyba</w:t>
            </w:r>
          </w:p>
          <w:p w:rsidR="000E7C4C" w:rsidRDefault="000E7C4C">
            <w:pPr>
              <w:jc w:val="center"/>
              <w:rPr>
                <w:color w:val="000000"/>
                <w:sz w:val="20"/>
                <w:lang w:eastAsia="lt-LT"/>
              </w:rPr>
            </w:pPr>
          </w:p>
        </w:tc>
        <w:tc>
          <w:tcPr>
            <w:tcW w:w="180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1A4</w:t>
            </w:r>
          </w:p>
          <w:p w:rsidR="000E7C4C" w:rsidRDefault="003C3EA6">
            <w:pPr>
              <w:jc w:val="center"/>
              <w:rPr>
                <w:color w:val="000000"/>
                <w:sz w:val="20"/>
                <w:lang w:eastAsia="lt-LT"/>
              </w:rPr>
            </w:pPr>
            <w:r>
              <w:rPr>
                <w:color w:val="000000"/>
                <w:sz w:val="20"/>
                <w:lang w:eastAsia="lt-LT"/>
              </w:rPr>
              <w:t>Kiti sektoriai (stacionarus ir mobilus deginimas)</w:t>
            </w:r>
          </w:p>
        </w:tc>
        <w:tc>
          <w:tcPr>
            <w:tcW w:w="1720"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1A2</w:t>
            </w:r>
          </w:p>
          <w:p w:rsidR="000E7C4C" w:rsidRDefault="003C3EA6">
            <w:pPr>
              <w:jc w:val="center"/>
              <w:rPr>
                <w:color w:val="000000"/>
                <w:sz w:val="20"/>
              </w:rPr>
            </w:pPr>
            <w:r>
              <w:rPr>
                <w:color w:val="000000"/>
                <w:sz w:val="20"/>
                <w:lang w:eastAsia="lt-LT"/>
              </w:rPr>
              <w:t>Gamybos pramonė ir statybos sektorius (deginimas, įskaitant mobilų)</w:t>
            </w:r>
          </w:p>
        </w:tc>
        <w:tc>
          <w:tcPr>
            <w:tcW w:w="1110" w:type="dxa"/>
            <w:gridSpan w:val="2"/>
            <w:vMerge w:val="restart"/>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3C3EA6">
            <w:pPr>
              <w:jc w:val="center"/>
              <w:rPr>
                <w:color w:val="000000"/>
                <w:sz w:val="20"/>
              </w:rPr>
            </w:pPr>
            <w:r>
              <w:rPr>
                <w:color w:val="000000"/>
                <w:sz w:val="20"/>
              </w:rPr>
              <w:t>86.5%</w:t>
            </w:r>
          </w:p>
        </w:tc>
      </w:tr>
      <w:tr w:rsidR="000E7C4C">
        <w:trPr>
          <w:gridAfter w:val="1"/>
          <w:wAfter w:w="17" w:type="dxa"/>
          <w:jc w:val="center"/>
        </w:trPr>
        <w:tc>
          <w:tcPr>
            <w:tcW w:w="1277" w:type="dxa"/>
            <w:vMerge/>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0E7C4C">
            <w:pPr>
              <w:rPr>
                <w:color w:val="000000"/>
                <w:sz w:val="20"/>
              </w:rPr>
            </w:pPr>
          </w:p>
        </w:tc>
        <w:tc>
          <w:tcPr>
            <w:tcW w:w="14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35,9%</w:t>
            </w:r>
          </w:p>
        </w:tc>
        <w:tc>
          <w:tcPr>
            <w:tcW w:w="216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29,5%</w:t>
            </w:r>
          </w:p>
        </w:tc>
        <w:tc>
          <w:tcPr>
            <w:tcW w:w="180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21,1%</w:t>
            </w:r>
          </w:p>
        </w:tc>
        <w:tc>
          <w:tcPr>
            <w:tcW w:w="1720"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7,7%</w:t>
            </w:r>
          </w:p>
        </w:tc>
        <w:tc>
          <w:tcPr>
            <w:tcW w:w="2184" w:type="dxa"/>
            <w:gridSpan w:val="2"/>
            <w:vMerge/>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0E7C4C">
            <w:pPr>
              <w:rPr>
                <w:color w:val="000000"/>
                <w:sz w:val="20"/>
              </w:rPr>
            </w:pPr>
          </w:p>
        </w:tc>
      </w:tr>
      <w:tr w:rsidR="000E7C4C">
        <w:trPr>
          <w:gridAfter w:val="1"/>
          <w:wAfter w:w="17" w:type="dxa"/>
          <w:jc w:val="center"/>
        </w:trPr>
        <w:tc>
          <w:tcPr>
            <w:tcW w:w="1277" w:type="dxa"/>
            <w:vMerge w:val="restart"/>
            <w:tcBorders>
              <w:top w:val="single" w:sz="2" w:space="0" w:color="1F497D" w:themeColor="text2"/>
              <w:left w:val="nil"/>
              <w:bottom w:val="single" w:sz="2" w:space="0" w:color="1F497D" w:themeColor="text2"/>
              <w:right w:val="single" w:sz="12" w:space="0" w:color="FFFFFF" w:themeColor="background1"/>
            </w:tcBorders>
            <w:vAlign w:val="center"/>
          </w:tcPr>
          <w:p w:rsidR="000E7C4C" w:rsidRDefault="003C3EA6">
            <w:pPr>
              <w:jc w:val="center"/>
              <w:rPr>
                <w:color w:val="000000"/>
                <w:sz w:val="20"/>
              </w:rPr>
            </w:pPr>
            <w:r>
              <w:rPr>
                <w:color w:val="000000"/>
                <w:sz w:val="20"/>
              </w:rPr>
              <w:t>2020</w:t>
            </w:r>
          </w:p>
          <w:p w:rsidR="000E7C4C" w:rsidRDefault="000E7C4C">
            <w:pPr>
              <w:jc w:val="center"/>
              <w:rPr>
                <w:color w:val="000000"/>
                <w:sz w:val="20"/>
              </w:rPr>
            </w:pPr>
          </w:p>
          <w:p w:rsidR="000E7C4C" w:rsidRDefault="000E7C4C">
            <w:pPr>
              <w:jc w:val="center"/>
              <w:rPr>
                <w:color w:val="000000"/>
                <w:sz w:val="20"/>
              </w:rPr>
            </w:pPr>
          </w:p>
        </w:tc>
        <w:tc>
          <w:tcPr>
            <w:tcW w:w="14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1B</w:t>
            </w:r>
          </w:p>
          <w:p w:rsidR="000E7C4C" w:rsidRDefault="003C3EA6">
            <w:pPr>
              <w:jc w:val="center"/>
              <w:rPr>
                <w:color w:val="000000"/>
                <w:sz w:val="20"/>
                <w:lang w:eastAsia="lt-LT"/>
              </w:rPr>
            </w:pPr>
            <w:r>
              <w:rPr>
                <w:color w:val="000000"/>
                <w:sz w:val="20"/>
                <w:lang w:eastAsia="lt-LT"/>
              </w:rPr>
              <w:t>Garavimo emisijos (naftos ir jos produktų garavimo emisijos)</w:t>
            </w:r>
          </w:p>
        </w:tc>
        <w:tc>
          <w:tcPr>
            <w:tcW w:w="216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tcPr>
          <w:p w:rsidR="000E7C4C" w:rsidRDefault="003C3EA6">
            <w:pPr>
              <w:jc w:val="center"/>
              <w:rPr>
                <w:color w:val="000000"/>
                <w:sz w:val="20"/>
                <w:lang w:eastAsia="lt-LT"/>
              </w:rPr>
            </w:pPr>
            <w:r>
              <w:rPr>
                <w:color w:val="000000"/>
                <w:sz w:val="20"/>
                <w:lang w:eastAsia="lt-LT"/>
              </w:rPr>
              <w:t>1A1</w:t>
            </w:r>
          </w:p>
          <w:p w:rsidR="000E7C4C" w:rsidRDefault="003C3EA6">
            <w:pPr>
              <w:jc w:val="center"/>
              <w:rPr>
                <w:color w:val="000000"/>
                <w:sz w:val="20"/>
                <w:lang w:eastAsia="lt-LT"/>
              </w:rPr>
            </w:pPr>
            <w:r>
              <w:rPr>
                <w:color w:val="000000"/>
                <w:sz w:val="20"/>
                <w:lang w:eastAsia="lt-LT"/>
              </w:rPr>
              <w:t>Energijos gamyba</w:t>
            </w:r>
          </w:p>
          <w:p w:rsidR="000E7C4C" w:rsidRDefault="000E7C4C">
            <w:pPr>
              <w:jc w:val="center"/>
              <w:rPr>
                <w:color w:val="000000"/>
                <w:sz w:val="20"/>
              </w:rPr>
            </w:pPr>
          </w:p>
        </w:tc>
        <w:tc>
          <w:tcPr>
            <w:tcW w:w="180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1A4</w:t>
            </w:r>
          </w:p>
          <w:p w:rsidR="000E7C4C" w:rsidRDefault="003C3EA6">
            <w:pPr>
              <w:jc w:val="center"/>
              <w:rPr>
                <w:color w:val="000000"/>
                <w:sz w:val="20"/>
                <w:lang w:eastAsia="lt-LT"/>
              </w:rPr>
            </w:pPr>
            <w:r>
              <w:rPr>
                <w:color w:val="000000"/>
                <w:sz w:val="20"/>
                <w:lang w:eastAsia="lt-LT"/>
              </w:rPr>
              <w:t>Kiti sektoriai (stacionarus ir mobilus deginimas)</w:t>
            </w:r>
          </w:p>
        </w:tc>
        <w:tc>
          <w:tcPr>
            <w:tcW w:w="1720"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tcPr>
          <w:p w:rsidR="000E7C4C" w:rsidRDefault="000E7C4C">
            <w:pPr>
              <w:jc w:val="center"/>
              <w:rPr>
                <w:color w:val="000000"/>
                <w:sz w:val="20"/>
              </w:rPr>
            </w:pPr>
          </w:p>
        </w:tc>
        <w:tc>
          <w:tcPr>
            <w:tcW w:w="1110" w:type="dxa"/>
            <w:gridSpan w:val="2"/>
            <w:vMerge w:val="restart"/>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3C3EA6">
            <w:pPr>
              <w:jc w:val="center"/>
              <w:rPr>
                <w:color w:val="000000"/>
                <w:sz w:val="20"/>
              </w:rPr>
            </w:pPr>
            <w:r>
              <w:rPr>
                <w:color w:val="000000"/>
                <w:sz w:val="20"/>
              </w:rPr>
              <w:t>86.5%</w:t>
            </w:r>
          </w:p>
        </w:tc>
      </w:tr>
      <w:tr w:rsidR="000E7C4C">
        <w:trPr>
          <w:gridAfter w:val="1"/>
          <w:wAfter w:w="17" w:type="dxa"/>
          <w:jc w:val="center"/>
        </w:trPr>
        <w:tc>
          <w:tcPr>
            <w:tcW w:w="1277" w:type="dxa"/>
            <w:vMerge/>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0E7C4C">
            <w:pPr>
              <w:rPr>
                <w:color w:val="000000"/>
                <w:sz w:val="20"/>
              </w:rPr>
            </w:pPr>
          </w:p>
        </w:tc>
        <w:tc>
          <w:tcPr>
            <w:tcW w:w="14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34,6%</w:t>
            </w:r>
          </w:p>
        </w:tc>
        <w:tc>
          <w:tcPr>
            <w:tcW w:w="216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31,5%</w:t>
            </w:r>
          </w:p>
        </w:tc>
        <w:tc>
          <w:tcPr>
            <w:tcW w:w="180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20,4%</w:t>
            </w:r>
          </w:p>
        </w:tc>
        <w:tc>
          <w:tcPr>
            <w:tcW w:w="1720"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tcPr>
          <w:p w:rsidR="000E7C4C" w:rsidRDefault="000E7C4C">
            <w:pPr>
              <w:jc w:val="center"/>
              <w:rPr>
                <w:color w:val="000000"/>
                <w:sz w:val="20"/>
              </w:rPr>
            </w:pPr>
          </w:p>
        </w:tc>
        <w:tc>
          <w:tcPr>
            <w:tcW w:w="2184" w:type="dxa"/>
            <w:gridSpan w:val="2"/>
            <w:vMerge/>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0E7C4C">
            <w:pPr>
              <w:rPr>
                <w:color w:val="000000"/>
                <w:sz w:val="20"/>
              </w:rPr>
            </w:pPr>
          </w:p>
        </w:tc>
      </w:tr>
      <w:tr w:rsidR="000E7C4C">
        <w:trPr>
          <w:gridAfter w:val="1"/>
          <w:wAfter w:w="17" w:type="dxa"/>
          <w:jc w:val="center"/>
        </w:trPr>
        <w:tc>
          <w:tcPr>
            <w:tcW w:w="1277" w:type="dxa"/>
            <w:vMerge w:val="restart"/>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2025</w:t>
            </w:r>
          </w:p>
        </w:tc>
        <w:tc>
          <w:tcPr>
            <w:tcW w:w="14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tcPr>
          <w:p w:rsidR="000E7C4C" w:rsidRDefault="003C3EA6">
            <w:pPr>
              <w:jc w:val="center"/>
              <w:rPr>
                <w:color w:val="000000"/>
                <w:sz w:val="20"/>
                <w:lang w:eastAsia="lt-LT"/>
              </w:rPr>
            </w:pPr>
            <w:r>
              <w:rPr>
                <w:color w:val="000000"/>
                <w:sz w:val="20"/>
                <w:lang w:eastAsia="lt-LT"/>
              </w:rPr>
              <w:t>1A1</w:t>
            </w:r>
          </w:p>
          <w:p w:rsidR="000E7C4C" w:rsidRDefault="003C3EA6">
            <w:pPr>
              <w:jc w:val="center"/>
              <w:rPr>
                <w:color w:val="000000"/>
                <w:sz w:val="20"/>
                <w:lang w:eastAsia="lt-LT"/>
              </w:rPr>
            </w:pPr>
            <w:r>
              <w:rPr>
                <w:color w:val="000000"/>
                <w:sz w:val="20"/>
                <w:lang w:eastAsia="lt-LT"/>
              </w:rPr>
              <w:t>Energijos gamyba</w:t>
            </w:r>
          </w:p>
          <w:p w:rsidR="000E7C4C" w:rsidRDefault="000E7C4C">
            <w:pPr>
              <w:jc w:val="center"/>
              <w:rPr>
                <w:color w:val="000000"/>
                <w:sz w:val="20"/>
              </w:rPr>
            </w:pPr>
          </w:p>
        </w:tc>
        <w:tc>
          <w:tcPr>
            <w:tcW w:w="216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1B</w:t>
            </w:r>
          </w:p>
          <w:p w:rsidR="000E7C4C" w:rsidRDefault="003C3EA6">
            <w:pPr>
              <w:jc w:val="center"/>
              <w:rPr>
                <w:color w:val="000000"/>
                <w:sz w:val="20"/>
              </w:rPr>
            </w:pPr>
            <w:r>
              <w:rPr>
                <w:color w:val="000000"/>
                <w:sz w:val="20"/>
                <w:lang w:eastAsia="lt-LT"/>
              </w:rPr>
              <w:t>Garavimo emisijos (naftos ir jos produktų garavimo emisijos)</w:t>
            </w:r>
          </w:p>
        </w:tc>
        <w:tc>
          <w:tcPr>
            <w:tcW w:w="180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1A4</w:t>
            </w:r>
          </w:p>
          <w:p w:rsidR="000E7C4C" w:rsidRDefault="003C3EA6">
            <w:pPr>
              <w:jc w:val="center"/>
              <w:rPr>
                <w:color w:val="000000"/>
                <w:sz w:val="20"/>
              </w:rPr>
            </w:pPr>
            <w:r>
              <w:rPr>
                <w:color w:val="000000"/>
                <w:sz w:val="20"/>
                <w:lang w:eastAsia="lt-LT"/>
              </w:rPr>
              <w:t>Kiti sektoriai (stacionarus ir mobilus deginimas)</w:t>
            </w:r>
          </w:p>
        </w:tc>
        <w:tc>
          <w:tcPr>
            <w:tcW w:w="1720"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tcPr>
          <w:p w:rsidR="000E7C4C" w:rsidRDefault="000E7C4C">
            <w:pPr>
              <w:jc w:val="center"/>
              <w:rPr>
                <w:color w:val="000000"/>
                <w:sz w:val="20"/>
              </w:rPr>
            </w:pPr>
          </w:p>
        </w:tc>
        <w:tc>
          <w:tcPr>
            <w:tcW w:w="1110" w:type="dxa"/>
            <w:gridSpan w:val="2"/>
            <w:vMerge w:val="restart"/>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3C3EA6">
            <w:pPr>
              <w:jc w:val="center"/>
              <w:rPr>
                <w:color w:val="000000"/>
                <w:sz w:val="20"/>
              </w:rPr>
            </w:pPr>
            <w:r>
              <w:rPr>
                <w:color w:val="000000"/>
                <w:sz w:val="20"/>
              </w:rPr>
              <w:t>90.2%</w:t>
            </w:r>
          </w:p>
        </w:tc>
      </w:tr>
      <w:tr w:rsidR="000E7C4C">
        <w:trPr>
          <w:gridAfter w:val="1"/>
          <w:wAfter w:w="17" w:type="dxa"/>
          <w:jc w:val="center"/>
        </w:trPr>
        <w:tc>
          <w:tcPr>
            <w:tcW w:w="1277" w:type="dxa"/>
            <w:vMerge/>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0E7C4C">
            <w:pPr>
              <w:rPr>
                <w:color w:val="000000"/>
                <w:sz w:val="20"/>
              </w:rPr>
            </w:pPr>
          </w:p>
        </w:tc>
        <w:tc>
          <w:tcPr>
            <w:tcW w:w="14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37,0%</w:t>
            </w:r>
          </w:p>
        </w:tc>
        <w:tc>
          <w:tcPr>
            <w:tcW w:w="216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33,4%</w:t>
            </w:r>
          </w:p>
        </w:tc>
        <w:tc>
          <w:tcPr>
            <w:tcW w:w="180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19,8%</w:t>
            </w:r>
          </w:p>
        </w:tc>
        <w:tc>
          <w:tcPr>
            <w:tcW w:w="1720"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tcPr>
          <w:p w:rsidR="000E7C4C" w:rsidRDefault="000E7C4C">
            <w:pPr>
              <w:jc w:val="center"/>
              <w:rPr>
                <w:color w:val="000000"/>
                <w:sz w:val="20"/>
              </w:rPr>
            </w:pPr>
          </w:p>
        </w:tc>
        <w:tc>
          <w:tcPr>
            <w:tcW w:w="2184" w:type="dxa"/>
            <w:gridSpan w:val="2"/>
            <w:vMerge/>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0E7C4C">
            <w:pPr>
              <w:rPr>
                <w:color w:val="000000"/>
                <w:sz w:val="20"/>
              </w:rPr>
            </w:pPr>
          </w:p>
        </w:tc>
      </w:tr>
      <w:tr w:rsidR="000E7C4C">
        <w:trPr>
          <w:gridAfter w:val="1"/>
          <w:wAfter w:w="17" w:type="dxa"/>
          <w:jc w:val="center"/>
        </w:trPr>
        <w:tc>
          <w:tcPr>
            <w:tcW w:w="1277" w:type="dxa"/>
            <w:vMerge w:val="restart"/>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2030</w:t>
            </w:r>
          </w:p>
        </w:tc>
        <w:tc>
          <w:tcPr>
            <w:tcW w:w="14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tcPr>
          <w:p w:rsidR="000E7C4C" w:rsidRDefault="003C3EA6">
            <w:pPr>
              <w:jc w:val="center"/>
              <w:rPr>
                <w:color w:val="000000"/>
                <w:sz w:val="20"/>
                <w:lang w:eastAsia="lt-LT"/>
              </w:rPr>
            </w:pPr>
            <w:r>
              <w:rPr>
                <w:color w:val="000000"/>
                <w:sz w:val="20"/>
                <w:lang w:eastAsia="lt-LT"/>
              </w:rPr>
              <w:t>1A1</w:t>
            </w:r>
          </w:p>
          <w:p w:rsidR="000E7C4C" w:rsidRDefault="003C3EA6">
            <w:pPr>
              <w:jc w:val="center"/>
              <w:rPr>
                <w:color w:val="000000"/>
                <w:sz w:val="20"/>
                <w:lang w:eastAsia="lt-LT"/>
              </w:rPr>
            </w:pPr>
            <w:r>
              <w:rPr>
                <w:color w:val="000000"/>
                <w:sz w:val="20"/>
                <w:lang w:eastAsia="lt-LT"/>
              </w:rPr>
              <w:t>Energijos gamyba</w:t>
            </w:r>
          </w:p>
          <w:p w:rsidR="000E7C4C" w:rsidRDefault="000E7C4C">
            <w:pPr>
              <w:jc w:val="center"/>
              <w:rPr>
                <w:color w:val="000000"/>
                <w:sz w:val="20"/>
              </w:rPr>
            </w:pPr>
          </w:p>
        </w:tc>
        <w:tc>
          <w:tcPr>
            <w:tcW w:w="216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1B</w:t>
            </w:r>
          </w:p>
          <w:p w:rsidR="000E7C4C" w:rsidRDefault="003C3EA6">
            <w:pPr>
              <w:jc w:val="center"/>
              <w:rPr>
                <w:color w:val="000000"/>
                <w:sz w:val="20"/>
              </w:rPr>
            </w:pPr>
            <w:r>
              <w:rPr>
                <w:color w:val="000000"/>
                <w:sz w:val="20"/>
                <w:lang w:eastAsia="lt-LT"/>
              </w:rPr>
              <w:t>Garavimo emisijos (naftos ir jos produktų garavimo emisijos)</w:t>
            </w:r>
          </w:p>
        </w:tc>
        <w:tc>
          <w:tcPr>
            <w:tcW w:w="180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1A4</w:t>
            </w:r>
          </w:p>
          <w:p w:rsidR="000E7C4C" w:rsidRDefault="003C3EA6">
            <w:pPr>
              <w:jc w:val="center"/>
              <w:rPr>
                <w:color w:val="000000"/>
                <w:sz w:val="20"/>
              </w:rPr>
            </w:pPr>
            <w:r>
              <w:rPr>
                <w:color w:val="000000"/>
                <w:sz w:val="20"/>
              </w:rPr>
              <w:t>Kiti sektoriai (stacionarus ir mobilus deginimas)</w:t>
            </w:r>
          </w:p>
        </w:tc>
        <w:tc>
          <w:tcPr>
            <w:tcW w:w="1720"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tcPr>
          <w:p w:rsidR="000E7C4C" w:rsidRDefault="000E7C4C">
            <w:pPr>
              <w:jc w:val="center"/>
              <w:rPr>
                <w:color w:val="000000"/>
                <w:sz w:val="20"/>
              </w:rPr>
            </w:pPr>
          </w:p>
        </w:tc>
        <w:tc>
          <w:tcPr>
            <w:tcW w:w="1110" w:type="dxa"/>
            <w:gridSpan w:val="2"/>
            <w:vMerge w:val="restart"/>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3C3EA6">
            <w:pPr>
              <w:jc w:val="center"/>
              <w:rPr>
                <w:color w:val="000000"/>
                <w:sz w:val="20"/>
              </w:rPr>
            </w:pPr>
            <w:r>
              <w:rPr>
                <w:color w:val="000000"/>
                <w:sz w:val="20"/>
              </w:rPr>
              <w:t>86.8%</w:t>
            </w:r>
          </w:p>
        </w:tc>
      </w:tr>
      <w:tr w:rsidR="000E7C4C">
        <w:trPr>
          <w:gridAfter w:val="1"/>
          <w:wAfter w:w="17" w:type="dxa"/>
          <w:jc w:val="center"/>
        </w:trPr>
        <w:tc>
          <w:tcPr>
            <w:tcW w:w="1277" w:type="dxa"/>
            <w:vMerge/>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0E7C4C">
            <w:pPr>
              <w:rPr>
                <w:color w:val="000000"/>
                <w:sz w:val="20"/>
              </w:rPr>
            </w:pPr>
          </w:p>
        </w:tc>
        <w:tc>
          <w:tcPr>
            <w:tcW w:w="1418"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35,6%</w:t>
            </w:r>
          </w:p>
        </w:tc>
        <w:tc>
          <w:tcPr>
            <w:tcW w:w="216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32,1%</w:t>
            </w:r>
          </w:p>
        </w:tc>
        <w:tc>
          <w:tcPr>
            <w:tcW w:w="1802"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lang w:eastAsia="lt-LT"/>
              </w:rPr>
              <w:t>19,1%</w:t>
            </w:r>
          </w:p>
        </w:tc>
        <w:tc>
          <w:tcPr>
            <w:tcW w:w="1720"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tcPr>
          <w:p w:rsidR="000E7C4C" w:rsidRDefault="000E7C4C">
            <w:pPr>
              <w:jc w:val="center"/>
              <w:rPr>
                <w:color w:val="000000"/>
                <w:sz w:val="20"/>
              </w:rPr>
            </w:pPr>
          </w:p>
        </w:tc>
        <w:tc>
          <w:tcPr>
            <w:tcW w:w="2184" w:type="dxa"/>
            <w:gridSpan w:val="2"/>
            <w:vMerge/>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0E7C4C">
            <w:pPr>
              <w:rPr>
                <w:color w:val="000000"/>
                <w:sz w:val="20"/>
              </w:rPr>
            </w:pPr>
          </w:p>
        </w:tc>
      </w:tr>
    </w:tbl>
    <w:p w:rsidR="000E7C4C" w:rsidRDefault="000E7C4C"/>
    <w:p w:rsidR="000E7C4C" w:rsidRDefault="003C3EA6">
      <w:pPr>
        <w:jc w:val="center"/>
        <w:rPr>
          <w:color w:val="000000"/>
          <w:sz w:val="20"/>
          <w:szCs w:val="21"/>
        </w:rPr>
      </w:pPr>
      <w:r>
        <w:rPr>
          <w:color w:val="000000"/>
          <w:sz w:val="20"/>
          <w:szCs w:val="21"/>
        </w:rPr>
        <w:t>(Duomenų šaltinis: AAA)</w:t>
      </w:r>
    </w:p>
    <w:p w:rsidR="000E7C4C" w:rsidRDefault="003C3EA6">
      <w:pPr>
        <w:spacing w:line="360" w:lineRule="atLeast"/>
        <w:jc w:val="both"/>
        <w:rPr>
          <w:color w:val="000000"/>
          <w:szCs w:val="21"/>
        </w:rPr>
      </w:pPr>
    </w:p>
    <w:p w:rsidR="000E7C4C" w:rsidRDefault="003C3EA6">
      <w:pPr>
        <w:jc w:val="center"/>
        <w:rPr>
          <w:b/>
          <w:color w:val="000000"/>
          <w:szCs w:val="21"/>
        </w:rPr>
      </w:pPr>
      <w:r>
        <w:rPr>
          <w:b/>
          <w:color w:val="000000"/>
          <w:szCs w:val="21"/>
        </w:rPr>
        <w:t>II</w:t>
      </w:r>
      <w:r>
        <w:rPr>
          <w:b/>
          <w:color w:val="000000"/>
          <w:szCs w:val="21"/>
        </w:rPr>
        <w:t xml:space="preserve"> SKYRIUS</w:t>
      </w:r>
    </w:p>
    <w:p w:rsidR="000E7C4C" w:rsidRDefault="003C3EA6">
      <w:pPr>
        <w:jc w:val="center"/>
        <w:rPr>
          <w:b/>
          <w:color w:val="000000"/>
          <w:szCs w:val="21"/>
        </w:rPr>
      </w:pPr>
      <w:r>
        <w:rPr>
          <w:b/>
          <w:color w:val="000000"/>
          <w:szCs w:val="21"/>
        </w:rPr>
        <w:t>PROGNOZUOJAMAS IŠMESTI Į APLINKOS ORĄ AZOTO OKSIDŲ KIEKIS</w:t>
      </w:r>
    </w:p>
    <w:p w:rsidR="000E7C4C" w:rsidRDefault="000E7C4C">
      <w:pPr>
        <w:jc w:val="both"/>
        <w:rPr>
          <w:color w:val="000000"/>
          <w:szCs w:val="21"/>
        </w:rPr>
      </w:pPr>
    </w:p>
    <w:p w:rsidR="000E7C4C" w:rsidRDefault="003C3EA6">
      <w:pPr>
        <w:tabs>
          <w:tab w:val="left" w:pos="851"/>
        </w:tabs>
        <w:ind w:firstLine="567"/>
        <w:jc w:val="both"/>
        <w:rPr>
          <w:color w:val="000000"/>
          <w:szCs w:val="21"/>
        </w:rPr>
      </w:pPr>
      <w:r>
        <w:rPr>
          <w:color w:val="000000"/>
          <w:szCs w:val="21"/>
        </w:rPr>
        <w:t>3</w:t>
      </w:r>
      <w:r>
        <w:rPr>
          <w:color w:val="000000"/>
          <w:szCs w:val="21"/>
        </w:rPr>
        <w:t>.</w:t>
      </w:r>
      <w:r>
        <w:rPr>
          <w:color w:val="000000"/>
          <w:szCs w:val="21"/>
        </w:rPr>
        <w:tab/>
        <w:t xml:space="preserve">Išmetamo į aplinkos orą azoto oksidų (toliau – </w:t>
      </w:r>
      <w:proofErr w:type="spellStart"/>
      <w:r>
        <w:rPr>
          <w:color w:val="000000"/>
          <w:szCs w:val="21"/>
        </w:rPr>
        <w:t>NO</w:t>
      </w:r>
      <w:r>
        <w:rPr>
          <w:color w:val="000000"/>
          <w:szCs w:val="21"/>
          <w:vertAlign w:val="subscript"/>
        </w:rPr>
        <w:t>x</w:t>
      </w:r>
      <w:proofErr w:type="spellEnd"/>
      <w:r>
        <w:rPr>
          <w:color w:val="000000"/>
          <w:szCs w:val="21"/>
        </w:rPr>
        <w:t xml:space="preserve">) kiekio prognozės rodo, kad įgyvendinant esamas priemones išmestas </w:t>
      </w:r>
      <w:proofErr w:type="spellStart"/>
      <w:r>
        <w:rPr>
          <w:color w:val="000000"/>
          <w:szCs w:val="21"/>
        </w:rPr>
        <w:t>NO</w:t>
      </w:r>
      <w:r>
        <w:rPr>
          <w:color w:val="000000"/>
          <w:szCs w:val="21"/>
          <w:vertAlign w:val="subscript"/>
        </w:rPr>
        <w:t>x</w:t>
      </w:r>
      <w:proofErr w:type="spellEnd"/>
      <w:r>
        <w:rPr>
          <w:color w:val="000000"/>
          <w:szCs w:val="21"/>
        </w:rPr>
        <w:t xml:space="preserve"> kiekis iki 2020 m. sumažės tik 1 proc., kai tikslas yra sumažinti 48 proc., palyginus su 2005 m. išmestu </w:t>
      </w:r>
      <w:proofErr w:type="spellStart"/>
      <w:r>
        <w:rPr>
          <w:color w:val="000000"/>
          <w:szCs w:val="21"/>
        </w:rPr>
        <w:t>NO</w:t>
      </w:r>
      <w:r>
        <w:rPr>
          <w:color w:val="000000"/>
          <w:szCs w:val="21"/>
          <w:vertAlign w:val="subscript"/>
        </w:rPr>
        <w:t>x</w:t>
      </w:r>
      <w:proofErr w:type="spellEnd"/>
      <w:r>
        <w:rPr>
          <w:color w:val="000000"/>
          <w:szCs w:val="21"/>
        </w:rPr>
        <w:t xml:space="preserve"> kiekiu. 2025 m. ir 2030 m. prognozuojamas išmesti </w:t>
      </w:r>
      <w:proofErr w:type="spellStart"/>
      <w:r>
        <w:rPr>
          <w:color w:val="000000"/>
          <w:szCs w:val="21"/>
        </w:rPr>
        <w:t>NO</w:t>
      </w:r>
      <w:r>
        <w:rPr>
          <w:color w:val="000000"/>
          <w:szCs w:val="21"/>
          <w:vertAlign w:val="subscript"/>
        </w:rPr>
        <w:t>x</w:t>
      </w:r>
      <w:proofErr w:type="spellEnd"/>
      <w:r>
        <w:rPr>
          <w:color w:val="000000"/>
          <w:szCs w:val="21"/>
        </w:rPr>
        <w:t xml:space="preserve"> kiekio padidėjimas atitinkamai 2,7 proc. ir 6,8 proc., palyginus su 2005 m., kai nustatytasis tikslas 2030 m. – išmesto </w:t>
      </w:r>
      <w:proofErr w:type="spellStart"/>
      <w:r>
        <w:rPr>
          <w:color w:val="000000"/>
          <w:szCs w:val="21"/>
        </w:rPr>
        <w:t>NO</w:t>
      </w:r>
      <w:r>
        <w:rPr>
          <w:color w:val="000000"/>
          <w:szCs w:val="21"/>
          <w:vertAlign w:val="subscript"/>
        </w:rPr>
        <w:t>x</w:t>
      </w:r>
      <w:proofErr w:type="spellEnd"/>
      <w:r>
        <w:rPr>
          <w:color w:val="000000"/>
          <w:szCs w:val="21"/>
        </w:rPr>
        <w:t xml:space="preserve"> kiekio sumažėjimas 51 proc., palyginus su 2005 m. (žr. 2 pav.). Iš to seka, kad įgyvendinant esamas priemones nustatyti tikslai 2020 m. ir 2030 m. nebus pasiekti.</w:t>
      </w:r>
    </w:p>
    <w:p w:rsidR="000E7C4C" w:rsidRDefault="003C3EA6">
      <w:pPr>
        <w:spacing w:line="360" w:lineRule="atLeast"/>
        <w:jc w:val="center"/>
        <w:rPr>
          <w:b/>
          <w:color w:val="000000"/>
          <w:szCs w:val="21"/>
        </w:rPr>
      </w:pPr>
      <w:r>
        <w:rPr>
          <w:b/>
          <w:noProof/>
          <w:color w:val="000000"/>
          <w:szCs w:val="21"/>
          <w:lang w:eastAsia="lt-LT"/>
        </w:rPr>
        <w:drawing>
          <wp:inline distT="0" distB="0" distL="0" distR="0" wp14:anchorId="423185D9" wp14:editId="571AAC9D">
            <wp:extent cx="4276725" cy="2924175"/>
            <wp:effectExtent l="0" t="0" r="9525" b="9525"/>
            <wp:docPr id="516" name="Paveikslėlis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76725" cy="2924175"/>
                    </a:xfrm>
                    <a:prstGeom prst="rect">
                      <a:avLst/>
                    </a:prstGeom>
                    <a:noFill/>
                    <a:ln>
                      <a:noFill/>
                    </a:ln>
                  </pic:spPr>
                </pic:pic>
              </a:graphicData>
            </a:graphic>
          </wp:inline>
        </w:drawing>
      </w:r>
    </w:p>
    <w:p w:rsidR="000E7C4C" w:rsidRDefault="003C3EA6">
      <w:pPr>
        <w:keepNext/>
        <w:tabs>
          <w:tab w:val="left" w:pos="993"/>
        </w:tabs>
        <w:jc w:val="center"/>
        <w:rPr>
          <w:color w:val="000000"/>
          <w:sz w:val="20"/>
        </w:rPr>
      </w:pPr>
      <w:r>
        <w:rPr>
          <w:color w:val="000000"/>
          <w:sz w:val="20"/>
        </w:rPr>
        <w:t xml:space="preserve">2 paveikslas. </w:t>
      </w:r>
      <w:proofErr w:type="spellStart"/>
      <w:r>
        <w:rPr>
          <w:color w:val="000000"/>
          <w:sz w:val="20"/>
        </w:rPr>
        <w:t>NO</w:t>
      </w:r>
      <w:r>
        <w:rPr>
          <w:color w:val="000000"/>
          <w:sz w:val="20"/>
          <w:vertAlign w:val="subscript"/>
        </w:rPr>
        <w:t>x</w:t>
      </w:r>
      <w:proofErr w:type="spellEnd"/>
      <w:r>
        <w:rPr>
          <w:color w:val="000000"/>
          <w:sz w:val="20"/>
        </w:rPr>
        <w:t xml:space="preserve"> išmetimų prognozė 2020 m., 2025 m., 2030 m.</w:t>
      </w:r>
    </w:p>
    <w:p w:rsidR="000E7C4C" w:rsidRDefault="003C3EA6">
      <w:pPr>
        <w:jc w:val="center"/>
        <w:rPr>
          <w:color w:val="000000"/>
          <w:sz w:val="20"/>
          <w:szCs w:val="21"/>
        </w:rPr>
      </w:pPr>
      <w:r>
        <w:rPr>
          <w:color w:val="000000"/>
          <w:sz w:val="20"/>
          <w:szCs w:val="21"/>
        </w:rPr>
        <w:t>(Duomenų šaltinis: AAA)</w:t>
      </w:r>
    </w:p>
    <w:p w:rsidR="000E7C4C" w:rsidRDefault="003C3EA6">
      <w:pPr>
        <w:spacing w:line="360" w:lineRule="atLeast"/>
        <w:jc w:val="both"/>
        <w:rPr>
          <w:b/>
          <w:color w:val="000000"/>
          <w:szCs w:val="21"/>
        </w:rPr>
      </w:pPr>
    </w:p>
    <w:p w:rsidR="000E7C4C" w:rsidRDefault="003C3EA6">
      <w:pPr>
        <w:tabs>
          <w:tab w:val="left" w:pos="851"/>
        </w:tabs>
        <w:ind w:firstLine="567"/>
        <w:jc w:val="both"/>
        <w:rPr>
          <w:color w:val="000000"/>
          <w:szCs w:val="21"/>
        </w:rPr>
      </w:pPr>
      <w:r>
        <w:rPr>
          <w:color w:val="000000"/>
          <w:szCs w:val="21"/>
        </w:rPr>
        <w:t>4</w:t>
      </w:r>
      <w:r>
        <w:rPr>
          <w:color w:val="000000"/>
          <w:szCs w:val="21"/>
        </w:rPr>
        <w:t>.</w:t>
      </w:r>
      <w:r>
        <w:rPr>
          <w:color w:val="000000"/>
          <w:szCs w:val="21"/>
        </w:rPr>
        <w:tab/>
        <w:t xml:space="preserve">Didžiausią įtaką išmestam </w:t>
      </w:r>
      <w:proofErr w:type="spellStart"/>
      <w:r>
        <w:rPr>
          <w:color w:val="000000"/>
          <w:szCs w:val="21"/>
        </w:rPr>
        <w:t>NO</w:t>
      </w:r>
      <w:r>
        <w:rPr>
          <w:color w:val="000000"/>
          <w:szCs w:val="21"/>
          <w:vertAlign w:val="subscript"/>
        </w:rPr>
        <w:t>x</w:t>
      </w:r>
      <w:proofErr w:type="spellEnd"/>
      <w:r>
        <w:rPr>
          <w:color w:val="000000"/>
          <w:szCs w:val="21"/>
        </w:rPr>
        <w:t xml:space="preserve"> kiekiui darė ir ateityje darys sunkiasvoris transportas (sunkvežimiai ir autobusai), kurio išmesto </w:t>
      </w:r>
      <w:proofErr w:type="spellStart"/>
      <w:r>
        <w:rPr>
          <w:color w:val="000000"/>
          <w:szCs w:val="21"/>
        </w:rPr>
        <w:t>NO</w:t>
      </w:r>
      <w:r>
        <w:rPr>
          <w:color w:val="000000"/>
          <w:szCs w:val="21"/>
          <w:vertAlign w:val="subscript"/>
        </w:rPr>
        <w:t>x</w:t>
      </w:r>
      <w:proofErr w:type="spellEnd"/>
      <w:r>
        <w:rPr>
          <w:color w:val="000000"/>
          <w:szCs w:val="21"/>
        </w:rPr>
        <w:t xml:space="preserve"> kiekio dalis bendroje </w:t>
      </w:r>
      <w:proofErr w:type="spellStart"/>
      <w:r>
        <w:rPr>
          <w:color w:val="000000"/>
          <w:szCs w:val="21"/>
        </w:rPr>
        <w:t>NO</w:t>
      </w:r>
      <w:r>
        <w:rPr>
          <w:color w:val="000000"/>
          <w:szCs w:val="21"/>
          <w:vertAlign w:val="subscript"/>
        </w:rPr>
        <w:t>x</w:t>
      </w:r>
      <w:proofErr w:type="spellEnd"/>
      <w:r>
        <w:rPr>
          <w:color w:val="000000"/>
          <w:szCs w:val="21"/>
        </w:rPr>
        <w:t xml:space="preserve"> išmetimų struktūroje sudarė ir sudarys apie 30 proc. Pažymėtina, kad lengvųjų automobilių poveikis išmestam </w:t>
      </w:r>
      <w:proofErr w:type="spellStart"/>
      <w:r>
        <w:rPr>
          <w:color w:val="000000"/>
          <w:szCs w:val="21"/>
        </w:rPr>
        <w:t>NO</w:t>
      </w:r>
      <w:r>
        <w:rPr>
          <w:color w:val="000000"/>
          <w:szCs w:val="21"/>
          <w:vertAlign w:val="subscript"/>
        </w:rPr>
        <w:t>x</w:t>
      </w:r>
      <w:proofErr w:type="spellEnd"/>
      <w:r>
        <w:rPr>
          <w:color w:val="000000"/>
          <w:szCs w:val="21"/>
        </w:rPr>
        <w:t xml:space="preserve"> kiekiui sumažėjo 2015 m., palyginus su 2005 m., tačiau ateityje lengvųjų automobilių išmesto </w:t>
      </w:r>
      <w:proofErr w:type="spellStart"/>
      <w:r>
        <w:rPr>
          <w:color w:val="000000"/>
          <w:szCs w:val="21"/>
        </w:rPr>
        <w:t>NO</w:t>
      </w:r>
      <w:r>
        <w:rPr>
          <w:color w:val="000000"/>
          <w:szCs w:val="21"/>
          <w:vertAlign w:val="subscript"/>
        </w:rPr>
        <w:t>x</w:t>
      </w:r>
      <w:proofErr w:type="spellEnd"/>
      <w:r>
        <w:rPr>
          <w:color w:val="000000"/>
          <w:szCs w:val="21"/>
        </w:rPr>
        <w:t xml:space="preserve"> kiekio dalis bendroje išmesto </w:t>
      </w:r>
      <w:proofErr w:type="spellStart"/>
      <w:r>
        <w:rPr>
          <w:color w:val="000000"/>
          <w:szCs w:val="21"/>
        </w:rPr>
        <w:t>NO</w:t>
      </w:r>
      <w:r>
        <w:rPr>
          <w:color w:val="000000"/>
          <w:szCs w:val="21"/>
          <w:vertAlign w:val="subscript"/>
        </w:rPr>
        <w:t>x</w:t>
      </w:r>
      <w:proofErr w:type="spellEnd"/>
      <w:r>
        <w:rPr>
          <w:color w:val="000000"/>
          <w:szCs w:val="21"/>
        </w:rPr>
        <w:t xml:space="preserve"> kiekio struktūroje didės. 2015 m. padidėjo iš augalininkystės ir dirvožemio (dėl tręšimo neorganinėmis azoto trąšomis ir gyvulių mėšlu) išmesto </w:t>
      </w:r>
      <w:proofErr w:type="spellStart"/>
      <w:r>
        <w:rPr>
          <w:color w:val="000000"/>
          <w:szCs w:val="21"/>
        </w:rPr>
        <w:t>NO</w:t>
      </w:r>
      <w:r>
        <w:rPr>
          <w:color w:val="000000"/>
          <w:szCs w:val="21"/>
          <w:vertAlign w:val="subscript"/>
        </w:rPr>
        <w:t>x</w:t>
      </w:r>
      <w:proofErr w:type="spellEnd"/>
      <w:r>
        <w:rPr>
          <w:color w:val="000000"/>
          <w:szCs w:val="21"/>
        </w:rPr>
        <w:t xml:space="preserve"> kiekio dalis bendroje išmesto </w:t>
      </w:r>
      <w:proofErr w:type="spellStart"/>
      <w:r>
        <w:rPr>
          <w:color w:val="000000"/>
          <w:szCs w:val="21"/>
        </w:rPr>
        <w:t>NO</w:t>
      </w:r>
      <w:r>
        <w:rPr>
          <w:color w:val="000000"/>
          <w:szCs w:val="21"/>
          <w:vertAlign w:val="subscript"/>
        </w:rPr>
        <w:t>x</w:t>
      </w:r>
      <w:proofErr w:type="spellEnd"/>
      <w:r>
        <w:rPr>
          <w:color w:val="000000"/>
          <w:szCs w:val="21"/>
        </w:rPr>
        <w:t xml:space="preserve"> kiekio struktūroje. Tarp kitų reikšmingų sektorių išliks energijos gamyba, stacionarus deginimas gamybos pramonėje ir statybos sektoriuje.</w:t>
      </w:r>
    </w:p>
    <w:p w:rsidR="000E7C4C" w:rsidRDefault="000E7C4C">
      <w:pPr>
        <w:spacing w:line="360" w:lineRule="atLeast"/>
        <w:jc w:val="both"/>
        <w:rPr>
          <w:color w:val="000000"/>
          <w:szCs w:val="21"/>
        </w:rPr>
      </w:pPr>
    </w:p>
    <w:p w:rsidR="000E7C4C" w:rsidRDefault="003C3EA6">
      <w:pPr>
        <w:ind w:right="282"/>
        <w:jc w:val="both"/>
        <w:rPr>
          <w:color w:val="000000"/>
          <w:szCs w:val="24"/>
        </w:rPr>
      </w:pPr>
      <w:r>
        <w:rPr>
          <w:color w:val="000000"/>
          <w:szCs w:val="24"/>
        </w:rPr>
        <w:t xml:space="preserve">2 lentelė. Išmestas į aplinkos orą </w:t>
      </w:r>
      <w:proofErr w:type="spellStart"/>
      <w:r>
        <w:rPr>
          <w:color w:val="000000"/>
          <w:szCs w:val="24"/>
        </w:rPr>
        <w:t>NO</w:t>
      </w:r>
      <w:r>
        <w:rPr>
          <w:color w:val="000000"/>
          <w:szCs w:val="24"/>
          <w:vertAlign w:val="subscript"/>
        </w:rPr>
        <w:t>x</w:t>
      </w:r>
      <w:proofErr w:type="spellEnd"/>
      <w:r>
        <w:rPr>
          <w:color w:val="000000"/>
          <w:szCs w:val="24"/>
        </w:rPr>
        <w:t xml:space="preserve"> kiekis: pagrindinių kategorijų analizė baziniais, paskutiniais prieinamais ir prognozuojamais metais</w:t>
      </w:r>
    </w:p>
    <w:tbl>
      <w:tblPr>
        <w:tblW w:w="9630" w:type="dxa"/>
        <w:jc w:val="center"/>
        <w:tblBorders>
          <w:top w:val="single" w:sz="12" w:space="0" w:color="FFFFFF"/>
          <w:bottom w:val="single" w:sz="2" w:space="0" w:color="1F497D"/>
          <w:insideH w:val="single" w:sz="2" w:space="0" w:color="1F497D"/>
          <w:insideV w:val="single" w:sz="12" w:space="0" w:color="FFFFFF"/>
        </w:tblBorders>
        <w:tblLayout w:type="fixed"/>
        <w:tblCellMar>
          <w:top w:w="28" w:type="dxa"/>
          <w:left w:w="28" w:type="dxa"/>
          <w:bottom w:w="28" w:type="dxa"/>
          <w:right w:w="28" w:type="dxa"/>
        </w:tblCellMar>
        <w:tblLook w:val="04A0" w:firstRow="1" w:lastRow="0" w:firstColumn="1" w:lastColumn="0" w:noHBand="0" w:noVBand="1"/>
      </w:tblPr>
      <w:tblGrid>
        <w:gridCol w:w="1478"/>
        <w:gridCol w:w="1792"/>
        <w:gridCol w:w="1134"/>
        <w:gridCol w:w="1133"/>
        <w:gridCol w:w="1715"/>
        <w:gridCol w:w="1535"/>
        <w:gridCol w:w="81"/>
        <w:gridCol w:w="745"/>
        <w:gridCol w:w="17"/>
      </w:tblGrid>
      <w:tr w:rsidR="000E7C4C">
        <w:trPr>
          <w:tblHeader/>
          <w:jc w:val="center"/>
        </w:trPr>
        <w:tc>
          <w:tcPr>
            <w:tcW w:w="1479" w:type="dxa"/>
            <w:tcBorders>
              <w:top w:val="single" w:sz="12" w:space="0" w:color="FFFFFF" w:themeColor="background1"/>
              <w:left w:val="nil"/>
              <w:bottom w:val="single" w:sz="2" w:space="0" w:color="1F497D" w:themeColor="text2"/>
              <w:right w:val="single" w:sz="12" w:space="0" w:color="FFFFFF" w:themeColor="background1"/>
            </w:tcBorders>
            <w:shd w:val="clear" w:color="auto" w:fill="002060"/>
            <w:vAlign w:val="center"/>
            <w:hideMark/>
          </w:tcPr>
          <w:p w:rsidR="000E7C4C" w:rsidRDefault="003C3EA6">
            <w:pPr>
              <w:tabs>
                <w:tab w:val="left" w:pos="1296"/>
              </w:tabs>
              <w:spacing w:line="276" w:lineRule="auto"/>
              <w:jc w:val="center"/>
              <w:rPr>
                <w:color w:val="FFFFFF"/>
                <w:sz w:val="20"/>
              </w:rPr>
            </w:pPr>
            <w:r>
              <w:rPr>
                <w:noProof/>
                <w:lang w:eastAsia="lt-LT"/>
              </w:rPr>
              <mc:AlternateContent>
                <mc:Choice Requires="wps">
                  <w:drawing>
                    <wp:anchor distT="0" distB="0" distL="114300" distR="114300" simplePos="0" relativeHeight="251688960" behindDoc="1" locked="0" layoutInCell="1" allowOverlap="1" wp14:anchorId="3568E7E1" wp14:editId="2721E53B">
                      <wp:simplePos x="0" y="0"/>
                      <wp:positionH relativeFrom="column">
                        <wp:posOffset>-6985</wp:posOffset>
                      </wp:positionH>
                      <wp:positionV relativeFrom="paragraph">
                        <wp:posOffset>-12065</wp:posOffset>
                      </wp:positionV>
                      <wp:extent cx="5701030" cy="152400"/>
                      <wp:effectExtent l="0" t="0" r="0" b="0"/>
                      <wp:wrapNone/>
                      <wp:docPr id="519" name="Stačiakampis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1030" cy="152400"/>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6764F88E" id="Stačiakampis 519" o:spid="_x0000_s1026" style="position:absolute;margin-left:-.55pt;margin-top:-.95pt;width:448.9pt;height:1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5UsgVwIAAJAEAAAOAAAAZHJzL2Uyb0RvYy54bWysVNtu2zAMfR+wfxD0vtrOml6MOEXRrsOA bivQDXtmZNkWqtsoJU73D/2rfdgoOemy7m3Yi0CLInl4DunFxdZotpEYlLMNr45KzqQVrlW2b/jX LzdvzjgLEWwL2lnZ8EcZ+MXy9avF6Gs5c4PTrURGSWyoR9/wIUZfF0UQgzQQjpyXlpydQwORPrEv WoSRshtdzMrypBgdth6dkCHQ7fXk5Mucv+ukiJ+7LsjIdMMJW8wn5nOVzmK5gLpH8IMSOxjwDygM KEtFn1NdQwS2RvVXKqMEuuC6eCScKVzXKSFzD9RNVb7o5n4AL3MvRE7wzzSF/5dWfNrcIVNtw+fV OWcWDIl0H+Hnk4IHMF4FlhxE0+hDTa/v/R2mRoO/deIhMOuuBrC9vER04yChJXBVel/8EZA+AoWy 1fjRtVQD1tFlxrYdmpSQuGDbLMzjszByG5mgy/kpkfOW9BPkq+az4zIrV0C9j/YY4nvpDEtGw5GE z9lhcxtiQgP1/slOpvZGac3QxW8qDpnpVDY7A8VMBvOO+pmuA/arK41sA2mWyrKaXeY+SfRw+Loi H+FLVy9C5senJwchhKnfl9LKMqIx1WJBgJakyERjnqkMNmXUlo0NP5/P5rmAdamLPMRGRdokrUzD zyYE+TpJ8s622Y6g9GRTaW13GiVZJnlXrn0kiYiTjIPWmozB4Q/ORlqRhofva0DJmf5gMy0s7g3c G6u9AVZQaMMjp8aSeRWnvVt7VP1AmatdC5c0Cp3KKqUxmVDswNHYZ/F2K5r26vA7v/r9I1n+AgAA //8DAFBLAwQUAAYACAAAACEAWV4C1d4AAAAIAQAADwAAAGRycy9kb3ducmV2LnhtbEyPwU7DMBBE 70j8g7VI3Fo7OaRJiFMhBDeoRCl3N94mUeN1artpytfjnuA0Ws1o5m21ns3AJnS+tyQhWQpgSI3V PbUSdl9vixyYD4q0GiyhhCt6WNf3d5Uqtb3QJ07b0LJYQr5UEroQxpJz33RolF/aESl6B+uMCvF0 LddOXWK5GXgqRMaN6ikudGrElw6b4/ZsJIiffrPLNx+r06trvt+LKTuJaybl48P8/AQs4Bz+wnDD j+hQR6a9PZP2bJCwSJKYvGkBLPp5ka2A7SWkaQK8rvj/B+pfAAAA//8DAFBLAQItABQABgAIAAAA IQC2gziS/gAAAOEBAAATAAAAAAAAAAAAAAAAAAAAAABbQ29udGVudF9UeXBlc10ueG1sUEsBAi0A FAAGAAgAAAAhADj9If/WAAAAlAEAAAsAAAAAAAAAAAAAAAAALwEAAF9yZWxzLy5yZWxzUEsBAi0A FAAGAAgAAAAhAEblSyBXAgAAkAQAAA4AAAAAAAAAAAAAAAAALgIAAGRycy9lMm9Eb2MueG1sUEsB Ai0AFAAGAAgAAAAhAFleAtXeAAAACAEAAA8AAAAAAAAAAAAAAAAAsQQAAGRycy9kb3ducmV2Lnht bFBLBQYAAAAABAAEAPMAAAC8BQAAAAA= " fillcolor="#00012a" stroked="f">
                      <v:fill color2="#005476" angle="90" focus="100%" type="gradient"/>
                      <v:textbox inset="0,0,0,0"/>
                    </v:rect>
                  </w:pict>
                </mc:Fallback>
              </mc:AlternateContent>
            </w:r>
            <w:r>
              <w:rPr>
                <w:color w:val="FFFFFF"/>
                <w:sz w:val="20"/>
                <w:lang w:eastAsia="lt-LT"/>
              </w:rPr>
              <w:t>Metai</w:t>
            </w:r>
          </w:p>
        </w:tc>
        <w:tc>
          <w:tcPr>
            <w:tcW w:w="7310" w:type="dxa"/>
            <w:gridSpan w:val="5"/>
            <w:tcBorders>
              <w:top w:val="single" w:sz="12" w:space="0" w:color="FFFFFF" w:themeColor="background1"/>
              <w:left w:val="single" w:sz="12" w:space="0" w:color="FFFFFF" w:themeColor="background1"/>
              <w:bottom w:val="single" w:sz="2" w:space="0" w:color="1F497D" w:themeColor="text2"/>
              <w:right w:val="single" w:sz="12" w:space="0" w:color="FFFFFF" w:themeColor="background1"/>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Pagrindinės kategorijos (surūšiuotos nuo aukščiausios iki žemiausios, iš kairės į dešinę)</w:t>
            </w:r>
          </w:p>
        </w:tc>
        <w:tc>
          <w:tcPr>
            <w:tcW w:w="843" w:type="dxa"/>
            <w:gridSpan w:val="3"/>
            <w:tcBorders>
              <w:top w:val="single" w:sz="12" w:space="0" w:color="FFFFFF" w:themeColor="background1"/>
              <w:left w:val="single" w:sz="12" w:space="0" w:color="FFFFFF" w:themeColor="background1"/>
              <w:bottom w:val="single" w:sz="2" w:space="0" w:color="1F497D" w:themeColor="text2"/>
              <w:right w:val="nil"/>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Iš viso</w:t>
            </w:r>
          </w:p>
        </w:tc>
      </w:tr>
      <w:tr w:rsidR="000E7C4C">
        <w:trPr>
          <w:gridAfter w:val="1"/>
          <w:wAfter w:w="17" w:type="dxa"/>
          <w:jc w:val="center"/>
        </w:trPr>
        <w:tc>
          <w:tcPr>
            <w:tcW w:w="1479" w:type="dxa"/>
            <w:vMerge w:val="restart"/>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2005</w:t>
            </w:r>
          </w:p>
        </w:tc>
        <w:tc>
          <w:tcPr>
            <w:tcW w:w="179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1A3biii </w:t>
            </w:r>
          </w:p>
          <w:p w:rsidR="000E7C4C" w:rsidRDefault="003C3EA6">
            <w:pPr>
              <w:jc w:val="center"/>
              <w:rPr>
                <w:color w:val="000000"/>
                <w:sz w:val="20"/>
              </w:rPr>
            </w:pPr>
            <w:r>
              <w:rPr>
                <w:color w:val="000000"/>
                <w:sz w:val="20"/>
              </w:rPr>
              <w:t>Sunkiasvoris transportas</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1A3bi </w:t>
            </w:r>
          </w:p>
          <w:p w:rsidR="000E7C4C" w:rsidRDefault="003C3EA6">
            <w:pPr>
              <w:jc w:val="center"/>
              <w:rPr>
                <w:color w:val="000000"/>
                <w:sz w:val="20"/>
              </w:rPr>
            </w:pPr>
            <w:r>
              <w:rPr>
                <w:color w:val="000000"/>
                <w:sz w:val="20"/>
              </w:rPr>
              <w:t>Lengvieji automobiliai</w:t>
            </w:r>
          </w:p>
        </w:tc>
        <w:tc>
          <w:tcPr>
            <w:tcW w:w="113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1A1 </w:t>
            </w:r>
          </w:p>
          <w:p w:rsidR="000E7C4C" w:rsidRDefault="003C3EA6">
            <w:pPr>
              <w:jc w:val="center"/>
              <w:rPr>
                <w:color w:val="000000"/>
                <w:sz w:val="20"/>
              </w:rPr>
            </w:pPr>
            <w:r>
              <w:rPr>
                <w:color w:val="000000"/>
                <w:sz w:val="20"/>
              </w:rPr>
              <w:t>Energijos gamyba</w:t>
            </w:r>
          </w:p>
        </w:tc>
        <w:tc>
          <w:tcPr>
            <w:tcW w:w="171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3D </w:t>
            </w:r>
          </w:p>
          <w:p w:rsidR="000E7C4C" w:rsidRDefault="003C3EA6">
            <w:pPr>
              <w:jc w:val="center"/>
              <w:rPr>
                <w:color w:val="000000"/>
                <w:sz w:val="20"/>
              </w:rPr>
            </w:pPr>
            <w:r>
              <w:rPr>
                <w:color w:val="000000"/>
                <w:sz w:val="20"/>
              </w:rPr>
              <w:t>Augalininkystė ir dirvožemis</w:t>
            </w:r>
          </w:p>
        </w:tc>
        <w:tc>
          <w:tcPr>
            <w:tcW w:w="1616" w:type="dxa"/>
            <w:gridSpan w:val="2"/>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1A4 </w:t>
            </w:r>
          </w:p>
          <w:p w:rsidR="000E7C4C" w:rsidRDefault="003C3EA6">
            <w:pPr>
              <w:jc w:val="center"/>
              <w:rPr>
                <w:color w:val="000000"/>
                <w:sz w:val="20"/>
              </w:rPr>
            </w:pPr>
            <w:r>
              <w:rPr>
                <w:color w:val="000000"/>
                <w:sz w:val="20"/>
              </w:rPr>
              <w:t>Kiti sektoriai (stacionarus ir mobilus deginimas)</w:t>
            </w:r>
          </w:p>
        </w:tc>
        <w:tc>
          <w:tcPr>
            <w:tcW w:w="745" w:type="dxa"/>
            <w:vMerge w:val="restart"/>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3C3EA6">
            <w:pPr>
              <w:jc w:val="center"/>
              <w:rPr>
                <w:color w:val="000000"/>
                <w:sz w:val="20"/>
              </w:rPr>
            </w:pPr>
            <w:r>
              <w:rPr>
                <w:color w:val="000000"/>
                <w:sz w:val="20"/>
              </w:rPr>
              <w:t>80,5%</w:t>
            </w:r>
          </w:p>
        </w:tc>
      </w:tr>
      <w:tr w:rsidR="000E7C4C">
        <w:trPr>
          <w:gridAfter w:val="1"/>
          <w:wAfter w:w="17" w:type="dxa"/>
          <w:jc w:val="center"/>
        </w:trPr>
        <w:tc>
          <w:tcPr>
            <w:tcW w:w="1479" w:type="dxa"/>
            <w:vMerge/>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0E7C4C">
            <w:pPr>
              <w:rPr>
                <w:color w:val="000000"/>
                <w:sz w:val="20"/>
              </w:rPr>
            </w:pPr>
          </w:p>
        </w:tc>
        <w:tc>
          <w:tcPr>
            <w:tcW w:w="179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rPr>
              <w:t>26,8%</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rPr>
              <w:t>19,6%</w:t>
            </w:r>
          </w:p>
        </w:tc>
        <w:tc>
          <w:tcPr>
            <w:tcW w:w="113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rPr>
              <w:t>14,9%</w:t>
            </w:r>
          </w:p>
        </w:tc>
        <w:tc>
          <w:tcPr>
            <w:tcW w:w="171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rPr>
              <w:t>11,6%</w:t>
            </w:r>
          </w:p>
        </w:tc>
        <w:tc>
          <w:tcPr>
            <w:tcW w:w="1616" w:type="dxa"/>
            <w:gridSpan w:val="2"/>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7,6%</w:t>
            </w:r>
          </w:p>
        </w:tc>
        <w:tc>
          <w:tcPr>
            <w:tcW w:w="745" w:type="dxa"/>
            <w:vMerge/>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0E7C4C">
            <w:pPr>
              <w:rPr>
                <w:color w:val="000000"/>
                <w:sz w:val="20"/>
              </w:rPr>
            </w:pPr>
          </w:p>
        </w:tc>
      </w:tr>
      <w:tr w:rsidR="000E7C4C">
        <w:trPr>
          <w:gridAfter w:val="1"/>
          <w:wAfter w:w="17" w:type="dxa"/>
          <w:jc w:val="center"/>
        </w:trPr>
        <w:tc>
          <w:tcPr>
            <w:tcW w:w="1479" w:type="dxa"/>
            <w:vMerge w:val="restart"/>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2015</w:t>
            </w:r>
          </w:p>
        </w:tc>
        <w:tc>
          <w:tcPr>
            <w:tcW w:w="179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1A3biii </w:t>
            </w:r>
          </w:p>
          <w:p w:rsidR="000E7C4C" w:rsidRDefault="003C3EA6">
            <w:pPr>
              <w:jc w:val="center"/>
              <w:rPr>
                <w:color w:val="000000"/>
                <w:sz w:val="20"/>
              </w:rPr>
            </w:pPr>
            <w:r>
              <w:rPr>
                <w:color w:val="000000"/>
                <w:sz w:val="20"/>
              </w:rPr>
              <w:t>Sunkiasvoris transportas</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3D </w:t>
            </w:r>
          </w:p>
          <w:p w:rsidR="000E7C4C" w:rsidRDefault="003C3EA6">
            <w:pPr>
              <w:jc w:val="center"/>
              <w:rPr>
                <w:color w:val="000000"/>
                <w:sz w:val="20"/>
              </w:rPr>
            </w:pPr>
            <w:r>
              <w:rPr>
                <w:color w:val="000000"/>
                <w:sz w:val="20"/>
              </w:rPr>
              <w:t>Augalininkystė ir dirvožemis</w:t>
            </w:r>
          </w:p>
        </w:tc>
        <w:tc>
          <w:tcPr>
            <w:tcW w:w="113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1A3bi </w:t>
            </w:r>
          </w:p>
          <w:p w:rsidR="000E7C4C" w:rsidRDefault="003C3EA6">
            <w:pPr>
              <w:jc w:val="center"/>
              <w:rPr>
                <w:color w:val="000000"/>
                <w:sz w:val="20"/>
              </w:rPr>
            </w:pPr>
            <w:r>
              <w:rPr>
                <w:color w:val="000000"/>
                <w:sz w:val="20"/>
              </w:rPr>
              <w:t>Lengvieji automobiliai</w:t>
            </w:r>
          </w:p>
        </w:tc>
        <w:tc>
          <w:tcPr>
            <w:tcW w:w="171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1A2 </w:t>
            </w:r>
          </w:p>
          <w:p w:rsidR="000E7C4C" w:rsidRDefault="003C3EA6">
            <w:pPr>
              <w:jc w:val="center"/>
              <w:rPr>
                <w:color w:val="000000"/>
                <w:sz w:val="20"/>
              </w:rPr>
            </w:pPr>
            <w:r>
              <w:rPr>
                <w:color w:val="000000"/>
                <w:sz w:val="20"/>
              </w:rPr>
              <w:t>Gamybos pramonė ir statybos sektorius (deginimas, įskaitant mobilų)</w:t>
            </w:r>
          </w:p>
        </w:tc>
        <w:tc>
          <w:tcPr>
            <w:tcW w:w="1616" w:type="dxa"/>
            <w:gridSpan w:val="2"/>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1A1 </w:t>
            </w:r>
          </w:p>
          <w:p w:rsidR="000E7C4C" w:rsidRDefault="003C3EA6">
            <w:pPr>
              <w:jc w:val="center"/>
              <w:rPr>
                <w:color w:val="000000"/>
                <w:sz w:val="20"/>
              </w:rPr>
            </w:pPr>
            <w:r>
              <w:rPr>
                <w:color w:val="000000"/>
                <w:sz w:val="20"/>
              </w:rPr>
              <w:t>energijos gamyba</w:t>
            </w:r>
          </w:p>
        </w:tc>
        <w:tc>
          <w:tcPr>
            <w:tcW w:w="745" w:type="dxa"/>
            <w:vMerge w:val="restart"/>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3C3EA6">
            <w:pPr>
              <w:jc w:val="center"/>
              <w:rPr>
                <w:color w:val="000000"/>
                <w:sz w:val="20"/>
              </w:rPr>
            </w:pPr>
            <w:r>
              <w:rPr>
                <w:color w:val="000000"/>
                <w:sz w:val="20"/>
              </w:rPr>
              <w:t>82,7%</w:t>
            </w:r>
          </w:p>
        </w:tc>
      </w:tr>
      <w:tr w:rsidR="000E7C4C">
        <w:trPr>
          <w:gridAfter w:val="1"/>
          <w:wAfter w:w="17" w:type="dxa"/>
          <w:jc w:val="center"/>
        </w:trPr>
        <w:tc>
          <w:tcPr>
            <w:tcW w:w="1479" w:type="dxa"/>
            <w:vMerge/>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0E7C4C">
            <w:pPr>
              <w:rPr>
                <w:color w:val="000000"/>
                <w:sz w:val="20"/>
              </w:rPr>
            </w:pPr>
          </w:p>
        </w:tc>
        <w:tc>
          <w:tcPr>
            <w:tcW w:w="179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rPr>
              <w:t>32,6%</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rPr>
              <w:t>17,3%</w:t>
            </w:r>
          </w:p>
        </w:tc>
        <w:tc>
          <w:tcPr>
            <w:tcW w:w="113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rPr>
              <w:t>13,3%</w:t>
            </w:r>
          </w:p>
        </w:tc>
        <w:tc>
          <w:tcPr>
            <w:tcW w:w="171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rPr>
              <w:t>10,2%</w:t>
            </w:r>
          </w:p>
        </w:tc>
        <w:tc>
          <w:tcPr>
            <w:tcW w:w="1616" w:type="dxa"/>
            <w:gridSpan w:val="2"/>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9,3%</w:t>
            </w:r>
          </w:p>
        </w:tc>
        <w:tc>
          <w:tcPr>
            <w:tcW w:w="745" w:type="dxa"/>
            <w:vMerge/>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0E7C4C">
            <w:pPr>
              <w:rPr>
                <w:color w:val="000000"/>
                <w:sz w:val="20"/>
              </w:rPr>
            </w:pPr>
          </w:p>
        </w:tc>
      </w:tr>
      <w:tr w:rsidR="000E7C4C">
        <w:trPr>
          <w:gridAfter w:val="1"/>
          <w:wAfter w:w="17" w:type="dxa"/>
          <w:jc w:val="center"/>
        </w:trPr>
        <w:tc>
          <w:tcPr>
            <w:tcW w:w="1479" w:type="dxa"/>
            <w:vMerge w:val="restart"/>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2020</w:t>
            </w:r>
          </w:p>
        </w:tc>
        <w:tc>
          <w:tcPr>
            <w:tcW w:w="179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1A3biii </w:t>
            </w:r>
          </w:p>
          <w:p w:rsidR="000E7C4C" w:rsidRDefault="003C3EA6">
            <w:pPr>
              <w:jc w:val="center"/>
              <w:rPr>
                <w:color w:val="000000"/>
                <w:sz w:val="20"/>
              </w:rPr>
            </w:pPr>
            <w:r>
              <w:rPr>
                <w:color w:val="000000"/>
                <w:sz w:val="20"/>
              </w:rPr>
              <w:t>Sunkiasvoris transportas</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3D </w:t>
            </w:r>
          </w:p>
          <w:p w:rsidR="000E7C4C" w:rsidRDefault="003C3EA6">
            <w:pPr>
              <w:jc w:val="center"/>
              <w:rPr>
                <w:color w:val="000000"/>
                <w:sz w:val="20"/>
              </w:rPr>
            </w:pPr>
            <w:r>
              <w:rPr>
                <w:color w:val="000000"/>
                <w:sz w:val="20"/>
              </w:rPr>
              <w:t>Augalininkystė ir dirvožemis</w:t>
            </w:r>
          </w:p>
        </w:tc>
        <w:tc>
          <w:tcPr>
            <w:tcW w:w="113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1A3bi </w:t>
            </w:r>
          </w:p>
          <w:p w:rsidR="000E7C4C" w:rsidRDefault="003C3EA6">
            <w:pPr>
              <w:jc w:val="center"/>
              <w:rPr>
                <w:color w:val="000000"/>
                <w:sz w:val="20"/>
              </w:rPr>
            </w:pPr>
            <w:r>
              <w:rPr>
                <w:color w:val="000000"/>
                <w:sz w:val="20"/>
              </w:rPr>
              <w:t>Lengvieji automobiliai</w:t>
            </w:r>
          </w:p>
        </w:tc>
        <w:tc>
          <w:tcPr>
            <w:tcW w:w="171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1A2 </w:t>
            </w:r>
          </w:p>
          <w:p w:rsidR="000E7C4C" w:rsidRDefault="003C3EA6">
            <w:pPr>
              <w:jc w:val="center"/>
              <w:rPr>
                <w:color w:val="000000"/>
                <w:sz w:val="20"/>
              </w:rPr>
            </w:pPr>
            <w:r>
              <w:rPr>
                <w:color w:val="000000"/>
                <w:sz w:val="20"/>
              </w:rPr>
              <w:t>Gamybos pramonė ir statybos sektorius (deginimas, įskaitant mobilų)</w:t>
            </w:r>
          </w:p>
        </w:tc>
        <w:tc>
          <w:tcPr>
            <w:tcW w:w="1616" w:type="dxa"/>
            <w:gridSpan w:val="2"/>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1A1 </w:t>
            </w:r>
          </w:p>
          <w:p w:rsidR="000E7C4C" w:rsidRDefault="003C3EA6">
            <w:pPr>
              <w:jc w:val="center"/>
              <w:rPr>
                <w:color w:val="000000"/>
                <w:sz w:val="20"/>
              </w:rPr>
            </w:pPr>
            <w:r>
              <w:rPr>
                <w:color w:val="000000"/>
                <w:sz w:val="20"/>
              </w:rPr>
              <w:t>energijos gamyba</w:t>
            </w:r>
          </w:p>
        </w:tc>
        <w:tc>
          <w:tcPr>
            <w:tcW w:w="745" w:type="dxa"/>
            <w:vMerge w:val="restart"/>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3C3EA6">
            <w:pPr>
              <w:jc w:val="center"/>
              <w:rPr>
                <w:color w:val="000000"/>
                <w:sz w:val="20"/>
              </w:rPr>
            </w:pPr>
            <w:r>
              <w:rPr>
                <w:color w:val="000000"/>
                <w:sz w:val="20"/>
              </w:rPr>
              <w:t>84,6%</w:t>
            </w:r>
          </w:p>
        </w:tc>
      </w:tr>
      <w:tr w:rsidR="000E7C4C">
        <w:trPr>
          <w:gridAfter w:val="1"/>
          <w:wAfter w:w="17" w:type="dxa"/>
          <w:jc w:val="center"/>
        </w:trPr>
        <w:tc>
          <w:tcPr>
            <w:tcW w:w="1479" w:type="dxa"/>
            <w:vMerge/>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0E7C4C">
            <w:pPr>
              <w:rPr>
                <w:color w:val="000000"/>
                <w:sz w:val="20"/>
              </w:rPr>
            </w:pPr>
          </w:p>
        </w:tc>
        <w:tc>
          <w:tcPr>
            <w:tcW w:w="179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rPr>
              <w:t>31,2%</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rPr>
              <w:t>20,6%</w:t>
            </w:r>
          </w:p>
        </w:tc>
        <w:tc>
          <w:tcPr>
            <w:tcW w:w="113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rPr>
              <w:t>13,5%</w:t>
            </w:r>
          </w:p>
        </w:tc>
        <w:tc>
          <w:tcPr>
            <w:tcW w:w="171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9,9%</w:t>
            </w:r>
          </w:p>
        </w:tc>
        <w:tc>
          <w:tcPr>
            <w:tcW w:w="1616" w:type="dxa"/>
            <w:gridSpan w:val="2"/>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9,5%</w:t>
            </w:r>
          </w:p>
        </w:tc>
        <w:tc>
          <w:tcPr>
            <w:tcW w:w="745" w:type="dxa"/>
            <w:vMerge/>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0E7C4C">
            <w:pPr>
              <w:rPr>
                <w:color w:val="000000"/>
                <w:sz w:val="20"/>
              </w:rPr>
            </w:pPr>
          </w:p>
        </w:tc>
      </w:tr>
      <w:tr w:rsidR="000E7C4C">
        <w:trPr>
          <w:gridAfter w:val="1"/>
          <w:wAfter w:w="17" w:type="dxa"/>
          <w:jc w:val="center"/>
        </w:trPr>
        <w:tc>
          <w:tcPr>
            <w:tcW w:w="1479" w:type="dxa"/>
            <w:vMerge w:val="restart"/>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2025</w:t>
            </w:r>
          </w:p>
        </w:tc>
        <w:tc>
          <w:tcPr>
            <w:tcW w:w="179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1A3biii </w:t>
            </w:r>
          </w:p>
          <w:p w:rsidR="000E7C4C" w:rsidRDefault="003C3EA6">
            <w:pPr>
              <w:jc w:val="center"/>
              <w:rPr>
                <w:color w:val="000000"/>
                <w:sz w:val="20"/>
              </w:rPr>
            </w:pPr>
            <w:r>
              <w:rPr>
                <w:color w:val="000000"/>
                <w:sz w:val="20"/>
              </w:rPr>
              <w:t>Sunkiasvoris transportas</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3D </w:t>
            </w:r>
          </w:p>
          <w:p w:rsidR="000E7C4C" w:rsidRDefault="003C3EA6">
            <w:pPr>
              <w:jc w:val="center"/>
              <w:rPr>
                <w:color w:val="000000"/>
                <w:sz w:val="20"/>
              </w:rPr>
            </w:pPr>
            <w:r>
              <w:rPr>
                <w:color w:val="000000"/>
                <w:sz w:val="20"/>
              </w:rPr>
              <w:t>Augalininkystė ir dirvožemis</w:t>
            </w:r>
          </w:p>
        </w:tc>
        <w:tc>
          <w:tcPr>
            <w:tcW w:w="113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1A3bi </w:t>
            </w:r>
          </w:p>
          <w:p w:rsidR="000E7C4C" w:rsidRDefault="003C3EA6">
            <w:pPr>
              <w:jc w:val="center"/>
              <w:rPr>
                <w:color w:val="000000"/>
                <w:sz w:val="20"/>
              </w:rPr>
            </w:pPr>
            <w:r>
              <w:rPr>
                <w:color w:val="000000"/>
                <w:sz w:val="20"/>
              </w:rPr>
              <w:t>Lengvieji automobiliai</w:t>
            </w:r>
          </w:p>
        </w:tc>
        <w:tc>
          <w:tcPr>
            <w:tcW w:w="171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1A1 </w:t>
            </w:r>
          </w:p>
          <w:p w:rsidR="000E7C4C" w:rsidRDefault="003C3EA6">
            <w:pPr>
              <w:jc w:val="center"/>
              <w:rPr>
                <w:color w:val="000000"/>
                <w:sz w:val="20"/>
              </w:rPr>
            </w:pPr>
            <w:r>
              <w:rPr>
                <w:color w:val="000000"/>
                <w:sz w:val="20"/>
              </w:rPr>
              <w:t>energijos gamyba</w:t>
            </w:r>
          </w:p>
        </w:tc>
        <w:tc>
          <w:tcPr>
            <w:tcW w:w="1616" w:type="dxa"/>
            <w:gridSpan w:val="2"/>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1A2 </w:t>
            </w:r>
          </w:p>
          <w:p w:rsidR="000E7C4C" w:rsidRDefault="003C3EA6">
            <w:pPr>
              <w:jc w:val="center"/>
              <w:rPr>
                <w:color w:val="000000"/>
                <w:sz w:val="20"/>
              </w:rPr>
            </w:pPr>
            <w:r>
              <w:rPr>
                <w:color w:val="000000"/>
                <w:sz w:val="20"/>
              </w:rPr>
              <w:t>Gamybos pramonė ir statybos sektorius (deginimas, įskaitant mobilų)</w:t>
            </w:r>
          </w:p>
        </w:tc>
        <w:tc>
          <w:tcPr>
            <w:tcW w:w="745" w:type="dxa"/>
            <w:vMerge w:val="restart"/>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3C3EA6">
            <w:pPr>
              <w:jc w:val="center"/>
              <w:rPr>
                <w:color w:val="000000"/>
                <w:sz w:val="20"/>
              </w:rPr>
            </w:pPr>
            <w:r>
              <w:rPr>
                <w:color w:val="000000"/>
                <w:sz w:val="20"/>
              </w:rPr>
              <w:t>85,5%</w:t>
            </w:r>
          </w:p>
        </w:tc>
      </w:tr>
      <w:tr w:rsidR="000E7C4C">
        <w:trPr>
          <w:gridAfter w:val="1"/>
          <w:wAfter w:w="17" w:type="dxa"/>
          <w:jc w:val="center"/>
        </w:trPr>
        <w:tc>
          <w:tcPr>
            <w:tcW w:w="1479" w:type="dxa"/>
            <w:vMerge/>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0E7C4C">
            <w:pPr>
              <w:rPr>
                <w:color w:val="000000"/>
                <w:sz w:val="20"/>
              </w:rPr>
            </w:pPr>
          </w:p>
        </w:tc>
        <w:tc>
          <w:tcPr>
            <w:tcW w:w="179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rPr>
              <w:t>31,1%</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rPr>
              <w:t>20,1%</w:t>
            </w:r>
          </w:p>
        </w:tc>
        <w:tc>
          <w:tcPr>
            <w:tcW w:w="113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lang w:eastAsia="lt-LT"/>
              </w:rPr>
            </w:pPr>
            <w:r>
              <w:rPr>
                <w:color w:val="000000"/>
                <w:sz w:val="20"/>
              </w:rPr>
              <w:t>14,3%</w:t>
            </w:r>
          </w:p>
        </w:tc>
        <w:tc>
          <w:tcPr>
            <w:tcW w:w="171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10,1%</w:t>
            </w:r>
          </w:p>
        </w:tc>
        <w:tc>
          <w:tcPr>
            <w:tcW w:w="1616" w:type="dxa"/>
            <w:gridSpan w:val="2"/>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9,9%</w:t>
            </w:r>
          </w:p>
        </w:tc>
        <w:tc>
          <w:tcPr>
            <w:tcW w:w="745" w:type="dxa"/>
            <w:vMerge/>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0E7C4C">
            <w:pPr>
              <w:rPr>
                <w:color w:val="000000"/>
                <w:sz w:val="20"/>
              </w:rPr>
            </w:pPr>
          </w:p>
        </w:tc>
      </w:tr>
      <w:tr w:rsidR="000E7C4C">
        <w:trPr>
          <w:gridAfter w:val="1"/>
          <w:wAfter w:w="17" w:type="dxa"/>
          <w:jc w:val="center"/>
        </w:trPr>
        <w:tc>
          <w:tcPr>
            <w:tcW w:w="1479" w:type="dxa"/>
            <w:vMerge w:val="restart"/>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2030</w:t>
            </w:r>
          </w:p>
        </w:tc>
        <w:tc>
          <w:tcPr>
            <w:tcW w:w="179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1A3biii </w:t>
            </w:r>
          </w:p>
          <w:p w:rsidR="000E7C4C" w:rsidRDefault="003C3EA6">
            <w:pPr>
              <w:jc w:val="center"/>
              <w:rPr>
                <w:color w:val="000000"/>
                <w:sz w:val="20"/>
              </w:rPr>
            </w:pPr>
            <w:r>
              <w:rPr>
                <w:color w:val="000000"/>
                <w:sz w:val="20"/>
              </w:rPr>
              <w:t>Sunkiasvoris transportas</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3D </w:t>
            </w:r>
          </w:p>
          <w:p w:rsidR="000E7C4C" w:rsidRDefault="003C3EA6">
            <w:pPr>
              <w:jc w:val="center"/>
              <w:rPr>
                <w:color w:val="000000"/>
                <w:sz w:val="20"/>
              </w:rPr>
            </w:pPr>
            <w:r>
              <w:rPr>
                <w:color w:val="000000"/>
                <w:sz w:val="20"/>
              </w:rPr>
              <w:t>Augalininkystė ir dirvožemis</w:t>
            </w:r>
          </w:p>
        </w:tc>
        <w:tc>
          <w:tcPr>
            <w:tcW w:w="113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1A3bi </w:t>
            </w:r>
          </w:p>
          <w:p w:rsidR="000E7C4C" w:rsidRDefault="003C3EA6">
            <w:pPr>
              <w:jc w:val="center"/>
              <w:rPr>
                <w:color w:val="000000"/>
                <w:sz w:val="20"/>
              </w:rPr>
            </w:pPr>
            <w:r>
              <w:rPr>
                <w:color w:val="000000"/>
                <w:sz w:val="20"/>
              </w:rPr>
              <w:t>Lengvieji automobiliai</w:t>
            </w:r>
          </w:p>
        </w:tc>
        <w:tc>
          <w:tcPr>
            <w:tcW w:w="171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1A1 </w:t>
            </w:r>
          </w:p>
          <w:p w:rsidR="000E7C4C" w:rsidRDefault="003C3EA6">
            <w:pPr>
              <w:jc w:val="center"/>
              <w:rPr>
                <w:color w:val="000000"/>
                <w:sz w:val="20"/>
              </w:rPr>
            </w:pPr>
            <w:r>
              <w:rPr>
                <w:color w:val="000000"/>
                <w:sz w:val="20"/>
              </w:rPr>
              <w:t>energijos gamyba</w:t>
            </w:r>
          </w:p>
        </w:tc>
        <w:tc>
          <w:tcPr>
            <w:tcW w:w="1616" w:type="dxa"/>
            <w:gridSpan w:val="2"/>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vAlign w:val="center"/>
            <w:hideMark/>
          </w:tcPr>
          <w:p w:rsidR="000E7C4C" w:rsidRDefault="003C3EA6">
            <w:pPr>
              <w:jc w:val="center"/>
              <w:rPr>
                <w:color w:val="000000"/>
                <w:sz w:val="20"/>
              </w:rPr>
            </w:pPr>
            <w:r>
              <w:rPr>
                <w:color w:val="000000"/>
                <w:sz w:val="20"/>
              </w:rPr>
              <w:t xml:space="preserve">1A2 </w:t>
            </w:r>
          </w:p>
          <w:p w:rsidR="000E7C4C" w:rsidRDefault="003C3EA6">
            <w:pPr>
              <w:jc w:val="center"/>
              <w:rPr>
                <w:color w:val="000000"/>
                <w:sz w:val="20"/>
              </w:rPr>
            </w:pPr>
            <w:r>
              <w:rPr>
                <w:color w:val="000000"/>
                <w:sz w:val="20"/>
              </w:rPr>
              <w:t>Gamybos pramonė ir statybos sektorius (deginimas, įskaitant mobilų)</w:t>
            </w:r>
          </w:p>
        </w:tc>
        <w:tc>
          <w:tcPr>
            <w:tcW w:w="745" w:type="dxa"/>
            <w:vMerge w:val="restart"/>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3C3EA6">
            <w:pPr>
              <w:jc w:val="center"/>
              <w:rPr>
                <w:color w:val="000000"/>
                <w:sz w:val="20"/>
              </w:rPr>
            </w:pPr>
            <w:r>
              <w:rPr>
                <w:color w:val="000000"/>
                <w:sz w:val="20"/>
              </w:rPr>
              <w:t>86,0%</w:t>
            </w:r>
          </w:p>
        </w:tc>
      </w:tr>
      <w:tr w:rsidR="000E7C4C">
        <w:trPr>
          <w:gridAfter w:val="1"/>
          <w:wAfter w:w="17" w:type="dxa"/>
          <w:trHeight w:val="176"/>
          <w:jc w:val="center"/>
        </w:trPr>
        <w:tc>
          <w:tcPr>
            <w:tcW w:w="1479" w:type="dxa"/>
            <w:vMerge/>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0E7C4C">
            <w:pPr>
              <w:rPr>
                <w:color w:val="000000"/>
                <w:sz w:val="20"/>
              </w:rPr>
            </w:pPr>
          </w:p>
        </w:tc>
        <w:tc>
          <w:tcPr>
            <w:tcW w:w="179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rPr>
              <w:t>31,0%</w:t>
            </w:r>
          </w:p>
        </w:tc>
        <w:tc>
          <w:tcPr>
            <w:tcW w:w="113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rPr>
              <w:t>19,5%</w:t>
            </w:r>
          </w:p>
        </w:tc>
        <w:tc>
          <w:tcPr>
            <w:tcW w:w="1133"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rPr>
              <w:t>14,9%</w:t>
            </w:r>
          </w:p>
        </w:tc>
        <w:tc>
          <w:tcPr>
            <w:tcW w:w="171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10,7%</w:t>
            </w:r>
          </w:p>
        </w:tc>
        <w:tc>
          <w:tcPr>
            <w:tcW w:w="1616" w:type="dxa"/>
            <w:gridSpan w:val="2"/>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10,0%</w:t>
            </w:r>
          </w:p>
        </w:tc>
        <w:tc>
          <w:tcPr>
            <w:tcW w:w="745" w:type="dxa"/>
            <w:vMerge/>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0E7C4C">
            <w:pPr>
              <w:rPr>
                <w:color w:val="000000"/>
                <w:sz w:val="20"/>
              </w:rPr>
            </w:pPr>
          </w:p>
        </w:tc>
      </w:tr>
    </w:tbl>
    <w:p w:rsidR="000E7C4C" w:rsidRDefault="003C3EA6">
      <w:pPr>
        <w:jc w:val="center"/>
        <w:rPr>
          <w:color w:val="000000"/>
          <w:sz w:val="20"/>
          <w:szCs w:val="21"/>
        </w:rPr>
      </w:pPr>
      <w:r>
        <w:rPr>
          <w:color w:val="000000"/>
          <w:sz w:val="20"/>
          <w:szCs w:val="21"/>
        </w:rPr>
        <w:t>(Duomenų šaltinis: AAA)</w:t>
      </w:r>
    </w:p>
    <w:p w:rsidR="000E7C4C" w:rsidRDefault="003C3EA6">
      <w:pPr>
        <w:spacing w:line="360" w:lineRule="atLeast"/>
        <w:jc w:val="both"/>
        <w:rPr>
          <w:color w:val="000000"/>
          <w:szCs w:val="21"/>
        </w:rPr>
      </w:pPr>
    </w:p>
    <w:p w:rsidR="000E7C4C" w:rsidRDefault="003C3EA6">
      <w:pPr>
        <w:jc w:val="center"/>
        <w:rPr>
          <w:b/>
          <w:color w:val="000000"/>
          <w:szCs w:val="21"/>
        </w:rPr>
      </w:pPr>
      <w:r>
        <w:rPr>
          <w:b/>
          <w:color w:val="000000"/>
          <w:szCs w:val="21"/>
        </w:rPr>
        <w:t>III</w:t>
      </w:r>
      <w:r>
        <w:rPr>
          <w:b/>
          <w:color w:val="000000"/>
          <w:szCs w:val="21"/>
        </w:rPr>
        <w:t xml:space="preserve"> SKYRIUS</w:t>
      </w:r>
    </w:p>
    <w:p w:rsidR="000E7C4C" w:rsidRDefault="003C3EA6">
      <w:pPr>
        <w:jc w:val="center"/>
        <w:rPr>
          <w:b/>
          <w:color w:val="000000"/>
          <w:szCs w:val="21"/>
        </w:rPr>
      </w:pPr>
      <w:r>
        <w:rPr>
          <w:b/>
          <w:color w:val="000000"/>
          <w:szCs w:val="21"/>
        </w:rPr>
        <w:t>PROGNOZUOJAMAS IŠMESTI Į APLINKOS ORĄ NEMETANINIŲ LAKIJŲJŲ ORGANINIŲ JUNGINIŲ KIEKIS</w:t>
      </w:r>
    </w:p>
    <w:p w:rsidR="000E7C4C" w:rsidRDefault="000E7C4C">
      <w:pPr>
        <w:jc w:val="both"/>
        <w:rPr>
          <w:color w:val="000000"/>
          <w:szCs w:val="21"/>
        </w:rPr>
      </w:pPr>
    </w:p>
    <w:p w:rsidR="000E7C4C" w:rsidRDefault="003C3EA6">
      <w:pPr>
        <w:tabs>
          <w:tab w:val="left" w:pos="851"/>
        </w:tabs>
        <w:ind w:firstLine="567"/>
        <w:jc w:val="both"/>
        <w:rPr>
          <w:color w:val="000000"/>
          <w:szCs w:val="21"/>
        </w:rPr>
      </w:pPr>
      <w:r>
        <w:rPr>
          <w:color w:val="000000"/>
          <w:szCs w:val="21"/>
        </w:rPr>
        <w:t>5</w:t>
      </w:r>
      <w:r>
        <w:rPr>
          <w:color w:val="000000"/>
          <w:szCs w:val="21"/>
        </w:rPr>
        <w:t>.</w:t>
      </w:r>
      <w:r>
        <w:rPr>
          <w:color w:val="000000"/>
          <w:szCs w:val="21"/>
        </w:rPr>
        <w:tab/>
        <w:t>Prognozuojama, kad įgyvendinant esamas priemones išmetamas į aplinkos orą nemetaninių lakiųjų organinių junginių (toliau – NMLOJ) kiekis iki 2020 m. sumažės 21,7 proc., 2025 m. – 23,2 proc., 2030 m. – 24,5 proc., palyginus su 2005 m. išmestu kiekiu. Tai rodo, jog nustatytas išmesto NMLOJ kiekio sumažinimo 32 proc. tikslas iki 2020 m. ir sumažinimo 47 proc. tikslas iki 2030 m., palyginus su 2005 m. išmestu kiekiu, nebus pasiekti. (žr. 3 pav.). Prognozuojama, kad iki 2030 m. išmestas NMLOJ kiekis tolygiai mažės.</w:t>
      </w:r>
    </w:p>
    <w:p w:rsidR="000E7C4C" w:rsidRDefault="000E7C4C">
      <w:pPr>
        <w:ind w:firstLine="567"/>
        <w:jc w:val="both"/>
        <w:rPr>
          <w:color w:val="000000"/>
          <w:szCs w:val="21"/>
        </w:rPr>
      </w:pPr>
    </w:p>
    <w:p w:rsidR="000E7C4C" w:rsidRDefault="003C3EA6">
      <w:pPr>
        <w:spacing w:line="360" w:lineRule="atLeast"/>
        <w:jc w:val="center"/>
        <w:rPr>
          <w:b/>
          <w:color w:val="000000"/>
          <w:szCs w:val="21"/>
        </w:rPr>
      </w:pPr>
      <w:r>
        <w:rPr>
          <w:b/>
          <w:noProof/>
          <w:color w:val="000000"/>
          <w:szCs w:val="21"/>
          <w:lang w:eastAsia="lt-LT"/>
        </w:rPr>
        <w:drawing>
          <wp:inline distT="0" distB="0" distL="0" distR="0" wp14:anchorId="00E8AE40" wp14:editId="012C3CCF">
            <wp:extent cx="4286250" cy="3057525"/>
            <wp:effectExtent l="0" t="0" r="0" b="9525"/>
            <wp:docPr id="515" name="Paveikslėlis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6250" cy="3057525"/>
                    </a:xfrm>
                    <a:prstGeom prst="rect">
                      <a:avLst/>
                    </a:prstGeom>
                    <a:noFill/>
                    <a:ln>
                      <a:noFill/>
                    </a:ln>
                  </pic:spPr>
                </pic:pic>
              </a:graphicData>
            </a:graphic>
          </wp:inline>
        </w:drawing>
      </w:r>
    </w:p>
    <w:p w:rsidR="000E7C4C" w:rsidRDefault="003C3EA6">
      <w:pPr>
        <w:keepNext/>
        <w:tabs>
          <w:tab w:val="left" w:pos="993"/>
        </w:tabs>
        <w:jc w:val="center"/>
        <w:rPr>
          <w:color w:val="000000"/>
          <w:sz w:val="20"/>
        </w:rPr>
      </w:pPr>
      <w:r>
        <w:rPr>
          <w:color w:val="000000"/>
          <w:sz w:val="20"/>
        </w:rPr>
        <w:t>3 paveikslas. Išmesto NMLOJ kiekio prognozė 2020 m., 2025 m., 2030 m.</w:t>
      </w:r>
    </w:p>
    <w:p w:rsidR="000E7C4C" w:rsidRDefault="003C3EA6">
      <w:pPr>
        <w:jc w:val="center"/>
        <w:rPr>
          <w:color w:val="000000"/>
          <w:sz w:val="20"/>
          <w:szCs w:val="21"/>
        </w:rPr>
      </w:pPr>
      <w:r>
        <w:rPr>
          <w:color w:val="000000"/>
          <w:sz w:val="20"/>
          <w:szCs w:val="21"/>
        </w:rPr>
        <w:t>(Duomenų šaltinis: AAA)</w:t>
      </w:r>
    </w:p>
    <w:p w:rsidR="000E7C4C" w:rsidRDefault="003C3EA6">
      <w:pPr>
        <w:spacing w:line="360" w:lineRule="atLeast"/>
        <w:jc w:val="both"/>
        <w:rPr>
          <w:b/>
          <w:color w:val="000000"/>
          <w:szCs w:val="21"/>
        </w:rPr>
      </w:pPr>
    </w:p>
    <w:p w:rsidR="000E7C4C" w:rsidRDefault="003C3EA6">
      <w:pPr>
        <w:tabs>
          <w:tab w:val="left" w:pos="851"/>
        </w:tabs>
        <w:ind w:firstLine="567"/>
        <w:jc w:val="both"/>
        <w:rPr>
          <w:color w:val="000000"/>
          <w:szCs w:val="21"/>
        </w:rPr>
      </w:pPr>
      <w:r>
        <w:rPr>
          <w:color w:val="000000"/>
          <w:szCs w:val="21"/>
        </w:rPr>
        <w:t>6</w:t>
      </w:r>
      <w:r>
        <w:rPr>
          <w:color w:val="000000"/>
          <w:szCs w:val="21"/>
        </w:rPr>
        <w:t>.</w:t>
      </w:r>
      <w:r>
        <w:rPr>
          <w:color w:val="000000"/>
          <w:szCs w:val="21"/>
        </w:rPr>
        <w:tab/>
        <w:t>Analizuojant prognozuojamą išmestą NMLOJ kiekį pagal sektorius, nustatyta, kad ateityje, kaip ir dabar, daugiausiai šio teršalo bus išmetama dėl tirpiklių ir kitų produktų vartojimo, garavimo iš naftos ir jos produktų, kitų sektorių (stacionarus ir mobilus deginimas). Prognozuojama, kad tarp reikšmingiausių teršėjų ateityje neliks lengvųjų automobilių, tačiau didės tarša iš pramonės procesų.</w:t>
      </w:r>
    </w:p>
    <w:p w:rsidR="000E7C4C" w:rsidRDefault="000E7C4C">
      <w:pPr>
        <w:spacing w:line="360" w:lineRule="atLeast"/>
        <w:jc w:val="both"/>
        <w:rPr>
          <w:color w:val="000000"/>
          <w:szCs w:val="21"/>
        </w:rPr>
      </w:pPr>
    </w:p>
    <w:p w:rsidR="000E7C4C" w:rsidRDefault="000E7C4C">
      <w:pPr>
        <w:spacing w:line="360" w:lineRule="atLeast"/>
        <w:jc w:val="both"/>
        <w:rPr>
          <w:color w:val="000000"/>
          <w:szCs w:val="21"/>
        </w:rPr>
      </w:pPr>
    </w:p>
    <w:p w:rsidR="000E7C4C" w:rsidRDefault="000E7C4C">
      <w:pPr>
        <w:spacing w:line="360" w:lineRule="atLeast"/>
        <w:jc w:val="both"/>
        <w:rPr>
          <w:color w:val="000000"/>
          <w:szCs w:val="21"/>
        </w:rPr>
      </w:pPr>
    </w:p>
    <w:p w:rsidR="000E7C4C" w:rsidRDefault="003C3EA6">
      <w:pPr>
        <w:ind w:right="282"/>
        <w:jc w:val="both"/>
        <w:rPr>
          <w:color w:val="000000"/>
          <w:szCs w:val="24"/>
        </w:rPr>
      </w:pPr>
      <w:r>
        <w:rPr>
          <w:color w:val="000000"/>
          <w:szCs w:val="24"/>
        </w:rPr>
        <w:t xml:space="preserve">3 lentelė. Išmestas į aplinkos orą </w:t>
      </w:r>
      <w:r>
        <w:rPr>
          <w:szCs w:val="24"/>
        </w:rPr>
        <w:t>NMLOJ</w:t>
      </w:r>
      <w:r>
        <w:rPr>
          <w:color w:val="000000"/>
          <w:szCs w:val="24"/>
        </w:rPr>
        <w:t xml:space="preserve"> kiekis: pagrindinių kategorijų analizė baziniais, paskutiniais prieinamais ir prognozuojamais metais</w:t>
      </w:r>
    </w:p>
    <w:tbl>
      <w:tblPr>
        <w:tblW w:w="9525" w:type="dxa"/>
        <w:jc w:val="center"/>
        <w:tblBorders>
          <w:top w:val="single" w:sz="12" w:space="0" w:color="FFFFFF"/>
          <w:bottom w:val="single" w:sz="2" w:space="0" w:color="1F497D"/>
          <w:insideH w:val="single" w:sz="2" w:space="0" w:color="1F497D"/>
          <w:insideV w:val="single" w:sz="12" w:space="0" w:color="FFFFFF"/>
        </w:tblBorders>
        <w:tblLayout w:type="fixed"/>
        <w:tblCellMar>
          <w:top w:w="28" w:type="dxa"/>
          <w:left w:w="28" w:type="dxa"/>
          <w:bottom w:w="28" w:type="dxa"/>
          <w:right w:w="28" w:type="dxa"/>
        </w:tblCellMar>
        <w:tblLook w:val="04A0" w:firstRow="1" w:lastRow="0" w:firstColumn="1" w:lastColumn="0" w:noHBand="0" w:noVBand="1"/>
      </w:tblPr>
      <w:tblGrid>
        <w:gridCol w:w="1434"/>
        <w:gridCol w:w="1418"/>
        <w:gridCol w:w="1412"/>
        <w:gridCol w:w="1547"/>
        <w:gridCol w:w="1625"/>
        <w:gridCol w:w="1096"/>
        <w:gridCol w:w="993"/>
      </w:tblGrid>
      <w:tr w:rsidR="000E7C4C">
        <w:trPr>
          <w:tblHeader/>
          <w:jc w:val="center"/>
        </w:trPr>
        <w:tc>
          <w:tcPr>
            <w:tcW w:w="1433" w:type="dxa"/>
            <w:tcBorders>
              <w:top w:val="single" w:sz="12" w:space="0" w:color="FFFFFF" w:themeColor="background1"/>
              <w:left w:val="nil"/>
              <w:bottom w:val="single" w:sz="2" w:space="0" w:color="1F497D" w:themeColor="text2"/>
              <w:right w:val="single" w:sz="12" w:space="0" w:color="FFFFFF" w:themeColor="background1"/>
            </w:tcBorders>
            <w:shd w:val="clear" w:color="auto" w:fill="002060"/>
            <w:vAlign w:val="center"/>
            <w:hideMark/>
          </w:tcPr>
          <w:p w:rsidR="000E7C4C" w:rsidRDefault="003C3EA6">
            <w:pPr>
              <w:tabs>
                <w:tab w:val="left" w:pos="1296"/>
              </w:tabs>
              <w:spacing w:line="276" w:lineRule="auto"/>
              <w:jc w:val="center"/>
              <w:rPr>
                <w:color w:val="FFFFFF"/>
                <w:sz w:val="20"/>
              </w:rPr>
            </w:pPr>
            <w:r>
              <w:rPr>
                <w:noProof/>
                <w:lang w:eastAsia="lt-LT"/>
              </w:rPr>
              <mc:AlternateContent>
                <mc:Choice Requires="wps">
                  <w:drawing>
                    <wp:anchor distT="0" distB="0" distL="114300" distR="114300" simplePos="0" relativeHeight="251692032" behindDoc="1" locked="0" layoutInCell="1" allowOverlap="1" wp14:anchorId="149469C6" wp14:editId="71649C48">
                      <wp:simplePos x="0" y="0"/>
                      <wp:positionH relativeFrom="column">
                        <wp:posOffset>-37465</wp:posOffset>
                      </wp:positionH>
                      <wp:positionV relativeFrom="paragraph">
                        <wp:posOffset>-12065</wp:posOffset>
                      </wp:positionV>
                      <wp:extent cx="5547360" cy="152400"/>
                      <wp:effectExtent l="0" t="0" r="0" b="0"/>
                      <wp:wrapNone/>
                      <wp:docPr id="522" name="Stačiakampis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360" cy="152400"/>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63ECFFF5" id="Stačiakampis 522" o:spid="_x0000_s1026" style="position:absolute;margin-left:-2.95pt;margin-top:-.95pt;width:436.8pt;height:1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ZZqRVgIAAJAEAAAOAAAAZHJzL2Uyb0RvYy54bWysVNtu1DAQfUfiHyy/01zolhI1W1UtRUgF Ki2I51nHSaz6xti72fIP/Ss+jLGzW0p5Q7xYE49n5pw5Mzk73xnNthKDcrbl1VHJmbTCdcoOLf/6 5frVKWchgu1AOytbfi8DP1++fHE2+UbWbnS6k8goiQ3N5Fs+xuiboghilAbCkfPSkrN3aCDSJw5F hzBRdqOLuixPislh59EJGQLdXs1Ovsz5+16K+Lnvg4xMt5ywxXxiPtfpLJZn0AwIflRiDwP+AYUB ZanoY6oriMA2qP5KZZRAF1wfj4Qzhet7JWTmQGyq8hmb1QheZi7UnOAf2xT+X1rxaXuLTHUtX9Q1 ZxYMibSK8PNBwR0YrwJLDmrT5ENDr1f+FhPR4G+cuAvMussR7CAvEN00SugIXJXeF38EpI9AoWw9 fXQd1YBNdLljux5NSki9YLsszP2jMHIXmaDLxeL4zesT0k+Qr1rUx2VWroDmEO0xxPfSGZaMliMJ n7PD9ibEhAaaw5O9TN210pqhi99UHHOnU9nsDBQzG8w74jNfBxzWlxrZFtIslWVVX2SeJHp4+roi H+FLV89CiMXJkxDCNBxKaWUZtTHVYkGAlqTI3MY8Uxlsyqgtm1r+dlEvcgHrEos8xEZF2iStTMtP ZwT5OknyznbZjqD0bFNpbfcaJVlmedeuuyeJqCcZB601GaPDH5xNtCItD983gJIz/cHmtrB4MPBg rA8GWEGhLY+ciCXzMs57t/GohpEyV3sKFzQKvcoqpTGZUezB0dhn8fYrmvbq6Xd+9ftHsvwFAAD/ /wMAUEsDBBQABgAIAAAAIQD5Afbh3gAAAAgBAAAPAAAAZHJzL2Rvd25yZXYueG1sTI/BTsMwEETv SPyDtUjcWjuRSNIQp0IIblCJUu5ubJKIeJ3abpry9WxP5TRazWj2TbWe7cAm40PvUEKyFMAMNk73 2ErYfb4uCmAhKtRqcGgknE2AdX17U6lSuxN+mGkbW0YlGEoloYtxLDkPTWesCks3GiTv23mrIp2+ 5dqrE5XbgadCZNyqHulDp0bz3JnmZ3u0EsRvv9kVm/f88OKbr7fVlB3EOZPy/m5+egQWzRyvYbjg EzrUxLR3R9SBDRIWDytKkiak5BdZngPbS0jTBHhd8f8D6j8AAAD//wMAUEsBAi0AFAAGAAgAAAAh ALaDOJL+AAAA4QEAABMAAAAAAAAAAAAAAAAAAAAAAFtDb250ZW50X1R5cGVzXS54bWxQSwECLQAU AAYACAAAACEAOP0h/9YAAACUAQAACwAAAAAAAAAAAAAAAAAvAQAAX3JlbHMvLnJlbHNQSwECLQAU AAYACAAAACEA5mWakVYCAACQBAAADgAAAAAAAAAAAAAAAAAuAgAAZHJzL2Uyb0RvYy54bWxQSwEC LQAUAAYACAAAACEA+QH24d4AAAAIAQAADwAAAAAAAAAAAAAAAACwBAAAZHJzL2Rvd25yZXYueG1s UEsFBgAAAAAEAAQA8wAAALsFAAAAAA== " fillcolor="#00012a" stroked="f">
                      <v:fill color2="#005476" angle="90" focus="100%" type="gradient"/>
                      <v:textbox inset="0,0,0,0"/>
                    </v:rect>
                  </w:pict>
                </mc:Fallback>
              </mc:AlternateContent>
            </w:r>
            <w:r>
              <w:rPr>
                <w:noProof/>
                <w:lang w:eastAsia="lt-LT"/>
              </w:rPr>
              <mc:AlternateContent>
                <mc:Choice Requires="wps">
                  <w:drawing>
                    <wp:anchor distT="0" distB="0" distL="114300" distR="114300" simplePos="0" relativeHeight="251693056" behindDoc="1" locked="0" layoutInCell="1" allowOverlap="1" wp14:anchorId="1CAA8BE7" wp14:editId="58D53DA0">
                      <wp:simplePos x="0" y="0"/>
                      <wp:positionH relativeFrom="column">
                        <wp:posOffset>-27305</wp:posOffset>
                      </wp:positionH>
                      <wp:positionV relativeFrom="paragraph">
                        <wp:posOffset>-12065</wp:posOffset>
                      </wp:positionV>
                      <wp:extent cx="5701030" cy="152400"/>
                      <wp:effectExtent l="0" t="0" r="0" b="0"/>
                      <wp:wrapNone/>
                      <wp:docPr id="521" name="Stačiakampis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1030" cy="152400"/>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2A18A885" id="Stačiakampis 521" o:spid="_x0000_s1026" style="position:absolute;margin-left:-2.15pt;margin-top:-.95pt;width:448.9pt;height:1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h3seVQIAAJAEAAAOAAAAZHJzL2Uyb0RvYy54bWysVNtu1DAQfUfiHyy/0yRLty1Rs1XVUoRU oNKCeJ51nMSqb4y9my3/wF/xYYyd3WUpb4gXa+K5nTnHk8urrdFsIzEoZxtenZScSStcq2zf8C+f 715dcBYi2Ba0s7LhTzLwq8XLF5ejr+XMDU63EhkVsaEefcOHGH1dFEEM0kA4cV5acnYODUT6xL5o EUaqbnQxK8uzYnTYenRChkC3t5OTL3L9rpMifuq6ICPTDSdsMZ+Yz1U6i8Ul1D2CH5TYwYB/QGFA WWp6KHULEdga1V+ljBLoguviiXCmcF2nhMwz0DRV+Wya5QBe5lmInOAPNIX/V1Z83DwgU23D57OK MwuGRFpG+PlDwSMYrwJLDqJp9KGm6KV/wDRo8PdOPAZm3c0AtpfXiG4cJLQELscXfySkj0CpbDV+ cC31gHV0mbFthyYVJC7YNgvzdBBGbiMTdDk/J3Jek36CfNV8dlpm5Qqo99keQ3wnnWHJaDiS8Lk6 bO5DJPQUug/ZydTeKa0ZuvhVxSEzndpmZ6CcyWDe0TzTdcB+daORbSC9pbKsZteJF6rch+PoinyE L109S5mfnp8dpeTMXSutLCMaUy8WBGhJikw05jeVwaaK2rKx4W/ms3luYF2aIj9ioyJtklam4RcT gnydJHlr22xHUHqyqbW2hH0vyyTvyrVPJBFxknHQWpMxOPzO2Ugr0vDwbQ0oOdPvbaaFxb2Be2O1 N8AKSm145DRYMm/itHdrj6ofqHK1G+GankKnskoJz4RiB46e/UTxtKJpr46/c9TvH8niFwAAAP// AwBQSwMEFAAGAAgAAAAhAMmSdRvfAAAACAEAAA8AAABkcnMvZG93bnJldi54bWxMj8FOwzAQRO9I /IO1SNxaOymEJMSpEIIbVKKUuxubJCJep7abpnw9ywlOo9WMZt5W69kObDI+9A4lJEsBzGDjdI+t hN378yIHFqJCrQaHRsLZBFjXlxeVKrU74ZuZtrFlVIKhVBK6GMeS89B0xqqwdKNB8j6dtyrS6Vuu vTpRuR14KkTGreqRFjo1msfONF/bo5UgvvvNLt+83h2efPPxUkzZQZwzKa+v5od7YNHM8S8Mv/iE DjUx7d0RdWCDhMXNipKkSQGM/LxY3QLbS0jTBHhd8f8P1D8AAAD//wMAUEsBAi0AFAAGAAgAAAAh ALaDOJL+AAAA4QEAABMAAAAAAAAAAAAAAAAAAAAAAFtDb250ZW50X1R5cGVzXS54bWxQSwECLQAU AAYACAAAACEAOP0h/9YAAACUAQAACwAAAAAAAAAAAAAAAAAvAQAAX3JlbHMvLnJlbHNQSwECLQAU AAYACAAAACEAOYd7HlUCAACQBAAADgAAAAAAAAAAAAAAAAAuAgAAZHJzL2Uyb0RvYy54bWxQSwEC LQAUAAYACAAAACEAyZJ1G98AAAAIAQAADwAAAAAAAAAAAAAAAACvBAAAZHJzL2Rvd25yZXYueG1s UEsFBgAAAAAEAAQA8wAAALsFAAAAAA== " fillcolor="#00012a" stroked="f">
                      <v:fill color2="#005476" angle="90" focus="100%" type="gradient"/>
                      <v:textbox inset="0,0,0,0"/>
                    </v:rect>
                  </w:pict>
                </mc:Fallback>
              </mc:AlternateContent>
            </w:r>
            <w:r>
              <w:rPr>
                <w:color w:val="FFFFFF"/>
                <w:sz w:val="20"/>
                <w:lang w:eastAsia="lt-LT"/>
              </w:rPr>
              <w:t>Metai</w:t>
            </w:r>
          </w:p>
        </w:tc>
        <w:tc>
          <w:tcPr>
            <w:tcW w:w="7093" w:type="dxa"/>
            <w:gridSpan w:val="5"/>
            <w:tcBorders>
              <w:top w:val="single" w:sz="12" w:space="0" w:color="FFFFFF" w:themeColor="background1"/>
              <w:left w:val="single" w:sz="12" w:space="0" w:color="FFFFFF" w:themeColor="background1"/>
              <w:bottom w:val="single" w:sz="2" w:space="0" w:color="1F497D" w:themeColor="text2"/>
              <w:right w:val="single" w:sz="12" w:space="0" w:color="FFFFFF" w:themeColor="background1"/>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Pagrindinės kategorijos (surūšiuotos nuo aukščiausios iki žemiausios, iš kairės į dešinę)</w:t>
            </w:r>
          </w:p>
        </w:tc>
        <w:tc>
          <w:tcPr>
            <w:tcW w:w="992" w:type="dxa"/>
            <w:tcBorders>
              <w:top w:val="single" w:sz="12" w:space="0" w:color="FFFFFF" w:themeColor="background1"/>
              <w:left w:val="single" w:sz="12" w:space="0" w:color="FFFFFF" w:themeColor="background1"/>
              <w:bottom w:val="single" w:sz="2" w:space="0" w:color="1F497D" w:themeColor="text2"/>
              <w:right w:val="nil"/>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Iš viso</w:t>
            </w:r>
          </w:p>
        </w:tc>
      </w:tr>
      <w:tr w:rsidR="000E7C4C">
        <w:trPr>
          <w:jc w:val="center"/>
        </w:trPr>
        <w:tc>
          <w:tcPr>
            <w:tcW w:w="1433" w:type="dxa"/>
            <w:vMerge w:val="restart"/>
            <w:tcBorders>
              <w:top w:val="single" w:sz="2" w:space="0" w:color="1F497D" w:themeColor="text2"/>
              <w:left w:val="nil"/>
              <w:bottom w:val="single" w:sz="2" w:space="0" w:color="1F497D" w:themeColor="text2"/>
              <w:right w:val="single" w:sz="12" w:space="0" w:color="FFFFFF" w:themeColor="background1"/>
            </w:tcBorders>
          </w:tcPr>
          <w:p w:rsidR="000E7C4C" w:rsidRDefault="003C3EA6">
            <w:pPr>
              <w:jc w:val="center"/>
              <w:rPr>
                <w:color w:val="000000"/>
                <w:sz w:val="20"/>
              </w:rPr>
            </w:pPr>
            <w:r>
              <w:rPr>
                <w:color w:val="000000"/>
                <w:sz w:val="20"/>
              </w:rPr>
              <w:t>2005</w:t>
            </w:r>
          </w:p>
          <w:p w:rsidR="000E7C4C" w:rsidRDefault="000E7C4C">
            <w:pPr>
              <w:jc w:val="center"/>
              <w:rPr>
                <w:color w:val="000000"/>
                <w:sz w:val="20"/>
              </w:rPr>
            </w:pPr>
          </w:p>
        </w:tc>
        <w:tc>
          <w:tcPr>
            <w:tcW w:w="1417"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2D, 2G</w:t>
            </w:r>
          </w:p>
          <w:p w:rsidR="000E7C4C" w:rsidRDefault="003C3EA6">
            <w:pPr>
              <w:jc w:val="center"/>
              <w:rPr>
                <w:color w:val="000000"/>
                <w:sz w:val="20"/>
              </w:rPr>
            </w:pPr>
            <w:r>
              <w:rPr>
                <w:color w:val="000000"/>
                <w:sz w:val="20"/>
              </w:rPr>
              <w:t>Tirpiklių ir kitų produktų vartojimas</w:t>
            </w:r>
          </w:p>
        </w:tc>
        <w:tc>
          <w:tcPr>
            <w:tcW w:w="141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1A4</w:t>
            </w:r>
          </w:p>
          <w:p w:rsidR="000E7C4C" w:rsidRDefault="003C3EA6">
            <w:pPr>
              <w:jc w:val="center"/>
              <w:rPr>
                <w:color w:val="000000"/>
                <w:sz w:val="20"/>
              </w:rPr>
            </w:pPr>
            <w:r>
              <w:rPr>
                <w:color w:val="000000"/>
                <w:sz w:val="20"/>
              </w:rPr>
              <w:t>Kiti sektoriai (stacionarus ir mobilus deginimas)</w:t>
            </w:r>
          </w:p>
        </w:tc>
        <w:tc>
          <w:tcPr>
            <w:tcW w:w="1546"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1B</w:t>
            </w:r>
          </w:p>
          <w:p w:rsidR="000E7C4C" w:rsidRDefault="003C3EA6">
            <w:pPr>
              <w:jc w:val="center"/>
              <w:rPr>
                <w:color w:val="000000"/>
                <w:sz w:val="20"/>
              </w:rPr>
            </w:pPr>
            <w:r>
              <w:rPr>
                <w:color w:val="000000"/>
                <w:sz w:val="20"/>
              </w:rPr>
              <w:t>Garavimo emisijos (</w:t>
            </w:r>
            <w:r>
              <w:rPr>
                <w:color w:val="000000"/>
                <w:sz w:val="20"/>
                <w:lang w:eastAsia="lt-LT"/>
              </w:rPr>
              <w:t xml:space="preserve">naftos ir jos produktų </w:t>
            </w:r>
            <w:r>
              <w:rPr>
                <w:color w:val="000000"/>
                <w:sz w:val="20"/>
              </w:rPr>
              <w:t>garavimo emisijos)</w:t>
            </w:r>
          </w:p>
        </w:tc>
        <w:tc>
          <w:tcPr>
            <w:tcW w:w="162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3B</w:t>
            </w:r>
          </w:p>
          <w:p w:rsidR="000E7C4C" w:rsidRDefault="003C3EA6">
            <w:pPr>
              <w:jc w:val="center"/>
              <w:rPr>
                <w:color w:val="000000"/>
                <w:sz w:val="20"/>
              </w:rPr>
            </w:pPr>
            <w:r>
              <w:rPr>
                <w:color w:val="000000"/>
                <w:sz w:val="20"/>
              </w:rPr>
              <w:t>Gyvulininkystė ir mėšlo tvarkymas</w:t>
            </w:r>
          </w:p>
        </w:tc>
        <w:tc>
          <w:tcPr>
            <w:tcW w:w="109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1A3bi</w:t>
            </w:r>
          </w:p>
          <w:p w:rsidR="000E7C4C" w:rsidRDefault="003C3EA6">
            <w:pPr>
              <w:jc w:val="center"/>
              <w:rPr>
                <w:color w:val="000000"/>
                <w:sz w:val="20"/>
              </w:rPr>
            </w:pPr>
            <w:r>
              <w:rPr>
                <w:color w:val="000000"/>
                <w:sz w:val="20"/>
              </w:rPr>
              <w:t>Lengvieji automobiliai</w:t>
            </w:r>
          </w:p>
        </w:tc>
        <w:tc>
          <w:tcPr>
            <w:tcW w:w="992" w:type="dxa"/>
            <w:vMerge w:val="restart"/>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3C3EA6">
            <w:pPr>
              <w:jc w:val="center"/>
              <w:rPr>
                <w:color w:val="000000"/>
                <w:sz w:val="20"/>
              </w:rPr>
            </w:pPr>
            <w:r>
              <w:rPr>
                <w:color w:val="000000"/>
                <w:sz w:val="20"/>
              </w:rPr>
              <w:t>81.7%</w:t>
            </w:r>
          </w:p>
        </w:tc>
      </w:tr>
      <w:tr w:rsidR="000E7C4C">
        <w:trPr>
          <w:jc w:val="center"/>
        </w:trPr>
        <w:tc>
          <w:tcPr>
            <w:tcW w:w="1433" w:type="dxa"/>
            <w:vMerge/>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0E7C4C">
            <w:pPr>
              <w:rPr>
                <w:color w:val="000000"/>
                <w:sz w:val="20"/>
              </w:rPr>
            </w:pPr>
          </w:p>
        </w:tc>
        <w:tc>
          <w:tcPr>
            <w:tcW w:w="1417"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rPr>
              <w:t>23,0%</w:t>
            </w:r>
          </w:p>
        </w:tc>
        <w:tc>
          <w:tcPr>
            <w:tcW w:w="141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rPr>
              <w:t>17,5%</w:t>
            </w:r>
          </w:p>
        </w:tc>
        <w:tc>
          <w:tcPr>
            <w:tcW w:w="1546"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rPr>
              <w:t>16,6%</w:t>
            </w:r>
          </w:p>
        </w:tc>
        <w:tc>
          <w:tcPr>
            <w:tcW w:w="162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rPr>
              <w:t>14,3%</w:t>
            </w:r>
          </w:p>
        </w:tc>
        <w:tc>
          <w:tcPr>
            <w:tcW w:w="109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10,3%</w:t>
            </w:r>
          </w:p>
        </w:tc>
        <w:tc>
          <w:tcPr>
            <w:tcW w:w="992" w:type="dxa"/>
            <w:vMerge/>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0E7C4C">
            <w:pPr>
              <w:rPr>
                <w:color w:val="000000"/>
                <w:sz w:val="20"/>
              </w:rPr>
            </w:pPr>
          </w:p>
        </w:tc>
      </w:tr>
      <w:tr w:rsidR="000E7C4C">
        <w:trPr>
          <w:jc w:val="center"/>
        </w:trPr>
        <w:tc>
          <w:tcPr>
            <w:tcW w:w="1433" w:type="dxa"/>
            <w:vMerge w:val="restart"/>
            <w:tcBorders>
              <w:top w:val="single" w:sz="2" w:space="0" w:color="1F497D" w:themeColor="text2"/>
              <w:left w:val="nil"/>
              <w:bottom w:val="single" w:sz="2" w:space="0" w:color="1F497D" w:themeColor="text2"/>
              <w:right w:val="single" w:sz="12" w:space="0" w:color="FFFFFF" w:themeColor="background1"/>
            </w:tcBorders>
          </w:tcPr>
          <w:p w:rsidR="000E7C4C" w:rsidRDefault="003C3EA6">
            <w:pPr>
              <w:jc w:val="center"/>
              <w:rPr>
                <w:color w:val="000000"/>
                <w:sz w:val="20"/>
              </w:rPr>
            </w:pPr>
            <w:r>
              <w:rPr>
                <w:color w:val="000000"/>
                <w:sz w:val="20"/>
              </w:rPr>
              <w:t>2015</w:t>
            </w:r>
          </w:p>
          <w:p w:rsidR="000E7C4C" w:rsidRDefault="000E7C4C">
            <w:pPr>
              <w:jc w:val="center"/>
              <w:rPr>
                <w:color w:val="000000"/>
                <w:sz w:val="20"/>
              </w:rPr>
            </w:pPr>
          </w:p>
        </w:tc>
        <w:tc>
          <w:tcPr>
            <w:tcW w:w="1417"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2D, 2G</w:t>
            </w:r>
          </w:p>
          <w:p w:rsidR="000E7C4C" w:rsidRDefault="003C3EA6">
            <w:pPr>
              <w:jc w:val="center"/>
              <w:rPr>
                <w:color w:val="000000"/>
                <w:sz w:val="20"/>
              </w:rPr>
            </w:pPr>
            <w:r>
              <w:rPr>
                <w:color w:val="000000"/>
                <w:sz w:val="20"/>
              </w:rPr>
              <w:t>Tirpiklių ir kitų produktų vartojimas</w:t>
            </w:r>
          </w:p>
        </w:tc>
        <w:tc>
          <w:tcPr>
            <w:tcW w:w="141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1B</w:t>
            </w:r>
          </w:p>
          <w:p w:rsidR="000E7C4C" w:rsidRDefault="003C3EA6">
            <w:pPr>
              <w:jc w:val="center"/>
              <w:rPr>
                <w:color w:val="000000"/>
                <w:sz w:val="20"/>
              </w:rPr>
            </w:pPr>
            <w:r>
              <w:rPr>
                <w:color w:val="000000"/>
                <w:sz w:val="20"/>
              </w:rPr>
              <w:t>Garavimo emisijos (</w:t>
            </w:r>
            <w:r>
              <w:rPr>
                <w:color w:val="000000"/>
                <w:sz w:val="20"/>
                <w:lang w:eastAsia="lt-LT"/>
              </w:rPr>
              <w:t xml:space="preserve">naftos ir jos produktų </w:t>
            </w:r>
            <w:r>
              <w:rPr>
                <w:color w:val="000000"/>
                <w:sz w:val="20"/>
              </w:rPr>
              <w:t>garavimo emisijos)</w:t>
            </w:r>
          </w:p>
        </w:tc>
        <w:tc>
          <w:tcPr>
            <w:tcW w:w="1546"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1A4</w:t>
            </w:r>
          </w:p>
          <w:p w:rsidR="000E7C4C" w:rsidRDefault="003C3EA6">
            <w:pPr>
              <w:jc w:val="center"/>
              <w:rPr>
                <w:color w:val="000000"/>
                <w:sz w:val="20"/>
              </w:rPr>
            </w:pPr>
            <w:r>
              <w:rPr>
                <w:color w:val="000000"/>
                <w:sz w:val="20"/>
              </w:rPr>
              <w:t>Kiti sektoriai (stacionarus ir mobilus deginimas)</w:t>
            </w:r>
          </w:p>
        </w:tc>
        <w:tc>
          <w:tcPr>
            <w:tcW w:w="162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3B</w:t>
            </w:r>
          </w:p>
          <w:p w:rsidR="000E7C4C" w:rsidRDefault="003C3EA6">
            <w:pPr>
              <w:jc w:val="center"/>
              <w:rPr>
                <w:color w:val="000000"/>
                <w:sz w:val="20"/>
              </w:rPr>
            </w:pPr>
            <w:r>
              <w:rPr>
                <w:color w:val="000000"/>
                <w:sz w:val="20"/>
              </w:rPr>
              <w:t>Gyvulininkystė ir mėšlo tvarkymas</w:t>
            </w:r>
          </w:p>
        </w:tc>
        <w:tc>
          <w:tcPr>
            <w:tcW w:w="109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tcPr>
          <w:p w:rsidR="000E7C4C" w:rsidRDefault="000E7C4C">
            <w:pPr>
              <w:jc w:val="center"/>
              <w:rPr>
                <w:color w:val="000000"/>
                <w:sz w:val="20"/>
              </w:rPr>
            </w:pPr>
          </w:p>
        </w:tc>
        <w:tc>
          <w:tcPr>
            <w:tcW w:w="992" w:type="dxa"/>
            <w:vMerge w:val="restart"/>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3C3EA6">
            <w:pPr>
              <w:jc w:val="center"/>
              <w:rPr>
                <w:color w:val="000000"/>
                <w:sz w:val="20"/>
              </w:rPr>
            </w:pPr>
            <w:r>
              <w:rPr>
                <w:color w:val="000000"/>
                <w:sz w:val="20"/>
              </w:rPr>
              <w:t>82.3%</w:t>
            </w:r>
          </w:p>
        </w:tc>
      </w:tr>
      <w:tr w:rsidR="000E7C4C">
        <w:trPr>
          <w:jc w:val="center"/>
        </w:trPr>
        <w:tc>
          <w:tcPr>
            <w:tcW w:w="1433" w:type="dxa"/>
            <w:vMerge/>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0E7C4C">
            <w:pPr>
              <w:rPr>
                <w:color w:val="000000"/>
                <w:sz w:val="20"/>
              </w:rPr>
            </w:pPr>
          </w:p>
        </w:tc>
        <w:tc>
          <w:tcPr>
            <w:tcW w:w="1417"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rPr>
              <w:t>26,1%</w:t>
            </w:r>
          </w:p>
        </w:tc>
        <w:tc>
          <w:tcPr>
            <w:tcW w:w="141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rPr>
              <w:t>20,2%</w:t>
            </w:r>
          </w:p>
        </w:tc>
        <w:tc>
          <w:tcPr>
            <w:tcW w:w="1546"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rPr>
              <w:t>20,1%</w:t>
            </w:r>
          </w:p>
        </w:tc>
        <w:tc>
          <w:tcPr>
            <w:tcW w:w="162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rPr>
              <w:t>15,9%</w:t>
            </w:r>
          </w:p>
        </w:tc>
        <w:tc>
          <w:tcPr>
            <w:tcW w:w="109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tcPr>
          <w:p w:rsidR="000E7C4C" w:rsidRDefault="000E7C4C">
            <w:pPr>
              <w:jc w:val="center"/>
              <w:rPr>
                <w:color w:val="000000"/>
                <w:sz w:val="20"/>
              </w:rPr>
            </w:pPr>
          </w:p>
        </w:tc>
        <w:tc>
          <w:tcPr>
            <w:tcW w:w="992" w:type="dxa"/>
            <w:vMerge/>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0E7C4C">
            <w:pPr>
              <w:rPr>
                <w:color w:val="000000"/>
                <w:sz w:val="20"/>
              </w:rPr>
            </w:pPr>
          </w:p>
        </w:tc>
      </w:tr>
      <w:tr w:rsidR="000E7C4C">
        <w:trPr>
          <w:jc w:val="center"/>
        </w:trPr>
        <w:tc>
          <w:tcPr>
            <w:tcW w:w="1433" w:type="dxa"/>
            <w:vMerge w:val="restart"/>
            <w:tcBorders>
              <w:top w:val="single" w:sz="2" w:space="0" w:color="1F497D" w:themeColor="text2"/>
              <w:left w:val="nil"/>
              <w:bottom w:val="single" w:sz="2" w:space="0" w:color="1F497D" w:themeColor="text2"/>
              <w:right w:val="single" w:sz="12" w:space="0" w:color="FFFFFF" w:themeColor="background1"/>
            </w:tcBorders>
          </w:tcPr>
          <w:p w:rsidR="000E7C4C" w:rsidRDefault="003C3EA6">
            <w:pPr>
              <w:jc w:val="center"/>
              <w:rPr>
                <w:color w:val="000000"/>
                <w:sz w:val="20"/>
              </w:rPr>
            </w:pPr>
            <w:r>
              <w:rPr>
                <w:color w:val="000000"/>
                <w:sz w:val="20"/>
              </w:rPr>
              <w:t>2020</w:t>
            </w:r>
          </w:p>
          <w:p w:rsidR="000E7C4C" w:rsidRDefault="000E7C4C">
            <w:pPr>
              <w:jc w:val="center"/>
              <w:rPr>
                <w:color w:val="000000"/>
                <w:sz w:val="20"/>
              </w:rPr>
            </w:pPr>
          </w:p>
        </w:tc>
        <w:tc>
          <w:tcPr>
            <w:tcW w:w="1417"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2D, 2G</w:t>
            </w:r>
          </w:p>
          <w:p w:rsidR="000E7C4C" w:rsidRDefault="003C3EA6">
            <w:pPr>
              <w:jc w:val="center"/>
              <w:rPr>
                <w:color w:val="000000"/>
                <w:sz w:val="20"/>
              </w:rPr>
            </w:pPr>
            <w:r>
              <w:rPr>
                <w:color w:val="000000"/>
                <w:sz w:val="20"/>
              </w:rPr>
              <w:t>Tirpiklių ir kitų produktų vartojimas</w:t>
            </w:r>
          </w:p>
        </w:tc>
        <w:tc>
          <w:tcPr>
            <w:tcW w:w="141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1B</w:t>
            </w:r>
          </w:p>
          <w:p w:rsidR="000E7C4C" w:rsidRDefault="003C3EA6">
            <w:pPr>
              <w:jc w:val="center"/>
              <w:rPr>
                <w:color w:val="000000"/>
                <w:sz w:val="20"/>
              </w:rPr>
            </w:pPr>
            <w:r>
              <w:rPr>
                <w:color w:val="000000"/>
                <w:sz w:val="20"/>
              </w:rPr>
              <w:t>Garavimo emisijos (</w:t>
            </w:r>
            <w:r>
              <w:rPr>
                <w:color w:val="000000"/>
                <w:sz w:val="20"/>
                <w:lang w:eastAsia="lt-LT"/>
              </w:rPr>
              <w:t xml:space="preserve">naftos ir jos produktų </w:t>
            </w:r>
            <w:r>
              <w:rPr>
                <w:color w:val="000000"/>
                <w:sz w:val="20"/>
              </w:rPr>
              <w:t>garavimo emisijos)</w:t>
            </w:r>
          </w:p>
        </w:tc>
        <w:tc>
          <w:tcPr>
            <w:tcW w:w="1546"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1A4</w:t>
            </w:r>
          </w:p>
          <w:p w:rsidR="000E7C4C" w:rsidRDefault="003C3EA6">
            <w:pPr>
              <w:jc w:val="center"/>
              <w:rPr>
                <w:color w:val="000000"/>
                <w:sz w:val="20"/>
              </w:rPr>
            </w:pPr>
            <w:r>
              <w:rPr>
                <w:color w:val="000000"/>
                <w:sz w:val="20"/>
              </w:rPr>
              <w:t>Kiti sektoriai (stacionarus ir mobilus deginimas)</w:t>
            </w:r>
          </w:p>
        </w:tc>
        <w:tc>
          <w:tcPr>
            <w:tcW w:w="162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3B</w:t>
            </w:r>
          </w:p>
          <w:p w:rsidR="000E7C4C" w:rsidRDefault="003C3EA6">
            <w:pPr>
              <w:jc w:val="center"/>
              <w:rPr>
                <w:color w:val="000000"/>
                <w:sz w:val="20"/>
              </w:rPr>
            </w:pPr>
            <w:r>
              <w:rPr>
                <w:color w:val="000000"/>
                <w:sz w:val="20"/>
              </w:rPr>
              <w:t>Gyvulininkystė ir mėšlo tvarkymas</w:t>
            </w:r>
          </w:p>
        </w:tc>
        <w:tc>
          <w:tcPr>
            <w:tcW w:w="109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tcPr>
          <w:p w:rsidR="000E7C4C" w:rsidRDefault="000E7C4C">
            <w:pPr>
              <w:jc w:val="center"/>
              <w:rPr>
                <w:color w:val="000000"/>
                <w:sz w:val="20"/>
              </w:rPr>
            </w:pPr>
          </w:p>
        </w:tc>
        <w:tc>
          <w:tcPr>
            <w:tcW w:w="992" w:type="dxa"/>
            <w:vMerge w:val="restart"/>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3C3EA6">
            <w:pPr>
              <w:jc w:val="center"/>
              <w:rPr>
                <w:color w:val="000000"/>
                <w:sz w:val="20"/>
              </w:rPr>
            </w:pPr>
            <w:r>
              <w:rPr>
                <w:color w:val="000000"/>
                <w:sz w:val="20"/>
              </w:rPr>
              <w:t>81.8%</w:t>
            </w:r>
          </w:p>
        </w:tc>
      </w:tr>
      <w:tr w:rsidR="000E7C4C">
        <w:trPr>
          <w:jc w:val="center"/>
        </w:trPr>
        <w:tc>
          <w:tcPr>
            <w:tcW w:w="1433" w:type="dxa"/>
            <w:vMerge/>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0E7C4C">
            <w:pPr>
              <w:rPr>
                <w:color w:val="000000"/>
                <w:sz w:val="20"/>
              </w:rPr>
            </w:pPr>
          </w:p>
        </w:tc>
        <w:tc>
          <w:tcPr>
            <w:tcW w:w="1417"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rPr>
              <w:t>25,7%</w:t>
            </w:r>
          </w:p>
        </w:tc>
        <w:tc>
          <w:tcPr>
            <w:tcW w:w="141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rPr>
              <w:t>20,5%</w:t>
            </w:r>
          </w:p>
        </w:tc>
        <w:tc>
          <w:tcPr>
            <w:tcW w:w="1546"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rPr>
              <w:t>19,7%</w:t>
            </w:r>
          </w:p>
        </w:tc>
        <w:tc>
          <w:tcPr>
            <w:tcW w:w="162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16,0%</w:t>
            </w:r>
          </w:p>
        </w:tc>
        <w:tc>
          <w:tcPr>
            <w:tcW w:w="109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tcPr>
          <w:p w:rsidR="000E7C4C" w:rsidRDefault="000E7C4C">
            <w:pPr>
              <w:jc w:val="center"/>
              <w:rPr>
                <w:color w:val="000000"/>
                <w:sz w:val="20"/>
              </w:rPr>
            </w:pPr>
          </w:p>
        </w:tc>
        <w:tc>
          <w:tcPr>
            <w:tcW w:w="992" w:type="dxa"/>
            <w:vMerge/>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0E7C4C">
            <w:pPr>
              <w:rPr>
                <w:color w:val="000000"/>
                <w:sz w:val="20"/>
              </w:rPr>
            </w:pPr>
          </w:p>
        </w:tc>
      </w:tr>
      <w:tr w:rsidR="000E7C4C">
        <w:trPr>
          <w:jc w:val="center"/>
        </w:trPr>
        <w:tc>
          <w:tcPr>
            <w:tcW w:w="1433" w:type="dxa"/>
            <w:vMerge w:val="restart"/>
            <w:tcBorders>
              <w:top w:val="single" w:sz="2" w:space="0" w:color="1F497D" w:themeColor="text2"/>
              <w:left w:val="nil"/>
              <w:bottom w:val="single" w:sz="2" w:space="0" w:color="1F497D" w:themeColor="text2"/>
              <w:right w:val="single" w:sz="12" w:space="0" w:color="FFFFFF" w:themeColor="background1"/>
            </w:tcBorders>
          </w:tcPr>
          <w:p w:rsidR="000E7C4C" w:rsidRDefault="003C3EA6">
            <w:pPr>
              <w:jc w:val="center"/>
              <w:rPr>
                <w:color w:val="000000"/>
                <w:sz w:val="20"/>
              </w:rPr>
            </w:pPr>
            <w:r>
              <w:rPr>
                <w:color w:val="000000"/>
                <w:sz w:val="20"/>
              </w:rPr>
              <w:t>2025</w:t>
            </w:r>
          </w:p>
          <w:p w:rsidR="000E7C4C" w:rsidRDefault="000E7C4C">
            <w:pPr>
              <w:jc w:val="center"/>
              <w:rPr>
                <w:color w:val="000000"/>
                <w:sz w:val="20"/>
              </w:rPr>
            </w:pPr>
          </w:p>
        </w:tc>
        <w:tc>
          <w:tcPr>
            <w:tcW w:w="1417"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2D, 2G</w:t>
            </w:r>
          </w:p>
          <w:p w:rsidR="000E7C4C" w:rsidRDefault="003C3EA6">
            <w:pPr>
              <w:jc w:val="center"/>
              <w:rPr>
                <w:color w:val="000000"/>
                <w:sz w:val="20"/>
              </w:rPr>
            </w:pPr>
            <w:r>
              <w:rPr>
                <w:color w:val="000000"/>
                <w:sz w:val="20"/>
              </w:rPr>
              <w:t>Tirpiklių ir kitų produktų vartojimas</w:t>
            </w:r>
          </w:p>
        </w:tc>
        <w:tc>
          <w:tcPr>
            <w:tcW w:w="141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1B</w:t>
            </w:r>
          </w:p>
          <w:p w:rsidR="000E7C4C" w:rsidRDefault="003C3EA6">
            <w:pPr>
              <w:jc w:val="center"/>
              <w:rPr>
                <w:color w:val="000000"/>
                <w:sz w:val="20"/>
              </w:rPr>
            </w:pPr>
            <w:r>
              <w:rPr>
                <w:color w:val="000000"/>
                <w:sz w:val="20"/>
              </w:rPr>
              <w:t>Garavimo emisijos (</w:t>
            </w:r>
            <w:r>
              <w:rPr>
                <w:color w:val="000000"/>
                <w:sz w:val="20"/>
                <w:lang w:eastAsia="lt-LT"/>
              </w:rPr>
              <w:t xml:space="preserve">naftos ir jos produktų </w:t>
            </w:r>
            <w:r>
              <w:rPr>
                <w:color w:val="000000"/>
                <w:sz w:val="20"/>
              </w:rPr>
              <w:t>garavimo emisijos)</w:t>
            </w:r>
          </w:p>
        </w:tc>
        <w:tc>
          <w:tcPr>
            <w:tcW w:w="1546"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1A4</w:t>
            </w:r>
          </w:p>
          <w:p w:rsidR="000E7C4C" w:rsidRDefault="003C3EA6">
            <w:pPr>
              <w:jc w:val="center"/>
              <w:rPr>
                <w:color w:val="000000"/>
                <w:sz w:val="20"/>
              </w:rPr>
            </w:pPr>
            <w:r>
              <w:rPr>
                <w:color w:val="000000"/>
                <w:sz w:val="20"/>
              </w:rPr>
              <w:t>Kiti sektoriai (stacionarus ir mobilus deginimas)</w:t>
            </w:r>
          </w:p>
        </w:tc>
        <w:tc>
          <w:tcPr>
            <w:tcW w:w="162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3B</w:t>
            </w:r>
          </w:p>
          <w:p w:rsidR="000E7C4C" w:rsidRDefault="003C3EA6">
            <w:pPr>
              <w:jc w:val="center"/>
              <w:rPr>
                <w:color w:val="000000"/>
                <w:sz w:val="20"/>
              </w:rPr>
            </w:pPr>
            <w:r>
              <w:rPr>
                <w:color w:val="000000"/>
                <w:sz w:val="20"/>
              </w:rPr>
              <w:t>Gyvulininkystė ir mėšlo tvarkymas</w:t>
            </w:r>
          </w:p>
        </w:tc>
        <w:tc>
          <w:tcPr>
            <w:tcW w:w="109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tcPr>
          <w:p w:rsidR="000E7C4C" w:rsidRDefault="000E7C4C">
            <w:pPr>
              <w:jc w:val="center"/>
              <w:rPr>
                <w:color w:val="000000"/>
                <w:sz w:val="20"/>
              </w:rPr>
            </w:pPr>
          </w:p>
        </w:tc>
        <w:tc>
          <w:tcPr>
            <w:tcW w:w="992" w:type="dxa"/>
            <w:vMerge w:val="restart"/>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3C3EA6">
            <w:pPr>
              <w:jc w:val="center"/>
              <w:rPr>
                <w:color w:val="000000"/>
                <w:sz w:val="20"/>
              </w:rPr>
            </w:pPr>
            <w:r>
              <w:rPr>
                <w:color w:val="000000"/>
                <w:sz w:val="20"/>
              </w:rPr>
              <w:t>80.9%</w:t>
            </w:r>
          </w:p>
        </w:tc>
      </w:tr>
      <w:tr w:rsidR="000E7C4C">
        <w:trPr>
          <w:jc w:val="center"/>
        </w:trPr>
        <w:tc>
          <w:tcPr>
            <w:tcW w:w="1433" w:type="dxa"/>
            <w:vMerge/>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0E7C4C">
            <w:pPr>
              <w:rPr>
                <w:color w:val="000000"/>
                <w:sz w:val="20"/>
              </w:rPr>
            </w:pPr>
          </w:p>
        </w:tc>
        <w:tc>
          <w:tcPr>
            <w:tcW w:w="1417"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rPr>
              <w:t>24,0%</w:t>
            </w:r>
          </w:p>
        </w:tc>
        <w:tc>
          <w:tcPr>
            <w:tcW w:w="141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rPr>
              <w:t>20,8%</w:t>
            </w:r>
          </w:p>
        </w:tc>
        <w:tc>
          <w:tcPr>
            <w:tcW w:w="1546"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rPr>
              <w:t>19,5%</w:t>
            </w:r>
          </w:p>
        </w:tc>
        <w:tc>
          <w:tcPr>
            <w:tcW w:w="162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16,6%</w:t>
            </w:r>
          </w:p>
        </w:tc>
        <w:tc>
          <w:tcPr>
            <w:tcW w:w="109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tcPr>
          <w:p w:rsidR="000E7C4C" w:rsidRDefault="000E7C4C">
            <w:pPr>
              <w:jc w:val="center"/>
              <w:rPr>
                <w:color w:val="000000"/>
                <w:sz w:val="20"/>
              </w:rPr>
            </w:pPr>
          </w:p>
        </w:tc>
        <w:tc>
          <w:tcPr>
            <w:tcW w:w="992" w:type="dxa"/>
            <w:vMerge/>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0E7C4C">
            <w:pPr>
              <w:rPr>
                <w:color w:val="000000"/>
                <w:sz w:val="20"/>
              </w:rPr>
            </w:pPr>
          </w:p>
        </w:tc>
      </w:tr>
      <w:tr w:rsidR="000E7C4C">
        <w:trPr>
          <w:jc w:val="center"/>
        </w:trPr>
        <w:tc>
          <w:tcPr>
            <w:tcW w:w="1433" w:type="dxa"/>
            <w:vMerge w:val="restart"/>
            <w:tcBorders>
              <w:top w:val="single" w:sz="2" w:space="0" w:color="1F497D" w:themeColor="text2"/>
              <w:left w:val="nil"/>
              <w:bottom w:val="single" w:sz="2" w:space="0" w:color="1F497D" w:themeColor="text2"/>
              <w:right w:val="single" w:sz="12" w:space="0" w:color="FFFFFF" w:themeColor="background1"/>
            </w:tcBorders>
          </w:tcPr>
          <w:p w:rsidR="000E7C4C" w:rsidRDefault="003C3EA6">
            <w:pPr>
              <w:jc w:val="center"/>
              <w:rPr>
                <w:color w:val="000000"/>
                <w:sz w:val="20"/>
              </w:rPr>
            </w:pPr>
            <w:r>
              <w:rPr>
                <w:color w:val="000000"/>
                <w:sz w:val="20"/>
              </w:rPr>
              <w:t>2030</w:t>
            </w:r>
          </w:p>
          <w:p w:rsidR="000E7C4C" w:rsidRDefault="000E7C4C">
            <w:pPr>
              <w:jc w:val="center"/>
              <w:rPr>
                <w:color w:val="000000"/>
                <w:sz w:val="20"/>
              </w:rPr>
            </w:pPr>
          </w:p>
        </w:tc>
        <w:tc>
          <w:tcPr>
            <w:tcW w:w="1417"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2D, 2G</w:t>
            </w:r>
          </w:p>
          <w:p w:rsidR="000E7C4C" w:rsidRDefault="003C3EA6">
            <w:pPr>
              <w:jc w:val="center"/>
              <w:rPr>
                <w:color w:val="000000"/>
                <w:sz w:val="20"/>
              </w:rPr>
            </w:pPr>
            <w:r>
              <w:rPr>
                <w:color w:val="000000"/>
                <w:sz w:val="20"/>
              </w:rPr>
              <w:t>Tirpiklių ir kitų produktų vartojimas</w:t>
            </w:r>
          </w:p>
        </w:tc>
        <w:tc>
          <w:tcPr>
            <w:tcW w:w="141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1B</w:t>
            </w:r>
          </w:p>
          <w:p w:rsidR="000E7C4C" w:rsidRDefault="003C3EA6">
            <w:pPr>
              <w:jc w:val="center"/>
              <w:rPr>
                <w:color w:val="000000"/>
                <w:sz w:val="20"/>
              </w:rPr>
            </w:pPr>
            <w:r>
              <w:rPr>
                <w:color w:val="000000"/>
                <w:sz w:val="20"/>
              </w:rPr>
              <w:t>Garavimo emisijos (</w:t>
            </w:r>
            <w:r>
              <w:rPr>
                <w:color w:val="000000"/>
                <w:sz w:val="20"/>
                <w:lang w:eastAsia="lt-LT"/>
              </w:rPr>
              <w:t xml:space="preserve">naftos ir jos produktų </w:t>
            </w:r>
            <w:r>
              <w:rPr>
                <w:color w:val="000000"/>
                <w:sz w:val="20"/>
              </w:rPr>
              <w:t>garavimo emisijos)</w:t>
            </w:r>
          </w:p>
        </w:tc>
        <w:tc>
          <w:tcPr>
            <w:tcW w:w="1546"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1A4</w:t>
            </w:r>
          </w:p>
          <w:p w:rsidR="000E7C4C" w:rsidRDefault="003C3EA6">
            <w:pPr>
              <w:jc w:val="center"/>
              <w:rPr>
                <w:color w:val="000000"/>
                <w:sz w:val="20"/>
              </w:rPr>
            </w:pPr>
            <w:r>
              <w:rPr>
                <w:color w:val="000000"/>
                <w:sz w:val="20"/>
              </w:rPr>
              <w:t>Kiti sektoriai (stacionarus ir mobilus deginimas)</w:t>
            </w:r>
          </w:p>
        </w:tc>
        <w:tc>
          <w:tcPr>
            <w:tcW w:w="162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3B</w:t>
            </w:r>
          </w:p>
          <w:p w:rsidR="000E7C4C" w:rsidRDefault="003C3EA6">
            <w:pPr>
              <w:jc w:val="center"/>
              <w:rPr>
                <w:color w:val="000000"/>
                <w:sz w:val="20"/>
              </w:rPr>
            </w:pPr>
            <w:r>
              <w:rPr>
                <w:color w:val="000000"/>
                <w:sz w:val="20"/>
              </w:rPr>
              <w:t>Gyvulininkystė ir mėšlo tvarkymas</w:t>
            </w:r>
          </w:p>
        </w:tc>
        <w:tc>
          <w:tcPr>
            <w:tcW w:w="109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2A,B,C,H,I,J,K,L</w:t>
            </w:r>
          </w:p>
          <w:p w:rsidR="000E7C4C" w:rsidRDefault="003C3EA6">
            <w:pPr>
              <w:jc w:val="center"/>
              <w:rPr>
                <w:color w:val="000000"/>
                <w:sz w:val="20"/>
              </w:rPr>
            </w:pPr>
            <w:r>
              <w:rPr>
                <w:color w:val="000000"/>
                <w:sz w:val="20"/>
              </w:rPr>
              <w:t>Pramonės procesai</w:t>
            </w:r>
          </w:p>
        </w:tc>
        <w:tc>
          <w:tcPr>
            <w:tcW w:w="992" w:type="dxa"/>
            <w:vMerge w:val="restart"/>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3C3EA6">
            <w:pPr>
              <w:jc w:val="center"/>
              <w:rPr>
                <w:color w:val="000000"/>
                <w:sz w:val="20"/>
              </w:rPr>
            </w:pPr>
            <w:r>
              <w:rPr>
                <w:color w:val="000000"/>
                <w:sz w:val="20"/>
              </w:rPr>
              <w:t>86.9%</w:t>
            </w:r>
          </w:p>
        </w:tc>
      </w:tr>
      <w:tr w:rsidR="000E7C4C">
        <w:trPr>
          <w:jc w:val="center"/>
        </w:trPr>
        <w:tc>
          <w:tcPr>
            <w:tcW w:w="1433" w:type="dxa"/>
            <w:vMerge/>
            <w:tcBorders>
              <w:top w:val="single" w:sz="2" w:space="0" w:color="1F497D" w:themeColor="text2"/>
              <w:left w:val="nil"/>
              <w:bottom w:val="single" w:sz="2" w:space="0" w:color="1F497D" w:themeColor="text2"/>
              <w:right w:val="single" w:sz="12" w:space="0" w:color="FFFFFF" w:themeColor="background1"/>
            </w:tcBorders>
            <w:vAlign w:val="center"/>
            <w:hideMark/>
          </w:tcPr>
          <w:p w:rsidR="000E7C4C" w:rsidRDefault="000E7C4C">
            <w:pPr>
              <w:rPr>
                <w:color w:val="000000"/>
                <w:sz w:val="20"/>
              </w:rPr>
            </w:pPr>
          </w:p>
        </w:tc>
        <w:tc>
          <w:tcPr>
            <w:tcW w:w="1417"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rPr>
              <w:t>22,2%</w:t>
            </w:r>
          </w:p>
        </w:tc>
        <w:tc>
          <w:tcPr>
            <w:tcW w:w="1411"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rPr>
              <w:t>21,2%</w:t>
            </w:r>
          </w:p>
        </w:tc>
        <w:tc>
          <w:tcPr>
            <w:tcW w:w="1546"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lang w:eastAsia="lt-LT"/>
              </w:rPr>
            </w:pPr>
            <w:r>
              <w:rPr>
                <w:color w:val="000000"/>
                <w:sz w:val="20"/>
              </w:rPr>
              <w:t>19,3%</w:t>
            </w:r>
          </w:p>
        </w:tc>
        <w:tc>
          <w:tcPr>
            <w:tcW w:w="1624"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17,2%</w:t>
            </w:r>
          </w:p>
        </w:tc>
        <w:tc>
          <w:tcPr>
            <w:tcW w:w="1095" w:type="dxa"/>
            <w:tcBorders>
              <w:top w:val="single" w:sz="2" w:space="0" w:color="1F497D" w:themeColor="text2"/>
              <w:left w:val="single" w:sz="12" w:space="0" w:color="FFFFFF" w:themeColor="background1"/>
              <w:bottom w:val="single" w:sz="2" w:space="0" w:color="1F497D" w:themeColor="text2"/>
              <w:right w:val="single" w:sz="12" w:space="0" w:color="FFFFFF" w:themeColor="background1"/>
            </w:tcBorders>
            <w:hideMark/>
          </w:tcPr>
          <w:p w:rsidR="000E7C4C" w:rsidRDefault="003C3EA6">
            <w:pPr>
              <w:jc w:val="center"/>
              <w:rPr>
                <w:color w:val="000000"/>
                <w:sz w:val="20"/>
              </w:rPr>
            </w:pPr>
            <w:r>
              <w:rPr>
                <w:color w:val="000000"/>
                <w:sz w:val="20"/>
              </w:rPr>
              <w:t>6,9%</w:t>
            </w:r>
          </w:p>
        </w:tc>
        <w:tc>
          <w:tcPr>
            <w:tcW w:w="992" w:type="dxa"/>
            <w:vMerge/>
            <w:tcBorders>
              <w:top w:val="single" w:sz="2" w:space="0" w:color="1F497D" w:themeColor="text2"/>
              <w:left w:val="single" w:sz="12" w:space="0" w:color="FFFFFF" w:themeColor="background1"/>
              <w:bottom w:val="single" w:sz="2" w:space="0" w:color="1F497D" w:themeColor="text2"/>
              <w:right w:val="nil"/>
            </w:tcBorders>
            <w:vAlign w:val="center"/>
            <w:hideMark/>
          </w:tcPr>
          <w:p w:rsidR="000E7C4C" w:rsidRDefault="000E7C4C">
            <w:pPr>
              <w:rPr>
                <w:color w:val="000000"/>
                <w:sz w:val="20"/>
              </w:rPr>
            </w:pPr>
          </w:p>
        </w:tc>
      </w:tr>
    </w:tbl>
    <w:p w:rsidR="000E7C4C" w:rsidRDefault="003C3EA6">
      <w:pPr>
        <w:spacing w:line="360" w:lineRule="atLeast"/>
        <w:jc w:val="center"/>
        <w:rPr>
          <w:color w:val="000000"/>
          <w:sz w:val="20"/>
          <w:szCs w:val="21"/>
        </w:rPr>
      </w:pPr>
      <w:r>
        <w:rPr>
          <w:color w:val="000000"/>
          <w:sz w:val="20"/>
          <w:szCs w:val="21"/>
        </w:rPr>
        <w:t>(Duomenų šaltinis: AAA)</w:t>
      </w:r>
    </w:p>
    <w:p w:rsidR="000E7C4C" w:rsidRDefault="003C3EA6"/>
    <w:p w:rsidR="000E7C4C" w:rsidRDefault="003C3EA6">
      <w:pPr>
        <w:tabs>
          <w:tab w:val="num" w:pos="360"/>
        </w:tabs>
        <w:jc w:val="center"/>
        <w:rPr>
          <w:b/>
          <w:color w:val="000000"/>
          <w:szCs w:val="21"/>
          <w:lang w:val="en-US"/>
        </w:rPr>
      </w:pPr>
      <w:r>
        <w:rPr>
          <w:b/>
          <w:color w:val="000000"/>
          <w:szCs w:val="21"/>
        </w:rPr>
        <w:t>IV</w:t>
      </w:r>
      <w:r>
        <w:rPr>
          <w:b/>
          <w:color w:val="000000"/>
          <w:szCs w:val="21"/>
        </w:rPr>
        <w:t xml:space="preserve"> SKYRIUS</w:t>
      </w:r>
    </w:p>
    <w:p w:rsidR="000E7C4C" w:rsidRDefault="003C3EA6">
      <w:pPr>
        <w:tabs>
          <w:tab w:val="num" w:pos="360"/>
        </w:tabs>
        <w:jc w:val="center"/>
        <w:rPr>
          <w:b/>
          <w:color w:val="000000"/>
          <w:szCs w:val="21"/>
        </w:rPr>
      </w:pPr>
      <w:r>
        <w:rPr>
          <w:b/>
          <w:color w:val="000000"/>
          <w:szCs w:val="21"/>
        </w:rPr>
        <w:t>PROGNOZUOJAMAS IŠMESTI Į APLINKOS ORĄ AMONIAKO KIEKIS</w:t>
      </w:r>
    </w:p>
    <w:p w:rsidR="000E7C4C" w:rsidRDefault="000E7C4C">
      <w:pPr>
        <w:tabs>
          <w:tab w:val="num" w:pos="360"/>
        </w:tabs>
        <w:jc w:val="both"/>
        <w:rPr>
          <w:color w:val="000000"/>
          <w:szCs w:val="21"/>
          <w:lang w:val="en-US"/>
        </w:rPr>
      </w:pPr>
    </w:p>
    <w:p w:rsidR="000E7C4C" w:rsidRDefault="003C3EA6">
      <w:pPr>
        <w:tabs>
          <w:tab w:val="left" w:pos="851"/>
        </w:tabs>
        <w:ind w:firstLine="567"/>
        <w:jc w:val="both"/>
        <w:rPr>
          <w:color w:val="000000"/>
          <w:szCs w:val="21"/>
        </w:rPr>
      </w:pPr>
      <w:r>
        <w:rPr>
          <w:color w:val="000000"/>
          <w:szCs w:val="21"/>
        </w:rPr>
        <w:t>7</w:t>
      </w:r>
      <w:r>
        <w:rPr>
          <w:color w:val="000000"/>
          <w:szCs w:val="21"/>
        </w:rPr>
        <w:t>.</w:t>
      </w:r>
      <w:r>
        <w:rPr>
          <w:color w:val="000000"/>
          <w:szCs w:val="21"/>
        </w:rPr>
        <w:tab/>
        <w:t>Prognozuota, kad vystant gyvulininkystę ir įgyvendinant esamas priemones į aplinkos orą išmetamo amoniako (toliau – NH</w:t>
      </w:r>
      <w:r>
        <w:rPr>
          <w:color w:val="000000"/>
          <w:szCs w:val="21"/>
          <w:vertAlign w:val="subscript"/>
        </w:rPr>
        <w:t>3</w:t>
      </w:r>
      <w:r>
        <w:rPr>
          <w:color w:val="000000"/>
          <w:szCs w:val="21"/>
        </w:rPr>
        <w:t>) kiekio mažėjimas nebus pakankamas 2020 m. ir 2030 m. tikslams pasiekti, t. y. nebus iki 2020 m. ir iki 2030 m. sumažintas išmetamas NH</w:t>
      </w:r>
      <w:r>
        <w:rPr>
          <w:color w:val="000000"/>
          <w:szCs w:val="21"/>
          <w:vertAlign w:val="subscript"/>
        </w:rPr>
        <w:t xml:space="preserve">3 </w:t>
      </w:r>
      <w:r>
        <w:rPr>
          <w:color w:val="000000"/>
          <w:szCs w:val="21"/>
        </w:rPr>
        <w:t>kiekis 10 proc., palyginus su 2005 m. išmestu kiekiu. (žr. 4 pav.).</w:t>
      </w:r>
    </w:p>
    <w:p w:rsidR="000E7C4C" w:rsidRDefault="003C3EA6">
      <w:pPr>
        <w:spacing w:line="360" w:lineRule="atLeast"/>
        <w:jc w:val="center"/>
        <w:rPr>
          <w:color w:val="000000"/>
          <w:szCs w:val="21"/>
          <w:lang w:eastAsia="lt-LT"/>
        </w:rPr>
      </w:pPr>
      <w:r>
        <w:rPr>
          <w:noProof/>
          <w:color w:val="000000"/>
          <w:szCs w:val="21"/>
          <w:lang w:eastAsia="lt-LT"/>
        </w:rPr>
        <w:drawing>
          <wp:inline distT="0" distB="0" distL="0" distR="0" wp14:anchorId="79718D9C" wp14:editId="66459777">
            <wp:extent cx="4200525" cy="2990850"/>
            <wp:effectExtent l="0" t="0" r="9525" b="0"/>
            <wp:docPr id="514" name="Paveikslėlis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00525" cy="2990850"/>
                    </a:xfrm>
                    <a:prstGeom prst="rect">
                      <a:avLst/>
                    </a:prstGeom>
                    <a:noFill/>
                    <a:ln>
                      <a:noFill/>
                    </a:ln>
                  </pic:spPr>
                </pic:pic>
              </a:graphicData>
            </a:graphic>
          </wp:inline>
        </w:drawing>
      </w:r>
    </w:p>
    <w:p w:rsidR="000E7C4C" w:rsidRDefault="003C3EA6">
      <w:pPr>
        <w:keepNext/>
        <w:tabs>
          <w:tab w:val="left" w:pos="993"/>
        </w:tabs>
        <w:jc w:val="center"/>
        <w:rPr>
          <w:color w:val="000000"/>
          <w:sz w:val="20"/>
        </w:rPr>
      </w:pPr>
      <w:r>
        <w:rPr>
          <w:color w:val="000000"/>
          <w:sz w:val="20"/>
        </w:rPr>
        <w:t>4 paveikslas. Išmesto NH</w:t>
      </w:r>
      <w:r>
        <w:rPr>
          <w:color w:val="000000"/>
          <w:sz w:val="20"/>
          <w:vertAlign w:val="subscript"/>
        </w:rPr>
        <w:t>3</w:t>
      </w:r>
      <w:r>
        <w:rPr>
          <w:color w:val="000000"/>
          <w:sz w:val="20"/>
        </w:rPr>
        <w:t xml:space="preserve"> kiekio prognozė 2020 m., 2025 m., 2030 m.</w:t>
      </w:r>
    </w:p>
    <w:p w:rsidR="000E7C4C" w:rsidRDefault="003C3EA6">
      <w:pPr>
        <w:jc w:val="center"/>
        <w:rPr>
          <w:color w:val="000000"/>
          <w:sz w:val="20"/>
          <w:szCs w:val="21"/>
        </w:rPr>
      </w:pPr>
      <w:r>
        <w:rPr>
          <w:color w:val="000000"/>
          <w:sz w:val="20"/>
          <w:szCs w:val="21"/>
        </w:rPr>
        <w:t>(Duomenų šaltinis: AAA)</w:t>
      </w:r>
    </w:p>
    <w:p w:rsidR="000E7C4C" w:rsidRDefault="003C3EA6">
      <w:pPr>
        <w:spacing w:line="360" w:lineRule="atLeast"/>
        <w:jc w:val="both"/>
        <w:rPr>
          <w:b/>
          <w:color w:val="000000"/>
          <w:szCs w:val="21"/>
        </w:rPr>
      </w:pPr>
    </w:p>
    <w:p w:rsidR="000E7C4C" w:rsidRDefault="003C3EA6">
      <w:pPr>
        <w:tabs>
          <w:tab w:val="left" w:pos="851"/>
        </w:tabs>
        <w:ind w:firstLine="567"/>
        <w:jc w:val="both"/>
        <w:rPr>
          <w:color w:val="000000"/>
          <w:szCs w:val="21"/>
        </w:rPr>
      </w:pPr>
      <w:r>
        <w:rPr>
          <w:color w:val="000000"/>
          <w:szCs w:val="21"/>
        </w:rPr>
        <w:t>8</w:t>
      </w:r>
      <w:r>
        <w:rPr>
          <w:color w:val="000000"/>
          <w:szCs w:val="21"/>
        </w:rPr>
        <w:t>.</w:t>
      </w:r>
      <w:r>
        <w:rPr>
          <w:color w:val="000000"/>
          <w:szCs w:val="21"/>
        </w:rPr>
        <w:tab/>
        <w:t>Analizuojant išmesto NH</w:t>
      </w:r>
      <w:r>
        <w:rPr>
          <w:color w:val="000000"/>
          <w:szCs w:val="21"/>
          <w:vertAlign w:val="subscript"/>
        </w:rPr>
        <w:t>3</w:t>
      </w:r>
      <w:r>
        <w:rPr>
          <w:color w:val="000000"/>
          <w:szCs w:val="21"/>
        </w:rPr>
        <w:t xml:space="preserve"> kiekio prognozes pagal sektorius, nustatyta, kad didės išmetimai iš augalininkystės ir dirvožemio dėl naudojamų neorganinių azoto (N) trąšų. 2020–2030 m. augalininkystės ir dirvožemio sektorius išmes į aplinkos orą daugiau nei pusę viso išmesto NH</w:t>
      </w:r>
      <w:r>
        <w:rPr>
          <w:color w:val="000000"/>
          <w:szCs w:val="21"/>
          <w:vertAlign w:val="subscript"/>
        </w:rPr>
        <w:t>3</w:t>
      </w:r>
      <w:r>
        <w:rPr>
          <w:color w:val="000000"/>
          <w:szCs w:val="21"/>
        </w:rPr>
        <w:t xml:space="preserve"> kiekio. Tarp kitų reikšmingų sektorių – kiaulių ūkiai ir pieninių galvijų ūkiai, tačiau jų dalis bendroje išmesto NH</w:t>
      </w:r>
      <w:r>
        <w:rPr>
          <w:color w:val="000000"/>
          <w:szCs w:val="21"/>
          <w:vertAlign w:val="subscript"/>
        </w:rPr>
        <w:t>3</w:t>
      </w:r>
      <w:r>
        <w:rPr>
          <w:color w:val="000000"/>
          <w:szCs w:val="21"/>
        </w:rPr>
        <w:t xml:space="preserve"> kiekio struktūroje mažės. Prognozuojama, kad didės NH</w:t>
      </w:r>
      <w:r>
        <w:rPr>
          <w:color w:val="000000"/>
          <w:szCs w:val="21"/>
          <w:vertAlign w:val="subscript"/>
        </w:rPr>
        <w:t>3</w:t>
      </w:r>
      <w:r>
        <w:rPr>
          <w:color w:val="000000"/>
          <w:szCs w:val="21"/>
        </w:rPr>
        <w:t xml:space="preserve"> išmetimai iš ne pieninių galvijų ūkių.</w:t>
      </w:r>
    </w:p>
    <w:p w:rsidR="000E7C4C" w:rsidRDefault="000E7C4C">
      <w:pPr>
        <w:spacing w:line="360" w:lineRule="atLeast"/>
        <w:ind w:left="720"/>
        <w:jc w:val="both"/>
        <w:rPr>
          <w:color w:val="000000"/>
          <w:szCs w:val="21"/>
        </w:rPr>
      </w:pPr>
    </w:p>
    <w:p w:rsidR="000E7C4C" w:rsidRDefault="003C3EA6">
      <w:pPr>
        <w:ind w:right="284"/>
        <w:jc w:val="both"/>
        <w:rPr>
          <w:color w:val="000000"/>
          <w:szCs w:val="24"/>
        </w:rPr>
      </w:pPr>
      <w:r>
        <w:rPr>
          <w:color w:val="000000"/>
          <w:szCs w:val="24"/>
        </w:rPr>
        <w:t>4 lentelė. Išmestas į aplinkos orą NH</w:t>
      </w:r>
      <w:r>
        <w:rPr>
          <w:color w:val="000000"/>
          <w:szCs w:val="24"/>
          <w:vertAlign w:val="subscript"/>
        </w:rPr>
        <w:t>3</w:t>
      </w:r>
      <w:r>
        <w:rPr>
          <w:color w:val="000000"/>
          <w:szCs w:val="24"/>
        </w:rPr>
        <w:t xml:space="preserve"> kiekis: pagrindinių kategorijų analizė baziniais, paskutiniais prieinamais ir prognozuojamais metais</w:t>
      </w:r>
    </w:p>
    <w:tbl>
      <w:tblPr>
        <w:tblW w:w="9465" w:type="dxa"/>
        <w:jc w:val="center"/>
        <w:tblBorders>
          <w:top w:val="single" w:sz="12" w:space="0" w:color="FFFFFF"/>
          <w:bottom w:val="single" w:sz="2" w:space="0" w:color="1F497D"/>
          <w:insideH w:val="single" w:sz="2" w:space="0" w:color="1F497D"/>
          <w:insideV w:val="single" w:sz="12" w:space="0" w:color="FFFFFF"/>
        </w:tblBorders>
        <w:tblLayout w:type="fixed"/>
        <w:tblCellMar>
          <w:top w:w="28" w:type="dxa"/>
          <w:left w:w="28" w:type="dxa"/>
          <w:bottom w:w="28" w:type="dxa"/>
          <w:right w:w="28" w:type="dxa"/>
        </w:tblCellMar>
        <w:tblLook w:val="04A0" w:firstRow="1" w:lastRow="0" w:firstColumn="1" w:lastColumn="0" w:noHBand="0" w:noVBand="1"/>
      </w:tblPr>
      <w:tblGrid>
        <w:gridCol w:w="1384"/>
        <w:gridCol w:w="1416"/>
        <w:gridCol w:w="1410"/>
        <w:gridCol w:w="1545"/>
        <w:gridCol w:w="1623"/>
        <w:gridCol w:w="1095"/>
        <w:gridCol w:w="992"/>
      </w:tblGrid>
      <w:tr w:rsidR="000E7C4C">
        <w:trPr>
          <w:tblHeader/>
          <w:jc w:val="center"/>
        </w:trPr>
        <w:tc>
          <w:tcPr>
            <w:tcW w:w="1384" w:type="dxa"/>
            <w:tcBorders>
              <w:top w:val="single" w:sz="12" w:space="0" w:color="FFFFFF"/>
              <w:left w:val="nil"/>
              <w:bottom w:val="single" w:sz="2" w:space="0" w:color="1F497D"/>
              <w:right w:val="single" w:sz="12" w:space="0" w:color="FFFFFF"/>
            </w:tcBorders>
            <w:shd w:val="clear" w:color="auto" w:fill="002060"/>
            <w:vAlign w:val="center"/>
            <w:hideMark/>
          </w:tcPr>
          <w:p w:rsidR="000E7C4C" w:rsidRDefault="003C3EA6">
            <w:pPr>
              <w:jc w:val="center"/>
              <w:rPr>
                <w:color w:val="FFFFFF"/>
                <w:sz w:val="20"/>
              </w:rPr>
            </w:pPr>
            <w:r>
              <w:rPr>
                <w:noProof/>
                <w:lang w:eastAsia="lt-LT"/>
              </w:rPr>
              <mc:AlternateContent>
                <mc:Choice Requires="wps">
                  <w:drawing>
                    <wp:anchor distT="0" distB="0" distL="114300" distR="114300" simplePos="0" relativeHeight="251694080" behindDoc="1" locked="0" layoutInCell="1" allowOverlap="1" wp14:anchorId="55C5CE85" wp14:editId="733677AA">
                      <wp:simplePos x="0" y="0"/>
                      <wp:positionH relativeFrom="column">
                        <wp:posOffset>-37465</wp:posOffset>
                      </wp:positionH>
                      <wp:positionV relativeFrom="paragraph">
                        <wp:posOffset>-12065</wp:posOffset>
                      </wp:positionV>
                      <wp:extent cx="5547360" cy="152400"/>
                      <wp:effectExtent l="0" t="0" r="0" b="0"/>
                      <wp:wrapNone/>
                      <wp:docPr id="523" name="Stačiakampis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360" cy="152400"/>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5F3B9262" id="Stačiakampis 523" o:spid="_x0000_s1026" style="position:absolute;margin-left:-2.95pt;margin-top:-.95pt;width:436.8pt;height:1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MpckVwIAAJAEAAAOAAAAZHJzL2Uyb0RvYy54bWysVM1u1DAQviPxDpbvNMm2W0q02WrVUoRU oNKCOM86TmLVf4y9my3vwFvxYIyd3VLKDXGxJh7PzPfNN5PF5d5otpMYlLMNr05KzqQVrlW2b/iX zzevLjgLEWwL2lnZ8AcZ+OXy5YvF6Gs5c4PTrURGSWyoR9/wIUZfF0UQgzQQTpyXlpydQwORPrEv WoSRshtdzMryvBgdth6dkCHQ7fXk5Mucv+ukiJ+6LsjIdMMJW8wn5nOTzmK5gLpH8IMSBxjwDygM KEtFH1NdQwS2RfVXKqMEuuC6eCKcKVzXKSEzB2JTlc/YrAfwMnOh5gT/2Kbw/9KKj7s7ZKpt+Hx2 ypkFQyKtI/z8oeAejFeBJQe1afShptdrf4eJaPC3TtwHZt3VALaXK0Q3DhJaAlel98UfAekjUCjb jB9cSzVgG13u2L5DkxJSL9g+C/PwKIzcRybocj4/e316TvoJ8lXz2VmZlSugPkZ7DPGddIYlo+FI wufssLsNMaGB+vjkIFN7o7Rm6OJXFYfc6VQ2OwPFTAbzjvhM1wH7zZVGtoM0S2VZzVaZJ4kenr6u yEf40tWzEGJx/iSEMPXHUlpZRm1MtVgQoCUpMrUxz1QGmzJqy8aGv5nP5rmAdYlFHmKjIm2SVqbh FxOCfJ0keWvbbEdQerKptLYHjZIsk7wb1z6QRNSTjIPWmozB4XfORlqRhodvW0DJmX5vc1tYPBp4 NDZHA6yg0IZHTsSSeRWnvdt6VP1AmasDhRWNQqeySmlMJhQHcDT2WbzDiqa9evqdX/3+kSx/AQAA //8DAFBLAwQUAAYACAAAACEA+QH24d4AAAAIAQAADwAAAGRycy9kb3ducmV2LnhtbEyPwU7DMBBE 70j8g7VI3Fo7kUjSEKdCCG5QiVLubmySiHid2m6a8vVsT+U0Ws1o9k21nu3AJuND71BCshTADDZO 99hK2H2+LgpgISrUanBoJJxNgHV9e1OpUrsTfphpG1tGJRhKJaGLcSw5D01nrApLNxok79t5qyKd vuXaqxOV24GnQmTcqh7pQ6dG89yZ5md7tBLEb7/ZFZv3/PDim6+31ZQdxDmT8v5ufnoEFs0cr2G4 4BM61MS0d0fUgQ0SFg8rSpImpOQXWZ4D20tI0wR4XfH/A+o/AAAA//8DAFBLAQItABQABgAIAAAA IQC2gziS/gAAAOEBAAATAAAAAAAAAAAAAAAAAAAAAABbQ29udGVudF9UeXBlc10ueG1sUEsBAi0A FAAGAAgAAAAhADj9If/WAAAAlAEAAAsAAAAAAAAAAAAAAAAALwEAAF9yZWxzLy5yZWxzUEsBAi0A FAAGAAgAAAAhAB8ylyRXAgAAkAQAAA4AAAAAAAAAAAAAAAAALgIAAGRycy9lMm9Eb2MueG1sUEsB Ai0AFAAGAAgAAAAhAPkB9uHeAAAACAEAAA8AAAAAAAAAAAAAAAAAsQQAAGRycy9kb3ducmV2Lnht bFBLBQYAAAAABAAEAPMAAAC8BQAAAAA= " fillcolor="#00012a" stroked="f">
                      <v:fill color2="#005476" angle="90" focus="100%" type="gradient"/>
                      <v:textbox inset="0,0,0,0"/>
                    </v:rect>
                  </w:pict>
                </mc:Fallback>
              </mc:AlternateContent>
            </w:r>
            <w:r>
              <w:rPr>
                <w:noProof/>
                <w:lang w:eastAsia="lt-LT"/>
              </w:rPr>
              <mc:AlternateContent>
                <mc:Choice Requires="wps">
                  <w:drawing>
                    <wp:anchor distT="0" distB="0" distL="114300" distR="114300" simplePos="0" relativeHeight="251695104" behindDoc="1" locked="0" layoutInCell="1" allowOverlap="1" wp14:anchorId="2090A799" wp14:editId="0DD67821">
                      <wp:simplePos x="0" y="0"/>
                      <wp:positionH relativeFrom="column">
                        <wp:posOffset>-27305</wp:posOffset>
                      </wp:positionH>
                      <wp:positionV relativeFrom="paragraph">
                        <wp:posOffset>-12065</wp:posOffset>
                      </wp:positionV>
                      <wp:extent cx="5701030" cy="152400"/>
                      <wp:effectExtent l="0" t="0" r="0" b="0"/>
                      <wp:wrapNone/>
                      <wp:docPr id="524" name="Stačiakampis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1030" cy="152400"/>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5D16A782" id="Stačiakampis 524" o:spid="_x0000_s1026" style="position:absolute;margin-left:-2.15pt;margin-top:-.95pt;width:448.9pt;height:1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hdASVgIAAJAEAAAOAAAAZHJzL2Uyb0RvYy54bWysVM1u1DAQviPxDpbvNMnSbUu02WrVUoRU oNKCOM86TmLVf4y9my3vwFvxYIyd3VLKDXGxJh7PzDffN5PF5d5otpMYlLMNr05KzqQVrlW2b/iX zzevLjgLEWwL2lnZ8AcZ+OXy5YvF6Gs5c4PTrURGSWyoR9/wIUZfF0UQgzQQTpyXlpydQwORPrEv WoSRshtdzMryrBgdth6dkCHQ7fXk5Mucv+ukiJ+6LsjIdMMJW8wn5nOTzmK5gLpH8IMSBxjwDygM KEtFH1NdQwS2RfVXKqMEuuC6eCKcKVzXKSFzD9RNVT7rZj2Al7kXIif4R5rC/0srPu7ukKm24fPZ KWcWDIm0jvDzh4J7MF4FlhxE0+hDTa/X/g5To8HfOnEfmHVXA9herhDdOEhoCVyV3hd/BKSPQKFs M35wLdWAbXSZsX2HJiUkLtg+C/PwKIzcRybocn5O5Lwm/QT5KgJUZuUKqI/RHkN8J51hyWg4kvA5 O+xuQ0xooD4+OcjU3iitGbr4VcUhM53KZmegmMlg3lE/03XAfnOlke0gzVJZVrNV7pNED09fV+Qj fOnqWcj89PzsSQhh6o+ltLKMaEy1WBCgJSky0ZhnKoNNGbVlY8PfzGfzXMC61EUeYqMibZJWpuEX E4J8nSR5a9tsR1B6sqm0tgeNkiyTvBvXPpBExEnGQWtNxuDwO2cjrUjDw7ctoORMv7eZFhaPBh6N zdEAKyi04ZFTY8m8itPebT2qfqDM1aGFFY1Cp7JKaUwmFAdwNPZZvMOKpr16+p1f/f6RLH8BAAD/ /wMAUEsDBBQABgAIAAAAIQDJknUb3wAAAAgBAAAPAAAAZHJzL2Rvd25yZXYueG1sTI/BTsMwEETv SPyDtUjcWjsphCTEqRCCG1SilLsbmyQiXqe2m6Z8PcsJTqPVjGbeVuvZDmwyPvQOJSRLAcxg43SP rYTd+/MiBxaiQq0Gh0bC2QRY15cXlSq1O+GbmbaxZVSCoVQSuhjHkvPQdMaqsHSjQfI+nbcq0ulb rr06UbkdeCpExq3qkRY6NZrHzjRf26OVIL77zS7fvN4dnnzz8VJM2UGcMymvr+aHe2DRzPEvDL/4 hA41Me3dEXVgg4TFzYqSpEkBjPy8WN0C20tI0wR4XfH/D9Q/AAAA//8DAFBLAQItABQABgAIAAAA IQC2gziS/gAAAOEBAAATAAAAAAAAAAAAAAAAAAAAAABbQ29udGVudF9UeXBlc10ueG1sUEsBAi0A FAAGAAgAAAAhADj9If/WAAAAlAEAAAsAAAAAAAAAAAAAAAAALwEAAF9yZWxzLy5yZWxzUEsBAi0A FAAGAAgAAAAhAOeF0BJWAgAAkAQAAA4AAAAAAAAAAAAAAAAALgIAAGRycy9lMm9Eb2MueG1sUEsB Ai0AFAAGAAgAAAAhAMmSdRvfAAAACAEAAA8AAAAAAAAAAAAAAAAAsAQAAGRycy9kb3ducmV2Lnht bFBLBQYAAAAABAAEAPMAAAC8BQAAAAA= " fillcolor="#00012a" stroked="f">
                      <v:fill color2="#005476" angle="90" focus="100%" type="gradient"/>
                      <v:textbox inset="0,0,0,0"/>
                    </v:rect>
                  </w:pict>
                </mc:Fallback>
              </mc:AlternateContent>
            </w:r>
            <w:r>
              <w:rPr>
                <w:color w:val="FFFFFF"/>
                <w:sz w:val="20"/>
                <w:lang w:eastAsia="lt-LT"/>
              </w:rPr>
              <w:t>Metai</w:t>
            </w:r>
          </w:p>
        </w:tc>
        <w:tc>
          <w:tcPr>
            <w:tcW w:w="7093" w:type="dxa"/>
            <w:gridSpan w:val="5"/>
            <w:tcBorders>
              <w:top w:val="single" w:sz="12" w:space="0" w:color="FFFFFF"/>
              <w:left w:val="single" w:sz="12" w:space="0" w:color="FFFFFF"/>
              <w:bottom w:val="single" w:sz="2" w:space="0" w:color="1F497D"/>
              <w:right w:val="single" w:sz="12" w:space="0" w:color="FFFFFF"/>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Pagrindinės kategorijos (surūšiuotos nuo aukščiausios iki žemiausios, iš kairės į dešinę)</w:t>
            </w:r>
          </w:p>
        </w:tc>
        <w:tc>
          <w:tcPr>
            <w:tcW w:w="992" w:type="dxa"/>
            <w:tcBorders>
              <w:top w:val="single" w:sz="12" w:space="0" w:color="FFFFFF"/>
              <w:left w:val="single" w:sz="12" w:space="0" w:color="FFFFFF"/>
              <w:bottom w:val="single" w:sz="2" w:space="0" w:color="1F497D"/>
              <w:right w:val="nil"/>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Iš viso</w:t>
            </w:r>
          </w:p>
        </w:tc>
      </w:tr>
      <w:tr w:rsidR="000E7C4C">
        <w:trPr>
          <w:jc w:val="center"/>
        </w:trPr>
        <w:tc>
          <w:tcPr>
            <w:tcW w:w="1384" w:type="dxa"/>
            <w:vMerge w:val="restart"/>
            <w:tcBorders>
              <w:top w:val="single" w:sz="2" w:space="0" w:color="1F497D"/>
              <w:left w:val="nil"/>
              <w:bottom w:val="single" w:sz="2" w:space="0" w:color="1F497D"/>
              <w:right w:val="single" w:sz="12" w:space="0" w:color="FFFFFF"/>
            </w:tcBorders>
          </w:tcPr>
          <w:p w:rsidR="000E7C4C" w:rsidRDefault="003C3EA6">
            <w:pPr>
              <w:jc w:val="center"/>
              <w:rPr>
                <w:color w:val="000000"/>
                <w:sz w:val="20"/>
              </w:rPr>
            </w:pPr>
            <w:r>
              <w:rPr>
                <w:color w:val="000000"/>
                <w:sz w:val="20"/>
              </w:rPr>
              <w:t>2005</w:t>
            </w:r>
          </w:p>
          <w:p w:rsidR="000E7C4C" w:rsidRDefault="000E7C4C">
            <w:pPr>
              <w:jc w:val="center"/>
              <w:rPr>
                <w:color w:val="000000"/>
                <w:sz w:val="20"/>
              </w:rPr>
            </w:pPr>
          </w:p>
        </w:tc>
        <w:tc>
          <w:tcPr>
            <w:tcW w:w="1417"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3D</w:t>
            </w:r>
          </w:p>
          <w:p w:rsidR="000E7C4C" w:rsidRDefault="003C3EA6">
            <w:pPr>
              <w:jc w:val="center"/>
              <w:rPr>
                <w:color w:val="000000"/>
                <w:sz w:val="20"/>
              </w:rPr>
            </w:pPr>
            <w:r>
              <w:rPr>
                <w:color w:val="000000"/>
                <w:sz w:val="20"/>
              </w:rPr>
              <w:t>Augalininkystė ir dirvožemis</w:t>
            </w:r>
          </w:p>
        </w:tc>
        <w:tc>
          <w:tcPr>
            <w:tcW w:w="1411"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3B3</w:t>
            </w:r>
          </w:p>
          <w:p w:rsidR="000E7C4C" w:rsidRDefault="003C3EA6">
            <w:pPr>
              <w:jc w:val="center"/>
              <w:rPr>
                <w:color w:val="000000"/>
                <w:sz w:val="20"/>
              </w:rPr>
            </w:pPr>
            <w:r>
              <w:rPr>
                <w:color w:val="000000"/>
                <w:sz w:val="20"/>
              </w:rPr>
              <w:t>Kiaulių ūkių mėšlo valdymas</w:t>
            </w:r>
          </w:p>
        </w:tc>
        <w:tc>
          <w:tcPr>
            <w:tcW w:w="154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3B1a</w:t>
            </w:r>
          </w:p>
          <w:p w:rsidR="000E7C4C" w:rsidRDefault="003C3EA6">
            <w:pPr>
              <w:jc w:val="center"/>
              <w:rPr>
                <w:color w:val="000000"/>
                <w:sz w:val="20"/>
              </w:rPr>
            </w:pPr>
            <w:r>
              <w:rPr>
                <w:color w:val="000000"/>
                <w:sz w:val="20"/>
              </w:rPr>
              <w:t>Pieninių galvijų ūkių mėšlo valdymas</w:t>
            </w:r>
          </w:p>
        </w:tc>
        <w:tc>
          <w:tcPr>
            <w:tcW w:w="162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3B1b</w:t>
            </w:r>
          </w:p>
          <w:p w:rsidR="000E7C4C" w:rsidRDefault="003C3EA6">
            <w:pPr>
              <w:jc w:val="center"/>
              <w:rPr>
                <w:color w:val="000000"/>
                <w:sz w:val="20"/>
              </w:rPr>
            </w:pPr>
            <w:r>
              <w:rPr>
                <w:color w:val="000000"/>
                <w:sz w:val="20"/>
              </w:rPr>
              <w:t>Ne pieninių galvijų ūkių mėšlo valdymas</w:t>
            </w:r>
          </w:p>
        </w:tc>
        <w:tc>
          <w:tcPr>
            <w:tcW w:w="1095"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1A4</w:t>
            </w:r>
          </w:p>
          <w:p w:rsidR="000E7C4C" w:rsidRDefault="003C3EA6">
            <w:pPr>
              <w:jc w:val="center"/>
              <w:rPr>
                <w:color w:val="000000"/>
                <w:sz w:val="20"/>
              </w:rPr>
            </w:pPr>
            <w:r>
              <w:rPr>
                <w:color w:val="000000"/>
                <w:sz w:val="20"/>
              </w:rPr>
              <w:t>Kiti sektoriai (stacionarus ir mobilus deginimas)</w:t>
            </w:r>
          </w:p>
        </w:tc>
        <w:tc>
          <w:tcPr>
            <w:tcW w:w="992" w:type="dxa"/>
            <w:vMerge w:val="restart"/>
            <w:tcBorders>
              <w:top w:val="single" w:sz="2" w:space="0" w:color="1F497D"/>
              <w:left w:val="single" w:sz="12" w:space="0" w:color="FFFFFF"/>
              <w:bottom w:val="single" w:sz="2" w:space="0" w:color="1F497D"/>
              <w:right w:val="nil"/>
            </w:tcBorders>
            <w:hideMark/>
          </w:tcPr>
          <w:p w:rsidR="000E7C4C" w:rsidRDefault="003C3EA6">
            <w:pPr>
              <w:jc w:val="center"/>
              <w:rPr>
                <w:color w:val="000000"/>
                <w:sz w:val="20"/>
              </w:rPr>
            </w:pPr>
            <w:r>
              <w:rPr>
                <w:color w:val="000000"/>
                <w:sz w:val="20"/>
              </w:rPr>
              <w:t>84.4%</w:t>
            </w:r>
          </w:p>
        </w:tc>
      </w:tr>
      <w:tr w:rsidR="000E7C4C">
        <w:trPr>
          <w:jc w:val="center"/>
        </w:trPr>
        <w:tc>
          <w:tcPr>
            <w:tcW w:w="1384"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20"/>
              </w:rPr>
            </w:pPr>
          </w:p>
        </w:tc>
        <w:tc>
          <w:tcPr>
            <w:tcW w:w="1417"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41,9%</w:t>
            </w:r>
          </w:p>
        </w:tc>
        <w:tc>
          <w:tcPr>
            <w:tcW w:w="1411"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18,2%</w:t>
            </w:r>
          </w:p>
        </w:tc>
        <w:tc>
          <w:tcPr>
            <w:tcW w:w="154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13,4%</w:t>
            </w:r>
          </w:p>
        </w:tc>
        <w:tc>
          <w:tcPr>
            <w:tcW w:w="162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5,5%</w:t>
            </w:r>
          </w:p>
        </w:tc>
        <w:tc>
          <w:tcPr>
            <w:tcW w:w="1095"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5,3%</w:t>
            </w:r>
          </w:p>
        </w:tc>
        <w:tc>
          <w:tcPr>
            <w:tcW w:w="992" w:type="dxa"/>
            <w:vMerge/>
            <w:tcBorders>
              <w:top w:val="single" w:sz="2" w:space="0" w:color="1F497D"/>
              <w:left w:val="single" w:sz="12" w:space="0" w:color="FFFFFF"/>
              <w:bottom w:val="single" w:sz="2" w:space="0" w:color="1F497D"/>
              <w:right w:val="nil"/>
            </w:tcBorders>
            <w:vAlign w:val="center"/>
            <w:hideMark/>
          </w:tcPr>
          <w:p w:rsidR="000E7C4C" w:rsidRDefault="000E7C4C">
            <w:pPr>
              <w:rPr>
                <w:color w:val="000000"/>
                <w:sz w:val="20"/>
              </w:rPr>
            </w:pPr>
          </w:p>
        </w:tc>
      </w:tr>
      <w:tr w:rsidR="000E7C4C">
        <w:trPr>
          <w:jc w:val="center"/>
        </w:trPr>
        <w:tc>
          <w:tcPr>
            <w:tcW w:w="1384" w:type="dxa"/>
            <w:vMerge w:val="restart"/>
            <w:tcBorders>
              <w:top w:val="single" w:sz="2" w:space="0" w:color="1F497D"/>
              <w:left w:val="nil"/>
              <w:bottom w:val="single" w:sz="2" w:space="0" w:color="1F497D"/>
              <w:right w:val="single" w:sz="12" w:space="0" w:color="FFFFFF"/>
            </w:tcBorders>
          </w:tcPr>
          <w:p w:rsidR="000E7C4C" w:rsidRDefault="003C3EA6">
            <w:pPr>
              <w:jc w:val="center"/>
              <w:rPr>
                <w:color w:val="000000"/>
                <w:sz w:val="20"/>
              </w:rPr>
            </w:pPr>
            <w:r>
              <w:rPr>
                <w:color w:val="000000"/>
                <w:sz w:val="20"/>
              </w:rPr>
              <w:t>2015</w:t>
            </w:r>
          </w:p>
          <w:p w:rsidR="000E7C4C" w:rsidRDefault="000E7C4C">
            <w:pPr>
              <w:jc w:val="center"/>
              <w:rPr>
                <w:color w:val="000000"/>
                <w:sz w:val="20"/>
              </w:rPr>
            </w:pPr>
          </w:p>
        </w:tc>
        <w:tc>
          <w:tcPr>
            <w:tcW w:w="1417"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3D</w:t>
            </w:r>
          </w:p>
          <w:p w:rsidR="000E7C4C" w:rsidRDefault="003C3EA6">
            <w:pPr>
              <w:jc w:val="center"/>
              <w:rPr>
                <w:color w:val="000000"/>
                <w:sz w:val="20"/>
              </w:rPr>
            </w:pPr>
            <w:r>
              <w:rPr>
                <w:color w:val="000000"/>
                <w:sz w:val="20"/>
              </w:rPr>
              <w:t>Augalininkystė ir dirvožemis</w:t>
            </w:r>
          </w:p>
        </w:tc>
        <w:tc>
          <w:tcPr>
            <w:tcW w:w="1411"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3B3</w:t>
            </w:r>
          </w:p>
          <w:p w:rsidR="000E7C4C" w:rsidRDefault="003C3EA6">
            <w:pPr>
              <w:jc w:val="center"/>
              <w:rPr>
                <w:color w:val="000000"/>
                <w:sz w:val="20"/>
              </w:rPr>
            </w:pPr>
            <w:r>
              <w:rPr>
                <w:color w:val="000000"/>
                <w:sz w:val="20"/>
              </w:rPr>
              <w:t>Kiaulių ūkių mėšlo valdymas</w:t>
            </w:r>
          </w:p>
        </w:tc>
        <w:tc>
          <w:tcPr>
            <w:tcW w:w="154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3B1a</w:t>
            </w:r>
          </w:p>
          <w:p w:rsidR="000E7C4C" w:rsidRDefault="003C3EA6">
            <w:pPr>
              <w:jc w:val="center"/>
              <w:rPr>
                <w:color w:val="000000"/>
                <w:sz w:val="20"/>
              </w:rPr>
            </w:pPr>
            <w:r>
              <w:rPr>
                <w:color w:val="000000"/>
                <w:sz w:val="20"/>
              </w:rPr>
              <w:t>Pieninių galvijų ūkių mėšlo valdymas</w:t>
            </w:r>
          </w:p>
        </w:tc>
        <w:tc>
          <w:tcPr>
            <w:tcW w:w="162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3B4g</w:t>
            </w:r>
          </w:p>
          <w:p w:rsidR="000E7C4C" w:rsidRDefault="003C3EA6">
            <w:pPr>
              <w:jc w:val="center"/>
              <w:rPr>
                <w:color w:val="000000"/>
                <w:sz w:val="20"/>
              </w:rPr>
            </w:pPr>
            <w:r>
              <w:rPr>
                <w:color w:val="000000"/>
                <w:sz w:val="20"/>
              </w:rPr>
              <w:t>Paukščių ūkių mėšlo valdymas</w:t>
            </w:r>
          </w:p>
        </w:tc>
        <w:tc>
          <w:tcPr>
            <w:tcW w:w="1095"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3B1b</w:t>
            </w:r>
          </w:p>
          <w:p w:rsidR="000E7C4C" w:rsidRDefault="003C3EA6">
            <w:pPr>
              <w:jc w:val="center"/>
              <w:rPr>
                <w:color w:val="000000"/>
                <w:sz w:val="20"/>
              </w:rPr>
            </w:pPr>
            <w:r>
              <w:rPr>
                <w:color w:val="000000"/>
                <w:sz w:val="20"/>
              </w:rPr>
              <w:t>Ne pieninių galvijų ūkių mėšlo valdymas</w:t>
            </w:r>
          </w:p>
        </w:tc>
        <w:tc>
          <w:tcPr>
            <w:tcW w:w="992" w:type="dxa"/>
            <w:vMerge w:val="restart"/>
            <w:tcBorders>
              <w:top w:val="single" w:sz="2" w:space="0" w:color="1F497D"/>
              <w:left w:val="single" w:sz="12" w:space="0" w:color="FFFFFF"/>
              <w:bottom w:val="single" w:sz="2" w:space="0" w:color="1F497D"/>
              <w:right w:val="nil"/>
            </w:tcBorders>
            <w:hideMark/>
          </w:tcPr>
          <w:p w:rsidR="000E7C4C" w:rsidRDefault="003C3EA6">
            <w:pPr>
              <w:jc w:val="center"/>
              <w:rPr>
                <w:color w:val="000000"/>
                <w:sz w:val="20"/>
              </w:rPr>
            </w:pPr>
            <w:r>
              <w:rPr>
                <w:color w:val="000000"/>
                <w:sz w:val="20"/>
              </w:rPr>
              <w:t>85.3%</w:t>
            </w:r>
          </w:p>
        </w:tc>
      </w:tr>
      <w:tr w:rsidR="000E7C4C">
        <w:trPr>
          <w:jc w:val="center"/>
        </w:trPr>
        <w:tc>
          <w:tcPr>
            <w:tcW w:w="1384"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20"/>
              </w:rPr>
            </w:pPr>
          </w:p>
        </w:tc>
        <w:tc>
          <w:tcPr>
            <w:tcW w:w="1417"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48,1%</w:t>
            </w:r>
          </w:p>
        </w:tc>
        <w:tc>
          <w:tcPr>
            <w:tcW w:w="1411"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12,5%</w:t>
            </w:r>
          </w:p>
        </w:tc>
        <w:tc>
          <w:tcPr>
            <w:tcW w:w="154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10,8%</w:t>
            </w:r>
          </w:p>
        </w:tc>
        <w:tc>
          <w:tcPr>
            <w:tcW w:w="162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7,1%</w:t>
            </w:r>
          </w:p>
        </w:tc>
        <w:tc>
          <w:tcPr>
            <w:tcW w:w="1095"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6,8%</w:t>
            </w:r>
          </w:p>
        </w:tc>
        <w:tc>
          <w:tcPr>
            <w:tcW w:w="992" w:type="dxa"/>
            <w:vMerge/>
            <w:tcBorders>
              <w:top w:val="single" w:sz="2" w:space="0" w:color="1F497D"/>
              <w:left w:val="single" w:sz="12" w:space="0" w:color="FFFFFF"/>
              <w:bottom w:val="single" w:sz="2" w:space="0" w:color="1F497D"/>
              <w:right w:val="nil"/>
            </w:tcBorders>
            <w:vAlign w:val="center"/>
            <w:hideMark/>
          </w:tcPr>
          <w:p w:rsidR="000E7C4C" w:rsidRDefault="000E7C4C">
            <w:pPr>
              <w:rPr>
                <w:color w:val="000000"/>
                <w:sz w:val="20"/>
              </w:rPr>
            </w:pPr>
          </w:p>
        </w:tc>
      </w:tr>
      <w:tr w:rsidR="000E7C4C">
        <w:trPr>
          <w:jc w:val="center"/>
        </w:trPr>
        <w:tc>
          <w:tcPr>
            <w:tcW w:w="1384" w:type="dxa"/>
            <w:vMerge w:val="restart"/>
            <w:tcBorders>
              <w:top w:val="single" w:sz="2" w:space="0" w:color="1F497D"/>
              <w:left w:val="nil"/>
              <w:bottom w:val="single" w:sz="2" w:space="0" w:color="1F497D"/>
              <w:right w:val="single" w:sz="12" w:space="0" w:color="FFFFFF"/>
            </w:tcBorders>
          </w:tcPr>
          <w:p w:rsidR="000E7C4C" w:rsidRDefault="003C3EA6">
            <w:pPr>
              <w:jc w:val="center"/>
              <w:rPr>
                <w:color w:val="000000"/>
                <w:sz w:val="20"/>
              </w:rPr>
            </w:pPr>
            <w:r>
              <w:rPr>
                <w:color w:val="000000"/>
                <w:sz w:val="20"/>
              </w:rPr>
              <w:t>2020</w:t>
            </w:r>
          </w:p>
          <w:p w:rsidR="000E7C4C" w:rsidRDefault="000E7C4C">
            <w:pPr>
              <w:jc w:val="center"/>
              <w:rPr>
                <w:color w:val="000000"/>
                <w:sz w:val="20"/>
              </w:rPr>
            </w:pPr>
          </w:p>
        </w:tc>
        <w:tc>
          <w:tcPr>
            <w:tcW w:w="1417"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3D</w:t>
            </w:r>
          </w:p>
          <w:p w:rsidR="000E7C4C" w:rsidRDefault="003C3EA6">
            <w:pPr>
              <w:jc w:val="center"/>
              <w:rPr>
                <w:color w:val="000000"/>
                <w:sz w:val="20"/>
              </w:rPr>
            </w:pPr>
            <w:r>
              <w:rPr>
                <w:color w:val="000000"/>
                <w:sz w:val="20"/>
              </w:rPr>
              <w:t>Augalininkystė ir dirvožemis</w:t>
            </w:r>
          </w:p>
        </w:tc>
        <w:tc>
          <w:tcPr>
            <w:tcW w:w="1411"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3B3</w:t>
            </w:r>
          </w:p>
          <w:p w:rsidR="000E7C4C" w:rsidRDefault="003C3EA6">
            <w:pPr>
              <w:jc w:val="center"/>
              <w:rPr>
                <w:color w:val="000000"/>
                <w:sz w:val="20"/>
              </w:rPr>
            </w:pPr>
            <w:r>
              <w:rPr>
                <w:color w:val="000000"/>
                <w:sz w:val="20"/>
              </w:rPr>
              <w:t>Kiaulių ūkių mėšlo valdymas</w:t>
            </w:r>
          </w:p>
        </w:tc>
        <w:tc>
          <w:tcPr>
            <w:tcW w:w="154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3B1a</w:t>
            </w:r>
          </w:p>
          <w:p w:rsidR="000E7C4C" w:rsidRDefault="003C3EA6">
            <w:pPr>
              <w:jc w:val="center"/>
              <w:rPr>
                <w:color w:val="000000"/>
                <w:sz w:val="20"/>
              </w:rPr>
            </w:pPr>
            <w:r>
              <w:rPr>
                <w:color w:val="000000"/>
                <w:sz w:val="20"/>
              </w:rPr>
              <w:t>Pieninių galvijų ūkių mėšlo valdymas</w:t>
            </w:r>
          </w:p>
        </w:tc>
        <w:tc>
          <w:tcPr>
            <w:tcW w:w="162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3B1b</w:t>
            </w:r>
          </w:p>
          <w:p w:rsidR="000E7C4C" w:rsidRDefault="003C3EA6">
            <w:pPr>
              <w:jc w:val="center"/>
              <w:rPr>
                <w:color w:val="000000"/>
                <w:sz w:val="20"/>
              </w:rPr>
            </w:pPr>
            <w:r>
              <w:rPr>
                <w:color w:val="000000"/>
                <w:sz w:val="20"/>
              </w:rPr>
              <w:t>Ne pieninių galvijų ūkių mėšlo valdymas</w:t>
            </w:r>
          </w:p>
        </w:tc>
        <w:tc>
          <w:tcPr>
            <w:tcW w:w="1095"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3B4g</w:t>
            </w:r>
          </w:p>
          <w:p w:rsidR="000E7C4C" w:rsidRDefault="003C3EA6">
            <w:pPr>
              <w:jc w:val="center"/>
              <w:rPr>
                <w:color w:val="000000"/>
                <w:sz w:val="20"/>
              </w:rPr>
            </w:pPr>
            <w:r>
              <w:rPr>
                <w:color w:val="000000"/>
                <w:sz w:val="20"/>
              </w:rPr>
              <w:t>Paukščių ūkių mėšlo valdymas</w:t>
            </w:r>
          </w:p>
        </w:tc>
        <w:tc>
          <w:tcPr>
            <w:tcW w:w="992" w:type="dxa"/>
            <w:vMerge w:val="restart"/>
            <w:tcBorders>
              <w:top w:val="single" w:sz="2" w:space="0" w:color="1F497D"/>
              <w:left w:val="single" w:sz="12" w:space="0" w:color="FFFFFF"/>
              <w:bottom w:val="single" w:sz="2" w:space="0" w:color="1F497D"/>
              <w:right w:val="nil"/>
            </w:tcBorders>
            <w:hideMark/>
          </w:tcPr>
          <w:p w:rsidR="000E7C4C" w:rsidRDefault="003C3EA6">
            <w:pPr>
              <w:jc w:val="center"/>
              <w:rPr>
                <w:color w:val="000000"/>
                <w:sz w:val="20"/>
              </w:rPr>
            </w:pPr>
            <w:r>
              <w:rPr>
                <w:color w:val="000000"/>
                <w:sz w:val="20"/>
              </w:rPr>
              <w:t>86.0%</w:t>
            </w:r>
          </w:p>
        </w:tc>
      </w:tr>
      <w:tr w:rsidR="000E7C4C">
        <w:trPr>
          <w:jc w:val="center"/>
        </w:trPr>
        <w:tc>
          <w:tcPr>
            <w:tcW w:w="1384"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20"/>
              </w:rPr>
            </w:pPr>
          </w:p>
        </w:tc>
        <w:tc>
          <w:tcPr>
            <w:tcW w:w="1417"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52,4%</w:t>
            </w:r>
          </w:p>
        </w:tc>
        <w:tc>
          <w:tcPr>
            <w:tcW w:w="1411"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10,3%</w:t>
            </w:r>
          </w:p>
        </w:tc>
        <w:tc>
          <w:tcPr>
            <w:tcW w:w="154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8,7%</w:t>
            </w:r>
          </w:p>
        </w:tc>
        <w:tc>
          <w:tcPr>
            <w:tcW w:w="162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7,7%</w:t>
            </w:r>
          </w:p>
        </w:tc>
        <w:tc>
          <w:tcPr>
            <w:tcW w:w="1095"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6,9%</w:t>
            </w:r>
          </w:p>
        </w:tc>
        <w:tc>
          <w:tcPr>
            <w:tcW w:w="992" w:type="dxa"/>
            <w:vMerge/>
            <w:tcBorders>
              <w:top w:val="single" w:sz="2" w:space="0" w:color="1F497D"/>
              <w:left w:val="single" w:sz="12" w:space="0" w:color="FFFFFF"/>
              <w:bottom w:val="single" w:sz="2" w:space="0" w:color="1F497D"/>
              <w:right w:val="nil"/>
            </w:tcBorders>
            <w:vAlign w:val="center"/>
            <w:hideMark/>
          </w:tcPr>
          <w:p w:rsidR="000E7C4C" w:rsidRDefault="000E7C4C">
            <w:pPr>
              <w:rPr>
                <w:color w:val="000000"/>
                <w:sz w:val="20"/>
              </w:rPr>
            </w:pPr>
          </w:p>
        </w:tc>
      </w:tr>
      <w:tr w:rsidR="000E7C4C">
        <w:trPr>
          <w:jc w:val="center"/>
        </w:trPr>
        <w:tc>
          <w:tcPr>
            <w:tcW w:w="1384" w:type="dxa"/>
            <w:vMerge w:val="restart"/>
            <w:tcBorders>
              <w:top w:val="single" w:sz="2" w:space="0" w:color="1F497D"/>
              <w:left w:val="nil"/>
              <w:bottom w:val="single" w:sz="2" w:space="0" w:color="1F497D"/>
              <w:right w:val="single" w:sz="12" w:space="0" w:color="FFFFFF"/>
            </w:tcBorders>
          </w:tcPr>
          <w:p w:rsidR="000E7C4C" w:rsidRDefault="003C3EA6">
            <w:pPr>
              <w:jc w:val="center"/>
              <w:rPr>
                <w:color w:val="000000"/>
                <w:sz w:val="20"/>
              </w:rPr>
            </w:pPr>
            <w:r>
              <w:rPr>
                <w:color w:val="000000"/>
                <w:sz w:val="20"/>
              </w:rPr>
              <w:t>2025</w:t>
            </w:r>
          </w:p>
          <w:p w:rsidR="000E7C4C" w:rsidRDefault="000E7C4C">
            <w:pPr>
              <w:jc w:val="center"/>
              <w:rPr>
                <w:color w:val="000000"/>
                <w:sz w:val="20"/>
              </w:rPr>
            </w:pPr>
          </w:p>
        </w:tc>
        <w:tc>
          <w:tcPr>
            <w:tcW w:w="1417"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3D</w:t>
            </w:r>
          </w:p>
          <w:p w:rsidR="000E7C4C" w:rsidRDefault="003C3EA6">
            <w:pPr>
              <w:jc w:val="center"/>
              <w:rPr>
                <w:color w:val="000000"/>
                <w:sz w:val="20"/>
              </w:rPr>
            </w:pPr>
            <w:r>
              <w:rPr>
                <w:color w:val="000000"/>
                <w:sz w:val="20"/>
              </w:rPr>
              <w:t>Augalininkystė ir dirvožemis</w:t>
            </w:r>
          </w:p>
        </w:tc>
        <w:tc>
          <w:tcPr>
            <w:tcW w:w="1411"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3B3</w:t>
            </w:r>
          </w:p>
          <w:p w:rsidR="000E7C4C" w:rsidRDefault="003C3EA6">
            <w:pPr>
              <w:jc w:val="center"/>
              <w:rPr>
                <w:color w:val="000000"/>
                <w:sz w:val="20"/>
              </w:rPr>
            </w:pPr>
            <w:r>
              <w:rPr>
                <w:color w:val="000000"/>
                <w:sz w:val="20"/>
              </w:rPr>
              <w:t>Kiaulių ūkių mėšlo valdymas</w:t>
            </w:r>
          </w:p>
        </w:tc>
        <w:tc>
          <w:tcPr>
            <w:tcW w:w="154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3B1a</w:t>
            </w:r>
          </w:p>
          <w:p w:rsidR="000E7C4C" w:rsidRDefault="003C3EA6">
            <w:pPr>
              <w:jc w:val="center"/>
              <w:rPr>
                <w:color w:val="000000"/>
                <w:sz w:val="20"/>
              </w:rPr>
            </w:pPr>
            <w:r>
              <w:rPr>
                <w:color w:val="000000"/>
                <w:sz w:val="20"/>
              </w:rPr>
              <w:t>Pieninių galvijų ūkių mėšlo valdymas</w:t>
            </w:r>
          </w:p>
        </w:tc>
        <w:tc>
          <w:tcPr>
            <w:tcW w:w="162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3B1b</w:t>
            </w:r>
          </w:p>
          <w:p w:rsidR="000E7C4C" w:rsidRDefault="003C3EA6">
            <w:pPr>
              <w:jc w:val="center"/>
              <w:rPr>
                <w:color w:val="000000"/>
                <w:sz w:val="20"/>
              </w:rPr>
            </w:pPr>
            <w:r>
              <w:rPr>
                <w:color w:val="000000"/>
                <w:sz w:val="20"/>
              </w:rPr>
              <w:t>Ne pieninių galvijų ūkių mėšlo valdymas</w:t>
            </w:r>
          </w:p>
        </w:tc>
        <w:tc>
          <w:tcPr>
            <w:tcW w:w="1095"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3B4g</w:t>
            </w:r>
          </w:p>
          <w:p w:rsidR="000E7C4C" w:rsidRDefault="003C3EA6">
            <w:pPr>
              <w:jc w:val="center"/>
              <w:rPr>
                <w:color w:val="000000"/>
                <w:sz w:val="20"/>
              </w:rPr>
            </w:pPr>
            <w:r>
              <w:rPr>
                <w:color w:val="000000"/>
                <w:sz w:val="20"/>
              </w:rPr>
              <w:t>Paukščių ūkių mėšlo valdymas</w:t>
            </w:r>
          </w:p>
        </w:tc>
        <w:tc>
          <w:tcPr>
            <w:tcW w:w="992" w:type="dxa"/>
            <w:vMerge w:val="restart"/>
            <w:tcBorders>
              <w:top w:val="single" w:sz="2" w:space="0" w:color="1F497D"/>
              <w:left w:val="single" w:sz="12" w:space="0" w:color="FFFFFF"/>
              <w:bottom w:val="single" w:sz="2" w:space="0" w:color="1F497D"/>
              <w:right w:val="nil"/>
            </w:tcBorders>
            <w:hideMark/>
          </w:tcPr>
          <w:p w:rsidR="000E7C4C" w:rsidRDefault="003C3EA6">
            <w:pPr>
              <w:jc w:val="center"/>
              <w:rPr>
                <w:color w:val="000000"/>
                <w:sz w:val="20"/>
              </w:rPr>
            </w:pPr>
            <w:r>
              <w:rPr>
                <w:color w:val="000000"/>
                <w:sz w:val="20"/>
              </w:rPr>
              <w:t>85.9%</w:t>
            </w:r>
          </w:p>
        </w:tc>
      </w:tr>
      <w:tr w:rsidR="000E7C4C">
        <w:trPr>
          <w:jc w:val="center"/>
        </w:trPr>
        <w:tc>
          <w:tcPr>
            <w:tcW w:w="1384"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20"/>
              </w:rPr>
            </w:pPr>
          </w:p>
        </w:tc>
        <w:tc>
          <w:tcPr>
            <w:tcW w:w="1417"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52,3%</w:t>
            </w:r>
          </w:p>
        </w:tc>
        <w:tc>
          <w:tcPr>
            <w:tcW w:w="1411"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10,1%</w:t>
            </w:r>
          </w:p>
        </w:tc>
        <w:tc>
          <w:tcPr>
            <w:tcW w:w="154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8,3%</w:t>
            </w:r>
          </w:p>
        </w:tc>
        <w:tc>
          <w:tcPr>
            <w:tcW w:w="162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8,2%</w:t>
            </w:r>
          </w:p>
        </w:tc>
        <w:tc>
          <w:tcPr>
            <w:tcW w:w="1095"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7,0%</w:t>
            </w:r>
          </w:p>
        </w:tc>
        <w:tc>
          <w:tcPr>
            <w:tcW w:w="992" w:type="dxa"/>
            <w:vMerge/>
            <w:tcBorders>
              <w:top w:val="single" w:sz="2" w:space="0" w:color="1F497D"/>
              <w:left w:val="single" w:sz="12" w:space="0" w:color="FFFFFF"/>
              <w:bottom w:val="single" w:sz="2" w:space="0" w:color="1F497D"/>
              <w:right w:val="nil"/>
            </w:tcBorders>
            <w:vAlign w:val="center"/>
            <w:hideMark/>
          </w:tcPr>
          <w:p w:rsidR="000E7C4C" w:rsidRDefault="000E7C4C">
            <w:pPr>
              <w:rPr>
                <w:color w:val="000000"/>
                <w:sz w:val="20"/>
              </w:rPr>
            </w:pPr>
          </w:p>
        </w:tc>
      </w:tr>
      <w:tr w:rsidR="000E7C4C">
        <w:trPr>
          <w:jc w:val="center"/>
        </w:trPr>
        <w:tc>
          <w:tcPr>
            <w:tcW w:w="1384" w:type="dxa"/>
            <w:vMerge w:val="restart"/>
            <w:tcBorders>
              <w:top w:val="single" w:sz="2" w:space="0" w:color="1F497D"/>
              <w:left w:val="nil"/>
              <w:bottom w:val="single" w:sz="2" w:space="0" w:color="1F497D"/>
              <w:right w:val="single" w:sz="12" w:space="0" w:color="FFFFFF"/>
            </w:tcBorders>
          </w:tcPr>
          <w:p w:rsidR="000E7C4C" w:rsidRDefault="003C3EA6">
            <w:pPr>
              <w:jc w:val="center"/>
              <w:rPr>
                <w:color w:val="000000"/>
                <w:sz w:val="20"/>
              </w:rPr>
            </w:pPr>
            <w:r>
              <w:rPr>
                <w:color w:val="000000"/>
                <w:sz w:val="20"/>
              </w:rPr>
              <w:t>2030</w:t>
            </w:r>
          </w:p>
          <w:p w:rsidR="000E7C4C" w:rsidRDefault="000E7C4C">
            <w:pPr>
              <w:jc w:val="center"/>
              <w:rPr>
                <w:color w:val="000000"/>
                <w:sz w:val="20"/>
              </w:rPr>
            </w:pPr>
          </w:p>
        </w:tc>
        <w:tc>
          <w:tcPr>
            <w:tcW w:w="1417"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3D</w:t>
            </w:r>
          </w:p>
          <w:p w:rsidR="000E7C4C" w:rsidRDefault="003C3EA6">
            <w:pPr>
              <w:jc w:val="center"/>
              <w:rPr>
                <w:color w:val="000000"/>
                <w:sz w:val="20"/>
              </w:rPr>
            </w:pPr>
            <w:r>
              <w:rPr>
                <w:color w:val="000000"/>
                <w:sz w:val="20"/>
              </w:rPr>
              <w:t>Augalininkystė ir dirvožemis</w:t>
            </w:r>
          </w:p>
        </w:tc>
        <w:tc>
          <w:tcPr>
            <w:tcW w:w="1411"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3B3</w:t>
            </w:r>
          </w:p>
          <w:p w:rsidR="000E7C4C" w:rsidRDefault="003C3EA6">
            <w:pPr>
              <w:jc w:val="center"/>
              <w:rPr>
                <w:color w:val="000000"/>
                <w:sz w:val="20"/>
              </w:rPr>
            </w:pPr>
            <w:r>
              <w:rPr>
                <w:color w:val="000000"/>
                <w:sz w:val="20"/>
              </w:rPr>
              <w:t>Kiaulių ūkių mėšlo valdymas</w:t>
            </w:r>
          </w:p>
        </w:tc>
        <w:tc>
          <w:tcPr>
            <w:tcW w:w="154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3B1b</w:t>
            </w:r>
          </w:p>
          <w:p w:rsidR="000E7C4C" w:rsidRDefault="003C3EA6">
            <w:pPr>
              <w:jc w:val="center"/>
              <w:rPr>
                <w:color w:val="000000"/>
                <w:sz w:val="20"/>
              </w:rPr>
            </w:pPr>
            <w:r>
              <w:rPr>
                <w:color w:val="000000"/>
                <w:sz w:val="20"/>
              </w:rPr>
              <w:t>Ne pieninių galvijų ūkių mėšlo valdymas</w:t>
            </w:r>
          </w:p>
        </w:tc>
        <w:tc>
          <w:tcPr>
            <w:tcW w:w="162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3B1a</w:t>
            </w:r>
          </w:p>
          <w:p w:rsidR="000E7C4C" w:rsidRDefault="003C3EA6">
            <w:pPr>
              <w:jc w:val="center"/>
              <w:rPr>
                <w:color w:val="000000"/>
                <w:sz w:val="20"/>
              </w:rPr>
            </w:pPr>
            <w:r>
              <w:rPr>
                <w:color w:val="000000"/>
                <w:sz w:val="20"/>
              </w:rPr>
              <w:t>Pieninių galvijų ūkių mėšlo valdymas</w:t>
            </w:r>
          </w:p>
        </w:tc>
        <w:tc>
          <w:tcPr>
            <w:tcW w:w="1095"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3B4g</w:t>
            </w:r>
          </w:p>
          <w:p w:rsidR="000E7C4C" w:rsidRDefault="003C3EA6">
            <w:pPr>
              <w:jc w:val="center"/>
              <w:rPr>
                <w:color w:val="000000"/>
                <w:sz w:val="20"/>
              </w:rPr>
            </w:pPr>
            <w:r>
              <w:rPr>
                <w:color w:val="000000"/>
                <w:sz w:val="20"/>
              </w:rPr>
              <w:t>Paukščių ūkių mėšlo valdymas</w:t>
            </w:r>
          </w:p>
        </w:tc>
        <w:tc>
          <w:tcPr>
            <w:tcW w:w="992" w:type="dxa"/>
            <w:vMerge w:val="restart"/>
            <w:tcBorders>
              <w:top w:val="single" w:sz="2" w:space="0" w:color="1F497D"/>
              <w:left w:val="single" w:sz="12" w:space="0" w:color="FFFFFF"/>
              <w:bottom w:val="single" w:sz="2" w:space="0" w:color="1F497D"/>
              <w:right w:val="nil"/>
            </w:tcBorders>
            <w:hideMark/>
          </w:tcPr>
          <w:p w:rsidR="000E7C4C" w:rsidRDefault="003C3EA6">
            <w:pPr>
              <w:jc w:val="center"/>
              <w:rPr>
                <w:color w:val="000000"/>
                <w:sz w:val="20"/>
              </w:rPr>
            </w:pPr>
            <w:r>
              <w:rPr>
                <w:color w:val="000000"/>
                <w:sz w:val="20"/>
              </w:rPr>
              <w:t>85.8%</w:t>
            </w:r>
          </w:p>
        </w:tc>
      </w:tr>
      <w:tr w:rsidR="000E7C4C">
        <w:trPr>
          <w:jc w:val="center"/>
        </w:trPr>
        <w:tc>
          <w:tcPr>
            <w:tcW w:w="1384"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20"/>
              </w:rPr>
            </w:pPr>
          </w:p>
        </w:tc>
        <w:tc>
          <w:tcPr>
            <w:tcW w:w="1417"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pPr>
            <w:r>
              <w:rPr>
                <w:color w:val="000000"/>
              </w:rPr>
              <w:t>1.</w:t>
            </w:r>
            <w:r>
              <w:rPr>
                <w:color w:val="000000"/>
              </w:rPr>
              <w:tab/>
            </w:r>
            <w:r>
              <w:t xml:space="preserve"> </w:t>
            </w:r>
          </w:p>
          <w:p w:rsidR="000E7C4C" w:rsidRDefault="003C3EA6">
            <w:pPr>
              <w:jc w:val="center"/>
              <w:rPr>
                <w:color w:val="000000"/>
                <w:sz w:val="20"/>
              </w:rPr>
            </w:pPr>
            <w:r>
              <w:rPr>
                <w:color w:val="000000"/>
                <w:sz w:val="20"/>
              </w:rPr>
              <w:t>52,2%</w:t>
            </w:r>
          </w:p>
        </w:tc>
        <w:tc>
          <w:tcPr>
            <w:tcW w:w="1411"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9,9%</w:t>
            </w:r>
          </w:p>
        </w:tc>
        <w:tc>
          <w:tcPr>
            <w:tcW w:w="1546"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8,7%</w:t>
            </w:r>
          </w:p>
        </w:tc>
        <w:tc>
          <w:tcPr>
            <w:tcW w:w="1624"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7,9%</w:t>
            </w:r>
          </w:p>
        </w:tc>
        <w:tc>
          <w:tcPr>
            <w:tcW w:w="1095" w:type="dxa"/>
            <w:tcBorders>
              <w:top w:val="single" w:sz="2" w:space="0" w:color="1F497D"/>
              <w:left w:val="single" w:sz="12" w:space="0" w:color="FFFFFF"/>
              <w:bottom w:val="single" w:sz="2" w:space="0" w:color="1F497D"/>
              <w:right w:val="single" w:sz="12" w:space="0" w:color="FFFFFF"/>
            </w:tcBorders>
            <w:hideMark/>
          </w:tcPr>
          <w:p w:rsidR="000E7C4C" w:rsidRDefault="003C3EA6">
            <w:pPr>
              <w:jc w:val="center"/>
              <w:rPr>
                <w:color w:val="000000"/>
                <w:sz w:val="20"/>
              </w:rPr>
            </w:pPr>
            <w:r>
              <w:rPr>
                <w:color w:val="000000"/>
                <w:sz w:val="20"/>
              </w:rPr>
              <w:t>7,1%</w:t>
            </w:r>
          </w:p>
        </w:tc>
        <w:tc>
          <w:tcPr>
            <w:tcW w:w="992" w:type="dxa"/>
            <w:vMerge/>
            <w:tcBorders>
              <w:top w:val="single" w:sz="2" w:space="0" w:color="1F497D"/>
              <w:left w:val="single" w:sz="12" w:space="0" w:color="FFFFFF"/>
              <w:bottom w:val="single" w:sz="2" w:space="0" w:color="1F497D"/>
              <w:right w:val="nil"/>
            </w:tcBorders>
            <w:vAlign w:val="center"/>
            <w:hideMark/>
          </w:tcPr>
          <w:p w:rsidR="000E7C4C" w:rsidRDefault="003C3EA6">
            <w:pPr>
              <w:jc w:val="center"/>
            </w:pPr>
            <w:r>
              <w:rPr>
                <w:color w:val="000000"/>
              </w:rPr>
              <w:t>1.</w:t>
            </w:r>
            <w:r>
              <w:rPr>
                <w:color w:val="000000"/>
              </w:rPr>
              <w:tab/>
            </w:r>
          </w:p>
          <w:p w:rsidR="000E7C4C" w:rsidRDefault="000E7C4C">
            <w:pPr>
              <w:rPr>
                <w:color w:val="000000"/>
                <w:sz w:val="20"/>
              </w:rPr>
            </w:pPr>
          </w:p>
        </w:tc>
      </w:tr>
    </w:tbl>
    <w:p w:rsidR="000E7C4C" w:rsidRDefault="003C3EA6">
      <w:pPr>
        <w:jc w:val="center"/>
        <w:rPr>
          <w:color w:val="000000"/>
          <w:szCs w:val="21"/>
        </w:rPr>
      </w:pPr>
      <w:r>
        <w:rPr>
          <w:color w:val="000000"/>
          <w:sz w:val="20"/>
          <w:szCs w:val="21"/>
        </w:rPr>
        <w:t>(Duomenų šaltinis: AAA)</w:t>
      </w:r>
    </w:p>
    <w:p w:rsidR="000E7C4C" w:rsidRDefault="003C3EA6">
      <w:pPr>
        <w:tabs>
          <w:tab w:val="num" w:pos="360"/>
        </w:tabs>
        <w:spacing w:line="360" w:lineRule="atLeast"/>
        <w:jc w:val="center"/>
        <w:rPr>
          <w:b/>
          <w:color w:val="000000"/>
          <w:szCs w:val="21"/>
          <w:lang w:val="en-US"/>
        </w:rPr>
      </w:pPr>
    </w:p>
    <w:p w:rsidR="000E7C4C" w:rsidRDefault="003C3EA6">
      <w:pPr>
        <w:tabs>
          <w:tab w:val="num" w:pos="360"/>
        </w:tabs>
        <w:jc w:val="center"/>
        <w:rPr>
          <w:b/>
          <w:color w:val="000000"/>
          <w:szCs w:val="21"/>
        </w:rPr>
      </w:pPr>
      <w:r>
        <w:rPr>
          <w:b/>
          <w:color w:val="000000"/>
          <w:szCs w:val="21"/>
        </w:rPr>
        <w:t>V</w:t>
      </w:r>
      <w:r>
        <w:rPr>
          <w:b/>
          <w:color w:val="000000"/>
          <w:szCs w:val="21"/>
        </w:rPr>
        <w:t xml:space="preserve"> SKYRIUS</w:t>
      </w:r>
    </w:p>
    <w:p w:rsidR="000E7C4C" w:rsidRDefault="003C3EA6">
      <w:pPr>
        <w:tabs>
          <w:tab w:val="num" w:pos="360"/>
        </w:tabs>
        <w:jc w:val="center"/>
        <w:rPr>
          <w:b/>
          <w:color w:val="000000"/>
          <w:szCs w:val="21"/>
        </w:rPr>
      </w:pPr>
      <w:r>
        <w:rPr>
          <w:b/>
          <w:color w:val="000000"/>
          <w:szCs w:val="21"/>
        </w:rPr>
        <w:t>PROGNOZUOJAMAS IŠMESTI Į APLINKOS ORĄ SMULKIŲJŲ KIETŲJŲ DALELIŲ KIEKIS</w:t>
      </w:r>
    </w:p>
    <w:p w:rsidR="000E7C4C" w:rsidRDefault="000E7C4C">
      <w:pPr>
        <w:tabs>
          <w:tab w:val="num" w:pos="360"/>
        </w:tabs>
        <w:jc w:val="center"/>
        <w:rPr>
          <w:color w:val="000000"/>
          <w:szCs w:val="21"/>
          <w:lang w:val="en-US"/>
        </w:rPr>
      </w:pPr>
    </w:p>
    <w:p w:rsidR="000E7C4C" w:rsidRDefault="003C3EA6">
      <w:pPr>
        <w:tabs>
          <w:tab w:val="left" w:pos="851"/>
        </w:tabs>
        <w:ind w:firstLine="567"/>
        <w:jc w:val="both"/>
        <w:rPr>
          <w:color w:val="000000"/>
          <w:szCs w:val="21"/>
        </w:rPr>
      </w:pPr>
      <w:r>
        <w:rPr>
          <w:color w:val="000000"/>
          <w:szCs w:val="21"/>
        </w:rPr>
        <w:t>9</w:t>
      </w:r>
      <w:r>
        <w:rPr>
          <w:color w:val="000000"/>
          <w:szCs w:val="21"/>
        </w:rPr>
        <w:t>.</w:t>
      </w:r>
      <w:r>
        <w:rPr>
          <w:color w:val="000000"/>
          <w:szCs w:val="21"/>
        </w:rPr>
        <w:tab/>
        <w:t>Prognozuojama, kad išmesto į aplinkos orą smulkiųjų kietųjų dalelių KD</w:t>
      </w:r>
      <w:r>
        <w:rPr>
          <w:color w:val="000000"/>
          <w:szCs w:val="21"/>
          <w:vertAlign w:val="subscript"/>
        </w:rPr>
        <w:t>2,5</w:t>
      </w:r>
      <w:r>
        <w:rPr>
          <w:color w:val="000000"/>
          <w:szCs w:val="21"/>
        </w:rPr>
        <w:t xml:space="preserve"> (toliau – KD</w:t>
      </w:r>
      <w:r>
        <w:rPr>
          <w:color w:val="000000"/>
          <w:szCs w:val="21"/>
          <w:vertAlign w:val="subscript"/>
        </w:rPr>
        <w:t>2,5</w:t>
      </w:r>
      <w:r>
        <w:rPr>
          <w:color w:val="000000"/>
          <w:szCs w:val="21"/>
        </w:rPr>
        <w:t>) kiekio mažinimo tikslai 2020 m. ir 2030 m. įgyvendinant esamas priemones nebus pasiekti. KD</w:t>
      </w:r>
      <w:r>
        <w:rPr>
          <w:color w:val="000000"/>
          <w:szCs w:val="21"/>
          <w:vertAlign w:val="subscript"/>
        </w:rPr>
        <w:t>2,5</w:t>
      </w:r>
      <w:r>
        <w:rPr>
          <w:color w:val="000000"/>
          <w:szCs w:val="21"/>
        </w:rPr>
        <w:t xml:space="preserve"> išmetamas kiekis iki 2020 m. sumažės 12,7 proc., 2025 m. – 13,9 proc., 2030 m. – 14,9 proc., kai sumažinimo tikslai 2020 m. ir 2030 m. atitinkamai yra 20 proc. ir 36 proc., palyginus su 2005m. išmestu kiekiu (žr. 5 pav.). </w:t>
      </w:r>
    </w:p>
    <w:p w:rsidR="000E7C4C" w:rsidRDefault="000E7C4C">
      <w:pPr>
        <w:ind w:firstLine="567"/>
        <w:jc w:val="both"/>
        <w:rPr>
          <w:color w:val="000000"/>
          <w:szCs w:val="21"/>
        </w:rPr>
      </w:pPr>
    </w:p>
    <w:p w:rsidR="000E7C4C" w:rsidRDefault="003C3EA6">
      <w:pPr>
        <w:spacing w:line="360" w:lineRule="atLeast"/>
        <w:jc w:val="center"/>
        <w:rPr>
          <w:color w:val="000000"/>
          <w:szCs w:val="21"/>
          <w:lang w:eastAsia="lt-LT"/>
        </w:rPr>
      </w:pPr>
      <w:r>
        <w:rPr>
          <w:noProof/>
          <w:color w:val="000000"/>
          <w:szCs w:val="21"/>
          <w:lang w:eastAsia="lt-LT"/>
        </w:rPr>
        <w:drawing>
          <wp:inline distT="0" distB="0" distL="0" distR="0" wp14:anchorId="14529B01" wp14:editId="3937298C">
            <wp:extent cx="4276725" cy="2981325"/>
            <wp:effectExtent l="0" t="0" r="9525" b="9525"/>
            <wp:docPr id="513" name="Paveikslėlis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76725" cy="2981325"/>
                    </a:xfrm>
                    <a:prstGeom prst="rect">
                      <a:avLst/>
                    </a:prstGeom>
                    <a:noFill/>
                    <a:ln>
                      <a:noFill/>
                    </a:ln>
                  </pic:spPr>
                </pic:pic>
              </a:graphicData>
            </a:graphic>
          </wp:inline>
        </w:drawing>
      </w:r>
    </w:p>
    <w:p w:rsidR="000E7C4C" w:rsidRDefault="003C3EA6">
      <w:pPr>
        <w:keepNext/>
        <w:tabs>
          <w:tab w:val="left" w:pos="993"/>
        </w:tabs>
        <w:jc w:val="center"/>
        <w:rPr>
          <w:color w:val="000000"/>
          <w:sz w:val="20"/>
        </w:rPr>
      </w:pPr>
      <w:r>
        <w:rPr>
          <w:color w:val="000000"/>
          <w:sz w:val="20"/>
        </w:rPr>
        <w:t>5 paveikslas. Išmesto KD</w:t>
      </w:r>
      <w:r>
        <w:rPr>
          <w:color w:val="000000"/>
          <w:sz w:val="20"/>
          <w:vertAlign w:val="subscript"/>
        </w:rPr>
        <w:t>2.5</w:t>
      </w:r>
      <w:r>
        <w:rPr>
          <w:color w:val="000000"/>
          <w:sz w:val="20"/>
        </w:rPr>
        <w:t xml:space="preserve"> kiekio prognozė 2020 m., 2025 m., 2030 m.</w:t>
      </w:r>
    </w:p>
    <w:p w:rsidR="000E7C4C" w:rsidRDefault="003C3EA6">
      <w:pPr>
        <w:jc w:val="center"/>
        <w:rPr>
          <w:color w:val="000000"/>
          <w:sz w:val="20"/>
          <w:szCs w:val="21"/>
        </w:rPr>
      </w:pPr>
      <w:r>
        <w:rPr>
          <w:color w:val="000000"/>
          <w:sz w:val="20"/>
          <w:szCs w:val="21"/>
        </w:rPr>
        <w:t>(Duomenų šaltinis: AAA)</w:t>
      </w:r>
    </w:p>
    <w:p w:rsidR="000E7C4C" w:rsidRDefault="003C3EA6">
      <w:pPr>
        <w:spacing w:line="360" w:lineRule="atLeast"/>
        <w:jc w:val="both"/>
        <w:rPr>
          <w:b/>
          <w:color w:val="000000"/>
          <w:szCs w:val="21"/>
        </w:rPr>
      </w:pPr>
    </w:p>
    <w:p w:rsidR="000E7C4C" w:rsidRDefault="003C3EA6">
      <w:pPr>
        <w:tabs>
          <w:tab w:val="left" w:pos="851"/>
        </w:tabs>
        <w:ind w:firstLine="567"/>
        <w:jc w:val="both"/>
        <w:rPr>
          <w:color w:val="000000"/>
          <w:szCs w:val="21"/>
        </w:rPr>
      </w:pPr>
      <w:r>
        <w:rPr>
          <w:color w:val="000000"/>
          <w:szCs w:val="21"/>
        </w:rPr>
        <w:t>10</w:t>
      </w:r>
      <w:r>
        <w:rPr>
          <w:color w:val="000000"/>
          <w:szCs w:val="21"/>
        </w:rPr>
        <w:t>.</w:t>
      </w:r>
      <w:r>
        <w:rPr>
          <w:color w:val="000000"/>
          <w:szCs w:val="21"/>
        </w:rPr>
        <w:tab/>
        <w:t>Analizuojant KD</w:t>
      </w:r>
      <w:r>
        <w:rPr>
          <w:color w:val="000000"/>
          <w:szCs w:val="21"/>
          <w:vertAlign w:val="subscript"/>
        </w:rPr>
        <w:t>2,5</w:t>
      </w:r>
      <w:r>
        <w:rPr>
          <w:color w:val="000000"/>
          <w:szCs w:val="21"/>
        </w:rPr>
        <w:t xml:space="preserve"> išmetimų prognozes, nustatyta, kad kaip iki šiol, taip ir ateityje didžiausią įtaką KD</w:t>
      </w:r>
      <w:r>
        <w:rPr>
          <w:color w:val="000000"/>
          <w:szCs w:val="21"/>
          <w:vertAlign w:val="subscript"/>
        </w:rPr>
        <w:t>2,5</w:t>
      </w:r>
      <w:r>
        <w:rPr>
          <w:color w:val="000000"/>
          <w:szCs w:val="21"/>
        </w:rPr>
        <w:t xml:space="preserve"> išmetamam kiekiui darys stacionarus ir mobilus deginimas. Dėl deginimo į aplinkos orą išmetama daugiau nei 70 proc. viso išmetamo KD</w:t>
      </w:r>
      <w:r>
        <w:rPr>
          <w:color w:val="000000"/>
          <w:szCs w:val="21"/>
          <w:vertAlign w:val="subscript"/>
        </w:rPr>
        <w:t>2,5</w:t>
      </w:r>
      <w:r>
        <w:rPr>
          <w:color w:val="000000"/>
          <w:szCs w:val="21"/>
        </w:rPr>
        <w:t xml:space="preserve"> kiekio. Prognozuojama, kad ateityje didės KD</w:t>
      </w:r>
      <w:r>
        <w:rPr>
          <w:color w:val="000000"/>
          <w:szCs w:val="21"/>
          <w:vertAlign w:val="subscript"/>
        </w:rPr>
        <w:t>2,5</w:t>
      </w:r>
      <w:r>
        <w:rPr>
          <w:color w:val="000000"/>
          <w:szCs w:val="21"/>
        </w:rPr>
        <w:t xml:space="preserve"> išmetimai iš energijos gamybos, reikšmingą įtaką darys stacionarus deginimas gamybos pramonėje ir statybos sektoriuje.</w:t>
      </w:r>
    </w:p>
    <w:p w:rsidR="000E7C4C" w:rsidRDefault="000E7C4C">
      <w:pPr>
        <w:spacing w:line="360" w:lineRule="atLeast"/>
        <w:jc w:val="both"/>
        <w:rPr>
          <w:b/>
          <w:color w:val="000000"/>
          <w:szCs w:val="21"/>
        </w:rPr>
      </w:pPr>
    </w:p>
    <w:p w:rsidR="000E7C4C" w:rsidRDefault="000E7C4C">
      <w:pPr>
        <w:spacing w:line="360" w:lineRule="atLeast"/>
        <w:jc w:val="both"/>
        <w:rPr>
          <w:b/>
          <w:color w:val="000000"/>
          <w:szCs w:val="21"/>
        </w:rPr>
      </w:pPr>
    </w:p>
    <w:p w:rsidR="000E7C4C" w:rsidRDefault="000E7C4C">
      <w:pPr>
        <w:spacing w:line="360" w:lineRule="atLeast"/>
        <w:jc w:val="both"/>
        <w:rPr>
          <w:b/>
          <w:color w:val="000000"/>
          <w:szCs w:val="21"/>
        </w:rPr>
      </w:pPr>
    </w:p>
    <w:p w:rsidR="000E7C4C" w:rsidRDefault="000E7C4C">
      <w:pPr>
        <w:spacing w:line="360" w:lineRule="atLeast"/>
        <w:jc w:val="both"/>
        <w:rPr>
          <w:b/>
          <w:color w:val="000000"/>
          <w:szCs w:val="21"/>
        </w:rPr>
      </w:pPr>
    </w:p>
    <w:p w:rsidR="000E7C4C" w:rsidRDefault="003C3EA6">
      <w:pPr>
        <w:ind w:right="424"/>
        <w:jc w:val="both"/>
        <w:rPr>
          <w:color w:val="000000"/>
          <w:szCs w:val="24"/>
        </w:rPr>
      </w:pPr>
      <w:r>
        <w:rPr>
          <w:noProof/>
          <w:lang w:eastAsia="lt-LT"/>
        </w:rPr>
        <mc:AlternateContent>
          <mc:Choice Requires="wps">
            <w:drawing>
              <wp:anchor distT="0" distB="0" distL="114300" distR="114300" simplePos="0" relativeHeight="251696128" behindDoc="1" locked="0" layoutInCell="1" allowOverlap="1" wp14:anchorId="687A65E8" wp14:editId="6D83501F">
                <wp:simplePos x="0" y="0"/>
                <wp:positionH relativeFrom="column">
                  <wp:posOffset>298450</wp:posOffset>
                </wp:positionH>
                <wp:positionV relativeFrom="paragraph">
                  <wp:posOffset>344170</wp:posOffset>
                </wp:positionV>
                <wp:extent cx="5540375" cy="334645"/>
                <wp:effectExtent l="0" t="0" r="3175" b="8255"/>
                <wp:wrapNone/>
                <wp:docPr id="525" name="Stačiakampis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334010"/>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4CB472A4" id="Stačiakampis 525" o:spid="_x0000_s1026" style="position:absolute;margin-left:23.5pt;margin-top:27.1pt;width:436.25pt;height:26.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O5ZcVAIAAJAEAAAOAAAAZHJzL2Uyb0RvYy54bWysVNtu2zAMfR+wfxD0vtpJm16MOEXRrsOA bivQDXtmZNkWqtsoJU73D/urfdgo2emyy9OwF4MSRfLwHNLLy53RbCsxKGdrPjsqOZNWuEbZruaf Pt6+OucsRLANaGdlzZ9k4Jerly+Wg6/k3PVONxIZJbGhGnzN+xh9VRRB9NJAOHJeWnK2Dg1EOmJX NAgDZTe6mJflaTE4bDw6IUOg25vRyVc5f9tKET+0bZCR6ZoTtpi/mL/r9C1WS6g6BN8rMcGAf0Bh QFkq+pzqBiKwDao/Uhkl0AXXxiPhTOHaVgmZe6BuZuVv3Tz04GXuhcgJ/pmm8P/Sivfbe2Sqqfli vuDMgiGRHiJ8/6bgEYxXgSUH0TT4UNHrB3+PqdHg75x4DMy66x5sJ68Q3dBLaAjcLL0vfglIh0Ch bD28cw3VgE10mbFdiyYlJC7YLgvz9CyM3EUm6HKxOL44OyH9BPmOj0+IqlwCqn20xxDfSGdYMmqO JHzODtu7EBMaqPZPJpmaW6U1Qxc/q9hnplPZ7AwUMxrMO+pnvA7Yra81si2kWSrL2fxqAtGFw9cz 8pV/DVmcnJ0ehBCmbl9KK8uIxlSLBQFakiIjjXmmMthURFs21PwiaZKO1qUu8hAbFWmTtDI1Px8R 5OskyWvbZDuC0qNNpbWdNEqyjPKuXfNEEhEnGQetNRm9w6+cDbQiNQ9fNoCSM/3WZlpY3Bu4N9Z7 A6yg0JpHTo0l8zqOe7fxqLqeMs+mFq5oFFqVVUpjMqKYwNHYZ/GmFU17dXjOr37+SFY/AAAA//8D AFBLAwQUAAYACAAAACEAnaZwNt8AAAAJAQAADwAAAGRycy9kb3ducmV2LnhtbEyPQU/CQBSE7yb+ h80z8Sa7ECi0dkuM0ZuQiHhfus+2sfu2dJdS/PU+TnqczGTmm3w9ulYM2IfGk4bpRIFAKr1tqNKw /3h9WIEI0ZA1rSfUcMEA6+L2JjeZ9Wd6x2EXK8ElFDKjoY6xy6QMZY3OhInvkNj78r0zkWVfSdub M5e7Vs6USqQzDfFCbTp8rrH83p2cBvXTbPer7WZ5fOnLz7d0SI7qkmh9fzc+PYKIOMa/MFzxGR0K Zjr4E9kgWg3zJV+JGhbzGQj202m6AHHgoEpSkEUu/z8ofgEAAP//AwBQSwECLQAUAAYACAAAACEA toM4kv4AAADhAQAAEwAAAAAAAAAAAAAAAAAAAAAAW0NvbnRlbnRfVHlwZXNdLnhtbFBLAQItABQA BgAIAAAAIQA4/SH/1gAAAJQBAAALAAAAAAAAAAAAAAAAAC8BAABfcmVscy8ucmVsc1BLAQItABQA BgAIAAAAIQBEO5ZcVAIAAJAEAAAOAAAAAAAAAAAAAAAAAC4CAABkcnMvZTJvRG9jLnhtbFBLAQIt ABQABgAIAAAAIQCdpnA23wAAAAkBAAAPAAAAAAAAAAAAAAAAAK4EAABkcnMvZG93bnJldi54bWxQ SwUGAAAAAAQABADzAAAAugUAAAAA " fillcolor="#00012a" stroked="f">
                <v:fill color2="#005476" angle="90" focus="100%" type="gradient"/>
                <v:textbox inset="0,0,0,0"/>
              </v:rect>
            </w:pict>
          </mc:Fallback>
        </mc:AlternateContent>
      </w:r>
      <w:r>
        <w:rPr>
          <w:color w:val="000000"/>
          <w:szCs w:val="24"/>
        </w:rPr>
        <w:t>5 lentelė. Išmestas į aplinkos orą KD</w:t>
      </w:r>
      <w:r>
        <w:rPr>
          <w:color w:val="000000"/>
          <w:szCs w:val="24"/>
          <w:vertAlign w:val="subscript"/>
        </w:rPr>
        <w:t>2.5</w:t>
      </w:r>
      <w:r>
        <w:rPr>
          <w:color w:val="000000"/>
          <w:szCs w:val="24"/>
        </w:rPr>
        <w:t xml:space="preserve"> kiekis: pagrindinių kategorijų analizė baziniais, paskutiniais prieinamais ir prognozuojamais metais</w:t>
      </w:r>
    </w:p>
    <w:tbl>
      <w:tblPr>
        <w:tblW w:w="9570" w:type="dxa"/>
        <w:jc w:val="center"/>
        <w:tblBorders>
          <w:top w:val="single" w:sz="12" w:space="0" w:color="FFFFFF"/>
          <w:bottom w:val="single" w:sz="2" w:space="0" w:color="1F497D"/>
          <w:insideH w:val="single" w:sz="2" w:space="0" w:color="1F497D"/>
          <w:insideV w:val="single" w:sz="12" w:space="0" w:color="FFFFFF"/>
        </w:tblBorders>
        <w:tblLayout w:type="fixed"/>
        <w:tblCellMar>
          <w:top w:w="28" w:type="dxa"/>
          <w:left w:w="28" w:type="dxa"/>
          <w:bottom w:w="28" w:type="dxa"/>
          <w:right w:w="28" w:type="dxa"/>
        </w:tblCellMar>
        <w:tblLook w:val="04A0" w:firstRow="1" w:lastRow="0" w:firstColumn="1" w:lastColumn="0" w:noHBand="0" w:noVBand="1"/>
      </w:tblPr>
      <w:tblGrid>
        <w:gridCol w:w="1786"/>
        <w:gridCol w:w="2369"/>
        <w:gridCol w:w="2516"/>
        <w:gridCol w:w="2111"/>
        <w:gridCol w:w="69"/>
        <w:gridCol w:w="709"/>
        <w:gridCol w:w="10"/>
      </w:tblGrid>
      <w:tr w:rsidR="000E7C4C">
        <w:trPr>
          <w:gridAfter w:val="1"/>
          <w:wAfter w:w="10" w:type="dxa"/>
          <w:tblHeader/>
          <w:jc w:val="center"/>
        </w:trPr>
        <w:tc>
          <w:tcPr>
            <w:tcW w:w="1787" w:type="dxa"/>
            <w:tcBorders>
              <w:top w:val="single" w:sz="12" w:space="0" w:color="FFFFFF"/>
              <w:left w:val="nil"/>
              <w:bottom w:val="single" w:sz="2" w:space="0" w:color="1F497D"/>
              <w:right w:val="single" w:sz="12" w:space="0" w:color="FFFFFF"/>
            </w:tcBorders>
            <w:shd w:val="clear" w:color="auto" w:fill="002060"/>
            <w:vAlign w:val="center"/>
            <w:hideMark/>
          </w:tcPr>
          <w:p w:rsidR="000E7C4C" w:rsidRDefault="003C3EA6">
            <w:pPr>
              <w:jc w:val="center"/>
              <w:rPr>
                <w:color w:val="FFFFFF"/>
                <w:sz w:val="20"/>
              </w:rPr>
            </w:pPr>
            <w:r>
              <w:rPr>
                <w:noProof/>
                <w:lang w:eastAsia="lt-LT"/>
              </w:rPr>
              <mc:AlternateContent>
                <mc:Choice Requires="wps">
                  <w:drawing>
                    <wp:anchor distT="0" distB="0" distL="114300" distR="114300" simplePos="0" relativeHeight="251697152" behindDoc="1" locked="0" layoutInCell="1" allowOverlap="1" wp14:anchorId="3AA46081" wp14:editId="7DD497E9">
                      <wp:simplePos x="0" y="0"/>
                      <wp:positionH relativeFrom="column">
                        <wp:posOffset>-29845</wp:posOffset>
                      </wp:positionH>
                      <wp:positionV relativeFrom="paragraph">
                        <wp:posOffset>10795</wp:posOffset>
                      </wp:positionV>
                      <wp:extent cx="5501640" cy="137160"/>
                      <wp:effectExtent l="0" t="0" r="3810" b="0"/>
                      <wp:wrapNone/>
                      <wp:docPr id="526" name="Stačiakampis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1640" cy="137160"/>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xmlns:cx1="http://schemas.microsoft.com/office/drawing/2015/9/8/chartex">
                  <w:pict>
                    <v:rect w14:anchorId="64AF21EA" id="Stačiakampis 526" o:spid="_x0000_s1026" style="position:absolute;margin-left:-2.35pt;margin-top:.85pt;width:433.2pt;height:10.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L+fAVwIAAJAEAAAOAAAAZHJzL2Uyb0RvYy54bWysVNtuEzEQfUfiHyy/k90NTVpW2VRRShFS gUoF8TzxerNWfWPsZFP+gb/iwxh7k1IuT4iXzdjjmTlzzkwWlwej2V5iUM42vJqUnEkrXKvstuGf Pl6/uOAsRLAtaGdlwx9k4JfL588Wg6/l1PVOtxIZJbGhHnzD+xh9XRRB9NJAmDgvLTk7hwYiHXFb tAgDZTe6mJblvBgcth6dkCHQ7dXo5Mucv+ukiB+6LsjIdMMJW8xfzN9N+hbLBdRbBN8rcYQB/4DC gLJU9DHVFURgO1R/pDJKoAuuixPhTOG6TgmZe6BuqvK3bu568DL3QuQE/0hT+H9pxfv9LTLVNnw2 nXNmwZBIdxG+f1NwD8arwJKDaBp8qOn1nb/F1GjwN07cB2bduge7lStEN/QSWgJXpffFLwHpECiU bYZ3rqUasIsuM3bo0KSExAU7ZGEeHoWRh8gEXc5mZTU/I/0E+aqX59U8K1dAfYr2GOIb6QxLRsOR hM/ZYX8TYkID9enJUab2WmnN0MXPKvaZ6VQ2OwPFjAbzjvoZrwNuN2uNbA9plsqymq5ynyR6ePq6 Il/515DZ2XmmksCkkPxzLKWVZURjqsWCAC1JkZHGPFMZbCqiLRsa/mo2nWWo1qUu8hAbFWmTtDIN vxgR5OskyWvbZjuC0qNNpbU9apRkGeXduPaBJCJOMg5aazJ6h185G2hFGh6+7AAlZ/qtzbSweDLw ZGxOBlhBoQ2PnBpL5jqOe7fzqLY9Za6OLaxoFDqVVUpjMqI4gqOxH4kaVzTt1dNzfvXzj2T5AwAA //8DAFBLAwQUAAYACAAAACEAmhTRkNwAAAAHAQAADwAAAGRycy9kb3ducmV2LnhtbEyOzU7DMBCE 70i8g7VI3FqbFqUhjVMhBDeo1FLubrxNIuJ1GrtpytOzPcFpf2Y08+Wr0bViwD40njQ8TBUIpNLb hioNu8+3SQoiREPWtJ5QwwUDrIrbm9xk1p9pg8M2VoJDKGRGQx1jl0kZyhqdCVPfIbF28L0zkc++ krY3Zw53rZwplUhnGuKG2nT4UmP5vT05DeqnWe/S9cfi+NqXX+9PQ3JUl0Tr+7vxeQki4hj/zHDF Z3QomGnvT2SDaDVMHhfs5D8PltPkuuw1zOZzkEUu//MXvwAAAP//AwBQSwECLQAUAAYACAAAACEA toM4kv4AAADhAQAAEwAAAAAAAAAAAAAAAAAAAAAAW0NvbnRlbnRfVHlwZXNdLnhtbFBLAQItABQA BgAIAAAAIQA4/SH/1gAAAJQBAAALAAAAAAAAAAAAAAAAAC8BAABfcmVscy8ucmVsc1BLAQItABQA BgAIAAAAIQB3L+fAVwIAAJAEAAAOAAAAAAAAAAAAAAAAAC4CAABkcnMvZTJvRG9jLnhtbFBLAQIt ABQABgAIAAAAIQCaFNGQ3AAAAAcBAAAPAAAAAAAAAAAAAAAAALEEAABkcnMvZG93bnJldi54bWxQ SwUGAAAAAAQABADzAAAAugUAAAAA " fillcolor="#00012a" stroked="f">
                      <v:fill color2="#005476" angle="90" focus="100%" type="gradient"/>
                      <v:textbox inset="0,0,0,0"/>
                    </v:rect>
                  </w:pict>
                </mc:Fallback>
              </mc:AlternateContent>
            </w:r>
            <w:r>
              <w:rPr>
                <w:color w:val="FFFFFF"/>
                <w:sz w:val="20"/>
                <w:lang w:eastAsia="lt-LT"/>
              </w:rPr>
              <w:t>Metai</w:t>
            </w:r>
          </w:p>
        </w:tc>
        <w:tc>
          <w:tcPr>
            <w:tcW w:w="7071" w:type="dxa"/>
            <w:gridSpan w:val="4"/>
            <w:tcBorders>
              <w:top w:val="single" w:sz="12" w:space="0" w:color="FFFFFF"/>
              <w:left w:val="single" w:sz="12" w:space="0" w:color="FFFFFF"/>
              <w:bottom w:val="single" w:sz="2" w:space="0" w:color="1F497D"/>
              <w:right w:val="single" w:sz="12" w:space="0" w:color="FFFFFF"/>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Pagrindinės kategorijos (surūšiuotos nuo aukščiausios iki žemiausios, iš kairės į dešinę)</w:t>
            </w:r>
          </w:p>
        </w:tc>
        <w:tc>
          <w:tcPr>
            <w:tcW w:w="709" w:type="dxa"/>
            <w:tcBorders>
              <w:top w:val="single" w:sz="12" w:space="0" w:color="FFFFFF"/>
              <w:left w:val="single" w:sz="12" w:space="0" w:color="FFFFFF"/>
              <w:bottom w:val="single" w:sz="2" w:space="0" w:color="1F497D"/>
              <w:right w:val="nil"/>
            </w:tcBorders>
            <w:shd w:val="clear" w:color="auto" w:fill="002060"/>
            <w:vAlign w:val="center"/>
            <w:hideMark/>
          </w:tcPr>
          <w:p w:rsidR="000E7C4C" w:rsidRDefault="003C3EA6">
            <w:pPr>
              <w:jc w:val="center"/>
              <w:rPr>
                <w:bCs/>
                <w:color w:val="FFFFFF"/>
                <w:sz w:val="20"/>
                <w:lang w:eastAsia="en-GB"/>
              </w:rPr>
            </w:pPr>
            <w:r>
              <w:rPr>
                <w:bCs/>
                <w:color w:val="FFFFFF"/>
                <w:sz w:val="20"/>
                <w:lang w:eastAsia="en-GB"/>
              </w:rPr>
              <w:t>Iš viso</w:t>
            </w:r>
          </w:p>
        </w:tc>
      </w:tr>
      <w:tr w:rsidR="000E7C4C">
        <w:trPr>
          <w:jc w:val="center"/>
        </w:trPr>
        <w:tc>
          <w:tcPr>
            <w:tcW w:w="1787" w:type="dxa"/>
            <w:vMerge w:val="restart"/>
            <w:tcBorders>
              <w:top w:val="single" w:sz="2" w:space="0" w:color="1F497D"/>
              <w:left w:val="nil"/>
              <w:bottom w:val="single" w:sz="2" w:space="0" w:color="1F497D"/>
              <w:right w:val="single" w:sz="12" w:space="0" w:color="FFFFFF"/>
            </w:tcBorders>
            <w:vAlign w:val="center"/>
          </w:tcPr>
          <w:p w:rsidR="000E7C4C" w:rsidRDefault="003C3EA6">
            <w:pPr>
              <w:jc w:val="center"/>
              <w:rPr>
                <w:color w:val="000000"/>
                <w:sz w:val="20"/>
              </w:rPr>
            </w:pPr>
            <w:r>
              <w:rPr>
                <w:color w:val="000000"/>
                <w:sz w:val="20"/>
              </w:rPr>
              <w:t>2005</w:t>
            </w:r>
          </w:p>
          <w:p w:rsidR="000E7C4C" w:rsidRDefault="000E7C4C">
            <w:pPr>
              <w:jc w:val="center"/>
              <w:rPr>
                <w:color w:val="000000"/>
                <w:sz w:val="20"/>
              </w:rPr>
            </w:pPr>
          </w:p>
        </w:tc>
        <w:tc>
          <w:tcPr>
            <w:tcW w:w="2371"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1A4</w:t>
            </w:r>
          </w:p>
          <w:p w:rsidR="000E7C4C" w:rsidRDefault="003C3EA6">
            <w:pPr>
              <w:jc w:val="center"/>
              <w:rPr>
                <w:color w:val="000000"/>
                <w:sz w:val="20"/>
              </w:rPr>
            </w:pPr>
            <w:r>
              <w:rPr>
                <w:color w:val="000000"/>
                <w:sz w:val="20"/>
              </w:rPr>
              <w:t>Kiti sektoriai (stacionarus ir mobilus deginimas)</w:t>
            </w:r>
          </w:p>
        </w:tc>
        <w:tc>
          <w:tcPr>
            <w:tcW w:w="2518"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1A2</w:t>
            </w:r>
          </w:p>
          <w:p w:rsidR="000E7C4C" w:rsidRDefault="003C3EA6">
            <w:pPr>
              <w:jc w:val="center"/>
              <w:rPr>
                <w:color w:val="000000"/>
                <w:sz w:val="20"/>
              </w:rPr>
            </w:pPr>
            <w:r>
              <w:rPr>
                <w:color w:val="000000"/>
                <w:sz w:val="20"/>
              </w:rPr>
              <w:t>Gamybos pramonė ir statybos sektorius (deginimas, įskaitant mobilų)</w:t>
            </w:r>
          </w:p>
        </w:tc>
        <w:tc>
          <w:tcPr>
            <w:tcW w:w="2113" w:type="dxa"/>
            <w:tcBorders>
              <w:top w:val="single" w:sz="2" w:space="0" w:color="1F497D"/>
              <w:left w:val="single" w:sz="12" w:space="0" w:color="FFFFFF"/>
              <w:bottom w:val="single" w:sz="2" w:space="0" w:color="1F497D"/>
              <w:right w:val="single" w:sz="12" w:space="0" w:color="FFFFFF"/>
            </w:tcBorders>
            <w:vAlign w:val="center"/>
          </w:tcPr>
          <w:p w:rsidR="000E7C4C" w:rsidRDefault="000E7C4C">
            <w:pPr>
              <w:jc w:val="center"/>
              <w:rPr>
                <w:color w:val="000000"/>
                <w:sz w:val="20"/>
              </w:rPr>
            </w:pPr>
          </w:p>
        </w:tc>
        <w:tc>
          <w:tcPr>
            <w:tcW w:w="788" w:type="dxa"/>
            <w:gridSpan w:val="3"/>
            <w:vMerge w:val="restart"/>
            <w:tcBorders>
              <w:top w:val="single" w:sz="2" w:space="0" w:color="1F497D"/>
              <w:left w:val="single" w:sz="12" w:space="0" w:color="FFFFFF"/>
              <w:bottom w:val="single" w:sz="2" w:space="0" w:color="1F497D"/>
              <w:right w:val="nil"/>
            </w:tcBorders>
            <w:vAlign w:val="center"/>
            <w:hideMark/>
          </w:tcPr>
          <w:p w:rsidR="000E7C4C" w:rsidRDefault="003C3EA6">
            <w:pPr>
              <w:jc w:val="center"/>
              <w:rPr>
                <w:color w:val="000000"/>
                <w:sz w:val="20"/>
              </w:rPr>
            </w:pPr>
            <w:r>
              <w:rPr>
                <w:color w:val="000000"/>
                <w:sz w:val="20"/>
              </w:rPr>
              <w:t>81.8%</w:t>
            </w:r>
          </w:p>
        </w:tc>
      </w:tr>
      <w:tr w:rsidR="000E7C4C">
        <w:trPr>
          <w:jc w:val="center"/>
        </w:trPr>
        <w:tc>
          <w:tcPr>
            <w:tcW w:w="1787"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20"/>
              </w:rPr>
            </w:pPr>
          </w:p>
        </w:tc>
        <w:tc>
          <w:tcPr>
            <w:tcW w:w="2371"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77,2%</w:t>
            </w:r>
          </w:p>
        </w:tc>
        <w:tc>
          <w:tcPr>
            <w:tcW w:w="2518"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4,6%</w:t>
            </w:r>
          </w:p>
        </w:tc>
        <w:tc>
          <w:tcPr>
            <w:tcW w:w="2113" w:type="dxa"/>
            <w:tcBorders>
              <w:top w:val="single" w:sz="2" w:space="0" w:color="1F497D"/>
              <w:left w:val="single" w:sz="12" w:space="0" w:color="FFFFFF"/>
              <w:bottom w:val="single" w:sz="2" w:space="0" w:color="1F497D"/>
              <w:right w:val="single" w:sz="12" w:space="0" w:color="FFFFFF"/>
            </w:tcBorders>
            <w:vAlign w:val="center"/>
          </w:tcPr>
          <w:p w:rsidR="000E7C4C" w:rsidRDefault="000E7C4C">
            <w:pPr>
              <w:jc w:val="center"/>
              <w:rPr>
                <w:color w:val="000000"/>
                <w:sz w:val="20"/>
              </w:rPr>
            </w:pPr>
          </w:p>
        </w:tc>
        <w:tc>
          <w:tcPr>
            <w:tcW w:w="1641" w:type="dxa"/>
            <w:gridSpan w:val="3"/>
            <w:vMerge/>
            <w:tcBorders>
              <w:top w:val="single" w:sz="2" w:space="0" w:color="1F497D"/>
              <w:left w:val="single" w:sz="12" w:space="0" w:color="FFFFFF"/>
              <w:bottom w:val="single" w:sz="2" w:space="0" w:color="1F497D"/>
              <w:right w:val="single" w:sz="12" w:space="0" w:color="FFFFFF"/>
            </w:tcBorders>
            <w:vAlign w:val="center"/>
            <w:hideMark/>
          </w:tcPr>
          <w:p w:rsidR="000E7C4C" w:rsidRDefault="000E7C4C">
            <w:pPr>
              <w:rPr>
                <w:color w:val="000000"/>
                <w:sz w:val="20"/>
              </w:rPr>
            </w:pPr>
          </w:p>
        </w:tc>
      </w:tr>
      <w:tr w:rsidR="000E7C4C">
        <w:trPr>
          <w:jc w:val="center"/>
        </w:trPr>
        <w:tc>
          <w:tcPr>
            <w:tcW w:w="1787" w:type="dxa"/>
            <w:vMerge w:val="restart"/>
            <w:tcBorders>
              <w:top w:val="single" w:sz="2" w:space="0" w:color="1F497D"/>
              <w:left w:val="nil"/>
              <w:bottom w:val="single" w:sz="2" w:space="0" w:color="1F497D"/>
              <w:right w:val="single" w:sz="12" w:space="0" w:color="FFFFFF"/>
            </w:tcBorders>
            <w:vAlign w:val="center"/>
          </w:tcPr>
          <w:p w:rsidR="000E7C4C" w:rsidRDefault="003C3EA6">
            <w:pPr>
              <w:jc w:val="center"/>
              <w:rPr>
                <w:color w:val="000000"/>
                <w:sz w:val="20"/>
              </w:rPr>
            </w:pPr>
            <w:r>
              <w:rPr>
                <w:color w:val="000000"/>
                <w:sz w:val="20"/>
              </w:rPr>
              <w:t>2015</w:t>
            </w:r>
          </w:p>
          <w:p w:rsidR="000E7C4C" w:rsidRDefault="000E7C4C">
            <w:pPr>
              <w:jc w:val="center"/>
              <w:rPr>
                <w:color w:val="000000"/>
                <w:sz w:val="20"/>
              </w:rPr>
            </w:pPr>
          </w:p>
        </w:tc>
        <w:tc>
          <w:tcPr>
            <w:tcW w:w="2371"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1A4</w:t>
            </w:r>
          </w:p>
          <w:p w:rsidR="000E7C4C" w:rsidRDefault="003C3EA6">
            <w:pPr>
              <w:jc w:val="center"/>
              <w:rPr>
                <w:color w:val="000000"/>
                <w:sz w:val="20"/>
              </w:rPr>
            </w:pPr>
            <w:r>
              <w:rPr>
                <w:color w:val="000000"/>
                <w:sz w:val="20"/>
              </w:rPr>
              <w:t>Kiti sektoriai (stacionarus ir mobilus deginimas)</w:t>
            </w:r>
          </w:p>
        </w:tc>
        <w:tc>
          <w:tcPr>
            <w:tcW w:w="2518"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1A2</w:t>
            </w:r>
          </w:p>
          <w:p w:rsidR="000E7C4C" w:rsidRDefault="003C3EA6">
            <w:pPr>
              <w:jc w:val="center"/>
              <w:rPr>
                <w:color w:val="000000"/>
                <w:sz w:val="20"/>
              </w:rPr>
            </w:pPr>
            <w:r>
              <w:rPr>
                <w:color w:val="000000"/>
                <w:sz w:val="20"/>
              </w:rPr>
              <w:t>Gamybos pramonė ir statybos sektorius (deginimas, įskaitant mobilų)</w:t>
            </w:r>
          </w:p>
        </w:tc>
        <w:tc>
          <w:tcPr>
            <w:tcW w:w="2113" w:type="dxa"/>
            <w:tcBorders>
              <w:top w:val="single" w:sz="2" w:space="0" w:color="1F497D"/>
              <w:left w:val="single" w:sz="12" w:space="0" w:color="FFFFFF"/>
              <w:bottom w:val="single" w:sz="2" w:space="0" w:color="1F497D"/>
              <w:right w:val="single" w:sz="12" w:space="0" w:color="FFFFFF"/>
            </w:tcBorders>
            <w:vAlign w:val="center"/>
          </w:tcPr>
          <w:p w:rsidR="000E7C4C" w:rsidRDefault="000E7C4C">
            <w:pPr>
              <w:jc w:val="center"/>
              <w:rPr>
                <w:color w:val="000000"/>
                <w:sz w:val="20"/>
              </w:rPr>
            </w:pPr>
          </w:p>
        </w:tc>
        <w:tc>
          <w:tcPr>
            <w:tcW w:w="788" w:type="dxa"/>
            <w:gridSpan w:val="3"/>
            <w:vMerge w:val="restart"/>
            <w:tcBorders>
              <w:top w:val="single" w:sz="2" w:space="0" w:color="1F497D"/>
              <w:left w:val="single" w:sz="12" w:space="0" w:color="FFFFFF"/>
              <w:bottom w:val="single" w:sz="2" w:space="0" w:color="1F497D"/>
              <w:right w:val="nil"/>
            </w:tcBorders>
            <w:vAlign w:val="center"/>
            <w:hideMark/>
          </w:tcPr>
          <w:p w:rsidR="000E7C4C" w:rsidRDefault="003C3EA6">
            <w:pPr>
              <w:jc w:val="center"/>
              <w:rPr>
                <w:color w:val="000000"/>
                <w:sz w:val="20"/>
              </w:rPr>
            </w:pPr>
            <w:r>
              <w:rPr>
                <w:color w:val="000000"/>
                <w:sz w:val="20"/>
              </w:rPr>
              <w:t>81.4%</w:t>
            </w:r>
          </w:p>
        </w:tc>
      </w:tr>
      <w:tr w:rsidR="000E7C4C">
        <w:trPr>
          <w:jc w:val="center"/>
        </w:trPr>
        <w:tc>
          <w:tcPr>
            <w:tcW w:w="1787"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20"/>
              </w:rPr>
            </w:pPr>
          </w:p>
        </w:tc>
        <w:tc>
          <w:tcPr>
            <w:tcW w:w="2371"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77,8%</w:t>
            </w:r>
          </w:p>
        </w:tc>
        <w:tc>
          <w:tcPr>
            <w:tcW w:w="2518"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3,6%</w:t>
            </w:r>
          </w:p>
        </w:tc>
        <w:tc>
          <w:tcPr>
            <w:tcW w:w="2113" w:type="dxa"/>
            <w:tcBorders>
              <w:top w:val="single" w:sz="2" w:space="0" w:color="1F497D"/>
              <w:left w:val="single" w:sz="12" w:space="0" w:color="FFFFFF"/>
              <w:bottom w:val="single" w:sz="2" w:space="0" w:color="1F497D"/>
              <w:right w:val="single" w:sz="12" w:space="0" w:color="FFFFFF"/>
            </w:tcBorders>
            <w:vAlign w:val="center"/>
          </w:tcPr>
          <w:p w:rsidR="000E7C4C" w:rsidRDefault="000E7C4C">
            <w:pPr>
              <w:jc w:val="center"/>
              <w:rPr>
                <w:color w:val="000000"/>
                <w:sz w:val="20"/>
              </w:rPr>
            </w:pPr>
          </w:p>
        </w:tc>
        <w:tc>
          <w:tcPr>
            <w:tcW w:w="1641" w:type="dxa"/>
            <w:gridSpan w:val="3"/>
            <w:vMerge/>
            <w:tcBorders>
              <w:top w:val="single" w:sz="2" w:space="0" w:color="1F497D"/>
              <w:left w:val="single" w:sz="12" w:space="0" w:color="FFFFFF"/>
              <w:bottom w:val="single" w:sz="2" w:space="0" w:color="1F497D"/>
              <w:right w:val="single" w:sz="12" w:space="0" w:color="FFFFFF"/>
            </w:tcBorders>
            <w:vAlign w:val="center"/>
            <w:hideMark/>
          </w:tcPr>
          <w:p w:rsidR="000E7C4C" w:rsidRDefault="000E7C4C">
            <w:pPr>
              <w:rPr>
                <w:color w:val="000000"/>
                <w:sz w:val="20"/>
              </w:rPr>
            </w:pPr>
          </w:p>
        </w:tc>
      </w:tr>
      <w:tr w:rsidR="000E7C4C">
        <w:trPr>
          <w:jc w:val="center"/>
        </w:trPr>
        <w:tc>
          <w:tcPr>
            <w:tcW w:w="1787" w:type="dxa"/>
            <w:vMerge w:val="restart"/>
            <w:tcBorders>
              <w:top w:val="single" w:sz="2" w:space="0" w:color="1F497D"/>
              <w:left w:val="nil"/>
              <w:bottom w:val="single" w:sz="2" w:space="0" w:color="1F497D"/>
              <w:right w:val="single" w:sz="12" w:space="0" w:color="FFFFFF"/>
            </w:tcBorders>
            <w:vAlign w:val="center"/>
          </w:tcPr>
          <w:p w:rsidR="000E7C4C" w:rsidRDefault="003C3EA6">
            <w:pPr>
              <w:jc w:val="center"/>
              <w:rPr>
                <w:color w:val="000000"/>
                <w:sz w:val="20"/>
              </w:rPr>
            </w:pPr>
            <w:r>
              <w:rPr>
                <w:color w:val="000000"/>
                <w:sz w:val="20"/>
              </w:rPr>
              <w:t>2020</w:t>
            </w:r>
          </w:p>
          <w:p w:rsidR="000E7C4C" w:rsidRDefault="000E7C4C">
            <w:pPr>
              <w:jc w:val="center"/>
              <w:rPr>
                <w:color w:val="000000"/>
                <w:sz w:val="20"/>
              </w:rPr>
            </w:pPr>
          </w:p>
        </w:tc>
        <w:tc>
          <w:tcPr>
            <w:tcW w:w="2371"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1A4</w:t>
            </w:r>
          </w:p>
          <w:p w:rsidR="000E7C4C" w:rsidRDefault="003C3EA6">
            <w:pPr>
              <w:jc w:val="center"/>
              <w:rPr>
                <w:color w:val="000000"/>
                <w:sz w:val="20"/>
              </w:rPr>
            </w:pPr>
            <w:r>
              <w:rPr>
                <w:color w:val="000000"/>
                <w:sz w:val="20"/>
              </w:rPr>
              <w:t>Kiti sektoriai (stacionarus ir mobilus deginimas)</w:t>
            </w:r>
          </w:p>
        </w:tc>
        <w:tc>
          <w:tcPr>
            <w:tcW w:w="2518"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1A2</w:t>
            </w:r>
          </w:p>
          <w:p w:rsidR="000E7C4C" w:rsidRDefault="003C3EA6">
            <w:pPr>
              <w:jc w:val="center"/>
              <w:rPr>
                <w:color w:val="000000"/>
                <w:sz w:val="20"/>
              </w:rPr>
            </w:pPr>
            <w:r>
              <w:rPr>
                <w:color w:val="000000"/>
                <w:sz w:val="20"/>
              </w:rPr>
              <w:t>Gamybos pramonė ir statybos sektorius (deginimas, įskaitant mobilų)</w:t>
            </w:r>
          </w:p>
        </w:tc>
        <w:tc>
          <w:tcPr>
            <w:tcW w:w="2113" w:type="dxa"/>
            <w:tcBorders>
              <w:top w:val="single" w:sz="2" w:space="0" w:color="1F497D"/>
              <w:left w:val="single" w:sz="12" w:space="0" w:color="FFFFFF"/>
              <w:bottom w:val="single" w:sz="2" w:space="0" w:color="1F497D"/>
              <w:right w:val="single" w:sz="12" w:space="0" w:color="FFFFFF"/>
            </w:tcBorders>
            <w:vAlign w:val="center"/>
          </w:tcPr>
          <w:p w:rsidR="000E7C4C" w:rsidRDefault="000E7C4C">
            <w:pPr>
              <w:jc w:val="center"/>
              <w:rPr>
                <w:color w:val="000000"/>
                <w:sz w:val="20"/>
              </w:rPr>
            </w:pPr>
          </w:p>
        </w:tc>
        <w:tc>
          <w:tcPr>
            <w:tcW w:w="788" w:type="dxa"/>
            <w:gridSpan w:val="3"/>
            <w:vMerge w:val="restart"/>
            <w:tcBorders>
              <w:top w:val="single" w:sz="2" w:space="0" w:color="1F497D"/>
              <w:left w:val="single" w:sz="12" w:space="0" w:color="FFFFFF"/>
              <w:bottom w:val="single" w:sz="2" w:space="0" w:color="1F497D"/>
              <w:right w:val="nil"/>
            </w:tcBorders>
            <w:vAlign w:val="center"/>
            <w:hideMark/>
          </w:tcPr>
          <w:p w:rsidR="000E7C4C" w:rsidRDefault="003C3EA6">
            <w:pPr>
              <w:jc w:val="center"/>
              <w:rPr>
                <w:color w:val="000000"/>
                <w:sz w:val="20"/>
              </w:rPr>
            </w:pPr>
            <w:r>
              <w:rPr>
                <w:color w:val="000000"/>
                <w:sz w:val="20"/>
              </w:rPr>
              <w:t>80.2%</w:t>
            </w:r>
          </w:p>
        </w:tc>
      </w:tr>
      <w:tr w:rsidR="000E7C4C">
        <w:trPr>
          <w:jc w:val="center"/>
        </w:trPr>
        <w:tc>
          <w:tcPr>
            <w:tcW w:w="1787"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20"/>
              </w:rPr>
            </w:pPr>
          </w:p>
        </w:tc>
        <w:tc>
          <w:tcPr>
            <w:tcW w:w="2371"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76,3%</w:t>
            </w:r>
          </w:p>
        </w:tc>
        <w:tc>
          <w:tcPr>
            <w:tcW w:w="2518"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3,9%</w:t>
            </w:r>
          </w:p>
        </w:tc>
        <w:tc>
          <w:tcPr>
            <w:tcW w:w="2113" w:type="dxa"/>
            <w:tcBorders>
              <w:top w:val="single" w:sz="2" w:space="0" w:color="1F497D"/>
              <w:left w:val="single" w:sz="12" w:space="0" w:color="FFFFFF"/>
              <w:bottom w:val="single" w:sz="2" w:space="0" w:color="1F497D"/>
              <w:right w:val="single" w:sz="12" w:space="0" w:color="FFFFFF"/>
            </w:tcBorders>
            <w:vAlign w:val="center"/>
          </w:tcPr>
          <w:p w:rsidR="000E7C4C" w:rsidRDefault="000E7C4C">
            <w:pPr>
              <w:jc w:val="center"/>
              <w:rPr>
                <w:color w:val="000000"/>
                <w:sz w:val="20"/>
              </w:rPr>
            </w:pPr>
          </w:p>
        </w:tc>
        <w:tc>
          <w:tcPr>
            <w:tcW w:w="1641" w:type="dxa"/>
            <w:gridSpan w:val="3"/>
            <w:vMerge/>
            <w:tcBorders>
              <w:top w:val="single" w:sz="2" w:space="0" w:color="1F497D"/>
              <w:left w:val="single" w:sz="12" w:space="0" w:color="FFFFFF"/>
              <w:bottom w:val="single" w:sz="2" w:space="0" w:color="1F497D"/>
              <w:right w:val="single" w:sz="12" w:space="0" w:color="FFFFFF"/>
            </w:tcBorders>
            <w:vAlign w:val="center"/>
            <w:hideMark/>
          </w:tcPr>
          <w:p w:rsidR="000E7C4C" w:rsidRDefault="000E7C4C">
            <w:pPr>
              <w:rPr>
                <w:color w:val="000000"/>
                <w:sz w:val="20"/>
              </w:rPr>
            </w:pPr>
          </w:p>
        </w:tc>
      </w:tr>
      <w:tr w:rsidR="000E7C4C">
        <w:trPr>
          <w:jc w:val="center"/>
        </w:trPr>
        <w:tc>
          <w:tcPr>
            <w:tcW w:w="1787" w:type="dxa"/>
            <w:vMerge w:val="restart"/>
            <w:tcBorders>
              <w:top w:val="single" w:sz="2" w:space="0" w:color="1F497D"/>
              <w:left w:val="nil"/>
              <w:bottom w:val="single" w:sz="2" w:space="0" w:color="1F497D"/>
              <w:right w:val="single" w:sz="12" w:space="0" w:color="FFFFFF"/>
            </w:tcBorders>
            <w:vAlign w:val="center"/>
          </w:tcPr>
          <w:p w:rsidR="000E7C4C" w:rsidRDefault="003C3EA6">
            <w:pPr>
              <w:jc w:val="center"/>
              <w:rPr>
                <w:color w:val="000000"/>
                <w:sz w:val="20"/>
              </w:rPr>
            </w:pPr>
            <w:r>
              <w:rPr>
                <w:color w:val="000000"/>
                <w:sz w:val="20"/>
              </w:rPr>
              <w:t>2025</w:t>
            </w:r>
          </w:p>
          <w:p w:rsidR="000E7C4C" w:rsidRDefault="000E7C4C">
            <w:pPr>
              <w:jc w:val="center"/>
              <w:rPr>
                <w:color w:val="000000"/>
                <w:sz w:val="20"/>
              </w:rPr>
            </w:pPr>
          </w:p>
        </w:tc>
        <w:tc>
          <w:tcPr>
            <w:tcW w:w="2371"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1A4</w:t>
            </w:r>
          </w:p>
          <w:p w:rsidR="000E7C4C" w:rsidRDefault="003C3EA6">
            <w:pPr>
              <w:jc w:val="center"/>
              <w:rPr>
                <w:color w:val="000000"/>
                <w:sz w:val="20"/>
              </w:rPr>
            </w:pPr>
            <w:r>
              <w:rPr>
                <w:color w:val="000000"/>
                <w:sz w:val="20"/>
              </w:rPr>
              <w:t>Kiti sektoriai (stacionarus ir mobilus deginimas)</w:t>
            </w:r>
          </w:p>
        </w:tc>
        <w:tc>
          <w:tcPr>
            <w:tcW w:w="2518"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1A1</w:t>
            </w:r>
          </w:p>
          <w:p w:rsidR="000E7C4C" w:rsidRDefault="003C3EA6">
            <w:pPr>
              <w:jc w:val="center"/>
              <w:rPr>
                <w:color w:val="000000"/>
                <w:sz w:val="20"/>
              </w:rPr>
            </w:pPr>
            <w:r>
              <w:rPr>
                <w:color w:val="000000"/>
                <w:sz w:val="20"/>
              </w:rPr>
              <w:t>Energijos gamyba</w:t>
            </w:r>
          </w:p>
        </w:tc>
        <w:tc>
          <w:tcPr>
            <w:tcW w:w="2113"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1A2</w:t>
            </w:r>
          </w:p>
          <w:p w:rsidR="000E7C4C" w:rsidRDefault="003C3EA6">
            <w:pPr>
              <w:jc w:val="center"/>
              <w:rPr>
                <w:color w:val="000000"/>
                <w:sz w:val="20"/>
              </w:rPr>
            </w:pPr>
            <w:r>
              <w:rPr>
                <w:color w:val="000000"/>
                <w:sz w:val="20"/>
              </w:rPr>
              <w:t>Gamybos pramonė ir statybos sektorius (deginimas, įskaitant mobilų)</w:t>
            </w:r>
          </w:p>
        </w:tc>
        <w:tc>
          <w:tcPr>
            <w:tcW w:w="788" w:type="dxa"/>
            <w:gridSpan w:val="3"/>
            <w:vMerge w:val="restart"/>
            <w:tcBorders>
              <w:top w:val="single" w:sz="2" w:space="0" w:color="1F497D"/>
              <w:left w:val="single" w:sz="12" w:space="0" w:color="FFFFFF"/>
              <w:bottom w:val="single" w:sz="2" w:space="0" w:color="1F497D"/>
              <w:right w:val="nil"/>
            </w:tcBorders>
            <w:vAlign w:val="center"/>
            <w:hideMark/>
          </w:tcPr>
          <w:p w:rsidR="000E7C4C" w:rsidRDefault="003C3EA6">
            <w:pPr>
              <w:jc w:val="center"/>
              <w:rPr>
                <w:color w:val="000000"/>
                <w:sz w:val="20"/>
              </w:rPr>
            </w:pPr>
            <w:r>
              <w:rPr>
                <w:color w:val="000000"/>
                <w:sz w:val="20"/>
              </w:rPr>
              <w:t>83.1%</w:t>
            </w:r>
          </w:p>
        </w:tc>
      </w:tr>
      <w:tr w:rsidR="000E7C4C">
        <w:trPr>
          <w:jc w:val="center"/>
        </w:trPr>
        <w:tc>
          <w:tcPr>
            <w:tcW w:w="1787"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20"/>
              </w:rPr>
            </w:pPr>
          </w:p>
        </w:tc>
        <w:tc>
          <w:tcPr>
            <w:tcW w:w="2371"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74,9%</w:t>
            </w:r>
          </w:p>
        </w:tc>
        <w:tc>
          <w:tcPr>
            <w:tcW w:w="2518"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4,1%</w:t>
            </w:r>
          </w:p>
        </w:tc>
        <w:tc>
          <w:tcPr>
            <w:tcW w:w="2113"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4,1%</w:t>
            </w:r>
          </w:p>
        </w:tc>
        <w:tc>
          <w:tcPr>
            <w:tcW w:w="1641" w:type="dxa"/>
            <w:gridSpan w:val="3"/>
            <w:vMerge/>
            <w:tcBorders>
              <w:top w:val="single" w:sz="2" w:space="0" w:color="1F497D"/>
              <w:left w:val="single" w:sz="12" w:space="0" w:color="FFFFFF"/>
              <w:bottom w:val="single" w:sz="2" w:space="0" w:color="1F497D"/>
              <w:right w:val="single" w:sz="12" w:space="0" w:color="FFFFFF"/>
            </w:tcBorders>
            <w:vAlign w:val="center"/>
            <w:hideMark/>
          </w:tcPr>
          <w:p w:rsidR="000E7C4C" w:rsidRDefault="000E7C4C">
            <w:pPr>
              <w:rPr>
                <w:color w:val="000000"/>
                <w:sz w:val="20"/>
              </w:rPr>
            </w:pPr>
          </w:p>
        </w:tc>
      </w:tr>
      <w:tr w:rsidR="000E7C4C">
        <w:trPr>
          <w:jc w:val="center"/>
        </w:trPr>
        <w:tc>
          <w:tcPr>
            <w:tcW w:w="1787" w:type="dxa"/>
            <w:vMerge w:val="restart"/>
            <w:tcBorders>
              <w:top w:val="single" w:sz="2" w:space="0" w:color="1F497D"/>
              <w:left w:val="nil"/>
              <w:bottom w:val="single" w:sz="2" w:space="0" w:color="1F497D"/>
              <w:right w:val="single" w:sz="12" w:space="0" w:color="FFFFFF"/>
            </w:tcBorders>
            <w:vAlign w:val="center"/>
          </w:tcPr>
          <w:p w:rsidR="000E7C4C" w:rsidRDefault="003C3EA6">
            <w:pPr>
              <w:jc w:val="center"/>
              <w:rPr>
                <w:color w:val="000000"/>
                <w:sz w:val="20"/>
              </w:rPr>
            </w:pPr>
            <w:r>
              <w:rPr>
                <w:color w:val="000000"/>
                <w:sz w:val="20"/>
              </w:rPr>
              <w:t>2030</w:t>
            </w:r>
          </w:p>
          <w:p w:rsidR="000E7C4C" w:rsidRDefault="000E7C4C">
            <w:pPr>
              <w:jc w:val="center"/>
              <w:rPr>
                <w:color w:val="000000"/>
                <w:sz w:val="20"/>
              </w:rPr>
            </w:pPr>
          </w:p>
        </w:tc>
        <w:tc>
          <w:tcPr>
            <w:tcW w:w="2371"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1A4</w:t>
            </w:r>
          </w:p>
          <w:p w:rsidR="000E7C4C" w:rsidRDefault="003C3EA6">
            <w:pPr>
              <w:jc w:val="center"/>
              <w:rPr>
                <w:color w:val="000000"/>
                <w:sz w:val="20"/>
              </w:rPr>
            </w:pPr>
            <w:r>
              <w:rPr>
                <w:color w:val="000000"/>
                <w:sz w:val="20"/>
              </w:rPr>
              <w:t>Kiti sektoriai (stacionarus ir mobilus deginimas)</w:t>
            </w:r>
          </w:p>
        </w:tc>
        <w:tc>
          <w:tcPr>
            <w:tcW w:w="2518"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1A1</w:t>
            </w:r>
          </w:p>
          <w:p w:rsidR="000E7C4C" w:rsidRDefault="003C3EA6">
            <w:pPr>
              <w:jc w:val="center"/>
              <w:rPr>
                <w:color w:val="000000"/>
                <w:sz w:val="20"/>
              </w:rPr>
            </w:pPr>
            <w:r>
              <w:rPr>
                <w:color w:val="000000"/>
                <w:sz w:val="20"/>
              </w:rPr>
              <w:t>Energijos gamyba</w:t>
            </w:r>
          </w:p>
        </w:tc>
        <w:tc>
          <w:tcPr>
            <w:tcW w:w="2113"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1A2</w:t>
            </w:r>
          </w:p>
          <w:p w:rsidR="000E7C4C" w:rsidRDefault="003C3EA6">
            <w:pPr>
              <w:jc w:val="center"/>
              <w:rPr>
                <w:color w:val="000000"/>
                <w:sz w:val="20"/>
              </w:rPr>
            </w:pPr>
            <w:r>
              <w:rPr>
                <w:color w:val="000000"/>
                <w:sz w:val="20"/>
              </w:rPr>
              <w:t>Gamybos pramonė ir statybos sektorius (deginimas, įskaitant mobilų)</w:t>
            </w:r>
          </w:p>
        </w:tc>
        <w:tc>
          <w:tcPr>
            <w:tcW w:w="788" w:type="dxa"/>
            <w:gridSpan w:val="3"/>
            <w:vMerge w:val="restart"/>
            <w:tcBorders>
              <w:top w:val="single" w:sz="2" w:space="0" w:color="1F497D"/>
              <w:left w:val="single" w:sz="12" w:space="0" w:color="FFFFFF"/>
              <w:bottom w:val="single" w:sz="2" w:space="0" w:color="1F497D"/>
              <w:right w:val="nil"/>
            </w:tcBorders>
            <w:vAlign w:val="center"/>
            <w:hideMark/>
          </w:tcPr>
          <w:p w:rsidR="000E7C4C" w:rsidRDefault="003C3EA6">
            <w:pPr>
              <w:jc w:val="center"/>
              <w:rPr>
                <w:color w:val="000000"/>
                <w:sz w:val="20"/>
              </w:rPr>
            </w:pPr>
            <w:r>
              <w:rPr>
                <w:color w:val="000000"/>
                <w:sz w:val="20"/>
              </w:rPr>
              <w:t>82.3%</w:t>
            </w:r>
          </w:p>
        </w:tc>
      </w:tr>
      <w:tr w:rsidR="000E7C4C">
        <w:trPr>
          <w:jc w:val="center"/>
        </w:trPr>
        <w:tc>
          <w:tcPr>
            <w:tcW w:w="1787" w:type="dxa"/>
            <w:vMerge/>
            <w:tcBorders>
              <w:top w:val="single" w:sz="2" w:space="0" w:color="1F497D"/>
              <w:left w:val="nil"/>
              <w:bottom w:val="single" w:sz="2" w:space="0" w:color="1F497D"/>
              <w:right w:val="single" w:sz="12" w:space="0" w:color="FFFFFF"/>
            </w:tcBorders>
            <w:vAlign w:val="center"/>
            <w:hideMark/>
          </w:tcPr>
          <w:p w:rsidR="000E7C4C" w:rsidRDefault="000E7C4C">
            <w:pPr>
              <w:rPr>
                <w:color w:val="000000"/>
                <w:sz w:val="20"/>
              </w:rPr>
            </w:pPr>
          </w:p>
        </w:tc>
        <w:tc>
          <w:tcPr>
            <w:tcW w:w="2371"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pPr>
            <w:r>
              <w:rPr>
                <w:color w:val="000000"/>
              </w:rPr>
              <w:t>1.</w:t>
            </w:r>
            <w:r>
              <w:rPr>
                <w:color w:val="000000"/>
              </w:rPr>
              <w:tab/>
            </w:r>
            <w:r>
              <w:t xml:space="preserve"> </w:t>
            </w:r>
          </w:p>
          <w:p w:rsidR="000E7C4C" w:rsidRDefault="003C3EA6">
            <w:pPr>
              <w:jc w:val="center"/>
              <w:rPr>
                <w:color w:val="000000"/>
                <w:sz w:val="20"/>
              </w:rPr>
            </w:pPr>
            <w:r>
              <w:rPr>
                <w:color w:val="000000"/>
                <w:sz w:val="20"/>
              </w:rPr>
              <w:t>73,4%</w:t>
            </w:r>
          </w:p>
        </w:tc>
        <w:tc>
          <w:tcPr>
            <w:tcW w:w="2518"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4,6%</w:t>
            </w:r>
          </w:p>
        </w:tc>
        <w:tc>
          <w:tcPr>
            <w:tcW w:w="2113" w:type="dxa"/>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rPr>
                <w:color w:val="000000"/>
                <w:sz w:val="20"/>
              </w:rPr>
            </w:pPr>
            <w:r>
              <w:rPr>
                <w:color w:val="000000"/>
                <w:sz w:val="20"/>
              </w:rPr>
              <w:t>4,3%</w:t>
            </w:r>
          </w:p>
        </w:tc>
        <w:tc>
          <w:tcPr>
            <w:tcW w:w="1641" w:type="dxa"/>
            <w:gridSpan w:val="3"/>
            <w:vMerge/>
            <w:tcBorders>
              <w:top w:val="single" w:sz="2" w:space="0" w:color="1F497D"/>
              <w:left w:val="single" w:sz="12" w:space="0" w:color="FFFFFF"/>
              <w:bottom w:val="single" w:sz="2" w:space="0" w:color="1F497D"/>
              <w:right w:val="single" w:sz="12" w:space="0" w:color="FFFFFF"/>
            </w:tcBorders>
            <w:vAlign w:val="center"/>
            <w:hideMark/>
          </w:tcPr>
          <w:p w:rsidR="000E7C4C" w:rsidRDefault="003C3EA6">
            <w:pPr>
              <w:jc w:val="center"/>
            </w:pPr>
            <w:r>
              <w:rPr>
                <w:color w:val="000000"/>
              </w:rPr>
              <w:t>1.</w:t>
            </w:r>
            <w:r>
              <w:rPr>
                <w:color w:val="000000"/>
              </w:rPr>
              <w:tab/>
            </w:r>
          </w:p>
          <w:p w:rsidR="000E7C4C" w:rsidRDefault="000E7C4C">
            <w:pPr>
              <w:rPr>
                <w:color w:val="000000"/>
                <w:sz w:val="20"/>
              </w:rPr>
            </w:pPr>
          </w:p>
        </w:tc>
      </w:tr>
    </w:tbl>
    <w:p w:rsidR="000E7C4C" w:rsidRDefault="000E7C4C">
      <w:pPr>
        <w:jc w:val="center"/>
      </w:pPr>
    </w:p>
    <w:p w:rsidR="000E7C4C" w:rsidRDefault="003C3EA6">
      <w:pPr>
        <w:jc w:val="center"/>
        <w:rPr>
          <w:color w:val="000000"/>
          <w:sz w:val="20"/>
          <w:szCs w:val="21"/>
        </w:rPr>
      </w:pPr>
      <w:r>
        <w:rPr>
          <w:color w:val="000000"/>
          <w:sz w:val="20"/>
          <w:szCs w:val="21"/>
        </w:rPr>
        <w:t>(Duomenų šaltinis: AAA)</w:t>
      </w:r>
    </w:p>
    <w:p w:rsidR="000E7C4C" w:rsidRDefault="00FC3082">
      <w:pPr>
        <w:tabs>
          <w:tab w:val="num" w:pos="360"/>
        </w:tabs>
        <w:spacing w:line="360" w:lineRule="atLeast"/>
        <w:jc w:val="center"/>
        <w:rPr>
          <w:color w:val="000000"/>
          <w:szCs w:val="21"/>
          <w:lang w:val="en-US"/>
        </w:rPr>
      </w:pPr>
    </w:p>
    <w:p w:rsidR="000E7C4C" w:rsidRDefault="003C3EA6">
      <w:pPr>
        <w:tabs>
          <w:tab w:val="num" w:pos="360"/>
        </w:tabs>
        <w:spacing w:line="360" w:lineRule="atLeast"/>
        <w:jc w:val="center"/>
        <w:rPr>
          <w:color w:val="000000"/>
          <w:szCs w:val="21"/>
          <w:lang w:val="en-US"/>
        </w:rPr>
      </w:pPr>
      <w:r>
        <w:rPr>
          <w:color w:val="000000"/>
          <w:szCs w:val="21"/>
          <w:lang w:val="en-US"/>
        </w:rPr>
        <w:t>____________________________</w:t>
      </w:r>
    </w:p>
    <w:p w:rsidR="000E7C4C" w:rsidRDefault="000E7C4C">
      <w:pPr>
        <w:tabs>
          <w:tab w:val="left" w:pos="540"/>
          <w:tab w:val="left" w:pos="1296"/>
        </w:tabs>
        <w:rPr>
          <w:szCs w:val="24"/>
        </w:rPr>
      </w:pPr>
    </w:p>
    <w:p w:rsidR="000E7C4C" w:rsidRDefault="00FC3082">
      <w:pPr>
        <w:tabs>
          <w:tab w:val="center" w:pos="4819"/>
          <w:tab w:val="right" w:pos="9638"/>
        </w:tabs>
        <w:ind w:firstLine="720"/>
        <w:jc w:val="both"/>
        <w:rPr>
          <w:color w:val="000000"/>
          <w:szCs w:val="21"/>
          <w:lang w:val="en-US"/>
        </w:rPr>
      </w:pPr>
    </w:p>
    <w:p w:rsidR="00FC3082" w:rsidRDefault="00FC3082">
      <w:pPr>
        <w:ind w:left="7088"/>
        <w:sectPr w:rsidR="00FC3082">
          <w:pgSz w:w="11906" w:h="16838"/>
          <w:pgMar w:top="1701" w:right="567" w:bottom="1134" w:left="1701" w:header="567" w:footer="567" w:gutter="0"/>
          <w:pgNumType w:start="1"/>
          <w:cols w:space="1296"/>
          <w:titlePg/>
          <w:docGrid w:linePitch="360"/>
        </w:sectPr>
      </w:pPr>
    </w:p>
    <w:p w:rsidR="000E7C4C" w:rsidRDefault="003C3EA6">
      <w:pPr>
        <w:ind w:left="7088"/>
        <w:rPr>
          <w:color w:val="000000"/>
          <w:szCs w:val="24"/>
        </w:rPr>
      </w:pPr>
      <w:r>
        <w:rPr>
          <w:color w:val="000000"/>
          <w:szCs w:val="24"/>
        </w:rPr>
        <w:t xml:space="preserve">Nacionalinio oro taršos </w:t>
      </w:r>
    </w:p>
    <w:p w:rsidR="000E7C4C" w:rsidRDefault="003C3EA6">
      <w:pPr>
        <w:ind w:left="7088"/>
        <w:rPr>
          <w:color w:val="000000"/>
          <w:szCs w:val="24"/>
        </w:rPr>
      </w:pPr>
      <w:r>
        <w:rPr>
          <w:color w:val="000000"/>
          <w:szCs w:val="24"/>
        </w:rPr>
        <w:t>mažinimo plano</w:t>
      </w:r>
    </w:p>
    <w:p w:rsidR="000E7C4C" w:rsidRDefault="003C3EA6">
      <w:pPr>
        <w:ind w:left="7088"/>
        <w:rPr>
          <w:color w:val="000000"/>
          <w:szCs w:val="24"/>
        </w:rPr>
      </w:pPr>
      <w:r>
        <w:rPr>
          <w:color w:val="000000"/>
          <w:szCs w:val="24"/>
        </w:rPr>
        <w:t>13</w:t>
      </w:r>
      <w:r>
        <w:rPr>
          <w:color w:val="000000"/>
          <w:szCs w:val="24"/>
        </w:rPr>
        <w:t xml:space="preserve"> priedas</w:t>
      </w:r>
    </w:p>
    <w:p w:rsidR="000E7C4C" w:rsidRDefault="000E7C4C">
      <w:pPr>
        <w:spacing w:line="360" w:lineRule="atLeast"/>
        <w:ind w:left="7088"/>
        <w:jc w:val="right"/>
        <w:rPr>
          <w:color w:val="000000"/>
          <w:szCs w:val="24"/>
        </w:rPr>
      </w:pPr>
    </w:p>
    <w:p w:rsidR="000E7C4C" w:rsidRDefault="003C3EA6">
      <w:pPr>
        <w:jc w:val="center"/>
        <w:rPr>
          <w:b/>
          <w:color w:val="000000"/>
          <w:szCs w:val="24"/>
        </w:rPr>
      </w:pPr>
      <w:r>
        <w:rPr>
          <w:b/>
          <w:color w:val="000000"/>
          <w:szCs w:val="24"/>
        </w:rPr>
        <w:t>IŠMESTI Į APLINKOS ORĄ TERŠALŲ KIEKIAI 2005–2015 METAIS PAGAL SEKTORIUS (TARŠOS ŠALTINIŲ KATEGORIJAS)</w:t>
      </w:r>
    </w:p>
    <w:p w:rsidR="000E7C4C" w:rsidRDefault="000E7C4C">
      <w:pPr>
        <w:jc w:val="both"/>
        <w:rPr>
          <w:color w:val="000000"/>
          <w:szCs w:val="24"/>
        </w:rPr>
      </w:pPr>
    </w:p>
    <w:p w:rsidR="000E7C4C" w:rsidRDefault="003C3EA6">
      <w:pPr>
        <w:tabs>
          <w:tab w:val="left" w:pos="6096"/>
        </w:tabs>
        <w:jc w:val="both"/>
        <w:rPr>
          <w:color w:val="000000"/>
          <w:szCs w:val="24"/>
        </w:rPr>
      </w:pPr>
      <w:r>
        <w:rPr>
          <w:color w:val="000000"/>
          <w:szCs w:val="24"/>
        </w:rPr>
        <w:t>1 lentelė. Išmestas į aplinkos orą azoto oksidų (</w:t>
      </w:r>
      <w:proofErr w:type="spellStart"/>
      <w:r>
        <w:rPr>
          <w:color w:val="000000"/>
          <w:szCs w:val="24"/>
        </w:rPr>
        <w:t>NO</w:t>
      </w:r>
      <w:r>
        <w:rPr>
          <w:color w:val="000000"/>
          <w:szCs w:val="24"/>
          <w:vertAlign w:val="subscript"/>
        </w:rPr>
        <w:t>x</w:t>
      </w:r>
      <w:proofErr w:type="spellEnd"/>
      <w:r>
        <w:rPr>
          <w:color w:val="000000"/>
          <w:szCs w:val="24"/>
        </w:rPr>
        <w:t xml:space="preserve">) kiekis, </w:t>
      </w:r>
      <w:proofErr w:type="spellStart"/>
      <w:r>
        <w:rPr>
          <w:color w:val="000000"/>
          <w:szCs w:val="24"/>
        </w:rPr>
        <w:t>kt</w:t>
      </w:r>
      <w:proofErr w:type="spellEnd"/>
      <w:r>
        <w:rPr>
          <w:color w:val="000000"/>
          <w:szCs w:val="24"/>
        </w:rPr>
        <w:t xml:space="preserve"> pagal taršos šaltinio kategoriją, priskirtą veikloms pagal išmetamų į aplinkos orą teršalų nomenklatūrą (NFR), numatytą 1979 metų Tolimųjų tarpvalstybinių oro teršalų pernašų konvencijoje (toliau – Konvencija).</w:t>
      </w:r>
    </w:p>
    <w:p w:rsidR="000E7C4C" w:rsidRDefault="000E7C4C">
      <w:pPr>
        <w:jc w:val="both"/>
        <w:rPr>
          <w:color w:val="000000"/>
          <w:szCs w:val="24"/>
        </w:rPr>
      </w:pPr>
    </w:p>
    <w:p w:rsidR="000E7C4C" w:rsidRDefault="003C3EA6">
      <w:pPr>
        <w:jc w:val="both"/>
        <w:rPr>
          <w:color w:val="000000"/>
          <w:szCs w:val="24"/>
        </w:rPr>
      </w:pPr>
      <w:r>
        <w:rPr>
          <w:noProof/>
          <w:color w:val="000000"/>
          <w:szCs w:val="21"/>
          <w:lang w:eastAsia="lt-LT"/>
        </w:rPr>
        <w:drawing>
          <wp:inline distT="0" distB="0" distL="0" distR="0" wp14:anchorId="7FF59213" wp14:editId="2DA80FCB">
            <wp:extent cx="5753100" cy="3448050"/>
            <wp:effectExtent l="0" t="0" r="0" b="0"/>
            <wp:docPr id="532" name="Paveikslėlis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3448050"/>
                    </a:xfrm>
                    <a:prstGeom prst="rect">
                      <a:avLst/>
                    </a:prstGeom>
                    <a:noFill/>
                    <a:ln>
                      <a:noFill/>
                    </a:ln>
                  </pic:spPr>
                </pic:pic>
              </a:graphicData>
            </a:graphic>
          </wp:inline>
        </w:drawing>
      </w:r>
    </w:p>
    <w:p w:rsidR="000E7C4C" w:rsidRDefault="000E7C4C">
      <w:pPr>
        <w:jc w:val="both"/>
        <w:rPr>
          <w:color w:val="000000"/>
          <w:sz w:val="20"/>
        </w:rPr>
      </w:pPr>
    </w:p>
    <w:p w:rsidR="000E7C4C" w:rsidRDefault="003C3EA6">
      <w:pPr>
        <w:jc w:val="both"/>
        <w:rPr>
          <w:color w:val="000000"/>
          <w:szCs w:val="24"/>
        </w:rPr>
      </w:pPr>
      <w:r>
        <w:rPr>
          <w:color w:val="000000"/>
          <w:szCs w:val="24"/>
        </w:rPr>
        <w:t>2 lentelė. Išmestas į aplinkos orą sieros dioksido (SO</w:t>
      </w:r>
      <w:r>
        <w:rPr>
          <w:color w:val="000000"/>
          <w:szCs w:val="24"/>
          <w:vertAlign w:val="subscript"/>
        </w:rPr>
        <w:t>2</w:t>
      </w:r>
      <w:r>
        <w:rPr>
          <w:color w:val="000000"/>
          <w:szCs w:val="24"/>
        </w:rPr>
        <w:t xml:space="preserve">) kiekis, </w:t>
      </w:r>
      <w:proofErr w:type="spellStart"/>
      <w:r>
        <w:rPr>
          <w:color w:val="000000"/>
          <w:szCs w:val="24"/>
        </w:rPr>
        <w:t>kt</w:t>
      </w:r>
      <w:proofErr w:type="spellEnd"/>
      <w:r>
        <w:rPr>
          <w:color w:val="000000"/>
          <w:szCs w:val="24"/>
        </w:rPr>
        <w:t xml:space="preserve"> pagal taršos šaltinio kategoriją, priskirtą veikloms pagal išmetamų į aplinkos orą teršalų nomenklatūrą (NFR), numatytą Konvencijoje.</w:t>
      </w:r>
    </w:p>
    <w:p w:rsidR="000E7C4C" w:rsidRDefault="000E7C4C">
      <w:pPr>
        <w:jc w:val="both"/>
        <w:rPr>
          <w:color w:val="000000"/>
          <w:sz w:val="20"/>
        </w:rPr>
      </w:pPr>
    </w:p>
    <w:p w:rsidR="000E7C4C" w:rsidRDefault="003C3EA6">
      <w:pPr>
        <w:jc w:val="both"/>
        <w:rPr>
          <w:color w:val="000000"/>
          <w:sz w:val="20"/>
          <w:szCs w:val="21"/>
        </w:rPr>
      </w:pPr>
      <w:r>
        <w:rPr>
          <w:noProof/>
          <w:color w:val="000000"/>
          <w:szCs w:val="21"/>
          <w:lang w:eastAsia="lt-LT"/>
        </w:rPr>
        <w:drawing>
          <wp:inline distT="0" distB="0" distL="0" distR="0" wp14:anchorId="0AF1E8A7" wp14:editId="0E701678">
            <wp:extent cx="5753100" cy="2466975"/>
            <wp:effectExtent l="0" t="0" r="0" b="9525"/>
            <wp:docPr id="531" name="Paveikslėlis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2466975"/>
                    </a:xfrm>
                    <a:prstGeom prst="rect">
                      <a:avLst/>
                    </a:prstGeom>
                    <a:noFill/>
                    <a:ln>
                      <a:noFill/>
                    </a:ln>
                  </pic:spPr>
                </pic:pic>
              </a:graphicData>
            </a:graphic>
          </wp:inline>
        </w:drawing>
      </w:r>
    </w:p>
    <w:p w:rsidR="000E7C4C" w:rsidRDefault="000E7C4C">
      <w:pPr>
        <w:spacing w:line="360" w:lineRule="atLeast"/>
        <w:jc w:val="both"/>
        <w:rPr>
          <w:color w:val="000000"/>
          <w:sz w:val="20"/>
          <w:szCs w:val="21"/>
        </w:rPr>
      </w:pPr>
    </w:p>
    <w:p w:rsidR="000E7C4C" w:rsidRDefault="000E7C4C">
      <w:pPr>
        <w:spacing w:line="360" w:lineRule="atLeast"/>
        <w:jc w:val="both"/>
        <w:rPr>
          <w:color w:val="000000"/>
          <w:sz w:val="20"/>
          <w:szCs w:val="21"/>
        </w:rPr>
      </w:pPr>
    </w:p>
    <w:p w:rsidR="000E7C4C" w:rsidRDefault="003C3EA6">
      <w:pPr>
        <w:jc w:val="both"/>
        <w:rPr>
          <w:color w:val="000000"/>
          <w:szCs w:val="24"/>
        </w:rPr>
      </w:pPr>
      <w:r>
        <w:rPr>
          <w:color w:val="000000"/>
          <w:szCs w:val="24"/>
        </w:rPr>
        <w:t xml:space="preserve">3 lentelė. Išmestas į aplinkos orą nemetaninių lakiųjų organinių junginių (NMLOJ) kiekis, </w:t>
      </w:r>
      <w:proofErr w:type="spellStart"/>
      <w:r>
        <w:rPr>
          <w:color w:val="000000"/>
          <w:szCs w:val="24"/>
        </w:rPr>
        <w:t>kt</w:t>
      </w:r>
      <w:proofErr w:type="spellEnd"/>
      <w:r>
        <w:rPr>
          <w:color w:val="000000"/>
          <w:szCs w:val="24"/>
        </w:rPr>
        <w:t xml:space="preserve"> pagal taršos šaltinio kategoriją, priskirtą veikloms pagal išmetamų į aplinkos orą teršalų nomenklatūrą (NFR), numatytą Konvencijoje.</w:t>
      </w:r>
    </w:p>
    <w:p w:rsidR="000E7C4C" w:rsidRDefault="000E7C4C">
      <w:pPr>
        <w:jc w:val="both"/>
        <w:rPr>
          <w:color w:val="000000"/>
          <w:sz w:val="20"/>
        </w:rPr>
      </w:pPr>
    </w:p>
    <w:p w:rsidR="000E7C4C" w:rsidRDefault="003C3EA6">
      <w:pPr>
        <w:jc w:val="both"/>
        <w:rPr>
          <w:color w:val="000000"/>
          <w:sz w:val="20"/>
          <w:szCs w:val="21"/>
        </w:rPr>
      </w:pPr>
      <w:r>
        <w:rPr>
          <w:noProof/>
          <w:color w:val="000000"/>
          <w:szCs w:val="21"/>
          <w:lang w:eastAsia="lt-LT"/>
        </w:rPr>
        <w:drawing>
          <wp:inline distT="0" distB="0" distL="0" distR="0" wp14:anchorId="7D770AFB" wp14:editId="3A6C0258">
            <wp:extent cx="5753100" cy="3933825"/>
            <wp:effectExtent l="0" t="0" r="0" b="9525"/>
            <wp:docPr id="530" name="Paveikslėlis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3100" cy="3933825"/>
                    </a:xfrm>
                    <a:prstGeom prst="rect">
                      <a:avLst/>
                    </a:prstGeom>
                    <a:noFill/>
                    <a:ln>
                      <a:noFill/>
                    </a:ln>
                  </pic:spPr>
                </pic:pic>
              </a:graphicData>
            </a:graphic>
          </wp:inline>
        </w:drawing>
      </w:r>
    </w:p>
    <w:p w:rsidR="000E7C4C" w:rsidRDefault="000E7C4C">
      <w:pPr>
        <w:jc w:val="both"/>
        <w:rPr>
          <w:color w:val="000000"/>
          <w:sz w:val="20"/>
        </w:rPr>
      </w:pPr>
    </w:p>
    <w:p w:rsidR="000E7C4C" w:rsidRDefault="003C3EA6">
      <w:pPr>
        <w:jc w:val="both"/>
        <w:rPr>
          <w:color w:val="000000"/>
          <w:szCs w:val="24"/>
        </w:rPr>
      </w:pPr>
      <w:r>
        <w:rPr>
          <w:color w:val="000000"/>
          <w:szCs w:val="24"/>
        </w:rPr>
        <w:t>4 lentelė. Išmestas į aplinkos orą amoniako (NH</w:t>
      </w:r>
      <w:r>
        <w:rPr>
          <w:color w:val="000000"/>
          <w:szCs w:val="24"/>
          <w:vertAlign w:val="subscript"/>
        </w:rPr>
        <w:t>3</w:t>
      </w:r>
      <w:r>
        <w:rPr>
          <w:color w:val="000000"/>
          <w:szCs w:val="24"/>
        </w:rPr>
        <w:t xml:space="preserve">) kiekis, </w:t>
      </w:r>
      <w:proofErr w:type="spellStart"/>
      <w:r>
        <w:rPr>
          <w:color w:val="000000"/>
          <w:szCs w:val="24"/>
        </w:rPr>
        <w:t>kt</w:t>
      </w:r>
      <w:proofErr w:type="spellEnd"/>
      <w:r>
        <w:rPr>
          <w:color w:val="000000"/>
          <w:szCs w:val="24"/>
        </w:rPr>
        <w:t xml:space="preserve"> pagal taršos šaltinio kategoriją, priskirtą veikloms pagal išmetamų į aplinkos orą teršalų nomenklatūrą (NFR), numatytą Konvencijoje.</w:t>
      </w:r>
    </w:p>
    <w:p w:rsidR="000E7C4C" w:rsidRDefault="000E7C4C">
      <w:pPr>
        <w:jc w:val="both"/>
        <w:rPr>
          <w:color w:val="000000"/>
          <w:sz w:val="20"/>
        </w:rPr>
      </w:pPr>
    </w:p>
    <w:p w:rsidR="000E7C4C" w:rsidRDefault="003C3EA6">
      <w:pPr>
        <w:jc w:val="both"/>
        <w:rPr>
          <w:color w:val="000000"/>
          <w:sz w:val="20"/>
          <w:szCs w:val="21"/>
        </w:rPr>
      </w:pPr>
      <w:r>
        <w:rPr>
          <w:noProof/>
          <w:color w:val="000000"/>
          <w:szCs w:val="21"/>
          <w:lang w:eastAsia="lt-LT"/>
        </w:rPr>
        <w:drawing>
          <wp:inline distT="0" distB="0" distL="0" distR="0" wp14:anchorId="5AED47DA" wp14:editId="455A1BF2">
            <wp:extent cx="5753100" cy="3638550"/>
            <wp:effectExtent l="0" t="0" r="0" b="0"/>
            <wp:docPr id="529" name="Paveikslėlis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3100" cy="3638550"/>
                    </a:xfrm>
                    <a:prstGeom prst="rect">
                      <a:avLst/>
                    </a:prstGeom>
                    <a:noFill/>
                    <a:ln>
                      <a:noFill/>
                    </a:ln>
                  </pic:spPr>
                </pic:pic>
              </a:graphicData>
            </a:graphic>
          </wp:inline>
        </w:drawing>
      </w:r>
    </w:p>
    <w:p w:rsidR="000E7C4C" w:rsidRDefault="000E7C4C">
      <w:pPr>
        <w:jc w:val="both"/>
        <w:rPr>
          <w:color w:val="000000"/>
          <w:sz w:val="20"/>
        </w:rPr>
      </w:pPr>
    </w:p>
    <w:p w:rsidR="000E7C4C" w:rsidRDefault="003C3EA6">
      <w:pPr>
        <w:jc w:val="both"/>
        <w:rPr>
          <w:color w:val="000000"/>
          <w:szCs w:val="24"/>
        </w:rPr>
      </w:pPr>
      <w:r>
        <w:rPr>
          <w:color w:val="000000"/>
          <w:szCs w:val="24"/>
        </w:rPr>
        <w:t>5 lentelė. Išmestas smulkiųjų kietųjų dalelių (KD</w:t>
      </w:r>
      <w:r>
        <w:rPr>
          <w:color w:val="000000"/>
          <w:szCs w:val="24"/>
          <w:vertAlign w:val="subscript"/>
        </w:rPr>
        <w:t>2,5</w:t>
      </w:r>
      <w:r>
        <w:rPr>
          <w:color w:val="000000"/>
          <w:szCs w:val="24"/>
        </w:rPr>
        <w:t xml:space="preserve">) kiekis, </w:t>
      </w:r>
      <w:proofErr w:type="spellStart"/>
      <w:r>
        <w:rPr>
          <w:color w:val="000000"/>
          <w:szCs w:val="24"/>
        </w:rPr>
        <w:t>kt</w:t>
      </w:r>
      <w:proofErr w:type="spellEnd"/>
      <w:r>
        <w:rPr>
          <w:color w:val="000000"/>
          <w:szCs w:val="24"/>
        </w:rPr>
        <w:t xml:space="preserve"> pagal taršos šaltinio kategoriją, priskirtą veikloms pagal išmetamų į aplinkos orą teršalų nomenklatūrą (NFR), numatytą Konvencijoje.</w:t>
      </w:r>
    </w:p>
    <w:p w:rsidR="000E7C4C" w:rsidRDefault="000E7C4C">
      <w:pPr>
        <w:jc w:val="both"/>
        <w:rPr>
          <w:color w:val="000000"/>
          <w:sz w:val="20"/>
        </w:rPr>
      </w:pPr>
    </w:p>
    <w:p w:rsidR="000E7C4C" w:rsidRDefault="003C3EA6">
      <w:pPr>
        <w:jc w:val="both"/>
        <w:rPr>
          <w:color w:val="000000"/>
          <w:sz w:val="20"/>
          <w:szCs w:val="21"/>
        </w:rPr>
      </w:pPr>
      <w:r>
        <w:rPr>
          <w:noProof/>
          <w:color w:val="000000"/>
          <w:szCs w:val="21"/>
          <w:lang w:eastAsia="lt-LT"/>
        </w:rPr>
        <w:drawing>
          <wp:inline distT="0" distB="0" distL="0" distR="0" wp14:anchorId="5BEA5C05" wp14:editId="6994FD98">
            <wp:extent cx="5753100" cy="3505200"/>
            <wp:effectExtent l="0" t="0" r="0" b="0"/>
            <wp:docPr id="528" name="Paveikslėlis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rsidR="000E7C4C" w:rsidRDefault="000E7C4C">
      <w:pPr>
        <w:jc w:val="both"/>
        <w:rPr>
          <w:color w:val="000000"/>
          <w:sz w:val="20"/>
          <w:szCs w:val="21"/>
        </w:rPr>
      </w:pPr>
    </w:p>
    <w:p w:rsidR="000E7C4C" w:rsidRDefault="003C3EA6">
      <w:pPr>
        <w:jc w:val="center"/>
        <w:rPr>
          <w:color w:val="000000"/>
          <w:sz w:val="20"/>
          <w:szCs w:val="21"/>
        </w:rPr>
      </w:pPr>
      <w:r>
        <w:rPr>
          <w:color w:val="000000"/>
          <w:sz w:val="20"/>
          <w:szCs w:val="21"/>
        </w:rPr>
        <w:t>______________________________</w:t>
      </w:r>
    </w:p>
    <w:p w:rsidR="000E7C4C" w:rsidRDefault="000E7C4C">
      <w:pPr>
        <w:tabs>
          <w:tab w:val="left" w:pos="540"/>
          <w:tab w:val="left" w:pos="1296"/>
        </w:tabs>
        <w:rPr>
          <w:szCs w:val="24"/>
        </w:rPr>
      </w:pPr>
    </w:p>
    <w:p w:rsidR="000E7C4C" w:rsidRDefault="003C3EA6">
      <w:pPr>
        <w:tabs>
          <w:tab w:val="center" w:pos="4819"/>
          <w:tab w:val="right" w:pos="9638"/>
        </w:tabs>
        <w:rPr>
          <w:sz w:val="22"/>
          <w:szCs w:val="22"/>
        </w:rPr>
      </w:pPr>
    </w:p>
    <w:p w:rsidR="00FC3082" w:rsidRDefault="00FC3082">
      <w:pPr>
        <w:ind w:left="7088"/>
        <w:sectPr w:rsidR="00FC3082">
          <w:pgSz w:w="11906" w:h="16838"/>
          <w:pgMar w:top="1701" w:right="567" w:bottom="1134" w:left="1701" w:header="567" w:footer="567" w:gutter="0"/>
          <w:pgNumType w:start="1"/>
          <w:cols w:space="1296"/>
          <w:titlePg/>
          <w:docGrid w:linePitch="360"/>
        </w:sectPr>
      </w:pPr>
    </w:p>
    <w:p w:rsidR="000E7C4C" w:rsidRDefault="003C3EA6">
      <w:pPr>
        <w:ind w:left="7088"/>
        <w:rPr>
          <w:szCs w:val="24"/>
        </w:rPr>
      </w:pPr>
      <w:r>
        <w:rPr>
          <w:szCs w:val="24"/>
        </w:rPr>
        <w:t xml:space="preserve">Nacionalinio oro taršos </w:t>
      </w:r>
    </w:p>
    <w:p w:rsidR="000E7C4C" w:rsidRDefault="003C3EA6">
      <w:pPr>
        <w:ind w:left="7088"/>
        <w:rPr>
          <w:szCs w:val="24"/>
        </w:rPr>
      </w:pPr>
      <w:r>
        <w:rPr>
          <w:szCs w:val="24"/>
        </w:rPr>
        <w:t>mažinimo plano</w:t>
      </w:r>
    </w:p>
    <w:p w:rsidR="000E7C4C" w:rsidRDefault="003C3EA6">
      <w:pPr>
        <w:ind w:left="7088"/>
        <w:rPr>
          <w:szCs w:val="24"/>
        </w:rPr>
      </w:pPr>
      <w:r>
        <w:rPr>
          <w:szCs w:val="24"/>
        </w:rPr>
        <w:t>14</w:t>
      </w:r>
      <w:r>
        <w:rPr>
          <w:szCs w:val="24"/>
        </w:rPr>
        <w:t xml:space="preserve"> priedas</w:t>
      </w:r>
    </w:p>
    <w:p w:rsidR="000E7C4C" w:rsidRDefault="000E7C4C">
      <w:pPr>
        <w:ind w:left="4962"/>
        <w:jc w:val="right"/>
        <w:rPr>
          <w:szCs w:val="24"/>
        </w:rPr>
      </w:pPr>
    </w:p>
    <w:p w:rsidR="000E7C4C" w:rsidRDefault="003C3EA6">
      <w:pPr>
        <w:jc w:val="center"/>
        <w:rPr>
          <w:b/>
          <w:szCs w:val="24"/>
        </w:rPr>
      </w:pPr>
      <w:r>
        <w:rPr>
          <w:b/>
          <w:szCs w:val="24"/>
        </w:rPr>
        <w:t>NACIONALINIAME ORO TARŠOS MAŽINIMO PLANE NURODYTŲ TARŠOS ŠALTINIŲ KATEGORIJŲ, PRISKIRIAMŲ VEIKLOMS PAGAL IŠMETAMŲ Į APLINKOS ORĄ TERŠALŲ NOMENKLATŪRĄ (NFR), NUMATYTĄ 1979 METŲ TOLIMŲJŲ TARPVALSTYBINIŲ ORO TERŠALŲ PERNAŠŲ KONVENCIJOJE, APIBŪDINIMAS</w:t>
      </w:r>
    </w:p>
    <w:p w:rsidR="000E7C4C" w:rsidRDefault="000E7C4C">
      <w:pPr>
        <w:rPr>
          <w:sz w:val="18"/>
          <w:szCs w:val="18"/>
        </w:rPr>
      </w:pPr>
    </w:p>
    <w:p w:rsidR="000E7C4C" w:rsidRDefault="003C3EA6">
      <w:pPr>
        <w:jc w:val="both"/>
        <w:rPr>
          <w:b/>
          <w:szCs w:val="24"/>
        </w:rPr>
      </w:pPr>
      <w:r>
        <w:rPr>
          <w:szCs w:val="24"/>
        </w:rPr>
        <w:t>Lentelė. Nacionaliniame oro taršos mažinimo plane nurodytų taršos šaltinių kategorijų, priskiriamų veikloms pagal išmetamų į aplinkos orą teršalų nomenklatūrą (NFR), numatytą 1979 metų Tolimųjų tarpvalstybinių oro teršalų pernašų konvencijoje, apibūdinimas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796"/>
        <w:gridCol w:w="4394"/>
        <w:gridCol w:w="2662"/>
      </w:tblGrid>
      <w:tr w:rsidR="000E7C4C">
        <w:tc>
          <w:tcPr>
            <w:tcW w:w="756"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rsidR="000E7C4C" w:rsidRDefault="000E7C4C">
            <w:pPr>
              <w:jc w:val="center"/>
              <w:rPr>
                <w:color w:val="FFFFFF"/>
                <w:sz w:val="20"/>
              </w:rPr>
            </w:pPr>
          </w:p>
          <w:p w:rsidR="000E7C4C" w:rsidRDefault="003C3EA6">
            <w:pPr>
              <w:jc w:val="center"/>
              <w:rPr>
                <w:color w:val="FFFFFF"/>
                <w:sz w:val="20"/>
              </w:rPr>
            </w:pPr>
            <w:r>
              <w:rPr>
                <w:color w:val="FFFFFF"/>
                <w:sz w:val="20"/>
              </w:rPr>
              <w:t>NFR</w:t>
            </w:r>
          </w:p>
        </w:tc>
        <w:tc>
          <w:tcPr>
            <w:tcW w:w="1796" w:type="dxa"/>
            <w:tcBorders>
              <w:top w:val="single" w:sz="4" w:space="0" w:color="auto"/>
              <w:left w:val="single" w:sz="4" w:space="0" w:color="auto"/>
              <w:bottom w:val="single" w:sz="4" w:space="0" w:color="auto"/>
              <w:right w:val="single" w:sz="4" w:space="0" w:color="auto"/>
            </w:tcBorders>
            <w:shd w:val="clear" w:color="auto" w:fill="0F243E" w:themeFill="text2" w:themeFillShade="80"/>
            <w:hideMark/>
          </w:tcPr>
          <w:p w:rsidR="000E7C4C" w:rsidRDefault="003C3EA6">
            <w:pPr>
              <w:jc w:val="center"/>
              <w:rPr>
                <w:color w:val="FFFFFF"/>
                <w:sz w:val="20"/>
              </w:rPr>
            </w:pPr>
            <w:r>
              <w:rPr>
                <w:color w:val="FFFFFF"/>
                <w:sz w:val="20"/>
              </w:rPr>
              <w:t>Taršos šaltinio kategorijos, priskiriamos veikloms</w:t>
            </w:r>
          </w:p>
        </w:tc>
        <w:tc>
          <w:tcPr>
            <w:tcW w:w="4394"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rsidR="000E7C4C" w:rsidRDefault="000E7C4C">
            <w:pPr>
              <w:jc w:val="center"/>
              <w:rPr>
                <w:color w:val="FFFFFF"/>
                <w:sz w:val="20"/>
              </w:rPr>
            </w:pPr>
          </w:p>
          <w:p w:rsidR="000E7C4C" w:rsidRDefault="003C3EA6">
            <w:pPr>
              <w:jc w:val="center"/>
              <w:rPr>
                <w:color w:val="FFFFFF"/>
                <w:sz w:val="20"/>
              </w:rPr>
            </w:pPr>
            <w:r>
              <w:rPr>
                <w:color w:val="FFFFFF"/>
                <w:sz w:val="20"/>
              </w:rPr>
              <w:t xml:space="preserve">Metodikoje pateikiamas veiklos apibūdinimas </w:t>
            </w:r>
          </w:p>
        </w:tc>
        <w:tc>
          <w:tcPr>
            <w:tcW w:w="2662"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rsidR="000E7C4C" w:rsidRDefault="000E7C4C">
            <w:pPr>
              <w:jc w:val="center"/>
              <w:rPr>
                <w:color w:val="FFFFFF"/>
                <w:sz w:val="20"/>
              </w:rPr>
            </w:pPr>
          </w:p>
          <w:p w:rsidR="000E7C4C" w:rsidRDefault="003C3EA6">
            <w:pPr>
              <w:jc w:val="center"/>
              <w:rPr>
                <w:color w:val="FFFFFF"/>
                <w:sz w:val="20"/>
              </w:rPr>
            </w:pPr>
            <w:r>
              <w:rPr>
                <w:color w:val="FFFFFF"/>
                <w:sz w:val="20"/>
              </w:rPr>
              <w:t>Išaiškinimas</w:t>
            </w: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1A1a</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Viešoji elektros energijos ir šilumos gamyba</w:t>
            </w:r>
          </w:p>
        </w:tc>
        <w:tc>
          <w:tcPr>
            <w:tcW w:w="4394"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Ši veikla apima teršalų išmetimą iš kurą deginančių įrenginių ir paprastai yra siejama su didesniais kurą deginančiais įrenginiais (&gt;50MW). Teršalai susidaro deginant kurą, todėl dažnai priklauso ne tik nuo deginimo įrenginio savybių, tačiau taip pat nuo kuro rūšies.</w:t>
            </w:r>
          </w:p>
        </w:tc>
        <w:tc>
          <w:tcPr>
            <w:tcW w:w="2662"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Teršalų išmetimai deginant kurą didelėse elektrinėse ir katilinėse</w:t>
            </w: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1A1b</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color w:val="000000"/>
                <w:sz w:val="20"/>
                <w:lang w:eastAsia="lt-LT"/>
              </w:rPr>
              <w:t>Kuro deginimas naftos perdirbime</w:t>
            </w:r>
          </w:p>
        </w:tc>
        <w:tc>
          <w:tcPr>
            <w:tcW w:w="4394"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 xml:space="preserve">Ši veikla apima teršalus, išmetamus naftos perdirbimo gamykloje gamybos proceso ir deginimo procesų metu. Deginimo procesai apima žaliavos ar naftos produktų šildymą be tiesioginio liepsnų ir produktų kontaktų. Deginimo veikla yra panaši kaip ir A1a atveju, tačiau apima taip pat tokį kurą, kaip, pavyzdžiui, naftos perdirbimo gamyklos dujos. </w:t>
            </w:r>
          </w:p>
        </w:tc>
        <w:tc>
          <w:tcPr>
            <w:tcW w:w="2662"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Teršalų išmetimai perdirbant žalią naftą ir gaminant naftos produktus</w:t>
            </w: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1A2f</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Mineralinių medžiagų apdirbimo pramonės stacionarus deginimas</w:t>
            </w:r>
          </w:p>
        </w:tc>
        <w:tc>
          <w:tcPr>
            <w:tcW w:w="4394"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Veiklos apima deginimo veiklas pramonėje. Deginimo veikla paprastai yra susijusi su tam tikro kuro naudojimu kurą deginančiuose įrenginiuose ir yra integrali mineralinių medžiagų apdirbimo proceso dalis.</w:t>
            </w:r>
          </w:p>
        </w:tc>
        <w:tc>
          <w:tcPr>
            <w:tcW w:w="2662"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Teršalų išmetimai deginant kurą gamyklose gaminant tam tikrus produktus</w:t>
            </w: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1A3bi</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rFonts w:eastAsia="Calibri"/>
                <w:sz w:val="20"/>
                <w:lang w:eastAsia="lt-LT"/>
              </w:rPr>
              <w:t>Kelių transportas: lengvieji automobiliai</w:t>
            </w:r>
          </w:p>
        </w:tc>
        <w:tc>
          <w:tcPr>
            <w:tcW w:w="4394"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Priskiriamos transporto priemonės: keleivių vežimui naudojamos transporto priemonės, kuriose be vairuotojo vietos yra ne daugiau kaip aštuonios vietos</w:t>
            </w:r>
          </w:p>
        </w:tc>
        <w:tc>
          <w:tcPr>
            <w:tcW w:w="2662"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Lengvieji automobiliai, kurių keleivių skaičius ne daugiau kaip 8</w:t>
            </w: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1A3biii</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Kelių transportas: sunkvežimiai ir autobusai</w:t>
            </w:r>
          </w:p>
        </w:tc>
        <w:tc>
          <w:tcPr>
            <w:tcW w:w="4394"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 xml:space="preserve">Priskiriamos transporto priemonės: </w:t>
            </w:r>
          </w:p>
          <w:p w:rsidR="000E7C4C" w:rsidRDefault="003C3EA6">
            <w:pPr>
              <w:ind w:left="720" w:hanging="360"/>
              <w:rPr>
                <w:sz w:val="20"/>
              </w:rPr>
            </w:pPr>
            <w:r>
              <w:rPr>
                <w:rFonts w:ascii="Symbol" w:hAnsi="Symbol"/>
                <w:sz w:val="20"/>
              </w:rPr>
              <w:t></w:t>
            </w:r>
            <w:r>
              <w:rPr>
                <w:rFonts w:ascii="Symbol" w:hAnsi="Symbol"/>
                <w:sz w:val="20"/>
              </w:rPr>
              <w:tab/>
            </w:r>
            <w:r>
              <w:rPr>
                <w:sz w:val="20"/>
              </w:rPr>
              <w:t>transporto priemonės, naudojamos kroviniams vežti, kurių didžiausia masė viršija 3,5 tonos, bet neviršija 12 tonų, taip pat tos, kurių didžiausia masė viršija 12 tonų</w:t>
            </w:r>
          </w:p>
          <w:p w:rsidR="000E7C4C" w:rsidRDefault="003C3EA6">
            <w:pPr>
              <w:ind w:left="720" w:hanging="360"/>
              <w:rPr>
                <w:sz w:val="20"/>
              </w:rPr>
            </w:pPr>
            <w:r>
              <w:rPr>
                <w:rFonts w:ascii="Symbol" w:hAnsi="Symbol"/>
                <w:sz w:val="20"/>
              </w:rPr>
              <w:t></w:t>
            </w:r>
            <w:r>
              <w:rPr>
                <w:rFonts w:ascii="Symbol" w:hAnsi="Symbol"/>
                <w:sz w:val="20"/>
              </w:rPr>
              <w:tab/>
            </w:r>
            <w:r>
              <w:rPr>
                <w:sz w:val="20"/>
              </w:rPr>
              <w:t>transporto priemonės, naudojamos keleiviams vežti ir turinčios daugiau kaip aštuonias vietas be vairuotojo vietos ir kurių didžiausia masė neviršija 5 tonų, taip pat tokios, kurių didžiausia masė viršija 5 tonas</w:t>
            </w:r>
          </w:p>
        </w:tc>
        <w:tc>
          <w:tcPr>
            <w:tcW w:w="2662"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Krovininiai automobiliai (3,5-12 t ir &gt;12 t)</w:t>
            </w:r>
          </w:p>
          <w:p w:rsidR="000E7C4C" w:rsidRDefault="003C3EA6">
            <w:pPr>
              <w:rPr>
                <w:sz w:val="20"/>
              </w:rPr>
            </w:pPr>
            <w:r>
              <w:rPr>
                <w:sz w:val="20"/>
              </w:rPr>
              <w:t>Autobusai, kurių keleivių skaičius daugiau kaip 8</w:t>
            </w: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1A3bv</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Kelių transportas: benzino garavimas</w:t>
            </w:r>
          </w:p>
        </w:tc>
        <w:tc>
          <w:tcPr>
            <w:tcW w:w="4394"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w:t>
            </w:r>
          </w:p>
        </w:tc>
        <w:tc>
          <w:tcPr>
            <w:tcW w:w="2662"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Benzino garavimas iš transporto priemonių</w:t>
            </w: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1A3c</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rFonts w:eastAsia="Calibri"/>
                <w:sz w:val="20"/>
                <w:lang w:eastAsia="lt-LT"/>
              </w:rPr>
              <w:t>Geležinkeliai</w:t>
            </w:r>
          </w:p>
        </w:tc>
        <w:tc>
          <w:tcPr>
            <w:tcW w:w="4394"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Geležinkelių tarša dėl skystųjų degalų deginimo dyzeliniuose varikliuose ir kieto ar skysto kuro deginimo garo varikliuose</w:t>
            </w:r>
          </w:p>
        </w:tc>
        <w:tc>
          <w:tcPr>
            <w:tcW w:w="2662"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Teršalų išmetimai iš kuro deginimo lokomotyvuose</w:t>
            </w: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1A4ai</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color w:val="000000"/>
                <w:sz w:val="20"/>
                <w:lang w:eastAsia="lt-LT"/>
              </w:rPr>
              <w:t>Komercinis/institucinis stacionarus deginimas</w:t>
            </w:r>
          </w:p>
        </w:tc>
        <w:tc>
          <w:tcPr>
            <w:tcW w:w="4394"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Veikla iš esmės apima kuro deginimą mažesnio masto degimo įrenginiuose; tokie įrenginiai dažniausiai skirti šildymui ir karšto vandens tiekimui komerciniuose/instituciniuose pastatuose (pavyzdžiui, mokyklose)</w:t>
            </w:r>
          </w:p>
        </w:tc>
        <w:tc>
          <w:tcPr>
            <w:tcW w:w="2662"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Teršalų išmetimai iš šildymui ir vandens šildymui naudojamų katilų komercinės paskirties ar institucijų pastatuose, pavyzdžiui, mokyklose</w:t>
            </w: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1A4bi</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Namų ūkių stacionarus deginimas</w:t>
            </w:r>
          </w:p>
        </w:tc>
        <w:tc>
          <w:tcPr>
            <w:tcW w:w="4394"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 xml:space="preserve">Veikla iš esmės apima kuro deginimą mažesnio masto degimo įrenginiuose; tokie įrenginiai dažniausiai skirti šildymui ir karšto vandens tiekimui gyvenamuosiuose namuose </w:t>
            </w:r>
          </w:p>
        </w:tc>
        <w:tc>
          <w:tcPr>
            <w:tcW w:w="2662"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Teršalų išmetimai iš šildymui ir vandens šildymui naudojamų katilų  gyvenamuosiuose namuose</w:t>
            </w: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1B2aiv</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color w:val="000000"/>
                <w:sz w:val="20"/>
                <w:lang w:eastAsia="lt-LT"/>
              </w:rPr>
              <w:t>Garavimo emisijos naftos perdirbime ir saugojime</w:t>
            </w:r>
          </w:p>
        </w:tc>
        <w:tc>
          <w:tcPr>
            <w:tcW w:w="4394"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Išmetami teršalai atskyrimo, konversijos procesų, apdorojimo procesų ir sumaišymo su kitomis medžiagomis metu naftos perdirbimo įmonėse</w:t>
            </w:r>
          </w:p>
        </w:tc>
        <w:tc>
          <w:tcPr>
            <w:tcW w:w="2662"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Teršalų išmetimai garuojant naftai ir naftos produktams naftos perdirbimo įmonėse</w:t>
            </w: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1B2av</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rFonts w:eastAsia="Calibri"/>
                <w:sz w:val="20"/>
                <w:lang w:eastAsia="lt-LT"/>
              </w:rPr>
              <w:t>Naftos produktų paskirstymas</w:t>
            </w:r>
          </w:p>
        </w:tc>
        <w:tc>
          <w:tcPr>
            <w:tcW w:w="4394"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Išmetami teršalai naftos produktų paskirstymo proceso metu, perpilant iš transportavimo įrenginių į kitus transportavimo įrenginius, saugojimo įrenginius, taip pat paskirstant galutiniam vartotojui</w:t>
            </w:r>
          </w:p>
        </w:tc>
        <w:tc>
          <w:tcPr>
            <w:tcW w:w="2662"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Teršalų išmetimai garuojant naftos produktams juos perpilant iš saugojimo vietų į cisternas ir iš jų į saugojimo vietas, pilant degalus į automobilių bakus</w:t>
            </w: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2D3a</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color w:val="000000"/>
                <w:sz w:val="20"/>
                <w:lang w:eastAsia="lt-LT"/>
              </w:rPr>
            </w:pPr>
            <w:r>
              <w:rPr>
                <w:rFonts w:eastAsia="Calibri"/>
                <w:sz w:val="20"/>
                <w:lang w:eastAsia="lt-LT"/>
              </w:rPr>
              <w:t>Tirpiklių naudojimas buityje, įskaitant fungicidus</w:t>
            </w:r>
          </w:p>
        </w:tc>
        <w:tc>
          <w:tcPr>
            <w:tcW w:w="4394"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Produktų, kurių sudėtyje yra tirpiklių, vartojimas namų ūkiuose, pavyzdžiui, kosmetikos produktų, buitinės chemijos produktų, kai kurių remontui skirtų produktų, automobilių švaros produktų, pesticidų ir pan., vartojimas</w:t>
            </w:r>
          </w:p>
        </w:tc>
        <w:tc>
          <w:tcPr>
            <w:tcW w:w="2662"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Produktų, kurių sudėtyje yra tirpiklių, vartojimas namų ūkiuose, pavyzdžiui, kosmetikos produktų, buitinės chemijos produktų, kai kurių remontui skirtų produktų, automobilių švaros produktų, pesticidų ir pan., vartojimas</w:t>
            </w: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2D3d</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rFonts w:eastAsia="Calibri"/>
                <w:sz w:val="20"/>
                <w:lang w:eastAsia="lt-LT"/>
              </w:rPr>
            </w:pPr>
            <w:r>
              <w:rPr>
                <w:rFonts w:eastAsia="Calibri"/>
                <w:sz w:val="20"/>
                <w:lang w:eastAsia="lt-LT"/>
              </w:rPr>
              <w:t>Tirpiklių naudojimas: dangos klojimas</w:t>
            </w:r>
          </w:p>
        </w:tc>
        <w:tc>
          <w:tcPr>
            <w:tcW w:w="4394"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Įvairaus tipo paviršių dažų vartojimas, automobilių dažymas (siekiant apsaugoti nuo korozijos) automobilių gamybos pramonėje ir remonto metu, medienos dažymas, valčių ir laivų interjero dažymas ar atnaujinimas, metalo, plastiko, popieriaus, odos ir stiklo dažymas ir pan.</w:t>
            </w:r>
          </w:p>
        </w:tc>
        <w:tc>
          <w:tcPr>
            <w:tcW w:w="2662"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Automobilių ir jų dalių dažymas, medienos dažymas, metalo, plastiko, popieriaus, odos ir stiklo dažymas ir pan.</w:t>
            </w: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2D3a</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rFonts w:eastAsia="Calibri"/>
                <w:sz w:val="20"/>
                <w:lang w:eastAsia="lt-LT"/>
              </w:rPr>
            </w:pPr>
            <w:r>
              <w:rPr>
                <w:rFonts w:eastAsia="Calibri"/>
                <w:sz w:val="20"/>
                <w:lang w:eastAsia="lt-LT"/>
              </w:rPr>
              <w:t>Tirpiklių vartojimas: riebalų šalinimas</w:t>
            </w:r>
          </w:p>
        </w:tc>
        <w:tc>
          <w:tcPr>
            <w:tcW w:w="4394"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Riebalų šalinimas yra valymo procesas, kai šalinamos vandenyje netirpios medžiagos, tokios kaip aliejai, riebalai, vaškas, tepalai, degutas ir kt.</w:t>
            </w:r>
          </w:p>
        </w:tc>
        <w:tc>
          <w:tcPr>
            <w:tcW w:w="2662"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Aliejų, riebalų, vaško, tepalų, deguto ir kitų riebių medžiagų šalinimas nuo įvairių paviršių</w:t>
            </w: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2D3g</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rFonts w:eastAsia="Calibri"/>
                <w:sz w:val="20"/>
                <w:lang w:eastAsia="lt-LT"/>
              </w:rPr>
            </w:pPr>
            <w:r>
              <w:rPr>
                <w:rFonts w:eastAsia="Calibri"/>
                <w:sz w:val="20"/>
                <w:lang w:eastAsia="lt-LT"/>
              </w:rPr>
              <w:t>Tirpiklių vartojimas: chemijos produktai</w:t>
            </w:r>
          </w:p>
        </w:tc>
        <w:tc>
          <w:tcPr>
            <w:tcW w:w="4394"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 xml:space="preserve">Poliuretano ir polistirolo </w:t>
            </w:r>
            <w:proofErr w:type="spellStart"/>
            <w:r>
              <w:rPr>
                <w:sz w:val="20"/>
              </w:rPr>
              <w:t>putplasčio</w:t>
            </w:r>
            <w:proofErr w:type="spellEnd"/>
            <w:r>
              <w:rPr>
                <w:sz w:val="20"/>
              </w:rPr>
              <w:t xml:space="preserve"> apdirbimas, asfalto pūtimas, padangų gamyba, organinės chemijos pramonė, dažų, dažų kasečių ir klijų gamyba, riebalų, valgomų ir nevalgomų  aliejų </w:t>
            </w:r>
            <w:proofErr w:type="spellStart"/>
            <w:r>
              <w:rPr>
                <w:sz w:val="20"/>
              </w:rPr>
              <w:t>ekstrahavimas</w:t>
            </w:r>
            <w:proofErr w:type="spellEnd"/>
            <w:r>
              <w:rPr>
                <w:sz w:val="20"/>
              </w:rPr>
              <w:t>, pramoninis klijų naudojimas</w:t>
            </w:r>
          </w:p>
        </w:tc>
        <w:tc>
          <w:tcPr>
            <w:tcW w:w="2662"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 xml:space="preserve">Poliuretano ir polistirolo </w:t>
            </w:r>
            <w:proofErr w:type="spellStart"/>
            <w:r>
              <w:rPr>
                <w:sz w:val="20"/>
              </w:rPr>
              <w:t>putplasčio</w:t>
            </w:r>
            <w:proofErr w:type="spellEnd"/>
            <w:r>
              <w:rPr>
                <w:sz w:val="20"/>
              </w:rPr>
              <w:t xml:space="preserve"> apdirbimas, asfalto pūtimas, padangų gamyba, organinės chemijos pramonė, dažų, dažų kasečių ir klijų gamyba, riebalų, valgomų ir nevalgomų  aliejų </w:t>
            </w:r>
            <w:proofErr w:type="spellStart"/>
            <w:r>
              <w:rPr>
                <w:sz w:val="20"/>
              </w:rPr>
              <w:t>ekstrahavimas</w:t>
            </w:r>
            <w:proofErr w:type="spellEnd"/>
            <w:r>
              <w:rPr>
                <w:sz w:val="20"/>
              </w:rPr>
              <w:t>, pramoninis klijų naudojimas</w:t>
            </w: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2G</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rFonts w:eastAsia="Calibri"/>
                <w:sz w:val="20"/>
                <w:lang w:eastAsia="lt-LT"/>
              </w:rPr>
            </w:pPr>
            <w:r>
              <w:rPr>
                <w:rFonts w:eastAsia="Calibri"/>
                <w:sz w:val="20"/>
                <w:lang w:eastAsia="lt-LT"/>
              </w:rPr>
              <w:t>Tirpiklių vartojimas: kitų produktų vartojimas</w:t>
            </w:r>
          </w:p>
        </w:tc>
        <w:tc>
          <w:tcPr>
            <w:tcW w:w="4394"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Priskirti: fejerverkų naudojimas, tabako deginimas, avalynės sunaudojimas</w:t>
            </w:r>
          </w:p>
        </w:tc>
        <w:tc>
          <w:tcPr>
            <w:tcW w:w="2662"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Priskirti: fejerverkų naudojimas, tabako deginimas, avalynės sunaudojimas</w:t>
            </w: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2H2</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rFonts w:eastAsia="Calibri"/>
                <w:sz w:val="20"/>
                <w:lang w:eastAsia="lt-LT"/>
              </w:rPr>
            </w:pPr>
            <w:r>
              <w:rPr>
                <w:rFonts w:eastAsia="Calibri"/>
                <w:sz w:val="20"/>
                <w:lang w:eastAsia="lt-LT"/>
              </w:rPr>
              <w:t>Maisto ir gėrimų gamybos pramonė</w:t>
            </w:r>
          </w:p>
        </w:tc>
        <w:tc>
          <w:tcPr>
            <w:tcW w:w="4394"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 xml:space="preserve">Maisto apdorojimo metu išsiskiriantys teršalai, t. y. teršalai išsiskiriantys virimo, džiovinimo, apdorojimo, kepimo, skrudinimo, fermentavimo ir brandinimo metu, kartais transportavimo metu. </w:t>
            </w:r>
          </w:p>
        </w:tc>
        <w:tc>
          <w:tcPr>
            <w:tcW w:w="2662"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Teršalų išmetimai virimo, džiovinimo, apdorojimo, kepimo, skrudinimo, fermentavimo ir brandinimo metu, kartais transportavimo metu maisto gamybos įmonėse</w:t>
            </w: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3B1a</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rFonts w:eastAsia="Calibri"/>
                <w:sz w:val="20"/>
                <w:lang w:eastAsia="lt-LT"/>
              </w:rPr>
            </w:pPr>
            <w:r>
              <w:rPr>
                <w:rFonts w:eastAsia="Calibri"/>
                <w:sz w:val="20"/>
                <w:lang w:eastAsia="lt-LT"/>
              </w:rPr>
              <w:t>Mėšlo iš pieninių galvijų ūkių valdymas</w:t>
            </w:r>
          </w:p>
        </w:tc>
        <w:tc>
          <w:tcPr>
            <w:tcW w:w="4394"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Teršalų išmetimai iš gyvulių šėrimo, gyvulių laikymo vietų, mėšlo ir srutų saugojimo vietų, ekskrementų ganyklose, mėšlo, kuriuo patrešti laukai</w:t>
            </w:r>
          </w:p>
        </w:tc>
        <w:tc>
          <w:tcPr>
            <w:tcW w:w="2662" w:type="dxa"/>
            <w:vMerge w:val="restart"/>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Teršalų išmetimai iš gyvulių šėrimo, gyvulių laikymo vietų, mėšlo ir srutų saugojimo vietų, ekskrementų ganyklose, mėšlo, kuriuo patrešti laukai</w:t>
            </w: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3B1b</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rFonts w:eastAsia="Calibri"/>
                <w:sz w:val="20"/>
                <w:lang w:eastAsia="lt-LT"/>
              </w:rPr>
            </w:pPr>
            <w:r>
              <w:rPr>
                <w:rFonts w:eastAsia="Calibri"/>
                <w:sz w:val="20"/>
                <w:lang w:eastAsia="lt-LT"/>
              </w:rPr>
              <w:t>Mėšlo iš ne pieninių galvijų ūkių valdymas</w:t>
            </w: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rPr>
            </w:pPr>
          </w:p>
        </w:tc>
        <w:tc>
          <w:tcPr>
            <w:tcW w:w="2662"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rPr>
            </w:pP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3B3</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rFonts w:eastAsia="Calibri"/>
                <w:sz w:val="20"/>
                <w:lang w:eastAsia="lt-LT"/>
              </w:rPr>
            </w:pPr>
            <w:r>
              <w:rPr>
                <w:rFonts w:eastAsia="Calibri"/>
                <w:sz w:val="20"/>
                <w:lang w:eastAsia="lt-LT"/>
              </w:rPr>
              <w:t>Mėšlo iš kiaulidžių valdymas</w:t>
            </w: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rPr>
            </w:pPr>
          </w:p>
        </w:tc>
        <w:tc>
          <w:tcPr>
            <w:tcW w:w="2662" w:type="dxa"/>
            <w:vMerge/>
            <w:tcBorders>
              <w:top w:val="single" w:sz="4" w:space="0" w:color="auto"/>
              <w:left w:val="single" w:sz="4" w:space="0" w:color="auto"/>
              <w:bottom w:val="single" w:sz="4" w:space="0" w:color="auto"/>
              <w:right w:val="single" w:sz="4" w:space="0" w:color="auto"/>
            </w:tcBorders>
            <w:vAlign w:val="center"/>
            <w:hideMark/>
          </w:tcPr>
          <w:p w:rsidR="000E7C4C" w:rsidRDefault="000E7C4C">
            <w:pPr>
              <w:rPr>
                <w:sz w:val="20"/>
              </w:rPr>
            </w:pP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3Da1</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rFonts w:eastAsia="Calibri"/>
                <w:sz w:val="20"/>
                <w:lang w:eastAsia="lt-LT"/>
              </w:rPr>
            </w:pPr>
            <w:r>
              <w:rPr>
                <w:rFonts w:eastAsia="Calibri"/>
                <w:sz w:val="20"/>
                <w:lang w:eastAsia="lt-LT"/>
              </w:rPr>
              <w:t>Neorganinės N trąšos (įskaitant karbamidą)</w:t>
            </w:r>
          </w:p>
        </w:tc>
        <w:tc>
          <w:tcPr>
            <w:tcW w:w="4394"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Teršalų išmetimai, kurie kyla trešiant dirvožemį neorganinėmis azoto trąšomis arba jau patręšus</w:t>
            </w:r>
          </w:p>
        </w:tc>
        <w:tc>
          <w:tcPr>
            <w:tcW w:w="2662"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 xml:space="preserve">Teršalų išmetimai trešiant arba patręšus dirvožemį neorganinėmis azoto trąšomis </w:t>
            </w: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3Da2a</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rFonts w:eastAsia="Calibri"/>
                <w:sz w:val="20"/>
                <w:lang w:eastAsia="lt-LT"/>
              </w:rPr>
            </w:pPr>
            <w:r>
              <w:rPr>
                <w:rFonts w:eastAsia="Calibri"/>
                <w:sz w:val="20"/>
                <w:lang w:eastAsia="lt-LT"/>
              </w:rPr>
              <w:t>Dirvožemio tręšimas gyvulių mėšlu</w:t>
            </w:r>
          </w:p>
        </w:tc>
        <w:tc>
          <w:tcPr>
            <w:tcW w:w="4394"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Išmetami teršalai tręšiant arba patręšus laukus gyvulių mėšlu</w:t>
            </w:r>
          </w:p>
        </w:tc>
        <w:tc>
          <w:tcPr>
            <w:tcW w:w="2662"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Teršalų išmetimai tręšiant arba patręšus laukus gyvulių mėšlu</w:t>
            </w:r>
          </w:p>
        </w:tc>
      </w:tr>
      <w:tr w:rsidR="000E7C4C">
        <w:tc>
          <w:tcPr>
            <w:tcW w:w="756"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5E</w:t>
            </w:r>
          </w:p>
        </w:tc>
        <w:tc>
          <w:tcPr>
            <w:tcW w:w="1796" w:type="dxa"/>
            <w:tcBorders>
              <w:top w:val="single" w:sz="4" w:space="0" w:color="auto"/>
              <w:left w:val="single" w:sz="4" w:space="0" w:color="auto"/>
              <w:bottom w:val="single" w:sz="4" w:space="0" w:color="auto"/>
              <w:right w:val="single" w:sz="4" w:space="0" w:color="auto"/>
            </w:tcBorders>
            <w:hideMark/>
          </w:tcPr>
          <w:p w:rsidR="000E7C4C" w:rsidRDefault="003C3EA6">
            <w:pPr>
              <w:rPr>
                <w:rFonts w:eastAsia="Calibri"/>
                <w:sz w:val="20"/>
                <w:lang w:eastAsia="lt-LT"/>
              </w:rPr>
            </w:pPr>
            <w:r>
              <w:rPr>
                <w:rFonts w:eastAsia="Calibri"/>
                <w:sz w:val="20"/>
                <w:lang w:eastAsia="lt-LT"/>
              </w:rPr>
              <w:t>Gaisrai</w:t>
            </w:r>
          </w:p>
        </w:tc>
        <w:tc>
          <w:tcPr>
            <w:tcW w:w="4394"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Automobilių, komercinių pastatų ir namų gaisrai</w:t>
            </w:r>
          </w:p>
        </w:tc>
        <w:tc>
          <w:tcPr>
            <w:tcW w:w="2662" w:type="dxa"/>
            <w:tcBorders>
              <w:top w:val="single" w:sz="4" w:space="0" w:color="auto"/>
              <w:left w:val="single" w:sz="4" w:space="0" w:color="auto"/>
              <w:bottom w:val="single" w:sz="4" w:space="0" w:color="auto"/>
              <w:right w:val="single" w:sz="4" w:space="0" w:color="auto"/>
            </w:tcBorders>
            <w:hideMark/>
          </w:tcPr>
          <w:p w:rsidR="000E7C4C" w:rsidRDefault="003C3EA6">
            <w:pPr>
              <w:rPr>
                <w:sz w:val="20"/>
              </w:rPr>
            </w:pPr>
            <w:r>
              <w:rPr>
                <w:sz w:val="20"/>
              </w:rPr>
              <w:t>Automobilių, komercinių pastatų, namų gaisrai</w:t>
            </w:r>
          </w:p>
        </w:tc>
      </w:tr>
    </w:tbl>
    <w:p w:rsidR="000E7C4C" w:rsidRDefault="000E7C4C">
      <w:pPr>
        <w:spacing w:line="276" w:lineRule="auto"/>
        <w:rPr>
          <w:szCs w:val="24"/>
        </w:rPr>
      </w:pPr>
    </w:p>
    <w:p w:rsidR="000E7C4C" w:rsidRDefault="000E7C4C">
      <w:pPr>
        <w:rPr>
          <w:sz w:val="18"/>
          <w:szCs w:val="18"/>
        </w:rPr>
      </w:pPr>
    </w:p>
    <w:p w:rsidR="000E7C4C" w:rsidRDefault="003C3EA6">
      <w:pPr>
        <w:jc w:val="center"/>
        <w:rPr>
          <w:szCs w:val="24"/>
        </w:rPr>
      </w:pPr>
      <w:r>
        <w:rPr>
          <w:szCs w:val="24"/>
        </w:rPr>
        <w:t>______________________________</w:t>
      </w:r>
    </w:p>
    <w:p w:rsidR="000E7C4C" w:rsidRDefault="000E7C4C">
      <w:pPr>
        <w:tabs>
          <w:tab w:val="center" w:pos="4819"/>
          <w:tab w:val="right" w:pos="9638"/>
        </w:tabs>
        <w:jc w:val="center"/>
        <w:rPr>
          <w:szCs w:val="24"/>
        </w:rPr>
      </w:pPr>
    </w:p>
    <w:p w:rsidR="000E7C4C" w:rsidRDefault="003C3EA6">
      <w:pPr>
        <w:tabs>
          <w:tab w:val="center" w:pos="4819"/>
          <w:tab w:val="right" w:pos="9638"/>
        </w:tabs>
        <w:rPr>
          <w:sz w:val="22"/>
          <w:szCs w:val="22"/>
        </w:rPr>
      </w:pPr>
    </w:p>
    <w:p w:rsidR="00FC3082" w:rsidRDefault="00FC3082">
      <w:pPr>
        <w:ind w:left="7088"/>
        <w:sectPr w:rsidR="00FC3082">
          <w:pgSz w:w="11906" w:h="16838"/>
          <w:pgMar w:top="1701" w:right="567" w:bottom="1134" w:left="1701" w:header="567" w:footer="567" w:gutter="0"/>
          <w:pgNumType w:start="1"/>
          <w:cols w:space="1296"/>
          <w:titlePg/>
          <w:docGrid w:linePitch="360"/>
        </w:sectPr>
      </w:pPr>
    </w:p>
    <w:p w:rsidR="000E7C4C" w:rsidRDefault="003C3EA6">
      <w:pPr>
        <w:ind w:left="7088"/>
        <w:rPr>
          <w:szCs w:val="24"/>
        </w:rPr>
      </w:pPr>
      <w:r>
        <w:rPr>
          <w:szCs w:val="24"/>
        </w:rPr>
        <w:t xml:space="preserve">Nacionalinio oro taršos </w:t>
      </w:r>
    </w:p>
    <w:p w:rsidR="000E7C4C" w:rsidRDefault="003C3EA6">
      <w:pPr>
        <w:ind w:left="7088"/>
        <w:rPr>
          <w:szCs w:val="24"/>
        </w:rPr>
      </w:pPr>
      <w:r>
        <w:rPr>
          <w:szCs w:val="24"/>
        </w:rPr>
        <w:t>mažinimo plano</w:t>
      </w:r>
    </w:p>
    <w:p w:rsidR="000E7C4C" w:rsidRDefault="003C3EA6">
      <w:pPr>
        <w:ind w:left="7088"/>
        <w:rPr>
          <w:sz w:val="22"/>
          <w:szCs w:val="24"/>
        </w:rPr>
      </w:pPr>
      <w:r>
        <w:rPr>
          <w:szCs w:val="24"/>
        </w:rPr>
        <w:t>15</w:t>
      </w:r>
      <w:r>
        <w:rPr>
          <w:szCs w:val="24"/>
        </w:rPr>
        <w:t xml:space="preserve"> priedas</w:t>
      </w:r>
    </w:p>
    <w:p w:rsidR="000E7C4C" w:rsidRDefault="000E7C4C">
      <w:pPr>
        <w:ind w:left="6804"/>
        <w:rPr>
          <w:szCs w:val="24"/>
        </w:rPr>
      </w:pPr>
    </w:p>
    <w:p w:rsidR="000E7C4C" w:rsidRDefault="003C3EA6">
      <w:pPr>
        <w:tabs>
          <w:tab w:val="center" w:pos="4819"/>
          <w:tab w:val="left" w:pos="8502"/>
        </w:tabs>
        <w:jc w:val="center"/>
        <w:rPr>
          <w:b/>
          <w:szCs w:val="24"/>
        </w:rPr>
      </w:pPr>
      <w:r>
        <w:rPr>
          <w:b/>
          <w:szCs w:val="24"/>
        </w:rPr>
        <w:t>TOLIMOSIOS ORO TERŠALŲ PERNAŠOS</w:t>
      </w:r>
    </w:p>
    <w:p w:rsidR="000E7C4C" w:rsidRDefault="000E7C4C">
      <w:pPr>
        <w:jc w:val="center"/>
        <w:rPr>
          <w:b/>
          <w:szCs w:val="24"/>
        </w:rPr>
      </w:pPr>
    </w:p>
    <w:p w:rsidR="000E7C4C" w:rsidRDefault="003C3EA6">
      <w:pPr>
        <w:tabs>
          <w:tab w:val="left" w:pos="851"/>
        </w:tabs>
        <w:ind w:firstLine="567"/>
        <w:jc w:val="both"/>
        <w:rPr>
          <w:szCs w:val="24"/>
        </w:rPr>
      </w:pPr>
      <w:r>
        <w:rPr>
          <w:szCs w:val="24"/>
        </w:rPr>
        <w:t>1</w:t>
      </w:r>
      <w:r>
        <w:rPr>
          <w:szCs w:val="24"/>
        </w:rPr>
        <w:t>.</w:t>
      </w:r>
      <w:r>
        <w:rPr>
          <w:szCs w:val="24"/>
        </w:rPr>
        <w:tab/>
        <w:t xml:space="preserve">Nacionaliniai išmetamųjų teršalų šaltiniai įvairiose sektoriuose gali turėti įtakos ne tik oro kokybei Lietuvos Respublikos teritorijoje, tačiau taip pat kitose šalyse, ypač kaimyninėse. Be to, kitų šalių išmetamųjų teršalų šaltiniai gali turėti įtakos oro kokybei Lietuvos teritorijoje. Dėl šios priežasties įgyvendinamos priemonės vienos šalies teritorijoje gali turėti teigiamos įtakos kitos šalies oro kokybei ir atvirkščiai – nesiimant priemonių vienoje šalyje, gali būti neigiamai veikiama kitos šalies oro kokybė. </w:t>
      </w:r>
    </w:p>
    <w:p w:rsidR="000E7C4C" w:rsidRDefault="003C3EA6">
      <w:pPr>
        <w:tabs>
          <w:tab w:val="left" w:pos="851"/>
        </w:tabs>
        <w:ind w:firstLine="567"/>
        <w:jc w:val="both"/>
        <w:rPr>
          <w:szCs w:val="24"/>
        </w:rPr>
      </w:pPr>
      <w:r>
        <w:rPr>
          <w:szCs w:val="24"/>
        </w:rPr>
        <w:t>2</w:t>
      </w:r>
      <w:r>
        <w:rPr>
          <w:szCs w:val="24"/>
        </w:rPr>
        <w:t>.</w:t>
      </w:r>
      <w:r>
        <w:rPr>
          <w:szCs w:val="24"/>
        </w:rPr>
        <w:tab/>
        <w:t>Kaip matyti 1 paveiksle (kairėje pusėje), didžiausia sieros dioksido (toliau – SO</w:t>
      </w:r>
      <w:r>
        <w:rPr>
          <w:szCs w:val="24"/>
          <w:vertAlign w:val="subscript"/>
        </w:rPr>
        <w:t>2</w:t>
      </w:r>
      <w:r>
        <w:rPr>
          <w:szCs w:val="24"/>
        </w:rPr>
        <w:t>) koncentracija aplinkos ore 2014 m. buvo užfiksuota Lietuvos pietinėje dalyje ir Lietuvos centrinėje dalyje. Apie 30 proc. Lietuvoje išmesto SO</w:t>
      </w:r>
      <w:r>
        <w:rPr>
          <w:szCs w:val="24"/>
          <w:vertAlign w:val="subscript"/>
        </w:rPr>
        <w:t>2</w:t>
      </w:r>
      <w:r>
        <w:rPr>
          <w:szCs w:val="24"/>
        </w:rPr>
        <w:t xml:space="preserve"> kiekio 2014 m. nusėdo Lietuvos teritorijoje, likusi dalis nusėdo tokiose pagrindinėse 6 teritorijose: Švedijos (5 proc.), Baltarusijos (5 proc.), Latvijos (9 proc.), Baltijos jūros (12 proc.), Rusijos (17 proc.) bei kitose teritorijose (22 proc.) (Tarpvalstybinė oro tarša pagrindiniais teršalais (S, N, O</w:t>
      </w:r>
      <w:r>
        <w:rPr>
          <w:szCs w:val="24"/>
          <w:vertAlign w:val="subscript"/>
        </w:rPr>
        <w:t>3</w:t>
      </w:r>
      <w:r>
        <w:rPr>
          <w:szCs w:val="24"/>
        </w:rPr>
        <w:t xml:space="preserve"> ir KD) 2014 m. Lietuva </w:t>
      </w:r>
      <w:r>
        <w:rPr>
          <w:i/>
          <w:szCs w:val="24"/>
        </w:rPr>
        <w:t xml:space="preserve">(angl. </w:t>
      </w:r>
      <w:proofErr w:type="spellStart"/>
      <w:r>
        <w:rPr>
          <w:i/>
          <w:szCs w:val="24"/>
        </w:rPr>
        <w:t>Transboundary</w:t>
      </w:r>
      <w:proofErr w:type="spellEnd"/>
      <w:r>
        <w:rPr>
          <w:i/>
          <w:szCs w:val="24"/>
        </w:rPr>
        <w:t xml:space="preserve"> </w:t>
      </w:r>
      <w:proofErr w:type="spellStart"/>
      <w:r>
        <w:rPr>
          <w:i/>
          <w:szCs w:val="24"/>
        </w:rPr>
        <w:t>air</w:t>
      </w:r>
      <w:proofErr w:type="spellEnd"/>
      <w:r>
        <w:rPr>
          <w:i/>
          <w:szCs w:val="24"/>
        </w:rPr>
        <w:t xml:space="preserve"> </w:t>
      </w:r>
      <w:proofErr w:type="spellStart"/>
      <w:r>
        <w:rPr>
          <w:i/>
          <w:szCs w:val="24"/>
        </w:rPr>
        <w:t>pollution</w:t>
      </w:r>
      <w:proofErr w:type="spellEnd"/>
      <w:r>
        <w:rPr>
          <w:i/>
          <w:szCs w:val="24"/>
        </w:rPr>
        <w:t xml:space="preserve"> </w:t>
      </w:r>
      <w:proofErr w:type="spellStart"/>
      <w:r>
        <w:rPr>
          <w:i/>
          <w:szCs w:val="24"/>
        </w:rPr>
        <w:t>by</w:t>
      </w:r>
      <w:proofErr w:type="spellEnd"/>
      <w:r>
        <w:rPr>
          <w:i/>
          <w:szCs w:val="24"/>
        </w:rPr>
        <w:t xml:space="preserve"> </w:t>
      </w:r>
      <w:proofErr w:type="spellStart"/>
      <w:r>
        <w:rPr>
          <w:i/>
          <w:szCs w:val="24"/>
        </w:rPr>
        <w:t>main</w:t>
      </w:r>
      <w:proofErr w:type="spellEnd"/>
      <w:r>
        <w:rPr>
          <w:i/>
          <w:szCs w:val="24"/>
        </w:rPr>
        <w:t xml:space="preserve"> </w:t>
      </w:r>
      <w:proofErr w:type="spellStart"/>
      <w:r>
        <w:rPr>
          <w:i/>
          <w:szCs w:val="24"/>
        </w:rPr>
        <w:t>pollutants</w:t>
      </w:r>
      <w:proofErr w:type="spellEnd"/>
      <w:r>
        <w:rPr>
          <w:i/>
          <w:szCs w:val="24"/>
        </w:rPr>
        <w:t xml:space="preserve"> (S, N, O</w:t>
      </w:r>
      <w:r>
        <w:rPr>
          <w:i/>
          <w:szCs w:val="24"/>
          <w:vertAlign w:val="subscript"/>
        </w:rPr>
        <w:t>3</w:t>
      </w:r>
      <w:r>
        <w:rPr>
          <w:i/>
          <w:szCs w:val="24"/>
        </w:rPr>
        <w:t xml:space="preserve">) </w:t>
      </w:r>
      <w:proofErr w:type="spellStart"/>
      <w:r>
        <w:rPr>
          <w:i/>
          <w:szCs w:val="24"/>
        </w:rPr>
        <w:t>and</w:t>
      </w:r>
      <w:proofErr w:type="spellEnd"/>
      <w:r>
        <w:rPr>
          <w:i/>
          <w:szCs w:val="24"/>
        </w:rPr>
        <w:t xml:space="preserve"> PM </w:t>
      </w:r>
      <w:proofErr w:type="spellStart"/>
      <w:r>
        <w:rPr>
          <w:i/>
          <w:szCs w:val="24"/>
        </w:rPr>
        <w:t>in</w:t>
      </w:r>
      <w:proofErr w:type="spellEnd"/>
      <w:r>
        <w:rPr>
          <w:i/>
          <w:szCs w:val="24"/>
        </w:rPr>
        <w:t xml:space="preserve"> 2014. Lithuania)</w:t>
      </w:r>
      <w:r>
        <w:rPr>
          <w:szCs w:val="24"/>
        </w:rPr>
        <w:t>, 2016, p. 15. Prieiga internetu: http://www.emep.int/publ/reports/2016/Country_Reports/report_LT.pdf).</w:t>
      </w:r>
    </w:p>
    <w:p w:rsidR="000E7C4C" w:rsidRDefault="000E7C4C">
      <w:pPr>
        <w:ind w:firstLine="567"/>
        <w:jc w:val="both"/>
        <w:rPr>
          <w:szCs w:val="24"/>
        </w:rPr>
      </w:pPr>
    </w:p>
    <w:p w:rsidR="000E7C4C" w:rsidRDefault="003C3EA6">
      <w:pPr>
        <w:jc w:val="center"/>
        <w:rPr>
          <w:szCs w:val="24"/>
        </w:rPr>
      </w:pPr>
      <w:r>
        <w:rPr>
          <w:noProof/>
          <w:szCs w:val="24"/>
          <w:lang w:eastAsia="lt-LT"/>
        </w:rPr>
        <w:drawing>
          <wp:inline distT="0" distB="0" distL="0" distR="0" wp14:anchorId="2A1F1D95" wp14:editId="70D36B81">
            <wp:extent cx="2524125" cy="2133600"/>
            <wp:effectExtent l="0" t="0" r="9525" b="0"/>
            <wp:docPr id="542" name="Paveikslėlis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t="15112"/>
                    <a:stretch>
                      <a:fillRect/>
                    </a:stretch>
                  </pic:blipFill>
                  <pic:spPr bwMode="auto">
                    <a:xfrm>
                      <a:off x="0" y="0"/>
                      <a:ext cx="2524125" cy="2133600"/>
                    </a:xfrm>
                    <a:prstGeom prst="rect">
                      <a:avLst/>
                    </a:prstGeom>
                    <a:noFill/>
                    <a:ln>
                      <a:noFill/>
                    </a:ln>
                  </pic:spPr>
                </pic:pic>
              </a:graphicData>
            </a:graphic>
          </wp:inline>
        </w:drawing>
      </w:r>
      <w:r>
        <w:rPr>
          <w:noProof/>
          <w:szCs w:val="24"/>
          <w:lang w:eastAsia="lt-LT"/>
        </w:rPr>
        <w:drawing>
          <wp:inline distT="0" distB="0" distL="0" distR="0" wp14:anchorId="06BEA7D6" wp14:editId="50910F04">
            <wp:extent cx="2524125" cy="2105025"/>
            <wp:effectExtent l="0" t="0" r="9525" b="9525"/>
            <wp:docPr id="541" name="Paveikslėlis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t="16624"/>
                    <a:stretch>
                      <a:fillRect/>
                    </a:stretch>
                  </pic:blipFill>
                  <pic:spPr bwMode="auto">
                    <a:xfrm>
                      <a:off x="0" y="0"/>
                      <a:ext cx="2524125" cy="2105025"/>
                    </a:xfrm>
                    <a:prstGeom prst="rect">
                      <a:avLst/>
                    </a:prstGeom>
                    <a:noFill/>
                    <a:ln>
                      <a:noFill/>
                    </a:ln>
                  </pic:spPr>
                </pic:pic>
              </a:graphicData>
            </a:graphic>
          </wp:inline>
        </w:drawing>
      </w:r>
    </w:p>
    <w:p w:rsidR="000E7C4C" w:rsidRDefault="003C3EA6">
      <w:pPr>
        <w:jc w:val="center"/>
        <w:rPr>
          <w:color w:val="000000"/>
          <w:sz w:val="20"/>
        </w:rPr>
      </w:pPr>
      <w:r>
        <w:rPr>
          <w:color w:val="000000"/>
          <w:sz w:val="20"/>
        </w:rPr>
        <w:t>1 paveikslas. SO</w:t>
      </w:r>
      <w:r>
        <w:rPr>
          <w:color w:val="000000"/>
          <w:sz w:val="20"/>
          <w:vertAlign w:val="subscript"/>
        </w:rPr>
        <w:t>2</w:t>
      </w:r>
      <w:r>
        <w:rPr>
          <w:color w:val="000000"/>
          <w:sz w:val="20"/>
        </w:rPr>
        <w:t xml:space="preserve"> </w:t>
      </w:r>
      <w:proofErr w:type="spellStart"/>
      <w:r>
        <w:rPr>
          <w:color w:val="000000"/>
          <w:sz w:val="20"/>
        </w:rPr>
        <w:t>iškritos</w:t>
      </w:r>
      <w:proofErr w:type="spellEnd"/>
      <w:r>
        <w:rPr>
          <w:color w:val="000000"/>
          <w:sz w:val="20"/>
        </w:rPr>
        <w:t xml:space="preserve"> Lietuvoje (kairėje pusėje) ir kaimyninėse šalyse (dešinėje pusėje)</w:t>
      </w:r>
    </w:p>
    <w:p w:rsidR="000E7C4C" w:rsidRDefault="003C3EA6">
      <w:pPr>
        <w:jc w:val="center"/>
        <w:rPr>
          <w:color w:val="000000"/>
          <w:sz w:val="20"/>
        </w:rPr>
      </w:pPr>
      <w:r>
        <w:rPr>
          <w:color w:val="000000"/>
          <w:sz w:val="20"/>
        </w:rPr>
        <w:t xml:space="preserve">(duomenų šaltinis: </w:t>
      </w:r>
      <w:r>
        <w:rPr>
          <w:color w:val="000000"/>
          <w:sz w:val="20"/>
          <w:szCs w:val="21"/>
        </w:rPr>
        <w:t xml:space="preserve">EMEP/MSC-W modeliuojama oro koncentracija ir </w:t>
      </w:r>
      <w:proofErr w:type="spellStart"/>
      <w:r>
        <w:rPr>
          <w:color w:val="000000"/>
          <w:sz w:val="20"/>
          <w:szCs w:val="21"/>
        </w:rPr>
        <w:t>iškritos</w:t>
      </w:r>
      <w:proofErr w:type="spellEnd"/>
      <w:r>
        <w:rPr>
          <w:color w:val="000000"/>
          <w:sz w:val="20"/>
          <w:szCs w:val="21"/>
        </w:rPr>
        <w:t xml:space="preserve">. Duomenų bazė </w:t>
      </w:r>
      <w:r>
        <w:rPr>
          <w:i/>
          <w:color w:val="000000"/>
          <w:sz w:val="20"/>
          <w:szCs w:val="21"/>
        </w:rPr>
        <w:t xml:space="preserve">(angl. EMEP/MSC-W </w:t>
      </w:r>
      <w:proofErr w:type="spellStart"/>
      <w:r>
        <w:rPr>
          <w:i/>
          <w:color w:val="000000"/>
          <w:sz w:val="20"/>
          <w:szCs w:val="21"/>
        </w:rPr>
        <w:t>modelled</w:t>
      </w:r>
      <w:proofErr w:type="spellEnd"/>
      <w:r>
        <w:rPr>
          <w:i/>
          <w:color w:val="000000"/>
          <w:sz w:val="20"/>
          <w:szCs w:val="21"/>
        </w:rPr>
        <w:t xml:space="preserve"> </w:t>
      </w:r>
      <w:proofErr w:type="spellStart"/>
      <w:r>
        <w:rPr>
          <w:i/>
          <w:color w:val="000000"/>
          <w:sz w:val="20"/>
          <w:szCs w:val="21"/>
        </w:rPr>
        <w:t>air</w:t>
      </w:r>
      <w:proofErr w:type="spellEnd"/>
      <w:r>
        <w:rPr>
          <w:i/>
          <w:color w:val="000000"/>
          <w:sz w:val="20"/>
          <w:szCs w:val="21"/>
        </w:rPr>
        <w:t xml:space="preserve"> </w:t>
      </w:r>
      <w:proofErr w:type="spellStart"/>
      <w:r>
        <w:rPr>
          <w:i/>
          <w:color w:val="000000"/>
          <w:sz w:val="20"/>
          <w:szCs w:val="21"/>
        </w:rPr>
        <w:t>concentrations</w:t>
      </w:r>
      <w:proofErr w:type="spellEnd"/>
      <w:r>
        <w:rPr>
          <w:i/>
          <w:color w:val="000000"/>
          <w:sz w:val="20"/>
          <w:szCs w:val="21"/>
        </w:rPr>
        <w:t xml:space="preserve"> </w:t>
      </w:r>
      <w:proofErr w:type="spellStart"/>
      <w:r>
        <w:rPr>
          <w:i/>
          <w:color w:val="000000"/>
          <w:sz w:val="20"/>
          <w:szCs w:val="21"/>
        </w:rPr>
        <w:t>and</w:t>
      </w:r>
      <w:proofErr w:type="spellEnd"/>
      <w:r>
        <w:rPr>
          <w:i/>
          <w:color w:val="000000"/>
          <w:sz w:val="20"/>
          <w:szCs w:val="21"/>
        </w:rPr>
        <w:t xml:space="preserve"> </w:t>
      </w:r>
      <w:proofErr w:type="spellStart"/>
      <w:r>
        <w:rPr>
          <w:i/>
          <w:color w:val="000000"/>
          <w:sz w:val="20"/>
          <w:szCs w:val="21"/>
        </w:rPr>
        <w:t>depositions</w:t>
      </w:r>
      <w:proofErr w:type="spellEnd"/>
      <w:r>
        <w:rPr>
          <w:i/>
          <w:color w:val="000000"/>
          <w:sz w:val="20"/>
          <w:szCs w:val="21"/>
        </w:rPr>
        <w:t>)</w:t>
      </w:r>
      <w:r>
        <w:rPr>
          <w:color w:val="000000"/>
          <w:sz w:val="20"/>
          <w:szCs w:val="21"/>
        </w:rPr>
        <w:t>. Prieiga internetu: http://www.emep.int/mscw/mscw_ydata.html</w:t>
      </w:r>
      <w:r>
        <w:rPr>
          <w:color w:val="000000"/>
          <w:sz w:val="20"/>
        </w:rPr>
        <w:t>)</w:t>
      </w:r>
    </w:p>
    <w:p w:rsidR="000E7C4C" w:rsidRDefault="003C3EA6">
      <w:pPr>
        <w:jc w:val="both"/>
        <w:rPr>
          <w:sz w:val="20"/>
        </w:rPr>
      </w:pPr>
    </w:p>
    <w:p w:rsidR="000E7C4C" w:rsidRDefault="003C3EA6">
      <w:pPr>
        <w:tabs>
          <w:tab w:val="left" w:pos="851"/>
        </w:tabs>
        <w:ind w:firstLine="567"/>
        <w:jc w:val="both"/>
        <w:rPr>
          <w:szCs w:val="24"/>
        </w:rPr>
      </w:pPr>
      <w:r>
        <w:rPr>
          <w:szCs w:val="24"/>
        </w:rPr>
        <w:t>3</w:t>
      </w:r>
      <w:r>
        <w:rPr>
          <w:szCs w:val="24"/>
        </w:rPr>
        <w:t>.</w:t>
      </w:r>
      <w:r>
        <w:rPr>
          <w:szCs w:val="24"/>
        </w:rPr>
        <w:tab/>
      </w:r>
      <w:r>
        <w:rPr>
          <w:rFonts w:eastAsia="Calibri"/>
          <w:szCs w:val="24"/>
        </w:rPr>
        <w:t>Visų tarpvalstybinių SO</w:t>
      </w:r>
      <w:r>
        <w:rPr>
          <w:rFonts w:eastAsia="Calibri"/>
          <w:szCs w:val="24"/>
          <w:vertAlign w:val="subscript"/>
        </w:rPr>
        <w:t>2</w:t>
      </w:r>
      <w:r>
        <w:rPr>
          <w:rFonts w:eastAsia="Calibri"/>
          <w:szCs w:val="24"/>
        </w:rPr>
        <w:t xml:space="preserve"> pernašų kiekis, paveikęs Lietuvos SO</w:t>
      </w:r>
      <w:r>
        <w:rPr>
          <w:rFonts w:eastAsia="Calibri"/>
          <w:szCs w:val="24"/>
          <w:vertAlign w:val="subscript"/>
        </w:rPr>
        <w:t>2</w:t>
      </w:r>
      <w:r>
        <w:rPr>
          <w:rFonts w:eastAsia="Calibri"/>
          <w:szCs w:val="24"/>
        </w:rPr>
        <w:t xml:space="preserve"> koncentracijas aplinkos ore 2014 m.,  buvo perneštas iš Lenkijos (32 proc.), </w:t>
      </w:r>
      <w:r>
        <w:rPr>
          <w:szCs w:val="24"/>
        </w:rPr>
        <w:t>Ukrainos (10 proc.), Rusijos (8 proc.), Baltarusijos (5 proc.), Lietuvos (11 proc.), išsiveržusio Islandijos ugnikalnio (7 proc.) ir kitų teritorijų (27 proc.) (Tarpvalstybinė oro tarša pagrindiniai teršalais (S, N, O</w:t>
      </w:r>
      <w:r>
        <w:rPr>
          <w:szCs w:val="24"/>
          <w:vertAlign w:val="subscript"/>
        </w:rPr>
        <w:t>3</w:t>
      </w:r>
      <w:r>
        <w:rPr>
          <w:szCs w:val="24"/>
        </w:rPr>
        <w:t xml:space="preserve"> ir KD) 2014 m. Lietuva </w:t>
      </w:r>
      <w:r>
        <w:rPr>
          <w:i/>
          <w:szCs w:val="24"/>
        </w:rPr>
        <w:t xml:space="preserve">(angl. </w:t>
      </w:r>
      <w:proofErr w:type="spellStart"/>
      <w:r>
        <w:rPr>
          <w:i/>
          <w:szCs w:val="24"/>
        </w:rPr>
        <w:t>Transboundary</w:t>
      </w:r>
      <w:proofErr w:type="spellEnd"/>
      <w:r>
        <w:rPr>
          <w:i/>
          <w:szCs w:val="24"/>
        </w:rPr>
        <w:t xml:space="preserve"> </w:t>
      </w:r>
      <w:proofErr w:type="spellStart"/>
      <w:r>
        <w:rPr>
          <w:i/>
          <w:szCs w:val="24"/>
        </w:rPr>
        <w:t>air</w:t>
      </w:r>
      <w:proofErr w:type="spellEnd"/>
      <w:r>
        <w:rPr>
          <w:i/>
          <w:szCs w:val="24"/>
        </w:rPr>
        <w:t xml:space="preserve"> </w:t>
      </w:r>
      <w:proofErr w:type="spellStart"/>
      <w:r>
        <w:rPr>
          <w:i/>
          <w:szCs w:val="24"/>
        </w:rPr>
        <w:t>pollution</w:t>
      </w:r>
      <w:proofErr w:type="spellEnd"/>
      <w:r>
        <w:rPr>
          <w:i/>
          <w:szCs w:val="24"/>
        </w:rPr>
        <w:t xml:space="preserve"> </w:t>
      </w:r>
      <w:proofErr w:type="spellStart"/>
      <w:r>
        <w:rPr>
          <w:i/>
          <w:szCs w:val="24"/>
        </w:rPr>
        <w:t>by</w:t>
      </w:r>
      <w:proofErr w:type="spellEnd"/>
      <w:r>
        <w:rPr>
          <w:i/>
          <w:szCs w:val="24"/>
        </w:rPr>
        <w:t xml:space="preserve"> </w:t>
      </w:r>
      <w:proofErr w:type="spellStart"/>
      <w:r>
        <w:rPr>
          <w:i/>
          <w:szCs w:val="24"/>
        </w:rPr>
        <w:t>main</w:t>
      </w:r>
      <w:proofErr w:type="spellEnd"/>
      <w:r>
        <w:rPr>
          <w:i/>
          <w:szCs w:val="24"/>
        </w:rPr>
        <w:t xml:space="preserve"> </w:t>
      </w:r>
      <w:proofErr w:type="spellStart"/>
      <w:r>
        <w:rPr>
          <w:i/>
          <w:szCs w:val="24"/>
        </w:rPr>
        <w:t>pollutants</w:t>
      </w:r>
      <w:proofErr w:type="spellEnd"/>
      <w:r>
        <w:rPr>
          <w:i/>
          <w:szCs w:val="24"/>
        </w:rPr>
        <w:t xml:space="preserve"> (S, N, O</w:t>
      </w:r>
      <w:r>
        <w:rPr>
          <w:i/>
          <w:szCs w:val="24"/>
          <w:vertAlign w:val="subscript"/>
        </w:rPr>
        <w:t>3</w:t>
      </w:r>
      <w:r>
        <w:rPr>
          <w:i/>
          <w:szCs w:val="24"/>
        </w:rPr>
        <w:t xml:space="preserve">) </w:t>
      </w:r>
      <w:proofErr w:type="spellStart"/>
      <w:r>
        <w:rPr>
          <w:i/>
          <w:szCs w:val="24"/>
        </w:rPr>
        <w:t>and</w:t>
      </w:r>
      <w:proofErr w:type="spellEnd"/>
      <w:r>
        <w:rPr>
          <w:i/>
          <w:szCs w:val="24"/>
        </w:rPr>
        <w:t xml:space="preserve"> PM </w:t>
      </w:r>
      <w:proofErr w:type="spellStart"/>
      <w:r>
        <w:rPr>
          <w:i/>
          <w:szCs w:val="24"/>
        </w:rPr>
        <w:t>in</w:t>
      </w:r>
      <w:proofErr w:type="spellEnd"/>
      <w:r>
        <w:rPr>
          <w:i/>
          <w:szCs w:val="24"/>
        </w:rPr>
        <w:t xml:space="preserve"> 2014. Lithuania)</w:t>
      </w:r>
      <w:r>
        <w:rPr>
          <w:szCs w:val="24"/>
        </w:rPr>
        <w:t>, 2016, p. 15. Prieiga internetu: http://www.emep.int/publ/reports/2016/Country_Reports/report_LT.pdf).</w:t>
      </w:r>
    </w:p>
    <w:p w:rsidR="000E7C4C" w:rsidRDefault="003C3EA6">
      <w:pPr>
        <w:tabs>
          <w:tab w:val="left" w:pos="851"/>
        </w:tabs>
        <w:ind w:firstLine="567"/>
        <w:jc w:val="both"/>
        <w:rPr>
          <w:szCs w:val="24"/>
        </w:rPr>
      </w:pPr>
      <w:r>
        <w:rPr>
          <w:szCs w:val="24"/>
        </w:rPr>
        <w:t>4</w:t>
      </w:r>
      <w:r>
        <w:rPr>
          <w:szCs w:val="24"/>
        </w:rPr>
        <w:t>.</w:t>
      </w:r>
      <w:r>
        <w:rPr>
          <w:szCs w:val="24"/>
        </w:rPr>
        <w:tab/>
        <w:t xml:space="preserve">Kaip matyti 2 paveiksle (kairėje pusėje), didžiausios azotų oksidų (toliau – </w:t>
      </w:r>
      <w:proofErr w:type="spellStart"/>
      <w:r>
        <w:rPr>
          <w:szCs w:val="24"/>
        </w:rPr>
        <w:t>NO</w:t>
      </w:r>
      <w:r>
        <w:rPr>
          <w:szCs w:val="24"/>
          <w:vertAlign w:val="subscript"/>
        </w:rPr>
        <w:t>x</w:t>
      </w:r>
      <w:proofErr w:type="spellEnd"/>
      <w:r>
        <w:rPr>
          <w:szCs w:val="24"/>
        </w:rPr>
        <w:t xml:space="preserve">) </w:t>
      </w:r>
      <w:proofErr w:type="spellStart"/>
      <w:r>
        <w:rPr>
          <w:szCs w:val="24"/>
        </w:rPr>
        <w:t>iškritos</w:t>
      </w:r>
      <w:proofErr w:type="spellEnd"/>
      <w:r>
        <w:rPr>
          <w:szCs w:val="24"/>
        </w:rPr>
        <w:t xml:space="preserve"> Lietuvos teritorijoje fiksuojamos intensyvaus eismo ir pramonės regionuose. Apie 6 proc. Lietuvoje išmesto </w:t>
      </w:r>
      <w:proofErr w:type="spellStart"/>
      <w:r>
        <w:rPr>
          <w:szCs w:val="24"/>
        </w:rPr>
        <w:t>NO</w:t>
      </w:r>
      <w:r>
        <w:rPr>
          <w:szCs w:val="24"/>
          <w:vertAlign w:val="subscript"/>
        </w:rPr>
        <w:t>x</w:t>
      </w:r>
      <w:proofErr w:type="spellEnd"/>
      <w:r>
        <w:rPr>
          <w:szCs w:val="24"/>
        </w:rPr>
        <w:t xml:space="preserve"> 2014 m. nusėdo Lietuvos teritorijoje, likusi dalis nusėdo tokiose penkių šalių ir kitose teritorijose: Rusijos (29 proc.), Baltijos jūros (12 proc.), Baltarusijos (7 proc.), Švedijos (6 proc.), Suomijos (6 proc.) bei kitose teritorijose (33 proc.) (Tarpvalstybinė oro tarša pagrindiniai teršalais (S, N, O</w:t>
      </w:r>
      <w:r>
        <w:rPr>
          <w:szCs w:val="24"/>
          <w:vertAlign w:val="subscript"/>
        </w:rPr>
        <w:t>3</w:t>
      </w:r>
      <w:r>
        <w:rPr>
          <w:szCs w:val="24"/>
        </w:rPr>
        <w:t xml:space="preserve"> ir KD) 2014 m. Lietuva </w:t>
      </w:r>
      <w:r>
        <w:rPr>
          <w:i/>
          <w:szCs w:val="24"/>
        </w:rPr>
        <w:t xml:space="preserve">(angl. </w:t>
      </w:r>
      <w:proofErr w:type="spellStart"/>
      <w:r>
        <w:rPr>
          <w:i/>
          <w:szCs w:val="24"/>
        </w:rPr>
        <w:t>Transboundary</w:t>
      </w:r>
      <w:proofErr w:type="spellEnd"/>
      <w:r>
        <w:rPr>
          <w:i/>
          <w:szCs w:val="24"/>
        </w:rPr>
        <w:t xml:space="preserve"> </w:t>
      </w:r>
      <w:proofErr w:type="spellStart"/>
      <w:r>
        <w:rPr>
          <w:i/>
          <w:szCs w:val="24"/>
        </w:rPr>
        <w:t>air</w:t>
      </w:r>
      <w:proofErr w:type="spellEnd"/>
      <w:r>
        <w:rPr>
          <w:i/>
          <w:szCs w:val="24"/>
        </w:rPr>
        <w:t xml:space="preserve"> </w:t>
      </w:r>
      <w:proofErr w:type="spellStart"/>
      <w:r>
        <w:rPr>
          <w:i/>
          <w:szCs w:val="24"/>
        </w:rPr>
        <w:t>pollution</w:t>
      </w:r>
      <w:proofErr w:type="spellEnd"/>
      <w:r>
        <w:rPr>
          <w:i/>
          <w:szCs w:val="24"/>
        </w:rPr>
        <w:t xml:space="preserve"> </w:t>
      </w:r>
      <w:proofErr w:type="spellStart"/>
      <w:r>
        <w:rPr>
          <w:i/>
          <w:szCs w:val="24"/>
        </w:rPr>
        <w:t>by</w:t>
      </w:r>
      <w:proofErr w:type="spellEnd"/>
      <w:r>
        <w:rPr>
          <w:i/>
          <w:szCs w:val="24"/>
        </w:rPr>
        <w:t xml:space="preserve"> </w:t>
      </w:r>
      <w:proofErr w:type="spellStart"/>
      <w:r>
        <w:rPr>
          <w:i/>
          <w:szCs w:val="24"/>
        </w:rPr>
        <w:t>main</w:t>
      </w:r>
      <w:proofErr w:type="spellEnd"/>
      <w:r>
        <w:rPr>
          <w:i/>
          <w:szCs w:val="24"/>
        </w:rPr>
        <w:t xml:space="preserve"> </w:t>
      </w:r>
      <w:proofErr w:type="spellStart"/>
      <w:r>
        <w:rPr>
          <w:i/>
          <w:szCs w:val="24"/>
        </w:rPr>
        <w:t>pollutants</w:t>
      </w:r>
      <w:proofErr w:type="spellEnd"/>
      <w:r>
        <w:rPr>
          <w:i/>
          <w:szCs w:val="24"/>
        </w:rPr>
        <w:t xml:space="preserve"> (S, N, O</w:t>
      </w:r>
      <w:r>
        <w:rPr>
          <w:i/>
          <w:szCs w:val="24"/>
          <w:vertAlign w:val="subscript"/>
        </w:rPr>
        <w:t>3</w:t>
      </w:r>
      <w:r>
        <w:rPr>
          <w:i/>
          <w:szCs w:val="24"/>
        </w:rPr>
        <w:t xml:space="preserve">) </w:t>
      </w:r>
      <w:proofErr w:type="spellStart"/>
      <w:r>
        <w:rPr>
          <w:i/>
          <w:szCs w:val="24"/>
        </w:rPr>
        <w:t>and</w:t>
      </w:r>
      <w:proofErr w:type="spellEnd"/>
      <w:r>
        <w:rPr>
          <w:i/>
          <w:szCs w:val="24"/>
        </w:rPr>
        <w:t xml:space="preserve"> PM </w:t>
      </w:r>
      <w:proofErr w:type="spellStart"/>
      <w:r>
        <w:rPr>
          <w:i/>
          <w:szCs w:val="24"/>
        </w:rPr>
        <w:t>in</w:t>
      </w:r>
      <w:proofErr w:type="spellEnd"/>
      <w:r>
        <w:rPr>
          <w:i/>
          <w:szCs w:val="24"/>
        </w:rPr>
        <w:t xml:space="preserve"> 2014. Lithuania)</w:t>
      </w:r>
      <w:r>
        <w:rPr>
          <w:szCs w:val="24"/>
        </w:rPr>
        <w:t>, 2016, p. 16. Prieiga internetu: http://www.emep.int/publ/reports/2016/Country_Reports/report_LT.pdf).</w:t>
      </w:r>
    </w:p>
    <w:p w:rsidR="000E7C4C" w:rsidRDefault="000E7C4C">
      <w:pPr>
        <w:ind w:firstLine="567"/>
        <w:jc w:val="both"/>
        <w:rPr>
          <w:szCs w:val="24"/>
        </w:rPr>
      </w:pPr>
    </w:p>
    <w:p w:rsidR="000E7C4C" w:rsidRDefault="003C3EA6">
      <w:pPr>
        <w:ind w:firstLine="567"/>
        <w:jc w:val="center"/>
        <w:rPr>
          <w:szCs w:val="24"/>
        </w:rPr>
      </w:pPr>
      <w:r>
        <w:rPr>
          <w:noProof/>
          <w:szCs w:val="24"/>
          <w:lang w:eastAsia="lt-LT"/>
        </w:rPr>
        <w:drawing>
          <wp:inline distT="0" distB="0" distL="0" distR="0" wp14:anchorId="5B3973E3" wp14:editId="259CDCD6">
            <wp:extent cx="2524125" cy="2133600"/>
            <wp:effectExtent l="0" t="0" r="9525" b="0"/>
            <wp:docPr id="540" name="Paveikslėlis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t="15112"/>
                    <a:stretch>
                      <a:fillRect/>
                    </a:stretch>
                  </pic:blipFill>
                  <pic:spPr bwMode="auto">
                    <a:xfrm>
                      <a:off x="0" y="0"/>
                      <a:ext cx="2524125" cy="2133600"/>
                    </a:xfrm>
                    <a:prstGeom prst="rect">
                      <a:avLst/>
                    </a:prstGeom>
                    <a:noFill/>
                    <a:ln>
                      <a:noFill/>
                    </a:ln>
                  </pic:spPr>
                </pic:pic>
              </a:graphicData>
            </a:graphic>
          </wp:inline>
        </w:drawing>
      </w:r>
      <w:r>
        <w:rPr>
          <w:noProof/>
          <w:szCs w:val="24"/>
          <w:lang w:eastAsia="lt-LT"/>
        </w:rPr>
        <w:drawing>
          <wp:inline distT="0" distB="0" distL="0" distR="0" wp14:anchorId="461FBFAE" wp14:editId="6E61779F">
            <wp:extent cx="2524125" cy="2095500"/>
            <wp:effectExtent l="0" t="0" r="9525" b="0"/>
            <wp:docPr id="539" name="Paveikslėlis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t="16878"/>
                    <a:stretch>
                      <a:fillRect/>
                    </a:stretch>
                  </pic:blipFill>
                  <pic:spPr bwMode="auto">
                    <a:xfrm>
                      <a:off x="0" y="0"/>
                      <a:ext cx="2524125" cy="2095500"/>
                    </a:xfrm>
                    <a:prstGeom prst="rect">
                      <a:avLst/>
                    </a:prstGeom>
                    <a:noFill/>
                    <a:ln>
                      <a:noFill/>
                    </a:ln>
                  </pic:spPr>
                </pic:pic>
              </a:graphicData>
            </a:graphic>
          </wp:inline>
        </w:drawing>
      </w:r>
    </w:p>
    <w:p w:rsidR="000E7C4C" w:rsidRDefault="003C3EA6">
      <w:pPr>
        <w:jc w:val="center"/>
        <w:rPr>
          <w:color w:val="000000"/>
          <w:sz w:val="20"/>
          <w:szCs w:val="21"/>
        </w:rPr>
      </w:pPr>
      <w:r>
        <w:rPr>
          <w:color w:val="000000"/>
          <w:sz w:val="20"/>
          <w:szCs w:val="21"/>
        </w:rPr>
        <w:t xml:space="preserve">2 paveikslas. </w:t>
      </w:r>
      <w:proofErr w:type="spellStart"/>
      <w:r>
        <w:rPr>
          <w:color w:val="000000"/>
          <w:sz w:val="20"/>
          <w:szCs w:val="21"/>
        </w:rPr>
        <w:t>NO</w:t>
      </w:r>
      <w:r>
        <w:rPr>
          <w:color w:val="000000"/>
          <w:sz w:val="20"/>
          <w:szCs w:val="21"/>
          <w:vertAlign w:val="subscript"/>
        </w:rPr>
        <w:t>x</w:t>
      </w:r>
      <w:proofErr w:type="spellEnd"/>
      <w:r>
        <w:rPr>
          <w:color w:val="000000"/>
          <w:sz w:val="20"/>
          <w:szCs w:val="21"/>
        </w:rPr>
        <w:t xml:space="preserve"> </w:t>
      </w:r>
      <w:proofErr w:type="spellStart"/>
      <w:r>
        <w:rPr>
          <w:color w:val="000000"/>
          <w:sz w:val="20"/>
          <w:szCs w:val="21"/>
        </w:rPr>
        <w:t>iškritos</w:t>
      </w:r>
      <w:proofErr w:type="spellEnd"/>
      <w:r>
        <w:rPr>
          <w:color w:val="000000"/>
          <w:sz w:val="20"/>
          <w:szCs w:val="21"/>
        </w:rPr>
        <w:t xml:space="preserve"> Lietuvoje (kairė) ir kaimyninėse šalyse (dešinė)</w:t>
      </w:r>
    </w:p>
    <w:p w:rsidR="000E7C4C" w:rsidRDefault="003C3EA6">
      <w:pPr>
        <w:jc w:val="center"/>
        <w:rPr>
          <w:color w:val="000000"/>
          <w:sz w:val="20"/>
          <w:szCs w:val="21"/>
        </w:rPr>
      </w:pPr>
      <w:r>
        <w:rPr>
          <w:color w:val="000000"/>
          <w:sz w:val="20"/>
          <w:szCs w:val="21"/>
        </w:rPr>
        <w:t xml:space="preserve">(duomenų šaltinis: EMEP/MSC-W modeliuojama oro koncentracija ir </w:t>
      </w:r>
      <w:proofErr w:type="spellStart"/>
      <w:r>
        <w:rPr>
          <w:color w:val="000000"/>
          <w:sz w:val="20"/>
          <w:szCs w:val="21"/>
        </w:rPr>
        <w:t>iškritos</w:t>
      </w:r>
      <w:proofErr w:type="spellEnd"/>
      <w:r>
        <w:rPr>
          <w:color w:val="000000"/>
          <w:sz w:val="20"/>
          <w:szCs w:val="21"/>
        </w:rPr>
        <w:t xml:space="preserve">. Duomenų bazė </w:t>
      </w:r>
      <w:r>
        <w:rPr>
          <w:i/>
          <w:color w:val="000000"/>
          <w:sz w:val="20"/>
          <w:szCs w:val="21"/>
        </w:rPr>
        <w:t xml:space="preserve">(angl. EMEP/MSC-W </w:t>
      </w:r>
      <w:proofErr w:type="spellStart"/>
      <w:r>
        <w:rPr>
          <w:i/>
          <w:color w:val="000000"/>
          <w:sz w:val="20"/>
          <w:szCs w:val="21"/>
        </w:rPr>
        <w:t>modelled</w:t>
      </w:r>
      <w:proofErr w:type="spellEnd"/>
      <w:r>
        <w:rPr>
          <w:i/>
          <w:color w:val="000000"/>
          <w:sz w:val="20"/>
          <w:szCs w:val="21"/>
        </w:rPr>
        <w:t xml:space="preserve"> </w:t>
      </w:r>
      <w:proofErr w:type="spellStart"/>
      <w:r>
        <w:rPr>
          <w:i/>
          <w:color w:val="000000"/>
          <w:sz w:val="20"/>
          <w:szCs w:val="21"/>
        </w:rPr>
        <w:t>air</w:t>
      </w:r>
      <w:proofErr w:type="spellEnd"/>
      <w:r>
        <w:rPr>
          <w:i/>
          <w:color w:val="000000"/>
          <w:sz w:val="20"/>
          <w:szCs w:val="21"/>
        </w:rPr>
        <w:t xml:space="preserve"> </w:t>
      </w:r>
      <w:proofErr w:type="spellStart"/>
      <w:r>
        <w:rPr>
          <w:i/>
          <w:color w:val="000000"/>
          <w:sz w:val="20"/>
          <w:szCs w:val="21"/>
        </w:rPr>
        <w:t>concentrations</w:t>
      </w:r>
      <w:proofErr w:type="spellEnd"/>
      <w:r>
        <w:rPr>
          <w:i/>
          <w:color w:val="000000"/>
          <w:sz w:val="20"/>
          <w:szCs w:val="21"/>
        </w:rPr>
        <w:t xml:space="preserve"> </w:t>
      </w:r>
      <w:proofErr w:type="spellStart"/>
      <w:r>
        <w:rPr>
          <w:i/>
          <w:color w:val="000000"/>
          <w:sz w:val="20"/>
          <w:szCs w:val="21"/>
        </w:rPr>
        <w:t>and</w:t>
      </w:r>
      <w:proofErr w:type="spellEnd"/>
      <w:r>
        <w:rPr>
          <w:i/>
          <w:color w:val="000000"/>
          <w:sz w:val="20"/>
          <w:szCs w:val="21"/>
        </w:rPr>
        <w:t xml:space="preserve"> </w:t>
      </w:r>
      <w:proofErr w:type="spellStart"/>
      <w:r>
        <w:rPr>
          <w:i/>
          <w:color w:val="000000"/>
          <w:sz w:val="20"/>
          <w:szCs w:val="21"/>
        </w:rPr>
        <w:t>depositions</w:t>
      </w:r>
      <w:proofErr w:type="spellEnd"/>
      <w:r>
        <w:rPr>
          <w:i/>
          <w:color w:val="000000"/>
          <w:sz w:val="20"/>
          <w:szCs w:val="21"/>
        </w:rPr>
        <w:t>)</w:t>
      </w:r>
      <w:r>
        <w:rPr>
          <w:color w:val="000000"/>
          <w:sz w:val="20"/>
          <w:szCs w:val="21"/>
        </w:rPr>
        <w:t>. Prieiga internetu: http://www.emep.int/mscw/mscw_ydata.html)</w:t>
      </w:r>
    </w:p>
    <w:p w:rsidR="000E7C4C" w:rsidRDefault="003C3EA6">
      <w:pPr>
        <w:jc w:val="both"/>
        <w:rPr>
          <w:szCs w:val="24"/>
        </w:rPr>
      </w:pPr>
    </w:p>
    <w:p w:rsidR="000E7C4C" w:rsidRDefault="003C3EA6">
      <w:pPr>
        <w:tabs>
          <w:tab w:val="left" w:pos="851"/>
        </w:tabs>
        <w:ind w:firstLine="567"/>
        <w:jc w:val="both"/>
        <w:rPr>
          <w:szCs w:val="24"/>
        </w:rPr>
      </w:pPr>
      <w:r>
        <w:rPr>
          <w:szCs w:val="24"/>
        </w:rPr>
        <w:t>5</w:t>
      </w:r>
      <w:r>
        <w:rPr>
          <w:szCs w:val="24"/>
        </w:rPr>
        <w:t>.</w:t>
      </w:r>
      <w:r>
        <w:rPr>
          <w:szCs w:val="24"/>
        </w:rPr>
        <w:tab/>
        <w:t xml:space="preserve">Lietuvos </w:t>
      </w:r>
      <w:proofErr w:type="spellStart"/>
      <w:r>
        <w:rPr>
          <w:szCs w:val="24"/>
        </w:rPr>
        <w:t>NO</w:t>
      </w:r>
      <w:r>
        <w:rPr>
          <w:szCs w:val="24"/>
          <w:vertAlign w:val="subscript"/>
        </w:rPr>
        <w:t>x</w:t>
      </w:r>
      <w:proofErr w:type="spellEnd"/>
      <w:r>
        <w:rPr>
          <w:szCs w:val="24"/>
        </w:rPr>
        <w:t xml:space="preserve"> koncentracijoms aplinkos ore 2014 m. įtakos turėjo iš kitų šalių teritorijų perneštas </w:t>
      </w:r>
      <w:proofErr w:type="spellStart"/>
      <w:r>
        <w:rPr>
          <w:szCs w:val="24"/>
        </w:rPr>
        <w:t>NO</w:t>
      </w:r>
      <w:r>
        <w:rPr>
          <w:szCs w:val="24"/>
          <w:vertAlign w:val="subscript"/>
        </w:rPr>
        <w:t>x</w:t>
      </w:r>
      <w:proofErr w:type="spellEnd"/>
      <w:r>
        <w:rPr>
          <w:szCs w:val="24"/>
        </w:rPr>
        <w:t>: Lenkijos teritorijos (23 proc.), Vokietijos teritorijos (13 proc.), Rusijos teritorijos (10 proc.), Baltarusijos teritorijos (6 proc.), Baltijos jūros (6 proc.), Ukrainos teritorijos (5 proc.) ir kitų teritorijų (37 proc.) (Tarpvalstybinė oro tarša pagrindiniai teršalais (S, N, O</w:t>
      </w:r>
      <w:r>
        <w:rPr>
          <w:szCs w:val="24"/>
          <w:vertAlign w:val="subscript"/>
        </w:rPr>
        <w:t>3</w:t>
      </w:r>
      <w:r>
        <w:rPr>
          <w:szCs w:val="24"/>
        </w:rPr>
        <w:t xml:space="preserve"> ir KD) 2014 m. Lietuva </w:t>
      </w:r>
      <w:r>
        <w:rPr>
          <w:i/>
          <w:szCs w:val="24"/>
        </w:rPr>
        <w:t xml:space="preserve">(angl. </w:t>
      </w:r>
      <w:proofErr w:type="spellStart"/>
      <w:r>
        <w:rPr>
          <w:i/>
          <w:szCs w:val="24"/>
        </w:rPr>
        <w:t>Transboundary</w:t>
      </w:r>
      <w:proofErr w:type="spellEnd"/>
      <w:r>
        <w:rPr>
          <w:i/>
          <w:szCs w:val="24"/>
        </w:rPr>
        <w:t xml:space="preserve"> </w:t>
      </w:r>
      <w:proofErr w:type="spellStart"/>
      <w:r>
        <w:rPr>
          <w:i/>
          <w:szCs w:val="24"/>
        </w:rPr>
        <w:t>air</w:t>
      </w:r>
      <w:proofErr w:type="spellEnd"/>
      <w:r>
        <w:rPr>
          <w:i/>
          <w:szCs w:val="24"/>
        </w:rPr>
        <w:t xml:space="preserve"> </w:t>
      </w:r>
      <w:proofErr w:type="spellStart"/>
      <w:r>
        <w:rPr>
          <w:i/>
          <w:szCs w:val="24"/>
        </w:rPr>
        <w:t>pollution</w:t>
      </w:r>
      <w:proofErr w:type="spellEnd"/>
      <w:r>
        <w:rPr>
          <w:i/>
          <w:szCs w:val="24"/>
        </w:rPr>
        <w:t xml:space="preserve"> </w:t>
      </w:r>
      <w:proofErr w:type="spellStart"/>
      <w:r>
        <w:rPr>
          <w:i/>
          <w:szCs w:val="24"/>
        </w:rPr>
        <w:t>by</w:t>
      </w:r>
      <w:proofErr w:type="spellEnd"/>
      <w:r>
        <w:rPr>
          <w:i/>
          <w:szCs w:val="24"/>
        </w:rPr>
        <w:t xml:space="preserve"> </w:t>
      </w:r>
      <w:proofErr w:type="spellStart"/>
      <w:r>
        <w:rPr>
          <w:i/>
          <w:szCs w:val="24"/>
        </w:rPr>
        <w:t>main</w:t>
      </w:r>
      <w:proofErr w:type="spellEnd"/>
      <w:r>
        <w:rPr>
          <w:i/>
          <w:szCs w:val="24"/>
        </w:rPr>
        <w:t xml:space="preserve"> </w:t>
      </w:r>
      <w:proofErr w:type="spellStart"/>
      <w:r>
        <w:rPr>
          <w:i/>
          <w:szCs w:val="24"/>
        </w:rPr>
        <w:t>pollutants</w:t>
      </w:r>
      <w:proofErr w:type="spellEnd"/>
      <w:r>
        <w:rPr>
          <w:i/>
          <w:szCs w:val="24"/>
        </w:rPr>
        <w:t xml:space="preserve"> (S, N, O</w:t>
      </w:r>
      <w:r>
        <w:rPr>
          <w:i/>
          <w:szCs w:val="24"/>
          <w:vertAlign w:val="subscript"/>
        </w:rPr>
        <w:t>3</w:t>
      </w:r>
      <w:r>
        <w:rPr>
          <w:i/>
          <w:szCs w:val="24"/>
        </w:rPr>
        <w:t xml:space="preserve">) </w:t>
      </w:r>
      <w:proofErr w:type="spellStart"/>
      <w:r>
        <w:rPr>
          <w:i/>
          <w:szCs w:val="24"/>
        </w:rPr>
        <w:t>and</w:t>
      </w:r>
      <w:proofErr w:type="spellEnd"/>
      <w:r>
        <w:rPr>
          <w:i/>
          <w:szCs w:val="24"/>
        </w:rPr>
        <w:t xml:space="preserve"> PM </w:t>
      </w:r>
      <w:proofErr w:type="spellStart"/>
      <w:r>
        <w:rPr>
          <w:i/>
          <w:szCs w:val="24"/>
        </w:rPr>
        <w:t>in</w:t>
      </w:r>
      <w:proofErr w:type="spellEnd"/>
      <w:r>
        <w:rPr>
          <w:i/>
          <w:szCs w:val="24"/>
        </w:rPr>
        <w:t xml:space="preserve"> 2014. Lithuania)</w:t>
      </w:r>
      <w:r>
        <w:rPr>
          <w:szCs w:val="24"/>
        </w:rPr>
        <w:t>, 2016, p. 16. Prieiga internetu: http://www.emep.int/publ/reports/2016/Country_Reports/report_LT.pdf).</w:t>
      </w:r>
    </w:p>
    <w:p w:rsidR="000E7C4C" w:rsidRDefault="003C3EA6">
      <w:pPr>
        <w:tabs>
          <w:tab w:val="left" w:pos="851"/>
        </w:tabs>
        <w:ind w:firstLine="567"/>
        <w:jc w:val="both"/>
        <w:rPr>
          <w:szCs w:val="24"/>
        </w:rPr>
      </w:pPr>
      <w:r>
        <w:rPr>
          <w:szCs w:val="24"/>
        </w:rPr>
        <w:t>6</w:t>
      </w:r>
      <w:r>
        <w:rPr>
          <w:szCs w:val="24"/>
        </w:rPr>
        <w:t>.</w:t>
      </w:r>
      <w:r>
        <w:rPr>
          <w:szCs w:val="24"/>
        </w:rPr>
        <w:tab/>
        <w:t>Kaip matyti 3 paveiksle (kairėje pusėje), didžiausios kietųjų dalelių (toliau – KD</w:t>
      </w:r>
      <w:r>
        <w:rPr>
          <w:szCs w:val="24"/>
          <w:vertAlign w:val="subscript"/>
        </w:rPr>
        <w:t>10</w:t>
      </w:r>
      <w:r>
        <w:rPr>
          <w:szCs w:val="24"/>
        </w:rPr>
        <w:t xml:space="preserve">) </w:t>
      </w:r>
      <w:proofErr w:type="spellStart"/>
      <w:r>
        <w:rPr>
          <w:szCs w:val="24"/>
        </w:rPr>
        <w:t>iškritos</w:t>
      </w:r>
      <w:proofErr w:type="spellEnd"/>
      <w:r>
        <w:rPr>
          <w:szCs w:val="24"/>
        </w:rPr>
        <w:t xml:space="preserve"> buvo pietvakarių Lietuvos teritorijoje.</w:t>
      </w:r>
    </w:p>
    <w:p w:rsidR="000E7C4C" w:rsidRDefault="000E7C4C">
      <w:pPr>
        <w:ind w:firstLine="567"/>
        <w:jc w:val="both"/>
        <w:rPr>
          <w:szCs w:val="24"/>
        </w:rPr>
      </w:pPr>
    </w:p>
    <w:p w:rsidR="000E7C4C" w:rsidRDefault="003C3EA6">
      <w:pPr>
        <w:jc w:val="center"/>
        <w:rPr>
          <w:sz w:val="22"/>
          <w:szCs w:val="22"/>
        </w:rPr>
      </w:pPr>
      <w:r>
        <w:rPr>
          <w:noProof/>
          <w:sz w:val="22"/>
          <w:szCs w:val="22"/>
          <w:lang w:eastAsia="lt-LT"/>
        </w:rPr>
        <w:drawing>
          <wp:inline distT="0" distB="0" distL="0" distR="0" wp14:anchorId="4B09457C" wp14:editId="227CB299">
            <wp:extent cx="2524125" cy="2133600"/>
            <wp:effectExtent l="0" t="0" r="9525" b="0"/>
            <wp:docPr id="538" name="Paveikslėlis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t="15617"/>
                    <a:stretch>
                      <a:fillRect/>
                    </a:stretch>
                  </pic:blipFill>
                  <pic:spPr bwMode="auto">
                    <a:xfrm>
                      <a:off x="0" y="0"/>
                      <a:ext cx="2524125" cy="2133600"/>
                    </a:xfrm>
                    <a:prstGeom prst="rect">
                      <a:avLst/>
                    </a:prstGeom>
                    <a:noFill/>
                    <a:ln>
                      <a:noFill/>
                    </a:ln>
                  </pic:spPr>
                </pic:pic>
              </a:graphicData>
            </a:graphic>
          </wp:inline>
        </w:drawing>
      </w:r>
      <w:r>
        <w:rPr>
          <w:noProof/>
          <w:sz w:val="22"/>
          <w:szCs w:val="22"/>
          <w:lang w:eastAsia="lt-LT"/>
        </w:rPr>
        <w:drawing>
          <wp:inline distT="0" distB="0" distL="0" distR="0" wp14:anchorId="3DBB86A1" wp14:editId="4680ED14">
            <wp:extent cx="2524125" cy="2105025"/>
            <wp:effectExtent l="0" t="0" r="9525" b="9525"/>
            <wp:docPr id="537" name="Paveikslėlis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t="16624"/>
                    <a:stretch>
                      <a:fillRect/>
                    </a:stretch>
                  </pic:blipFill>
                  <pic:spPr bwMode="auto">
                    <a:xfrm>
                      <a:off x="0" y="0"/>
                      <a:ext cx="2524125" cy="2105025"/>
                    </a:xfrm>
                    <a:prstGeom prst="rect">
                      <a:avLst/>
                    </a:prstGeom>
                    <a:noFill/>
                    <a:ln>
                      <a:noFill/>
                    </a:ln>
                  </pic:spPr>
                </pic:pic>
              </a:graphicData>
            </a:graphic>
          </wp:inline>
        </w:drawing>
      </w:r>
    </w:p>
    <w:p w:rsidR="000E7C4C" w:rsidRDefault="003C3EA6">
      <w:pPr>
        <w:jc w:val="center"/>
        <w:rPr>
          <w:color w:val="000000"/>
          <w:sz w:val="20"/>
          <w:szCs w:val="21"/>
        </w:rPr>
      </w:pPr>
      <w:r>
        <w:rPr>
          <w:color w:val="000000"/>
          <w:sz w:val="20"/>
          <w:szCs w:val="21"/>
        </w:rPr>
        <w:t>3 paveikslas. KD</w:t>
      </w:r>
      <w:r>
        <w:rPr>
          <w:color w:val="000000"/>
          <w:sz w:val="20"/>
          <w:szCs w:val="21"/>
          <w:vertAlign w:val="subscript"/>
        </w:rPr>
        <w:t>10</w:t>
      </w:r>
      <w:r>
        <w:rPr>
          <w:color w:val="000000"/>
          <w:sz w:val="20"/>
          <w:szCs w:val="21"/>
        </w:rPr>
        <w:t xml:space="preserve"> </w:t>
      </w:r>
      <w:proofErr w:type="spellStart"/>
      <w:r>
        <w:rPr>
          <w:color w:val="000000"/>
          <w:sz w:val="20"/>
          <w:szCs w:val="21"/>
        </w:rPr>
        <w:t>iškritos</w:t>
      </w:r>
      <w:proofErr w:type="spellEnd"/>
      <w:r>
        <w:rPr>
          <w:color w:val="000000"/>
          <w:sz w:val="20"/>
          <w:szCs w:val="21"/>
        </w:rPr>
        <w:t xml:space="preserve"> Lietuvoje (kairė) ir kaimyninėse šalyse (dešinė)</w:t>
      </w:r>
    </w:p>
    <w:p w:rsidR="000E7C4C" w:rsidRDefault="003C3EA6">
      <w:pPr>
        <w:jc w:val="center"/>
        <w:rPr>
          <w:color w:val="000000"/>
          <w:sz w:val="20"/>
          <w:szCs w:val="21"/>
        </w:rPr>
      </w:pPr>
      <w:r>
        <w:rPr>
          <w:color w:val="000000"/>
          <w:sz w:val="20"/>
          <w:szCs w:val="21"/>
        </w:rPr>
        <w:t xml:space="preserve">(duomenų šaltinis: EMEP/MSC-W modeliuojama oro koncentracija ir </w:t>
      </w:r>
      <w:proofErr w:type="spellStart"/>
      <w:r>
        <w:rPr>
          <w:color w:val="000000"/>
          <w:sz w:val="20"/>
          <w:szCs w:val="21"/>
        </w:rPr>
        <w:t>iškritos</w:t>
      </w:r>
      <w:proofErr w:type="spellEnd"/>
      <w:r>
        <w:rPr>
          <w:color w:val="000000"/>
          <w:sz w:val="20"/>
          <w:szCs w:val="21"/>
        </w:rPr>
        <w:t xml:space="preserve">. Duomenų bazė </w:t>
      </w:r>
      <w:r>
        <w:rPr>
          <w:i/>
          <w:color w:val="000000"/>
          <w:sz w:val="20"/>
          <w:szCs w:val="21"/>
        </w:rPr>
        <w:t xml:space="preserve">(angl. EMEP/MSC-W </w:t>
      </w:r>
      <w:proofErr w:type="spellStart"/>
      <w:r>
        <w:rPr>
          <w:i/>
          <w:color w:val="000000"/>
          <w:sz w:val="20"/>
          <w:szCs w:val="21"/>
        </w:rPr>
        <w:t>modelled</w:t>
      </w:r>
      <w:proofErr w:type="spellEnd"/>
      <w:r>
        <w:rPr>
          <w:i/>
          <w:color w:val="000000"/>
          <w:sz w:val="20"/>
          <w:szCs w:val="21"/>
        </w:rPr>
        <w:t xml:space="preserve"> </w:t>
      </w:r>
      <w:proofErr w:type="spellStart"/>
      <w:r>
        <w:rPr>
          <w:i/>
          <w:color w:val="000000"/>
          <w:sz w:val="20"/>
          <w:szCs w:val="21"/>
        </w:rPr>
        <w:t>air</w:t>
      </w:r>
      <w:proofErr w:type="spellEnd"/>
      <w:r>
        <w:rPr>
          <w:i/>
          <w:color w:val="000000"/>
          <w:sz w:val="20"/>
          <w:szCs w:val="21"/>
        </w:rPr>
        <w:t xml:space="preserve"> </w:t>
      </w:r>
      <w:proofErr w:type="spellStart"/>
      <w:r>
        <w:rPr>
          <w:i/>
          <w:color w:val="000000"/>
          <w:sz w:val="20"/>
          <w:szCs w:val="21"/>
        </w:rPr>
        <w:t>concentrations</w:t>
      </w:r>
      <w:proofErr w:type="spellEnd"/>
      <w:r>
        <w:rPr>
          <w:i/>
          <w:color w:val="000000"/>
          <w:sz w:val="20"/>
          <w:szCs w:val="21"/>
        </w:rPr>
        <w:t xml:space="preserve"> </w:t>
      </w:r>
      <w:proofErr w:type="spellStart"/>
      <w:r>
        <w:rPr>
          <w:i/>
          <w:color w:val="000000"/>
          <w:sz w:val="20"/>
          <w:szCs w:val="21"/>
        </w:rPr>
        <w:t>and</w:t>
      </w:r>
      <w:proofErr w:type="spellEnd"/>
      <w:r>
        <w:rPr>
          <w:i/>
          <w:color w:val="000000"/>
          <w:sz w:val="20"/>
          <w:szCs w:val="21"/>
        </w:rPr>
        <w:t xml:space="preserve"> </w:t>
      </w:r>
      <w:proofErr w:type="spellStart"/>
      <w:r>
        <w:rPr>
          <w:i/>
          <w:color w:val="000000"/>
          <w:sz w:val="20"/>
          <w:szCs w:val="21"/>
        </w:rPr>
        <w:t>depositions</w:t>
      </w:r>
      <w:proofErr w:type="spellEnd"/>
      <w:r>
        <w:rPr>
          <w:i/>
          <w:color w:val="000000"/>
          <w:sz w:val="20"/>
          <w:szCs w:val="21"/>
        </w:rPr>
        <w:t>)</w:t>
      </w:r>
      <w:r>
        <w:rPr>
          <w:color w:val="000000"/>
          <w:sz w:val="20"/>
          <w:szCs w:val="21"/>
        </w:rPr>
        <w:t>. Prieiga internetu: http://www.emep.int/mscw/mscw_ydata.html)</w:t>
      </w:r>
    </w:p>
    <w:p w:rsidR="000E7C4C" w:rsidRDefault="003C3EA6">
      <w:pPr>
        <w:jc w:val="both"/>
        <w:rPr>
          <w:szCs w:val="24"/>
        </w:rPr>
      </w:pPr>
    </w:p>
    <w:p w:rsidR="000E7C4C" w:rsidRDefault="003C3EA6">
      <w:pPr>
        <w:tabs>
          <w:tab w:val="left" w:pos="851"/>
        </w:tabs>
        <w:ind w:firstLine="567"/>
        <w:jc w:val="both"/>
        <w:rPr>
          <w:szCs w:val="24"/>
        </w:rPr>
      </w:pPr>
      <w:r>
        <w:rPr>
          <w:szCs w:val="24"/>
        </w:rPr>
        <w:t>7</w:t>
      </w:r>
      <w:r>
        <w:rPr>
          <w:szCs w:val="24"/>
        </w:rPr>
        <w:t>.</w:t>
      </w:r>
      <w:r>
        <w:rPr>
          <w:szCs w:val="24"/>
        </w:rPr>
        <w:tab/>
        <w:t>Reikšmingiausią poveikį KD</w:t>
      </w:r>
      <w:r>
        <w:rPr>
          <w:szCs w:val="24"/>
          <w:vertAlign w:val="subscript"/>
        </w:rPr>
        <w:t>10</w:t>
      </w:r>
      <w:r>
        <w:rPr>
          <w:szCs w:val="24"/>
        </w:rPr>
        <w:t xml:space="preserve"> koncentracijai Lietuvoje 2014 m. turėjo Lenkijoje, Rusijoje, Ukrainoje, Baltarusijoje, Lietuvoje ir Šiaurės jūros teritorijoje išmestas ir į Lietuvos teritoriją perneštas KD</w:t>
      </w:r>
      <w:r>
        <w:rPr>
          <w:szCs w:val="24"/>
          <w:vertAlign w:val="subscript"/>
        </w:rPr>
        <w:t>10</w:t>
      </w:r>
      <w:r>
        <w:rPr>
          <w:szCs w:val="24"/>
        </w:rPr>
        <w:t xml:space="preserve"> kiekis (3 pav., dešinėje pusėje) (Tarpvalstybinė oro tarša pagrindiniai teršalais (S, N, O</w:t>
      </w:r>
      <w:r>
        <w:rPr>
          <w:szCs w:val="24"/>
          <w:vertAlign w:val="subscript"/>
        </w:rPr>
        <w:t>3</w:t>
      </w:r>
      <w:r>
        <w:rPr>
          <w:szCs w:val="24"/>
        </w:rPr>
        <w:t xml:space="preserve"> ir KD) 2014 m. Lietuva </w:t>
      </w:r>
      <w:r>
        <w:rPr>
          <w:i/>
          <w:szCs w:val="24"/>
        </w:rPr>
        <w:t xml:space="preserve">(angl. </w:t>
      </w:r>
      <w:proofErr w:type="spellStart"/>
      <w:r>
        <w:rPr>
          <w:i/>
          <w:szCs w:val="24"/>
        </w:rPr>
        <w:t>Transboundary</w:t>
      </w:r>
      <w:proofErr w:type="spellEnd"/>
      <w:r>
        <w:rPr>
          <w:i/>
          <w:szCs w:val="24"/>
        </w:rPr>
        <w:t xml:space="preserve"> </w:t>
      </w:r>
      <w:proofErr w:type="spellStart"/>
      <w:r>
        <w:rPr>
          <w:i/>
          <w:szCs w:val="24"/>
        </w:rPr>
        <w:t>air</w:t>
      </w:r>
      <w:proofErr w:type="spellEnd"/>
      <w:r>
        <w:rPr>
          <w:i/>
          <w:szCs w:val="24"/>
        </w:rPr>
        <w:t xml:space="preserve"> </w:t>
      </w:r>
      <w:proofErr w:type="spellStart"/>
      <w:r>
        <w:rPr>
          <w:i/>
          <w:szCs w:val="24"/>
        </w:rPr>
        <w:t>pollution</w:t>
      </w:r>
      <w:proofErr w:type="spellEnd"/>
      <w:r>
        <w:rPr>
          <w:i/>
          <w:szCs w:val="24"/>
        </w:rPr>
        <w:t xml:space="preserve"> </w:t>
      </w:r>
      <w:proofErr w:type="spellStart"/>
      <w:r>
        <w:rPr>
          <w:i/>
          <w:szCs w:val="24"/>
        </w:rPr>
        <w:t>by</w:t>
      </w:r>
      <w:proofErr w:type="spellEnd"/>
      <w:r>
        <w:rPr>
          <w:i/>
          <w:szCs w:val="24"/>
        </w:rPr>
        <w:t xml:space="preserve"> </w:t>
      </w:r>
      <w:proofErr w:type="spellStart"/>
      <w:r>
        <w:rPr>
          <w:i/>
          <w:szCs w:val="24"/>
        </w:rPr>
        <w:t>main</w:t>
      </w:r>
      <w:proofErr w:type="spellEnd"/>
      <w:r>
        <w:rPr>
          <w:i/>
          <w:szCs w:val="24"/>
        </w:rPr>
        <w:t xml:space="preserve"> </w:t>
      </w:r>
      <w:proofErr w:type="spellStart"/>
      <w:r>
        <w:rPr>
          <w:i/>
          <w:szCs w:val="24"/>
        </w:rPr>
        <w:t>pollutants</w:t>
      </w:r>
      <w:proofErr w:type="spellEnd"/>
      <w:r>
        <w:rPr>
          <w:i/>
          <w:szCs w:val="24"/>
        </w:rPr>
        <w:t xml:space="preserve"> (S, N, O</w:t>
      </w:r>
      <w:r>
        <w:rPr>
          <w:i/>
          <w:szCs w:val="24"/>
          <w:vertAlign w:val="subscript"/>
        </w:rPr>
        <w:t>3</w:t>
      </w:r>
      <w:r>
        <w:rPr>
          <w:i/>
          <w:szCs w:val="24"/>
        </w:rPr>
        <w:t xml:space="preserve">) </w:t>
      </w:r>
      <w:proofErr w:type="spellStart"/>
      <w:r>
        <w:rPr>
          <w:i/>
          <w:szCs w:val="24"/>
        </w:rPr>
        <w:t>and</w:t>
      </w:r>
      <w:proofErr w:type="spellEnd"/>
      <w:r>
        <w:rPr>
          <w:i/>
          <w:szCs w:val="24"/>
        </w:rPr>
        <w:t xml:space="preserve"> PM </w:t>
      </w:r>
      <w:proofErr w:type="spellStart"/>
      <w:r>
        <w:rPr>
          <w:i/>
          <w:szCs w:val="24"/>
        </w:rPr>
        <w:t>in</w:t>
      </w:r>
      <w:proofErr w:type="spellEnd"/>
      <w:r>
        <w:rPr>
          <w:i/>
          <w:szCs w:val="24"/>
        </w:rPr>
        <w:t xml:space="preserve"> 2014. Lithuania)</w:t>
      </w:r>
      <w:r>
        <w:rPr>
          <w:szCs w:val="24"/>
        </w:rPr>
        <w:t>, 2016, p. 21. Prieiga internetu: http://www.emep.int/publ/reports/2016/Country_Reports/report_LT.pdf).</w:t>
      </w:r>
    </w:p>
    <w:p w:rsidR="000E7C4C" w:rsidRDefault="003C3EA6">
      <w:pPr>
        <w:tabs>
          <w:tab w:val="left" w:pos="851"/>
        </w:tabs>
        <w:ind w:firstLine="567"/>
        <w:jc w:val="both"/>
        <w:rPr>
          <w:szCs w:val="24"/>
        </w:rPr>
      </w:pPr>
      <w:r>
        <w:rPr>
          <w:szCs w:val="24"/>
        </w:rPr>
        <w:t>8</w:t>
      </w:r>
      <w:r>
        <w:rPr>
          <w:szCs w:val="24"/>
        </w:rPr>
        <w:t>.</w:t>
      </w:r>
      <w:r>
        <w:rPr>
          <w:szCs w:val="24"/>
        </w:rPr>
        <w:tab/>
        <w:t>Kaip matyti 4 paveiksle (kairėje pusėje), didžiausia KD</w:t>
      </w:r>
      <w:r>
        <w:rPr>
          <w:szCs w:val="24"/>
          <w:vertAlign w:val="subscript"/>
        </w:rPr>
        <w:t>2,5</w:t>
      </w:r>
      <w:r>
        <w:rPr>
          <w:szCs w:val="24"/>
        </w:rPr>
        <w:t xml:space="preserve"> koncentracija aplinkos ore buvo vidurio ir  pietų Lietuvoje. Didžiausią įtaką KD</w:t>
      </w:r>
      <w:r>
        <w:rPr>
          <w:szCs w:val="24"/>
          <w:vertAlign w:val="subscript"/>
        </w:rPr>
        <w:t>2,5</w:t>
      </w:r>
      <w:r>
        <w:rPr>
          <w:szCs w:val="24"/>
        </w:rPr>
        <w:t xml:space="preserve"> koncentracijai Lietuvos teritorijoje turėjo KD</w:t>
      </w:r>
      <w:r>
        <w:rPr>
          <w:szCs w:val="24"/>
          <w:vertAlign w:val="subscript"/>
        </w:rPr>
        <w:t xml:space="preserve">2,5 </w:t>
      </w:r>
      <w:r>
        <w:rPr>
          <w:szCs w:val="24"/>
        </w:rPr>
        <w:t>išmetimai Lietuvoje (apie 18 proc.),  Lenkijoje (apie 18 proc.), Rusijoje (apie 13 proc.), Baltarusijoje (apie 12,5 proc.), Ukrainoje (apie 8 proc.), Vokietijoje (apie 5 proc.), kitose teritorijose (apie 5 proc.) (Tarpvalstybinė oro tarša pagrindiniai teršalais (S, N, O</w:t>
      </w:r>
      <w:r>
        <w:rPr>
          <w:szCs w:val="24"/>
          <w:vertAlign w:val="subscript"/>
        </w:rPr>
        <w:t>3</w:t>
      </w:r>
      <w:r>
        <w:rPr>
          <w:szCs w:val="24"/>
        </w:rPr>
        <w:t xml:space="preserve"> ir KD) 2014 m. Lietuva </w:t>
      </w:r>
      <w:r>
        <w:rPr>
          <w:i/>
          <w:szCs w:val="24"/>
        </w:rPr>
        <w:t xml:space="preserve">(angl. </w:t>
      </w:r>
      <w:proofErr w:type="spellStart"/>
      <w:r>
        <w:rPr>
          <w:i/>
          <w:szCs w:val="24"/>
        </w:rPr>
        <w:t>Transboundary</w:t>
      </w:r>
      <w:proofErr w:type="spellEnd"/>
      <w:r>
        <w:rPr>
          <w:i/>
          <w:szCs w:val="24"/>
        </w:rPr>
        <w:t xml:space="preserve"> </w:t>
      </w:r>
      <w:proofErr w:type="spellStart"/>
      <w:r>
        <w:rPr>
          <w:i/>
          <w:szCs w:val="24"/>
        </w:rPr>
        <w:t>air</w:t>
      </w:r>
      <w:proofErr w:type="spellEnd"/>
      <w:r>
        <w:rPr>
          <w:i/>
          <w:szCs w:val="24"/>
        </w:rPr>
        <w:t xml:space="preserve"> </w:t>
      </w:r>
      <w:proofErr w:type="spellStart"/>
      <w:r>
        <w:rPr>
          <w:i/>
          <w:szCs w:val="24"/>
        </w:rPr>
        <w:t>pollution</w:t>
      </w:r>
      <w:proofErr w:type="spellEnd"/>
      <w:r>
        <w:rPr>
          <w:i/>
          <w:szCs w:val="24"/>
        </w:rPr>
        <w:t xml:space="preserve"> </w:t>
      </w:r>
      <w:proofErr w:type="spellStart"/>
      <w:r>
        <w:rPr>
          <w:i/>
          <w:szCs w:val="24"/>
        </w:rPr>
        <w:t>by</w:t>
      </w:r>
      <w:proofErr w:type="spellEnd"/>
      <w:r>
        <w:rPr>
          <w:i/>
          <w:szCs w:val="24"/>
        </w:rPr>
        <w:t xml:space="preserve"> </w:t>
      </w:r>
      <w:proofErr w:type="spellStart"/>
      <w:r>
        <w:rPr>
          <w:i/>
          <w:szCs w:val="24"/>
        </w:rPr>
        <w:t>main</w:t>
      </w:r>
      <w:proofErr w:type="spellEnd"/>
      <w:r>
        <w:rPr>
          <w:i/>
          <w:szCs w:val="24"/>
        </w:rPr>
        <w:t xml:space="preserve"> </w:t>
      </w:r>
      <w:proofErr w:type="spellStart"/>
      <w:r>
        <w:rPr>
          <w:i/>
          <w:szCs w:val="24"/>
        </w:rPr>
        <w:t>pollutants</w:t>
      </w:r>
      <w:proofErr w:type="spellEnd"/>
      <w:r>
        <w:rPr>
          <w:i/>
          <w:szCs w:val="24"/>
        </w:rPr>
        <w:t xml:space="preserve"> (S, N, O</w:t>
      </w:r>
      <w:r>
        <w:rPr>
          <w:i/>
          <w:szCs w:val="24"/>
          <w:vertAlign w:val="subscript"/>
        </w:rPr>
        <w:t>3</w:t>
      </w:r>
      <w:r>
        <w:rPr>
          <w:i/>
          <w:szCs w:val="24"/>
        </w:rPr>
        <w:t xml:space="preserve">) </w:t>
      </w:r>
      <w:proofErr w:type="spellStart"/>
      <w:r>
        <w:rPr>
          <w:i/>
          <w:szCs w:val="24"/>
        </w:rPr>
        <w:t>and</w:t>
      </w:r>
      <w:proofErr w:type="spellEnd"/>
      <w:r>
        <w:rPr>
          <w:i/>
          <w:szCs w:val="24"/>
        </w:rPr>
        <w:t xml:space="preserve"> PM </w:t>
      </w:r>
      <w:proofErr w:type="spellStart"/>
      <w:r>
        <w:rPr>
          <w:i/>
          <w:szCs w:val="24"/>
        </w:rPr>
        <w:t>in</w:t>
      </w:r>
      <w:proofErr w:type="spellEnd"/>
      <w:r>
        <w:rPr>
          <w:i/>
          <w:szCs w:val="24"/>
        </w:rPr>
        <w:t xml:space="preserve"> 2014. Lithuania)</w:t>
      </w:r>
      <w:r>
        <w:rPr>
          <w:szCs w:val="24"/>
        </w:rPr>
        <w:t xml:space="preserve">, 2016, p. 22. Prieiga internetu: </w:t>
      </w:r>
      <w:r>
        <w:rPr>
          <w:color w:val="0000FF"/>
          <w:szCs w:val="24"/>
          <w:u w:val="single"/>
        </w:rPr>
        <w:t>http://www.emep.int/publ/reports/2016/Country_Reports/report_LT.pdf</w:t>
      </w:r>
      <w:r>
        <w:rPr>
          <w:szCs w:val="24"/>
        </w:rPr>
        <w:t>).</w:t>
      </w:r>
    </w:p>
    <w:p w:rsidR="000E7C4C" w:rsidRDefault="000E7C4C">
      <w:pPr>
        <w:ind w:firstLine="567"/>
        <w:jc w:val="both"/>
        <w:rPr>
          <w:szCs w:val="24"/>
        </w:rPr>
      </w:pPr>
    </w:p>
    <w:p w:rsidR="000E7C4C" w:rsidRDefault="003C3EA6">
      <w:pPr>
        <w:jc w:val="center"/>
        <w:rPr>
          <w:color w:val="000000"/>
          <w:sz w:val="20"/>
          <w:szCs w:val="21"/>
        </w:rPr>
      </w:pPr>
      <w:r>
        <w:rPr>
          <w:noProof/>
          <w:color w:val="000000"/>
          <w:sz w:val="20"/>
          <w:szCs w:val="21"/>
          <w:lang w:eastAsia="lt-LT"/>
        </w:rPr>
        <w:drawing>
          <wp:inline distT="0" distB="0" distL="0" distR="0" wp14:anchorId="5E28AD7F" wp14:editId="2E9A8D8F">
            <wp:extent cx="2524125" cy="2143125"/>
            <wp:effectExtent l="0" t="0" r="9525" b="9525"/>
            <wp:docPr id="536" name="Paveikslėlis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t="14862"/>
                    <a:stretch>
                      <a:fillRect/>
                    </a:stretch>
                  </pic:blipFill>
                  <pic:spPr bwMode="auto">
                    <a:xfrm>
                      <a:off x="0" y="0"/>
                      <a:ext cx="2524125" cy="2143125"/>
                    </a:xfrm>
                    <a:prstGeom prst="rect">
                      <a:avLst/>
                    </a:prstGeom>
                    <a:noFill/>
                    <a:ln>
                      <a:noFill/>
                    </a:ln>
                  </pic:spPr>
                </pic:pic>
              </a:graphicData>
            </a:graphic>
          </wp:inline>
        </w:drawing>
      </w:r>
      <w:r>
        <w:rPr>
          <w:noProof/>
          <w:color w:val="000000"/>
          <w:sz w:val="20"/>
          <w:szCs w:val="21"/>
          <w:lang w:eastAsia="lt-LT"/>
        </w:rPr>
        <w:drawing>
          <wp:inline distT="0" distB="0" distL="0" distR="0" wp14:anchorId="5994C743" wp14:editId="067C45A5">
            <wp:extent cx="2524125" cy="2105025"/>
            <wp:effectExtent l="0" t="0" r="9525" b="9525"/>
            <wp:docPr id="535" name="Paveikslėlis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t="16373"/>
                    <a:stretch>
                      <a:fillRect/>
                    </a:stretch>
                  </pic:blipFill>
                  <pic:spPr bwMode="auto">
                    <a:xfrm>
                      <a:off x="0" y="0"/>
                      <a:ext cx="2524125" cy="2105025"/>
                    </a:xfrm>
                    <a:prstGeom prst="rect">
                      <a:avLst/>
                    </a:prstGeom>
                    <a:noFill/>
                    <a:ln>
                      <a:noFill/>
                    </a:ln>
                  </pic:spPr>
                </pic:pic>
              </a:graphicData>
            </a:graphic>
          </wp:inline>
        </w:drawing>
      </w:r>
    </w:p>
    <w:p w:rsidR="000E7C4C" w:rsidRDefault="003C3EA6">
      <w:pPr>
        <w:jc w:val="center"/>
        <w:rPr>
          <w:color w:val="000000"/>
          <w:sz w:val="20"/>
          <w:szCs w:val="21"/>
        </w:rPr>
      </w:pPr>
      <w:r>
        <w:rPr>
          <w:color w:val="000000"/>
          <w:sz w:val="20"/>
          <w:szCs w:val="21"/>
        </w:rPr>
        <w:t>4 paveikslas. KD</w:t>
      </w:r>
      <w:r>
        <w:rPr>
          <w:color w:val="000000"/>
          <w:sz w:val="20"/>
          <w:szCs w:val="21"/>
          <w:vertAlign w:val="subscript"/>
        </w:rPr>
        <w:t>2,5</w:t>
      </w:r>
      <w:r>
        <w:rPr>
          <w:color w:val="000000"/>
          <w:sz w:val="20"/>
          <w:szCs w:val="21"/>
        </w:rPr>
        <w:t xml:space="preserve"> </w:t>
      </w:r>
      <w:proofErr w:type="spellStart"/>
      <w:r>
        <w:rPr>
          <w:color w:val="000000"/>
          <w:sz w:val="20"/>
          <w:szCs w:val="21"/>
        </w:rPr>
        <w:t>iškritos</w:t>
      </w:r>
      <w:proofErr w:type="spellEnd"/>
      <w:r>
        <w:rPr>
          <w:color w:val="000000"/>
          <w:sz w:val="20"/>
          <w:szCs w:val="21"/>
        </w:rPr>
        <w:t xml:space="preserve"> Lietuvoje (kairė) ir kaimyninėse šalyse (dešinė)</w:t>
      </w:r>
    </w:p>
    <w:p w:rsidR="000E7C4C" w:rsidRDefault="003C3EA6">
      <w:pPr>
        <w:jc w:val="center"/>
        <w:rPr>
          <w:color w:val="000000"/>
          <w:sz w:val="20"/>
          <w:szCs w:val="21"/>
        </w:rPr>
      </w:pPr>
      <w:r>
        <w:rPr>
          <w:color w:val="000000"/>
          <w:sz w:val="20"/>
          <w:szCs w:val="21"/>
        </w:rPr>
        <w:t xml:space="preserve">(duomenų šaltinis: EMEP/MSC-W modeliuojama oro koncentracija ir </w:t>
      </w:r>
      <w:proofErr w:type="spellStart"/>
      <w:r>
        <w:rPr>
          <w:color w:val="000000"/>
          <w:sz w:val="20"/>
          <w:szCs w:val="21"/>
        </w:rPr>
        <w:t>iškritos</w:t>
      </w:r>
      <w:proofErr w:type="spellEnd"/>
      <w:r>
        <w:rPr>
          <w:color w:val="000000"/>
          <w:sz w:val="20"/>
          <w:szCs w:val="21"/>
        </w:rPr>
        <w:t xml:space="preserve">. Duomenų bazė </w:t>
      </w:r>
      <w:r>
        <w:rPr>
          <w:i/>
          <w:color w:val="000000"/>
          <w:sz w:val="20"/>
          <w:szCs w:val="21"/>
        </w:rPr>
        <w:t xml:space="preserve">(angl. EMEP/MSC-W </w:t>
      </w:r>
      <w:proofErr w:type="spellStart"/>
      <w:r>
        <w:rPr>
          <w:i/>
          <w:color w:val="000000"/>
          <w:sz w:val="20"/>
          <w:szCs w:val="21"/>
        </w:rPr>
        <w:t>modelled</w:t>
      </w:r>
      <w:proofErr w:type="spellEnd"/>
      <w:r>
        <w:rPr>
          <w:i/>
          <w:color w:val="000000"/>
          <w:sz w:val="20"/>
          <w:szCs w:val="21"/>
        </w:rPr>
        <w:t xml:space="preserve"> </w:t>
      </w:r>
      <w:proofErr w:type="spellStart"/>
      <w:r>
        <w:rPr>
          <w:i/>
          <w:color w:val="000000"/>
          <w:sz w:val="20"/>
          <w:szCs w:val="21"/>
        </w:rPr>
        <w:t>air</w:t>
      </w:r>
      <w:proofErr w:type="spellEnd"/>
      <w:r>
        <w:rPr>
          <w:i/>
          <w:color w:val="000000"/>
          <w:sz w:val="20"/>
          <w:szCs w:val="21"/>
        </w:rPr>
        <w:t xml:space="preserve"> </w:t>
      </w:r>
      <w:proofErr w:type="spellStart"/>
      <w:r>
        <w:rPr>
          <w:i/>
          <w:color w:val="000000"/>
          <w:sz w:val="20"/>
          <w:szCs w:val="21"/>
        </w:rPr>
        <w:t>concentrations</w:t>
      </w:r>
      <w:proofErr w:type="spellEnd"/>
      <w:r>
        <w:rPr>
          <w:i/>
          <w:color w:val="000000"/>
          <w:sz w:val="20"/>
          <w:szCs w:val="21"/>
        </w:rPr>
        <w:t xml:space="preserve"> </w:t>
      </w:r>
      <w:proofErr w:type="spellStart"/>
      <w:r>
        <w:rPr>
          <w:i/>
          <w:color w:val="000000"/>
          <w:sz w:val="20"/>
          <w:szCs w:val="21"/>
        </w:rPr>
        <w:t>and</w:t>
      </w:r>
      <w:proofErr w:type="spellEnd"/>
      <w:r>
        <w:rPr>
          <w:i/>
          <w:color w:val="000000"/>
          <w:sz w:val="20"/>
          <w:szCs w:val="21"/>
        </w:rPr>
        <w:t xml:space="preserve"> </w:t>
      </w:r>
      <w:proofErr w:type="spellStart"/>
      <w:r>
        <w:rPr>
          <w:i/>
          <w:color w:val="000000"/>
          <w:sz w:val="20"/>
          <w:szCs w:val="21"/>
        </w:rPr>
        <w:t>depositions</w:t>
      </w:r>
      <w:proofErr w:type="spellEnd"/>
      <w:r>
        <w:rPr>
          <w:i/>
          <w:color w:val="000000"/>
          <w:sz w:val="20"/>
          <w:szCs w:val="21"/>
        </w:rPr>
        <w:t>)</w:t>
      </w:r>
      <w:r>
        <w:rPr>
          <w:color w:val="000000"/>
          <w:sz w:val="20"/>
          <w:szCs w:val="21"/>
        </w:rPr>
        <w:t>. Prieiga internetu: http://www.emep.int/mscw/mscw_ydata.html)</w:t>
      </w:r>
    </w:p>
    <w:p w:rsidR="000E7C4C" w:rsidRDefault="003C3EA6">
      <w:pPr>
        <w:jc w:val="center"/>
        <w:rPr>
          <w:color w:val="000000"/>
          <w:sz w:val="20"/>
          <w:szCs w:val="21"/>
        </w:rPr>
      </w:pPr>
    </w:p>
    <w:p w:rsidR="000E7C4C" w:rsidRDefault="003C3EA6">
      <w:pPr>
        <w:tabs>
          <w:tab w:val="left" w:pos="851"/>
        </w:tabs>
        <w:ind w:firstLine="567"/>
        <w:jc w:val="both"/>
        <w:rPr>
          <w:color w:val="000000"/>
          <w:szCs w:val="24"/>
        </w:rPr>
      </w:pPr>
      <w:r>
        <w:rPr>
          <w:color w:val="000000"/>
          <w:szCs w:val="24"/>
        </w:rPr>
        <w:t>9</w:t>
      </w:r>
      <w:r>
        <w:rPr>
          <w:color w:val="000000"/>
          <w:szCs w:val="24"/>
        </w:rPr>
        <w:t>.</w:t>
      </w:r>
      <w:r>
        <w:rPr>
          <w:color w:val="000000"/>
          <w:szCs w:val="24"/>
        </w:rPr>
        <w:tab/>
        <w:t>Kaip matyti 5 paveiksle (kairėje ir dešinėje pusėse), ozono (toliau – O</w:t>
      </w:r>
      <w:r>
        <w:rPr>
          <w:color w:val="000000"/>
          <w:szCs w:val="24"/>
          <w:vertAlign w:val="subscript"/>
        </w:rPr>
        <w:t>3</w:t>
      </w:r>
      <w:r>
        <w:rPr>
          <w:color w:val="000000"/>
          <w:szCs w:val="24"/>
        </w:rPr>
        <w:t>) nuosėdos tiek Lietuvos teritorijoje, tiek kaimyninėse valstybėse narėse buvo labai panašios. Siekiant mažinti O</w:t>
      </w:r>
      <w:r>
        <w:rPr>
          <w:color w:val="000000"/>
          <w:szCs w:val="24"/>
          <w:vertAlign w:val="subscript"/>
        </w:rPr>
        <w:t xml:space="preserve">3 </w:t>
      </w:r>
      <w:r>
        <w:rPr>
          <w:color w:val="000000"/>
          <w:szCs w:val="24"/>
        </w:rPr>
        <w:t>koncentraciją Lietuvos Respublikos teritorijoje, svarbu yra atkreipti dėmesį į kitų šalių, kurios turi įtakos O</w:t>
      </w:r>
      <w:r>
        <w:rPr>
          <w:color w:val="000000"/>
          <w:szCs w:val="24"/>
          <w:vertAlign w:val="subscript"/>
        </w:rPr>
        <w:t>3</w:t>
      </w:r>
      <w:r>
        <w:rPr>
          <w:color w:val="000000"/>
          <w:szCs w:val="24"/>
        </w:rPr>
        <w:t xml:space="preserve"> koncentracijai veiksmus. O</w:t>
      </w:r>
      <w:r>
        <w:rPr>
          <w:color w:val="000000"/>
          <w:szCs w:val="24"/>
          <w:vertAlign w:val="subscript"/>
        </w:rPr>
        <w:t xml:space="preserve">3 </w:t>
      </w:r>
      <w:r>
        <w:rPr>
          <w:color w:val="000000"/>
          <w:szCs w:val="24"/>
        </w:rPr>
        <w:t xml:space="preserve">susidaro reaguojant </w:t>
      </w:r>
      <w:proofErr w:type="spellStart"/>
      <w:r>
        <w:rPr>
          <w:color w:val="000000"/>
          <w:szCs w:val="24"/>
        </w:rPr>
        <w:t>NO</w:t>
      </w:r>
      <w:r>
        <w:rPr>
          <w:color w:val="000000"/>
          <w:szCs w:val="24"/>
          <w:vertAlign w:val="subscript"/>
        </w:rPr>
        <w:t>x</w:t>
      </w:r>
      <w:proofErr w:type="spellEnd"/>
      <w:r>
        <w:rPr>
          <w:color w:val="000000"/>
          <w:szCs w:val="24"/>
        </w:rPr>
        <w:t xml:space="preserve"> ir nemetaniniams lakiesiems organiniams junginiams (toliau – NMLOJ), todėl O</w:t>
      </w:r>
      <w:r>
        <w:rPr>
          <w:color w:val="000000"/>
          <w:szCs w:val="24"/>
          <w:vertAlign w:val="subscript"/>
        </w:rPr>
        <w:t>3</w:t>
      </w:r>
      <w:r>
        <w:rPr>
          <w:color w:val="000000"/>
          <w:szCs w:val="24"/>
        </w:rPr>
        <w:t xml:space="preserve"> koncentracijų kontekste svarbu nustatyti, kurios šalys daro įtaką </w:t>
      </w:r>
      <w:proofErr w:type="spellStart"/>
      <w:r>
        <w:rPr>
          <w:color w:val="000000"/>
          <w:szCs w:val="24"/>
        </w:rPr>
        <w:t>NO</w:t>
      </w:r>
      <w:r>
        <w:rPr>
          <w:color w:val="000000"/>
          <w:szCs w:val="24"/>
          <w:vertAlign w:val="subscript"/>
        </w:rPr>
        <w:t>x</w:t>
      </w:r>
      <w:proofErr w:type="spellEnd"/>
      <w:r>
        <w:rPr>
          <w:color w:val="000000"/>
          <w:szCs w:val="24"/>
        </w:rPr>
        <w:t xml:space="preserve"> ir NMLOJ </w:t>
      </w:r>
      <w:proofErr w:type="spellStart"/>
      <w:r>
        <w:rPr>
          <w:color w:val="000000"/>
          <w:szCs w:val="24"/>
        </w:rPr>
        <w:t>išmetimams</w:t>
      </w:r>
      <w:proofErr w:type="spellEnd"/>
      <w:r>
        <w:rPr>
          <w:color w:val="000000"/>
          <w:szCs w:val="24"/>
        </w:rPr>
        <w:t xml:space="preserve"> ir nuosėdoms. </w:t>
      </w:r>
    </w:p>
    <w:p w:rsidR="000E7C4C" w:rsidRDefault="003C3EA6">
      <w:pPr>
        <w:tabs>
          <w:tab w:val="left" w:pos="851"/>
        </w:tabs>
        <w:ind w:firstLine="567"/>
        <w:jc w:val="both"/>
        <w:rPr>
          <w:szCs w:val="24"/>
        </w:rPr>
      </w:pPr>
      <w:r>
        <w:rPr>
          <w:szCs w:val="24"/>
        </w:rPr>
        <w:t>10</w:t>
      </w:r>
      <w:r>
        <w:rPr>
          <w:szCs w:val="24"/>
        </w:rPr>
        <w:t>.</w:t>
      </w:r>
      <w:r>
        <w:rPr>
          <w:szCs w:val="24"/>
        </w:rPr>
        <w:tab/>
      </w:r>
      <w:r>
        <w:rPr>
          <w:rFonts w:eastAsia="Calibri"/>
          <w:color w:val="000000"/>
          <w:szCs w:val="24"/>
        </w:rPr>
        <w:t xml:space="preserve">Prie svarbiausių kitų šalių teritorijų, kuriose </w:t>
      </w:r>
      <w:proofErr w:type="spellStart"/>
      <w:r>
        <w:rPr>
          <w:rFonts w:eastAsia="Calibri"/>
          <w:color w:val="000000"/>
          <w:szCs w:val="24"/>
        </w:rPr>
        <w:t>NO</w:t>
      </w:r>
      <w:r>
        <w:rPr>
          <w:rFonts w:eastAsia="Calibri"/>
          <w:color w:val="000000"/>
          <w:szCs w:val="24"/>
          <w:vertAlign w:val="subscript"/>
        </w:rPr>
        <w:t>x</w:t>
      </w:r>
      <w:proofErr w:type="spellEnd"/>
      <w:r>
        <w:rPr>
          <w:rFonts w:eastAsia="Calibri"/>
          <w:color w:val="000000"/>
          <w:szCs w:val="24"/>
        </w:rPr>
        <w:t xml:space="preserve"> išmetimų mažinimas galėtų teigiamai paveikti, t. y. sumažinti, O</w:t>
      </w:r>
      <w:r>
        <w:rPr>
          <w:rFonts w:eastAsia="Calibri"/>
          <w:color w:val="000000"/>
          <w:szCs w:val="24"/>
          <w:vertAlign w:val="subscript"/>
        </w:rPr>
        <w:t>3</w:t>
      </w:r>
      <w:r>
        <w:rPr>
          <w:rFonts w:eastAsia="Calibri"/>
          <w:color w:val="000000"/>
          <w:szCs w:val="24"/>
        </w:rPr>
        <w:t xml:space="preserve"> koncentraciją Lietuvos Respublikos teritorijoje, priskiriamos Lenkija (apie 14 proc.), Rusija (apie 13 proc.), Lietuva (apie 8 proc.), Baltarusija (apie 7 </w:t>
      </w:r>
      <w:proofErr w:type="spellStart"/>
      <w:r>
        <w:rPr>
          <w:rFonts w:eastAsia="Calibri"/>
          <w:color w:val="000000"/>
          <w:szCs w:val="24"/>
        </w:rPr>
        <w:t>poc</w:t>
      </w:r>
      <w:proofErr w:type="spellEnd"/>
      <w:r>
        <w:rPr>
          <w:rFonts w:eastAsia="Calibri"/>
          <w:color w:val="000000"/>
          <w:szCs w:val="24"/>
        </w:rPr>
        <w:t>.), Ukraina (apie 6 proc.) bei kitos teritorijos (apie 39 proc.), taip pat ribinės ir pradinės sąlygos</w:t>
      </w:r>
      <w:r>
        <w:rPr>
          <w:sz w:val="22"/>
          <w:szCs w:val="22"/>
          <w:vertAlign w:val="superscript"/>
        </w:rPr>
        <w:footnoteReference w:id="1"/>
      </w:r>
      <w:r>
        <w:rPr>
          <w:rFonts w:eastAsia="Calibri"/>
          <w:color w:val="000000"/>
          <w:szCs w:val="24"/>
        </w:rPr>
        <w:t xml:space="preserve"> </w:t>
      </w:r>
      <w:r>
        <w:rPr>
          <w:rFonts w:eastAsia="Calibri"/>
          <w:i/>
          <w:color w:val="000000"/>
          <w:szCs w:val="24"/>
        </w:rPr>
        <w:t xml:space="preserve">(angl. </w:t>
      </w:r>
      <w:proofErr w:type="spellStart"/>
      <w:r>
        <w:rPr>
          <w:rFonts w:eastAsia="Calibri"/>
          <w:i/>
          <w:color w:val="000000"/>
          <w:szCs w:val="24"/>
        </w:rPr>
        <w:t>boundary</w:t>
      </w:r>
      <w:proofErr w:type="spellEnd"/>
      <w:r>
        <w:rPr>
          <w:rFonts w:eastAsia="Calibri"/>
          <w:i/>
          <w:color w:val="000000"/>
          <w:szCs w:val="24"/>
        </w:rPr>
        <w:t xml:space="preserve"> </w:t>
      </w:r>
      <w:proofErr w:type="spellStart"/>
      <w:r>
        <w:rPr>
          <w:rFonts w:eastAsia="Calibri"/>
          <w:i/>
          <w:color w:val="000000"/>
          <w:szCs w:val="24"/>
        </w:rPr>
        <w:t>and</w:t>
      </w:r>
      <w:proofErr w:type="spellEnd"/>
      <w:r>
        <w:rPr>
          <w:rFonts w:eastAsia="Calibri"/>
          <w:i/>
          <w:color w:val="000000"/>
          <w:szCs w:val="24"/>
        </w:rPr>
        <w:t xml:space="preserve"> </w:t>
      </w:r>
      <w:proofErr w:type="spellStart"/>
      <w:r>
        <w:rPr>
          <w:rFonts w:eastAsia="Calibri"/>
          <w:i/>
          <w:color w:val="000000"/>
          <w:szCs w:val="24"/>
        </w:rPr>
        <w:t>initial</w:t>
      </w:r>
      <w:proofErr w:type="spellEnd"/>
      <w:r>
        <w:rPr>
          <w:rFonts w:eastAsia="Calibri"/>
          <w:i/>
          <w:color w:val="000000"/>
          <w:szCs w:val="24"/>
        </w:rPr>
        <w:t xml:space="preserve"> </w:t>
      </w:r>
      <w:proofErr w:type="spellStart"/>
      <w:r>
        <w:rPr>
          <w:rFonts w:eastAsia="Calibri"/>
          <w:i/>
          <w:color w:val="000000"/>
          <w:szCs w:val="24"/>
        </w:rPr>
        <w:t>conditions</w:t>
      </w:r>
      <w:proofErr w:type="spellEnd"/>
      <w:r>
        <w:rPr>
          <w:rFonts w:eastAsia="Calibri"/>
          <w:i/>
          <w:color w:val="000000"/>
          <w:szCs w:val="24"/>
        </w:rPr>
        <w:t>)</w:t>
      </w:r>
      <w:r>
        <w:rPr>
          <w:rFonts w:eastAsia="Calibri"/>
          <w:color w:val="000000"/>
          <w:szCs w:val="24"/>
        </w:rPr>
        <w:t>, įtrauktos į poveikio vertinimo modelį</w:t>
      </w:r>
      <w:r>
        <w:rPr>
          <w:sz w:val="22"/>
          <w:szCs w:val="22"/>
          <w:vertAlign w:val="superscript"/>
        </w:rPr>
        <w:footnoteReference w:id="2"/>
      </w:r>
      <w:r>
        <w:rPr>
          <w:rFonts w:eastAsia="Calibri"/>
          <w:color w:val="000000"/>
          <w:szCs w:val="24"/>
        </w:rPr>
        <w:t xml:space="preserve"> (apie 12,5 proc.)</w:t>
      </w:r>
      <w:r>
        <w:rPr>
          <w:color w:val="000000"/>
          <w:szCs w:val="24"/>
        </w:rPr>
        <w:t xml:space="preserve"> </w:t>
      </w:r>
      <w:r>
        <w:rPr>
          <w:szCs w:val="24"/>
        </w:rPr>
        <w:t>(Tarpvalstybinė oro tarša pagrindiniai teršalais (S, N, O</w:t>
      </w:r>
      <w:r>
        <w:rPr>
          <w:szCs w:val="24"/>
          <w:vertAlign w:val="subscript"/>
        </w:rPr>
        <w:t>3</w:t>
      </w:r>
      <w:r>
        <w:rPr>
          <w:szCs w:val="24"/>
        </w:rPr>
        <w:t xml:space="preserve"> ir KD) 2014 m. Lietuva </w:t>
      </w:r>
      <w:r>
        <w:rPr>
          <w:i/>
          <w:szCs w:val="24"/>
        </w:rPr>
        <w:t xml:space="preserve">(angl. </w:t>
      </w:r>
      <w:proofErr w:type="spellStart"/>
      <w:r>
        <w:rPr>
          <w:i/>
          <w:szCs w:val="24"/>
        </w:rPr>
        <w:t>Transboundary</w:t>
      </w:r>
      <w:proofErr w:type="spellEnd"/>
      <w:r>
        <w:rPr>
          <w:i/>
          <w:szCs w:val="24"/>
        </w:rPr>
        <w:t xml:space="preserve"> </w:t>
      </w:r>
      <w:proofErr w:type="spellStart"/>
      <w:r>
        <w:rPr>
          <w:i/>
          <w:szCs w:val="24"/>
        </w:rPr>
        <w:t>air</w:t>
      </w:r>
      <w:proofErr w:type="spellEnd"/>
      <w:r>
        <w:rPr>
          <w:i/>
          <w:szCs w:val="24"/>
        </w:rPr>
        <w:t xml:space="preserve"> </w:t>
      </w:r>
      <w:proofErr w:type="spellStart"/>
      <w:r>
        <w:rPr>
          <w:i/>
          <w:szCs w:val="24"/>
        </w:rPr>
        <w:t>pollution</w:t>
      </w:r>
      <w:proofErr w:type="spellEnd"/>
      <w:r>
        <w:rPr>
          <w:i/>
          <w:szCs w:val="24"/>
        </w:rPr>
        <w:t xml:space="preserve"> </w:t>
      </w:r>
      <w:proofErr w:type="spellStart"/>
      <w:r>
        <w:rPr>
          <w:i/>
          <w:szCs w:val="24"/>
        </w:rPr>
        <w:t>by</w:t>
      </w:r>
      <w:proofErr w:type="spellEnd"/>
      <w:r>
        <w:rPr>
          <w:i/>
          <w:szCs w:val="24"/>
        </w:rPr>
        <w:t xml:space="preserve"> </w:t>
      </w:r>
      <w:proofErr w:type="spellStart"/>
      <w:r>
        <w:rPr>
          <w:i/>
          <w:szCs w:val="24"/>
        </w:rPr>
        <w:t>main</w:t>
      </w:r>
      <w:proofErr w:type="spellEnd"/>
      <w:r>
        <w:rPr>
          <w:i/>
          <w:szCs w:val="24"/>
        </w:rPr>
        <w:t xml:space="preserve"> </w:t>
      </w:r>
      <w:proofErr w:type="spellStart"/>
      <w:r>
        <w:rPr>
          <w:i/>
          <w:szCs w:val="24"/>
        </w:rPr>
        <w:t>pollutants</w:t>
      </w:r>
      <w:proofErr w:type="spellEnd"/>
      <w:r>
        <w:rPr>
          <w:i/>
          <w:szCs w:val="24"/>
        </w:rPr>
        <w:t xml:space="preserve"> (S, N, O</w:t>
      </w:r>
      <w:r>
        <w:rPr>
          <w:i/>
          <w:szCs w:val="24"/>
          <w:vertAlign w:val="subscript"/>
        </w:rPr>
        <w:t>3</w:t>
      </w:r>
      <w:r>
        <w:rPr>
          <w:i/>
          <w:szCs w:val="24"/>
        </w:rPr>
        <w:t xml:space="preserve">) </w:t>
      </w:r>
      <w:proofErr w:type="spellStart"/>
      <w:r>
        <w:rPr>
          <w:i/>
          <w:szCs w:val="24"/>
        </w:rPr>
        <w:t>and</w:t>
      </w:r>
      <w:proofErr w:type="spellEnd"/>
      <w:r>
        <w:rPr>
          <w:i/>
          <w:szCs w:val="24"/>
        </w:rPr>
        <w:t xml:space="preserve"> PM </w:t>
      </w:r>
      <w:proofErr w:type="spellStart"/>
      <w:r>
        <w:rPr>
          <w:i/>
          <w:szCs w:val="24"/>
        </w:rPr>
        <w:t>in</w:t>
      </w:r>
      <w:proofErr w:type="spellEnd"/>
      <w:r>
        <w:rPr>
          <w:i/>
          <w:szCs w:val="24"/>
        </w:rPr>
        <w:t xml:space="preserve"> 2014. Lithuania)</w:t>
      </w:r>
      <w:r>
        <w:rPr>
          <w:szCs w:val="24"/>
        </w:rPr>
        <w:t xml:space="preserve">, 2016, p. 18. Prieiga internetu: </w:t>
      </w:r>
      <w:r>
        <w:rPr>
          <w:color w:val="0000FF"/>
          <w:szCs w:val="24"/>
          <w:u w:val="single"/>
        </w:rPr>
        <w:t>http://www.emep.int/publ/reports/2016/Country_Reports/report_LT.pdf</w:t>
      </w:r>
      <w:r>
        <w:rPr>
          <w:szCs w:val="24"/>
        </w:rPr>
        <w:t>).</w:t>
      </w:r>
    </w:p>
    <w:p w:rsidR="000E7C4C" w:rsidRDefault="000E7C4C">
      <w:pPr>
        <w:ind w:firstLine="567"/>
        <w:jc w:val="both"/>
        <w:rPr>
          <w:szCs w:val="24"/>
        </w:rPr>
      </w:pPr>
    </w:p>
    <w:p w:rsidR="000E7C4C" w:rsidRDefault="003C3EA6">
      <w:pPr>
        <w:jc w:val="center"/>
        <w:rPr>
          <w:color w:val="000000"/>
          <w:sz w:val="20"/>
          <w:szCs w:val="21"/>
        </w:rPr>
      </w:pPr>
      <w:r>
        <w:rPr>
          <w:noProof/>
          <w:color w:val="000000"/>
          <w:sz w:val="20"/>
          <w:szCs w:val="21"/>
          <w:lang w:eastAsia="lt-LT"/>
        </w:rPr>
        <w:drawing>
          <wp:inline distT="0" distB="0" distL="0" distR="0" wp14:anchorId="3BAD4549" wp14:editId="11214F63">
            <wp:extent cx="2524125" cy="2124075"/>
            <wp:effectExtent l="0" t="0" r="9525" b="9525"/>
            <wp:docPr id="534" name="Paveikslėlis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t="15869"/>
                    <a:stretch>
                      <a:fillRect/>
                    </a:stretch>
                  </pic:blipFill>
                  <pic:spPr bwMode="auto">
                    <a:xfrm>
                      <a:off x="0" y="0"/>
                      <a:ext cx="2524125" cy="2124075"/>
                    </a:xfrm>
                    <a:prstGeom prst="rect">
                      <a:avLst/>
                    </a:prstGeom>
                    <a:noFill/>
                    <a:ln>
                      <a:noFill/>
                    </a:ln>
                  </pic:spPr>
                </pic:pic>
              </a:graphicData>
            </a:graphic>
          </wp:inline>
        </w:drawing>
      </w:r>
      <w:r>
        <w:rPr>
          <w:noProof/>
          <w:color w:val="000000"/>
          <w:sz w:val="20"/>
          <w:szCs w:val="21"/>
          <w:lang w:eastAsia="lt-LT"/>
        </w:rPr>
        <w:drawing>
          <wp:inline distT="0" distB="0" distL="0" distR="0" wp14:anchorId="0147C33C" wp14:editId="093C9BF4">
            <wp:extent cx="2524125" cy="2085975"/>
            <wp:effectExtent l="0" t="0" r="9525" b="9525"/>
            <wp:docPr id="533" name="Paveikslėlis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t="17128"/>
                    <a:stretch>
                      <a:fillRect/>
                    </a:stretch>
                  </pic:blipFill>
                  <pic:spPr bwMode="auto">
                    <a:xfrm>
                      <a:off x="0" y="0"/>
                      <a:ext cx="2524125" cy="2085975"/>
                    </a:xfrm>
                    <a:prstGeom prst="rect">
                      <a:avLst/>
                    </a:prstGeom>
                    <a:noFill/>
                    <a:ln>
                      <a:noFill/>
                    </a:ln>
                  </pic:spPr>
                </pic:pic>
              </a:graphicData>
            </a:graphic>
          </wp:inline>
        </w:drawing>
      </w:r>
    </w:p>
    <w:p w:rsidR="000E7C4C" w:rsidRDefault="003C3EA6">
      <w:pPr>
        <w:jc w:val="center"/>
        <w:rPr>
          <w:color w:val="000000"/>
          <w:sz w:val="20"/>
          <w:szCs w:val="21"/>
        </w:rPr>
      </w:pPr>
      <w:r>
        <w:rPr>
          <w:color w:val="000000"/>
          <w:sz w:val="20"/>
          <w:szCs w:val="21"/>
        </w:rPr>
        <w:t>5 paveikslas. O</w:t>
      </w:r>
      <w:r>
        <w:rPr>
          <w:color w:val="000000"/>
          <w:sz w:val="20"/>
          <w:szCs w:val="21"/>
          <w:vertAlign w:val="subscript"/>
        </w:rPr>
        <w:t>3</w:t>
      </w:r>
      <w:r>
        <w:rPr>
          <w:color w:val="000000"/>
          <w:sz w:val="20"/>
          <w:szCs w:val="21"/>
        </w:rPr>
        <w:t xml:space="preserve"> koncentracijos Lietuvoje (kairė) ir kaimyninėse šalyse (dešinė)</w:t>
      </w:r>
    </w:p>
    <w:p w:rsidR="000E7C4C" w:rsidRDefault="003C3EA6">
      <w:pPr>
        <w:jc w:val="center"/>
        <w:rPr>
          <w:color w:val="000000"/>
          <w:sz w:val="20"/>
          <w:szCs w:val="21"/>
        </w:rPr>
      </w:pPr>
      <w:r>
        <w:rPr>
          <w:color w:val="000000"/>
          <w:sz w:val="20"/>
          <w:szCs w:val="21"/>
        </w:rPr>
        <w:t xml:space="preserve">(duomenų šaltinis: EMEP/MSC-W modeliuojama oro koncentracija ir </w:t>
      </w:r>
      <w:proofErr w:type="spellStart"/>
      <w:r>
        <w:rPr>
          <w:color w:val="000000"/>
          <w:sz w:val="20"/>
          <w:szCs w:val="21"/>
        </w:rPr>
        <w:t>iškritos</w:t>
      </w:r>
      <w:proofErr w:type="spellEnd"/>
      <w:r>
        <w:rPr>
          <w:color w:val="000000"/>
          <w:sz w:val="20"/>
          <w:szCs w:val="21"/>
        </w:rPr>
        <w:t xml:space="preserve">. Duomenų bazė </w:t>
      </w:r>
      <w:r>
        <w:rPr>
          <w:i/>
          <w:color w:val="000000"/>
          <w:sz w:val="20"/>
          <w:szCs w:val="21"/>
        </w:rPr>
        <w:t xml:space="preserve">(angl. EMEP/MSC-W </w:t>
      </w:r>
      <w:proofErr w:type="spellStart"/>
      <w:r>
        <w:rPr>
          <w:i/>
          <w:color w:val="000000"/>
          <w:sz w:val="20"/>
          <w:szCs w:val="21"/>
        </w:rPr>
        <w:t>modelled</w:t>
      </w:r>
      <w:proofErr w:type="spellEnd"/>
      <w:r>
        <w:rPr>
          <w:i/>
          <w:color w:val="000000"/>
          <w:sz w:val="20"/>
          <w:szCs w:val="21"/>
        </w:rPr>
        <w:t xml:space="preserve"> </w:t>
      </w:r>
      <w:proofErr w:type="spellStart"/>
      <w:r>
        <w:rPr>
          <w:i/>
          <w:color w:val="000000"/>
          <w:sz w:val="20"/>
          <w:szCs w:val="21"/>
        </w:rPr>
        <w:t>air</w:t>
      </w:r>
      <w:proofErr w:type="spellEnd"/>
      <w:r>
        <w:rPr>
          <w:i/>
          <w:color w:val="000000"/>
          <w:sz w:val="20"/>
          <w:szCs w:val="21"/>
        </w:rPr>
        <w:t xml:space="preserve"> </w:t>
      </w:r>
      <w:proofErr w:type="spellStart"/>
      <w:r>
        <w:rPr>
          <w:i/>
          <w:color w:val="000000"/>
          <w:sz w:val="20"/>
          <w:szCs w:val="21"/>
        </w:rPr>
        <w:t>concentrations</w:t>
      </w:r>
      <w:proofErr w:type="spellEnd"/>
      <w:r>
        <w:rPr>
          <w:i/>
          <w:color w:val="000000"/>
          <w:sz w:val="20"/>
          <w:szCs w:val="21"/>
        </w:rPr>
        <w:t xml:space="preserve"> </w:t>
      </w:r>
      <w:proofErr w:type="spellStart"/>
      <w:r>
        <w:rPr>
          <w:i/>
          <w:color w:val="000000"/>
          <w:sz w:val="20"/>
          <w:szCs w:val="21"/>
        </w:rPr>
        <w:t>and</w:t>
      </w:r>
      <w:proofErr w:type="spellEnd"/>
      <w:r>
        <w:rPr>
          <w:i/>
          <w:color w:val="000000"/>
          <w:sz w:val="20"/>
          <w:szCs w:val="21"/>
        </w:rPr>
        <w:t xml:space="preserve"> </w:t>
      </w:r>
      <w:proofErr w:type="spellStart"/>
      <w:r>
        <w:rPr>
          <w:i/>
          <w:color w:val="000000"/>
          <w:sz w:val="20"/>
          <w:szCs w:val="21"/>
        </w:rPr>
        <w:t>depositions</w:t>
      </w:r>
      <w:proofErr w:type="spellEnd"/>
      <w:r>
        <w:rPr>
          <w:i/>
          <w:color w:val="000000"/>
          <w:sz w:val="20"/>
          <w:szCs w:val="21"/>
        </w:rPr>
        <w:t>)</w:t>
      </w:r>
      <w:r>
        <w:rPr>
          <w:color w:val="000000"/>
          <w:sz w:val="20"/>
          <w:szCs w:val="21"/>
        </w:rPr>
        <w:t>. Prieiga internetu: http://www.emep.int/mscw/mscw_ydata.html)</w:t>
      </w:r>
    </w:p>
    <w:p w:rsidR="000E7C4C" w:rsidRDefault="003C3EA6">
      <w:pPr>
        <w:jc w:val="center"/>
        <w:rPr>
          <w:color w:val="000000"/>
          <w:sz w:val="20"/>
          <w:szCs w:val="21"/>
        </w:rPr>
      </w:pPr>
    </w:p>
    <w:p w:rsidR="000E7C4C" w:rsidRDefault="003C3EA6">
      <w:pPr>
        <w:tabs>
          <w:tab w:val="left" w:pos="851"/>
        </w:tabs>
        <w:ind w:firstLine="567"/>
        <w:jc w:val="both"/>
        <w:rPr>
          <w:szCs w:val="24"/>
        </w:rPr>
      </w:pPr>
      <w:r>
        <w:rPr>
          <w:szCs w:val="24"/>
        </w:rPr>
        <w:t>11</w:t>
      </w:r>
      <w:r>
        <w:rPr>
          <w:szCs w:val="24"/>
        </w:rPr>
        <w:t>.</w:t>
      </w:r>
      <w:r>
        <w:rPr>
          <w:szCs w:val="24"/>
        </w:rPr>
        <w:tab/>
      </w:r>
      <w:r>
        <w:rPr>
          <w:rFonts w:eastAsia="Calibri"/>
          <w:color w:val="000000"/>
          <w:szCs w:val="24"/>
        </w:rPr>
        <w:t>Prie svarbiausių teritorijų, kuriose išmetamo į aplinkos orą NMLOJ kiekio mažinimas galėtų teigiamai paveikti, t. y. sumažinti, O</w:t>
      </w:r>
      <w:r>
        <w:rPr>
          <w:rFonts w:eastAsia="Calibri"/>
          <w:color w:val="000000"/>
          <w:szCs w:val="24"/>
          <w:vertAlign w:val="subscript"/>
        </w:rPr>
        <w:t>3</w:t>
      </w:r>
      <w:r>
        <w:rPr>
          <w:rFonts w:eastAsia="Calibri"/>
          <w:color w:val="000000"/>
          <w:szCs w:val="24"/>
        </w:rPr>
        <w:t xml:space="preserve"> koncentraciją Lietuvos Respublikos teritorijoje, priskiriamos Lenkija (apie 4 proc.), Rusija (apie 10,5 proc.), Vokietija (apie 10 proc.), Didžioji Britanija (apie  9 proc.), Baltarusija (apie 3 proc.) bei kitos teritorijos (apie 29 proc.), taip pat ribinės ir pradinės sąlygos</w:t>
      </w:r>
      <w:r>
        <w:rPr>
          <w:rFonts w:eastAsia="Calibri"/>
          <w:color w:val="000000"/>
          <w:szCs w:val="24"/>
          <w:vertAlign w:val="superscript"/>
        </w:rPr>
        <w:t>1</w:t>
      </w:r>
      <w:r>
        <w:rPr>
          <w:rFonts w:eastAsia="Calibri"/>
          <w:color w:val="000000"/>
          <w:szCs w:val="24"/>
        </w:rPr>
        <w:t xml:space="preserve"> </w:t>
      </w:r>
      <w:r>
        <w:rPr>
          <w:rFonts w:eastAsia="Calibri"/>
          <w:i/>
          <w:color w:val="000000"/>
          <w:szCs w:val="24"/>
        </w:rPr>
        <w:t xml:space="preserve">(angl. </w:t>
      </w:r>
      <w:proofErr w:type="spellStart"/>
      <w:r>
        <w:rPr>
          <w:rFonts w:eastAsia="Calibri"/>
          <w:i/>
          <w:color w:val="000000"/>
          <w:szCs w:val="24"/>
        </w:rPr>
        <w:t>boundary</w:t>
      </w:r>
      <w:proofErr w:type="spellEnd"/>
      <w:r>
        <w:rPr>
          <w:rFonts w:eastAsia="Calibri"/>
          <w:i/>
          <w:color w:val="000000"/>
          <w:szCs w:val="24"/>
        </w:rPr>
        <w:t xml:space="preserve"> </w:t>
      </w:r>
      <w:proofErr w:type="spellStart"/>
      <w:r>
        <w:rPr>
          <w:rFonts w:eastAsia="Calibri"/>
          <w:i/>
          <w:color w:val="000000"/>
          <w:szCs w:val="24"/>
        </w:rPr>
        <w:t>and</w:t>
      </w:r>
      <w:proofErr w:type="spellEnd"/>
      <w:r>
        <w:rPr>
          <w:rFonts w:eastAsia="Calibri"/>
          <w:i/>
          <w:color w:val="000000"/>
          <w:szCs w:val="24"/>
        </w:rPr>
        <w:t xml:space="preserve"> </w:t>
      </w:r>
      <w:proofErr w:type="spellStart"/>
      <w:r>
        <w:rPr>
          <w:rFonts w:eastAsia="Calibri"/>
          <w:i/>
          <w:color w:val="000000"/>
          <w:szCs w:val="24"/>
        </w:rPr>
        <w:t>initial</w:t>
      </w:r>
      <w:proofErr w:type="spellEnd"/>
      <w:r>
        <w:rPr>
          <w:rFonts w:eastAsia="Calibri"/>
          <w:i/>
          <w:color w:val="000000"/>
          <w:szCs w:val="24"/>
        </w:rPr>
        <w:t xml:space="preserve"> </w:t>
      </w:r>
      <w:proofErr w:type="spellStart"/>
      <w:r>
        <w:rPr>
          <w:rFonts w:eastAsia="Calibri"/>
          <w:i/>
          <w:color w:val="000000"/>
          <w:szCs w:val="24"/>
        </w:rPr>
        <w:t>conditions</w:t>
      </w:r>
      <w:proofErr w:type="spellEnd"/>
      <w:r>
        <w:rPr>
          <w:rFonts w:eastAsia="Calibri"/>
          <w:i/>
          <w:color w:val="000000"/>
          <w:szCs w:val="24"/>
        </w:rPr>
        <w:t>)</w:t>
      </w:r>
      <w:r>
        <w:rPr>
          <w:rFonts w:eastAsia="Calibri"/>
          <w:color w:val="000000"/>
          <w:szCs w:val="24"/>
        </w:rPr>
        <w:t>, įtrauktos į poveikio vertinimo modelį</w:t>
      </w:r>
      <w:r>
        <w:rPr>
          <w:rFonts w:eastAsia="Calibri"/>
          <w:color w:val="000000"/>
          <w:szCs w:val="24"/>
          <w:vertAlign w:val="superscript"/>
        </w:rPr>
        <w:t>2</w:t>
      </w:r>
      <w:r>
        <w:rPr>
          <w:rFonts w:eastAsia="Calibri"/>
          <w:color w:val="000000"/>
          <w:szCs w:val="24"/>
        </w:rPr>
        <w:t xml:space="preserve"> (apie 22,5 proc.) </w:t>
      </w:r>
      <w:r>
        <w:rPr>
          <w:szCs w:val="24"/>
        </w:rPr>
        <w:t>(Tarpvalstybinė oro tarša pagrindiniai teršalais (S, N, O</w:t>
      </w:r>
      <w:r>
        <w:rPr>
          <w:szCs w:val="24"/>
          <w:vertAlign w:val="subscript"/>
        </w:rPr>
        <w:t>3</w:t>
      </w:r>
      <w:r>
        <w:rPr>
          <w:szCs w:val="24"/>
        </w:rPr>
        <w:t xml:space="preserve"> ir KD) 2014 m. Lietuva </w:t>
      </w:r>
      <w:r>
        <w:rPr>
          <w:i/>
          <w:szCs w:val="24"/>
        </w:rPr>
        <w:t xml:space="preserve">(angl. </w:t>
      </w:r>
      <w:proofErr w:type="spellStart"/>
      <w:r>
        <w:rPr>
          <w:i/>
          <w:szCs w:val="24"/>
        </w:rPr>
        <w:t>Transboundary</w:t>
      </w:r>
      <w:proofErr w:type="spellEnd"/>
      <w:r>
        <w:rPr>
          <w:i/>
          <w:szCs w:val="24"/>
        </w:rPr>
        <w:t xml:space="preserve"> </w:t>
      </w:r>
      <w:proofErr w:type="spellStart"/>
      <w:r>
        <w:rPr>
          <w:i/>
          <w:szCs w:val="24"/>
        </w:rPr>
        <w:t>air</w:t>
      </w:r>
      <w:proofErr w:type="spellEnd"/>
      <w:r>
        <w:rPr>
          <w:i/>
          <w:szCs w:val="24"/>
        </w:rPr>
        <w:t xml:space="preserve"> </w:t>
      </w:r>
      <w:proofErr w:type="spellStart"/>
      <w:r>
        <w:rPr>
          <w:i/>
          <w:szCs w:val="24"/>
        </w:rPr>
        <w:t>pollution</w:t>
      </w:r>
      <w:proofErr w:type="spellEnd"/>
      <w:r>
        <w:rPr>
          <w:i/>
          <w:szCs w:val="24"/>
        </w:rPr>
        <w:t xml:space="preserve"> </w:t>
      </w:r>
      <w:proofErr w:type="spellStart"/>
      <w:r>
        <w:rPr>
          <w:i/>
          <w:szCs w:val="24"/>
        </w:rPr>
        <w:t>by</w:t>
      </w:r>
      <w:proofErr w:type="spellEnd"/>
      <w:r>
        <w:rPr>
          <w:i/>
          <w:szCs w:val="24"/>
        </w:rPr>
        <w:t xml:space="preserve"> </w:t>
      </w:r>
      <w:proofErr w:type="spellStart"/>
      <w:r>
        <w:rPr>
          <w:i/>
          <w:szCs w:val="24"/>
        </w:rPr>
        <w:t>main</w:t>
      </w:r>
      <w:proofErr w:type="spellEnd"/>
      <w:r>
        <w:rPr>
          <w:i/>
          <w:szCs w:val="24"/>
        </w:rPr>
        <w:t xml:space="preserve"> </w:t>
      </w:r>
      <w:proofErr w:type="spellStart"/>
      <w:r>
        <w:rPr>
          <w:i/>
          <w:szCs w:val="24"/>
        </w:rPr>
        <w:t>pollutants</w:t>
      </w:r>
      <w:proofErr w:type="spellEnd"/>
      <w:r>
        <w:rPr>
          <w:i/>
          <w:szCs w:val="24"/>
        </w:rPr>
        <w:t xml:space="preserve"> (S, N, O</w:t>
      </w:r>
      <w:r>
        <w:rPr>
          <w:i/>
          <w:szCs w:val="24"/>
          <w:vertAlign w:val="subscript"/>
        </w:rPr>
        <w:t>3</w:t>
      </w:r>
      <w:r>
        <w:rPr>
          <w:i/>
          <w:szCs w:val="24"/>
        </w:rPr>
        <w:t xml:space="preserve">) </w:t>
      </w:r>
      <w:proofErr w:type="spellStart"/>
      <w:r>
        <w:rPr>
          <w:i/>
          <w:szCs w:val="24"/>
        </w:rPr>
        <w:t>and</w:t>
      </w:r>
      <w:proofErr w:type="spellEnd"/>
      <w:r>
        <w:rPr>
          <w:i/>
          <w:szCs w:val="24"/>
        </w:rPr>
        <w:t xml:space="preserve"> PM </w:t>
      </w:r>
      <w:proofErr w:type="spellStart"/>
      <w:r>
        <w:rPr>
          <w:i/>
          <w:szCs w:val="24"/>
        </w:rPr>
        <w:t>in</w:t>
      </w:r>
      <w:proofErr w:type="spellEnd"/>
      <w:r>
        <w:rPr>
          <w:i/>
          <w:szCs w:val="24"/>
        </w:rPr>
        <w:t xml:space="preserve"> 2014. Lithuania)</w:t>
      </w:r>
      <w:r>
        <w:rPr>
          <w:szCs w:val="24"/>
        </w:rPr>
        <w:t>, 2016, p. 18. Prieiga internetu: http://www.emep.int/publ/reports/2016/Country_Reports/report_LT.pdf).</w:t>
      </w:r>
    </w:p>
    <w:p w:rsidR="000E7C4C" w:rsidRDefault="00FC3082">
      <w:pPr>
        <w:jc w:val="both"/>
        <w:rPr>
          <w:szCs w:val="24"/>
        </w:rPr>
      </w:pPr>
    </w:p>
    <w:p w:rsidR="000E7C4C" w:rsidRDefault="003C3EA6">
      <w:pPr>
        <w:jc w:val="center"/>
        <w:rPr>
          <w:sz w:val="20"/>
          <w:szCs w:val="22"/>
        </w:rPr>
      </w:pPr>
      <w:r>
        <w:rPr>
          <w:sz w:val="20"/>
          <w:szCs w:val="22"/>
        </w:rPr>
        <w:t>______________________________</w:t>
      </w:r>
    </w:p>
    <w:p w:rsidR="000E7C4C" w:rsidRDefault="000E7C4C">
      <w:pPr>
        <w:tabs>
          <w:tab w:val="left" w:pos="540"/>
          <w:tab w:val="left" w:pos="1296"/>
        </w:tabs>
        <w:rPr>
          <w:szCs w:val="24"/>
        </w:rPr>
      </w:pPr>
      <w:bookmarkStart w:id="0" w:name="_GoBack"/>
      <w:bookmarkEnd w:id="0"/>
    </w:p>
    <w:p w:rsidR="000E7C4C" w:rsidRDefault="00FC3082">
      <w:pPr>
        <w:tabs>
          <w:tab w:val="left" w:pos="540"/>
          <w:tab w:val="left" w:pos="1296"/>
        </w:tabs>
        <w:jc w:val="center"/>
        <w:rPr>
          <w:szCs w:val="24"/>
        </w:rPr>
      </w:pPr>
    </w:p>
    <w:sectPr w:rsidR="000E7C4C">
      <w:pgSz w:w="11906" w:h="16838"/>
      <w:pgMar w:top="1701"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EA6" w:rsidRDefault="003C3EA6">
      <w:r>
        <w:separator/>
      </w:r>
    </w:p>
  </w:endnote>
  <w:endnote w:type="continuationSeparator" w:id="0">
    <w:p w:rsidR="003C3EA6" w:rsidRDefault="003C3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EA6" w:rsidRDefault="003C3EA6">
    <w:pPr>
      <w:tabs>
        <w:tab w:val="center" w:pos="4819"/>
        <w:tab w:val="right" w:pos="9638"/>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EA6" w:rsidRDefault="003C3EA6">
    <w:pPr>
      <w:tabs>
        <w:tab w:val="center" w:pos="4819"/>
        <w:tab w:val="right" w:pos="9638"/>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EA6" w:rsidRDefault="003C3EA6">
    <w:pPr>
      <w:tabs>
        <w:tab w:val="center" w:pos="4819"/>
        <w:tab w:val="right" w:pos="9638"/>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EA6" w:rsidRDefault="003C3EA6">
      <w:r>
        <w:separator/>
      </w:r>
    </w:p>
  </w:footnote>
  <w:footnote w:type="continuationSeparator" w:id="0">
    <w:p w:rsidR="003C3EA6" w:rsidRDefault="003C3EA6">
      <w:r>
        <w:continuationSeparator/>
      </w:r>
    </w:p>
  </w:footnote>
  <w:footnote w:id="1">
    <w:p w:rsidR="003C3EA6" w:rsidRDefault="003C3EA6">
      <w:pPr>
        <w:jc w:val="both"/>
        <w:rPr>
          <w:rFonts w:eastAsia="Calibri"/>
          <w:sz w:val="20"/>
        </w:rPr>
      </w:pPr>
      <w:r>
        <w:rPr>
          <w:rFonts w:ascii="Calibri" w:eastAsia="Calibri" w:hAnsi="Calibri"/>
          <w:sz w:val="20"/>
          <w:vertAlign w:val="superscript"/>
        </w:rPr>
        <w:footnoteRef/>
      </w:r>
      <w:r>
        <w:rPr>
          <w:rFonts w:ascii="Calibri" w:eastAsia="Calibri" w:hAnsi="Calibri"/>
          <w:sz w:val="20"/>
        </w:rPr>
        <w:t xml:space="preserve"> </w:t>
      </w:r>
      <w:r>
        <w:rPr>
          <w:rFonts w:eastAsia="Calibri"/>
          <w:sz w:val="20"/>
        </w:rPr>
        <w:t xml:space="preserve">Ribinės ir pradinės sąlygos – tai sąlygos, įtrauktos į teršalų koncentracijų vertinimo modelį, kuris paprastai matuoja teršalų poveikį per tam tikrą laikotarpį; jų įtraukimas į vertinimo modelį leidžia tiksliau įvertinti teršalų koncentracijas nagrinėjamu laikotarpiu; pradinės sąlygos – tai sąlygos, vyravusios matavimo laikotarpio pradžioje, o ribinės sąlygos – tai sąlygos vyravusios viso matavimo laikotarpio metu (iki jo pabaigos); šios sąlygos yra modeliavimo rezultatas (ne empirinių stebėjimų), jų poveikis gali priklausyti nuo įvairių veiksnių: gaisrų gesinimų, </w:t>
      </w:r>
      <w:proofErr w:type="spellStart"/>
      <w:r>
        <w:rPr>
          <w:rFonts w:eastAsia="Calibri"/>
          <w:sz w:val="20"/>
        </w:rPr>
        <w:t>iškritų</w:t>
      </w:r>
      <w:proofErr w:type="spellEnd"/>
      <w:r>
        <w:rPr>
          <w:rFonts w:eastAsia="Calibri"/>
          <w:sz w:val="20"/>
        </w:rPr>
        <w:t xml:space="preserve">, cheminių reakcijų, oro sąlygų pasikeitimo ir kt. </w:t>
      </w:r>
    </w:p>
  </w:footnote>
  <w:footnote w:id="2">
    <w:p w:rsidR="003C3EA6" w:rsidRDefault="003C3EA6">
      <w:pPr>
        <w:jc w:val="both"/>
        <w:rPr>
          <w:rFonts w:eastAsia="Calibri"/>
          <w:sz w:val="20"/>
        </w:rPr>
      </w:pPr>
      <w:r>
        <w:rPr>
          <w:rFonts w:eastAsia="Calibri"/>
          <w:sz w:val="20"/>
          <w:vertAlign w:val="superscript"/>
        </w:rPr>
        <w:footnoteRef/>
      </w:r>
      <w:r>
        <w:rPr>
          <w:rFonts w:eastAsia="Calibri"/>
          <w:sz w:val="20"/>
        </w:rPr>
        <w:t xml:space="preserve"> Pateikti Norvegijos meteorologijos instituto atlikto tarpvalstybinių oro teršalų poveikio teršalų koncentracijoms vertinimo rezultatai.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EA6" w:rsidRDefault="003C3EA6">
    <w:pPr>
      <w:tabs>
        <w:tab w:val="center" w:pos="4819"/>
        <w:tab w:val="right" w:pos="9638"/>
      </w:tabs>
      <w:spacing w:after="160" w:line="259" w:lineRule="auto"/>
      <w:rPr>
        <w:sz w:val="22"/>
        <w:szCs w:val="22"/>
        <w:lang w:eastAsia="lt-LT"/>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EA6" w:rsidRDefault="003C3EA6">
    <w:pPr>
      <w:tabs>
        <w:tab w:val="center" w:pos="4819"/>
        <w:tab w:val="right" w:pos="9638"/>
      </w:tabs>
      <w:spacing w:after="160" w:line="259" w:lineRule="auto"/>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sidR="00FC3082">
      <w:rPr>
        <w:noProof/>
        <w:sz w:val="22"/>
        <w:szCs w:val="22"/>
        <w:lang w:eastAsia="lt-LT"/>
      </w:rPr>
      <w:t>4</w:t>
    </w:r>
    <w:r>
      <w:rPr>
        <w:sz w:val="22"/>
        <w:szCs w:val="22"/>
        <w:lang w:eastAsia="lt-LT"/>
      </w:rPr>
      <w:fldChar w:fldCharType="end"/>
    </w:r>
  </w:p>
  <w:p w:rsidR="003C3EA6" w:rsidRDefault="003C3EA6">
    <w:pPr>
      <w:tabs>
        <w:tab w:val="center" w:pos="4819"/>
        <w:tab w:val="right" w:pos="9638"/>
      </w:tabs>
      <w:spacing w:after="160" w:line="259" w:lineRule="auto"/>
      <w:rPr>
        <w:sz w:val="22"/>
        <w:szCs w:val="22"/>
        <w:lang w:eastAsia="lt-LT"/>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EA6" w:rsidRDefault="003C3EA6">
    <w:pPr>
      <w:tabs>
        <w:tab w:val="center" w:pos="4819"/>
        <w:tab w:val="right" w:pos="9638"/>
      </w:tabs>
      <w:spacing w:after="160" w:line="259" w:lineRule="auto"/>
      <w:rPr>
        <w:sz w:val="22"/>
        <w:szCs w:val="22"/>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1296"/>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E9A"/>
    <w:rsid w:val="000E7C4C"/>
    <w:rsid w:val="003C3EA6"/>
    <w:rsid w:val="00F94E9A"/>
    <w:rsid w:val="00FC308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6479A"/>
  <w15:docId w15:val="{88D87C39-34FD-48A7-9A2C-3F61AAC80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3C3E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712485">
      <w:bodyDiv w:val="1"/>
      <w:marLeft w:val="0"/>
      <w:marRight w:val="0"/>
      <w:marTop w:val="0"/>
      <w:marBottom w:val="0"/>
      <w:divBdr>
        <w:top w:val="none" w:sz="0" w:space="0" w:color="auto"/>
        <w:left w:val="none" w:sz="0" w:space="0" w:color="auto"/>
        <w:bottom w:val="none" w:sz="0" w:space="0" w:color="auto"/>
        <w:right w:val="none" w:sz="0" w:space="0" w:color="auto"/>
      </w:divBdr>
    </w:div>
    <w:div w:id="422604148">
      <w:bodyDiv w:val="1"/>
      <w:marLeft w:val="0"/>
      <w:marRight w:val="0"/>
      <w:marTop w:val="0"/>
      <w:marBottom w:val="0"/>
      <w:divBdr>
        <w:top w:val="none" w:sz="0" w:space="0" w:color="auto"/>
        <w:left w:val="none" w:sz="0" w:space="0" w:color="auto"/>
        <w:bottom w:val="none" w:sz="0" w:space="0" w:color="auto"/>
        <w:right w:val="none" w:sz="0" w:space="0" w:color="auto"/>
      </w:divBdr>
    </w:div>
    <w:div w:id="516239586">
      <w:bodyDiv w:val="1"/>
      <w:marLeft w:val="0"/>
      <w:marRight w:val="0"/>
      <w:marTop w:val="0"/>
      <w:marBottom w:val="0"/>
      <w:divBdr>
        <w:top w:val="none" w:sz="0" w:space="0" w:color="auto"/>
        <w:left w:val="none" w:sz="0" w:space="0" w:color="auto"/>
        <w:bottom w:val="none" w:sz="0" w:space="0" w:color="auto"/>
        <w:right w:val="none" w:sz="0" w:space="0" w:color="auto"/>
      </w:divBdr>
    </w:div>
    <w:div w:id="578058256">
      <w:bodyDiv w:val="1"/>
      <w:marLeft w:val="0"/>
      <w:marRight w:val="0"/>
      <w:marTop w:val="0"/>
      <w:marBottom w:val="0"/>
      <w:divBdr>
        <w:top w:val="none" w:sz="0" w:space="0" w:color="auto"/>
        <w:left w:val="none" w:sz="0" w:space="0" w:color="auto"/>
        <w:bottom w:val="none" w:sz="0" w:space="0" w:color="auto"/>
        <w:right w:val="none" w:sz="0" w:space="0" w:color="auto"/>
      </w:divBdr>
    </w:div>
    <w:div w:id="731656500">
      <w:bodyDiv w:val="1"/>
      <w:marLeft w:val="0"/>
      <w:marRight w:val="0"/>
      <w:marTop w:val="0"/>
      <w:marBottom w:val="0"/>
      <w:divBdr>
        <w:top w:val="none" w:sz="0" w:space="0" w:color="auto"/>
        <w:left w:val="none" w:sz="0" w:space="0" w:color="auto"/>
        <w:bottom w:val="none" w:sz="0" w:space="0" w:color="auto"/>
        <w:right w:val="none" w:sz="0" w:space="0" w:color="auto"/>
      </w:divBdr>
    </w:div>
    <w:div w:id="754979423">
      <w:bodyDiv w:val="1"/>
      <w:marLeft w:val="0"/>
      <w:marRight w:val="0"/>
      <w:marTop w:val="0"/>
      <w:marBottom w:val="0"/>
      <w:divBdr>
        <w:top w:val="none" w:sz="0" w:space="0" w:color="auto"/>
        <w:left w:val="none" w:sz="0" w:space="0" w:color="auto"/>
        <w:bottom w:val="none" w:sz="0" w:space="0" w:color="auto"/>
        <w:right w:val="none" w:sz="0" w:space="0" w:color="auto"/>
      </w:divBdr>
    </w:div>
    <w:div w:id="1065950432">
      <w:bodyDiv w:val="1"/>
      <w:marLeft w:val="0"/>
      <w:marRight w:val="0"/>
      <w:marTop w:val="0"/>
      <w:marBottom w:val="0"/>
      <w:divBdr>
        <w:top w:val="none" w:sz="0" w:space="0" w:color="auto"/>
        <w:left w:val="none" w:sz="0" w:space="0" w:color="auto"/>
        <w:bottom w:val="none" w:sz="0" w:space="0" w:color="auto"/>
        <w:right w:val="none" w:sz="0" w:space="0" w:color="auto"/>
      </w:divBdr>
    </w:div>
    <w:div w:id="1155144596">
      <w:bodyDiv w:val="1"/>
      <w:marLeft w:val="0"/>
      <w:marRight w:val="0"/>
      <w:marTop w:val="0"/>
      <w:marBottom w:val="0"/>
      <w:divBdr>
        <w:top w:val="none" w:sz="0" w:space="0" w:color="auto"/>
        <w:left w:val="none" w:sz="0" w:space="0" w:color="auto"/>
        <w:bottom w:val="none" w:sz="0" w:space="0" w:color="auto"/>
        <w:right w:val="none" w:sz="0" w:space="0" w:color="auto"/>
      </w:divBdr>
    </w:div>
    <w:div w:id="1380666417">
      <w:bodyDiv w:val="1"/>
      <w:marLeft w:val="0"/>
      <w:marRight w:val="0"/>
      <w:marTop w:val="0"/>
      <w:marBottom w:val="0"/>
      <w:divBdr>
        <w:top w:val="none" w:sz="0" w:space="0" w:color="auto"/>
        <w:left w:val="none" w:sz="0" w:space="0" w:color="auto"/>
        <w:bottom w:val="none" w:sz="0" w:space="0" w:color="auto"/>
        <w:right w:val="none" w:sz="0" w:space="0" w:color="auto"/>
      </w:divBdr>
    </w:div>
    <w:div w:id="1578518630">
      <w:bodyDiv w:val="1"/>
      <w:marLeft w:val="0"/>
      <w:marRight w:val="0"/>
      <w:marTop w:val="0"/>
      <w:marBottom w:val="0"/>
      <w:divBdr>
        <w:top w:val="none" w:sz="0" w:space="0" w:color="auto"/>
        <w:left w:val="none" w:sz="0" w:space="0" w:color="auto"/>
        <w:bottom w:val="none" w:sz="0" w:space="0" w:color="auto"/>
        <w:right w:val="none" w:sz="0" w:space="0" w:color="auto"/>
      </w:divBdr>
    </w:div>
    <w:div w:id="1635526034">
      <w:bodyDiv w:val="1"/>
      <w:marLeft w:val="0"/>
      <w:marRight w:val="0"/>
      <w:marTop w:val="0"/>
      <w:marBottom w:val="0"/>
      <w:divBdr>
        <w:top w:val="none" w:sz="0" w:space="0" w:color="auto"/>
        <w:left w:val="none" w:sz="0" w:space="0" w:color="auto"/>
        <w:bottom w:val="none" w:sz="0" w:space="0" w:color="auto"/>
        <w:right w:val="none" w:sz="0" w:space="0" w:color="auto"/>
      </w:divBdr>
    </w:div>
    <w:div w:id="2009793186">
      <w:bodyDiv w:val="1"/>
      <w:marLeft w:val="0"/>
      <w:marRight w:val="0"/>
      <w:marTop w:val="0"/>
      <w:marBottom w:val="0"/>
      <w:divBdr>
        <w:top w:val="none" w:sz="0" w:space="0" w:color="auto"/>
        <w:left w:val="none" w:sz="0" w:space="0" w:color="auto"/>
        <w:bottom w:val="none" w:sz="0" w:space="0" w:color="auto"/>
        <w:right w:val="none" w:sz="0" w:space="0" w:color="auto"/>
      </w:divBdr>
    </w:div>
    <w:div w:id="2071539415">
      <w:bodyDiv w:val="1"/>
      <w:marLeft w:val="0"/>
      <w:marRight w:val="0"/>
      <w:marTop w:val="0"/>
      <w:marBottom w:val="0"/>
      <w:divBdr>
        <w:top w:val="none" w:sz="0" w:space="0" w:color="auto"/>
        <w:left w:val="none" w:sz="0" w:space="0" w:color="auto"/>
        <w:bottom w:val="none" w:sz="0" w:space="0" w:color="auto"/>
        <w:right w:val="none" w:sz="0" w:space="0" w:color="auto"/>
      </w:divBdr>
    </w:div>
    <w:div w:id="2079933481">
      <w:bodyDiv w:val="1"/>
      <w:marLeft w:val="0"/>
      <w:marRight w:val="0"/>
      <w:marTop w:val="0"/>
      <w:marBottom w:val="0"/>
      <w:divBdr>
        <w:top w:val="none" w:sz="0" w:space="0" w:color="auto"/>
        <w:left w:val="none" w:sz="0" w:space="0" w:color="auto"/>
        <w:bottom w:val="none" w:sz="0" w:space="0" w:color="auto"/>
        <w:right w:val="none" w:sz="0" w:space="0" w:color="auto"/>
      </w:divBdr>
    </w:div>
    <w:div w:id="2097820983">
      <w:bodyDiv w:val="1"/>
      <w:marLeft w:val="0"/>
      <w:marRight w:val="0"/>
      <w:marTop w:val="0"/>
      <w:marBottom w:val="0"/>
      <w:divBdr>
        <w:top w:val="none" w:sz="0" w:space="0" w:color="auto"/>
        <w:left w:val="none" w:sz="0" w:space="0" w:color="auto"/>
        <w:bottom w:val="none" w:sz="0" w:space="0" w:color="auto"/>
        <w:right w:val="none" w:sz="0" w:space="0" w:color="auto"/>
      </w:divBdr>
    </w:div>
    <w:div w:id="212777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image" Target="media/image2.emf"/>
  <Relationship Id="rId15" Type="http://schemas.openxmlformats.org/officeDocument/2006/relationships/chart" Target="charts/chart1.xml"/>
  <Relationship Id="rId16" Type="http://schemas.openxmlformats.org/officeDocument/2006/relationships/chart" Target="charts/chart2.xml"/>
  <Relationship Id="rId17" Type="http://schemas.openxmlformats.org/officeDocument/2006/relationships/chart" Target="charts/chart3.xml"/>
  <Relationship Id="rId18" Type="http://schemas.openxmlformats.org/officeDocument/2006/relationships/chart" Target="charts/chart4.xml"/>
  <Relationship Id="rId19" Type="http://schemas.openxmlformats.org/officeDocument/2006/relationships/chart" Target="charts/chart5.xml"/>
  <Relationship Id="rId2" Type="http://schemas.openxmlformats.org/officeDocument/2006/relationships/styles" Target="styles.xml"/>
  <Relationship Id="rId20" Type="http://schemas.openxmlformats.org/officeDocument/2006/relationships/chart" Target="charts/chart6.xml"/>
  <Relationship Id="rId21" Type="http://schemas.openxmlformats.org/officeDocument/2006/relationships/chart" Target="charts/chart7.xml"/>
  <Relationship Id="rId22" Type="http://schemas.openxmlformats.org/officeDocument/2006/relationships/chart" Target="charts/chart8.xml"/>
  <Relationship Id="rId23" Type="http://schemas.openxmlformats.org/officeDocument/2006/relationships/chart" Target="charts/chart9.xml"/>
  <Relationship Id="rId24" Type="http://schemas.openxmlformats.org/officeDocument/2006/relationships/chart" Target="charts/chart10.xml"/>
  <Relationship Id="rId25" Type="http://schemas.openxmlformats.org/officeDocument/2006/relationships/chart" Target="charts/chart11.xml"/>
  <Relationship Id="rId26" Type="http://schemas.openxmlformats.org/officeDocument/2006/relationships/chart" Target="charts/chart12.xml"/>
  <Relationship Id="rId27" Type="http://schemas.openxmlformats.org/officeDocument/2006/relationships/chart" Target="charts/chart13.xml"/>
  <Relationship Id="rId28" Type="http://schemas.openxmlformats.org/officeDocument/2006/relationships/image" Target="media/image3.jpeg"/>
  <Relationship Id="rId29" Type="http://schemas.openxmlformats.org/officeDocument/2006/relationships/image" Target="media/image4.jpeg"/>
  <Relationship Id="rId3" Type="http://schemas.openxmlformats.org/officeDocument/2006/relationships/settings" Target="settings.xml"/>
  <Relationship Id="rId30" Type="http://schemas.openxmlformats.org/officeDocument/2006/relationships/image" Target="media/image5.jpeg"/>
  <Relationship Id="rId31" Type="http://schemas.openxmlformats.org/officeDocument/2006/relationships/image" Target="media/image6.jpeg"/>
  <Relationship Id="rId32" Type="http://schemas.openxmlformats.org/officeDocument/2006/relationships/image" Target="media/image7.jpeg"/>
  <Relationship Id="rId33" Type="http://schemas.openxmlformats.org/officeDocument/2006/relationships/chart" Target="charts/chart14.xml"/>
  <Relationship Id="rId34" Type="http://schemas.openxmlformats.org/officeDocument/2006/relationships/chart" Target="charts/chart15.xml"/>
  <Relationship Id="rId35" Type="http://schemas.openxmlformats.org/officeDocument/2006/relationships/chart" Target="charts/chart16.xml"/>
  <Relationship Id="rId36" Type="http://schemas.openxmlformats.org/officeDocument/2006/relationships/chart" Target="charts/chart17.xml"/>
  <Relationship Id="rId37" Type="http://schemas.openxmlformats.org/officeDocument/2006/relationships/chart" Target="charts/chart18.xml"/>
  <Relationship Id="rId38" Type="http://schemas.openxmlformats.org/officeDocument/2006/relationships/chart" Target="charts/chart19.xml"/>
  <Relationship Id="rId39" Type="http://schemas.openxmlformats.org/officeDocument/2006/relationships/chart" Target="charts/chart20.xml"/>
  <Relationship Id="rId4" Type="http://schemas.openxmlformats.org/officeDocument/2006/relationships/webSettings" Target="webSettings.xml"/>
  <Relationship Id="rId40" Type="http://schemas.openxmlformats.org/officeDocument/2006/relationships/chart" Target="charts/chart21.xml"/>
  <Relationship Id="rId41" Type="http://schemas.openxmlformats.org/officeDocument/2006/relationships/chart" Target="charts/chart22.xml"/>
  <Relationship Id="rId42" Type="http://schemas.openxmlformats.org/officeDocument/2006/relationships/chart" Target="charts/chart23.xml"/>
  <Relationship Id="rId43" Type="http://schemas.openxmlformats.org/officeDocument/2006/relationships/image" Target="media/image8.emf"/>
  <Relationship Id="rId44" Type="http://schemas.openxmlformats.org/officeDocument/2006/relationships/image" Target="media/image9.jpeg"/>
  <Relationship Id="rId45" Type="http://schemas.openxmlformats.org/officeDocument/2006/relationships/image" Target="media/image10.png"/>
  <Relationship Id="rId46" Type="http://schemas.openxmlformats.org/officeDocument/2006/relationships/image" Target="media/image11.png"/>
  <Relationship Id="rId47" Type="http://schemas.openxmlformats.org/officeDocument/2006/relationships/image" Target="media/image12.png"/>
  <Relationship Id="rId48" Type="http://schemas.openxmlformats.org/officeDocument/2006/relationships/image" Target="media/image13.png"/>
  <Relationship Id="rId49" Type="http://schemas.openxmlformats.org/officeDocument/2006/relationships/image" Target="media/image14.emf"/>
  <Relationship Id="rId5" Type="http://schemas.openxmlformats.org/officeDocument/2006/relationships/footnotes" Target="footnotes.xml"/>
  <Relationship Id="rId50" Type="http://schemas.openxmlformats.org/officeDocument/2006/relationships/image" Target="media/image15.emf"/>
  <Relationship Id="rId51" Type="http://schemas.openxmlformats.org/officeDocument/2006/relationships/image" Target="media/image16.emf"/>
  <Relationship Id="rId52" Type="http://schemas.openxmlformats.org/officeDocument/2006/relationships/image" Target="media/image17.emf"/>
  <Relationship Id="rId53" Type="http://schemas.openxmlformats.org/officeDocument/2006/relationships/image" Target="media/image18.emf"/>
  <Relationship Id="rId54" Type="http://schemas.openxmlformats.org/officeDocument/2006/relationships/image" Target="media/image19.png"/>
  <Relationship Id="rId55" Type="http://schemas.openxmlformats.org/officeDocument/2006/relationships/image" Target="media/image20.png"/>
  <Relationship Id="rId56" Type="http://schemas.openxmlformats.org/officeDocument/2006/relationships/image" Target="media/image21.png"/>
  <Relationship Id="rId57" Type="http://schemas.openxmlformats.org/officeDocument/2006/relationships/image" Target="media/image22.png"/>
  <Relationship Id="rId58" Type="http://schemas.openxmlformats.org/officeDocument/2006/relationships/image" Target="media/image23.png"/>
  <Relationship Id="rId59" Type="http://schemas.openxmlformats.org/officeDocument/2006/relationships/image" Target="media/image24.png"/>
  <Relationship Id="rId6" Type="http://schemas.openxmlformats.org/officeDocument/2006/relationships/endnotes" Target="endnotes.xml"/>
  <Relationship Id="rId60" Type="http://schemas.openxmlformats.org/officeDocument/2006/relationships/image" Target="media/image25.png"/>
  <Relationship Id="rId61" Type="http://schemas.openxmlformats.org/officeDocument/2006/relationships/image" Target="media/image26.png"/>
  <Relationship Id="rId62" Type="http://schemas.openxmlformats.org/officeDocument/2006/relationships/image" Target="media/image27.png"/>
  <Relationship Id="rId63" Type="http://schemas.openxmlformats.org/officeDocument/2006/relationships/image" Target="media/image28.png"/>
  <Relationship Id="rId64" Type="http://schemas.openxmlformats.org/officeDocument/2006/relationships/fontTable" Target="fontTable.xml"/>
  <Relationship Id="rId65" Type="http://schemas.openxmlformats.org/officeDocument/2006/relationships/glossaryDocument" Target="glossary/document.xml"/>
  <Relationship Id="rId66" Type="http://schemas.openxmlformats.org/officeDocument/2006/relationships/theme" Target="theme/theme1.xml"/>
  <Relationship Id="rId7" Type="http://schemas.openxmlformats.org/officeDocument/2006/relationships/image" Target="media/image1.png"/>
  <Relationship Id="rId8" Type="http://schemas.openxmlformats.org/officeDocument/2006/relationships/header" Target="header1.xml"/>
  <Relationship Id="rId9" Type="http://schemas.openxmlformats.org/officeDocument/2006/relationships/header" Target="header2.xml"/>
</Relationships>

</file>

<file path=word/charts/_rels/chart1.xml.rels><?xml version="1.0" encoding="UTF-8"?>

<Relationships xmlns="http://schemas.openxmlformats.org/package/2006/relationships">
  <Relationship Id="rId1" Type="http://schemas.openxmlformats.org/officeDocument/2006/relationships/themeOverride" Target="../theme/themeOverride1.xml"/>
  <Relationship Id="rId2" Type="http://schemas.openxmlformats.org/officeDocument/2006/relationships/package" Target="../embeddings/Microsoft_Excel_Worksheet.xlsx"/>
</Relationships>

</file>

<file path=word/charts/_rels/chart10.xml.rels><?xml version="1.0" encoding="UTF-8"?>

<Relationships xmlns="http://schemas.openxmlformats.org/package/2006/relationships">
  <Relationship Id="rId1" Type="http://schemas.openxmlformats.org/officeDocument/2006/relationships/oleObject" TargetMode="External" Target="file:///C:/Users/Zivile%20Klevene/Google%20Drive%20(elzbieta.smartcontinent@gmail.com)/186SPAP%20Apmin%20tarsa%20ir%20SPAV/Darbinis/Statistiniai%20duomenys/emisijos/env_air_emis%20(2)%20-%20Copy.xls"/>
</Relationships>

</file>

<file path=word/charts/_rels/chart11.xml.rels><?xml version="1.0" encoding="UTF-8"?>

<Relationships xmlns="http://schemas.openxmlformats.org/package/2006/relationships">
  <Relationship Id="rId1" Type="http://schemas.openxmlformats.org/officeDocument/2006/relationships/themeOverride" Target="../theme/themeOverride6.xml"/>
  <Relationship Id="rId2" Type="http://schemas.openxmlformats.org/officeDocument/2006/relationships/package" Target="../embeddings/Microsoft_Excel_Worksheet5.xlsx"/>
</Relationships>

</file>

<file path=word/charts/_rels/chart12.xml.rels><?xml version="1.0" encoding="UTF-8"?>

<Relationships xmlns="http://schemas.openxmlformats.org/package/2006/relationships">
  <Relationship Id="rId1" Type="http://schemas.openxmlformats.org/officeDocument/2006/relationships/oleObject" TargetMode="External" Target="file:///C:/Users/Zivile%20Klevene/Google%20Drive%20(elzbieta.smartcontinent@gmail.com)/186SPAP%20Apmin%20tarsa%20ir%20SPAV/Darbinis/Statistiniai%20duomenys/emisijos/env_air_emis%20(2)%20-%20Copy.xls"/>
</Relationships>

</file>

<file path=word/charts/_rels/chart13.xml.rels><?xml version="1.0" encoding="UTF-8"?>

<Relationships xmlns="http://schemas.openxmlformats.org/package/2006/relationships">
  <Relationship Id="rId1" Type="http://schemas.openxmlformats.org/officeDocument/2006/relationships/themeOverride" Target="../theme/themeOverride7.xml"/>
  <Relationship Id="rId2" Type="http://schemas.openxmlformats.org/officeDocument/2006/relationships/package" Target="../embeddings/Microsoft_Excel_Worksheet6.xlsx"/>
</Relationships>

</file>

<file path=word/charts/_rels/chart14.xml.rels><?xml version="1.0" encoding="UTF-8"?>

<Relationships xmlns="http://schemas.openxmlformats.org/package/2006/relationships">
  <Relationship Id="rId1" Type="http://schemas.openxmlformats.org/officeDocument/2006/relationships/oleObject" TargetMode="External" Target="file:///C:/Users/Elzbieta/AppData/Local/Microsoft/Windows/Temporary%20Internet%20Files/Content.Outlook/820IRV1L/koncentraciju%20uzduotis.xlsx"/>
</Relationships>

</file>

<file path=word/charts/_rels/chart15.xml.rels><?xml version="1.0" encoding="UTF-8"?>

<Relationships xmlns="http://schemas.openxmlformats.org/package/2006/relationships">
  <Relationship Id="rId1" Type="http://schemas.openxmlformats.org/officeDocument/2006/relationships/oleObject" TargetMode="External" Target="file:///C:/Users/Elzbieta/AppData/Local/Microsoft/Windows/Temporary%20Internet%20Files/Content.Outlook/820IRV1L/koncentraciju%20uzduotis.xlsx"/>
</Relationships>

</file>

<file path=word/charts/_rels/chart16.xml.rels><?xml version="1.0" encoding="UTF-8"?>

<Relationships xmlns="http://schemas.openxmlformats.org/package/2006/relationships">
  <Relationship Id="rId1" Type="http://schemas.openxmlformats.org/officeDocument/2006/relationships/oleObject" TargetMode="External" Target="file:///C:/Users/Elzbieta/AppData/Local/Microsoft/Windows/Temporary%20Internet%20Files/Content.Outlook/820IRV1L/koncentraciju%20uzduotis.xlsx"/>
</Relationships>

</file>

<file path=word/charts/_rels/chart17.xml.rels><?xml version="1.0" encoding="UTF-8"?>

<Relationships xmlns="http://schemas.openxmlformats.org/package/2006/relationships">
  <Relationship Id="rId1" Type="http://schemas.openxmlformats.org/officeDocument/2006/relationships/oleObject" TargetMode="External" Target="file:///C:/Users/Elzbieta/AppData/Local/Microsoft/Windows/Temporary%20Internet%20Files/Content.Outlook/820IRV1L/koncentraciju%20uzduotis.xlsx"/>
</Relationships>

</file>

<file path=word/charts/_rels/chart18.xml.rels><?xml version="1.0" encoding="UTF-8"?>

<Relationships xmlns="http://schemas.openxmlformats.org/package/2006/relationships">
  <Relationship Id="rId1" Type="http://schemas.openxmlformats.org/officeDocument/2006/relationships/oleObject" TargetMode="External" Target="file:///C:/Users/Elzbieta/AppData/Local/Microsoft/Windows/Temporary%20Internet%20Files/Content.Outlook/820IRV1L/koncentraciju%20uzduotis.xlsx"/>
</Relationships>

</file>

<file path=word/charts/_rels/chart19.xml.rels><?xml version="1.0" encoding="UTF-8"?>

<Relationships xmlns="http://schemas.openxmlformats.org/package/2006/relationships">
  <Relationship Id="rId1" Type="http://schemas.openxmlformats.org/officeDocument/2006/relationships/oleObject" TargetMode="External" Target="file:///C:/Users/Elzbieta/AppData/Local/Microsoft/Windows/Temporary%20Internet%20Files/Content.Outlook/820IRV1L/koncentraciju%20uzduotis.xlsx"/>
</Relationships>

</file>

<file path=word/charts/_rels/chart2.xml.rels><?xml version="1.0" encoding="UTF-8"?>

<Relationships xmlns="http://schemas.openxmlformats.org/package/2006/relationships">
  <Relationship Id="rId1" Type="http://schemas.openxmlformats.org/officeDocument/2006/relationships/themeOverride" Target="../theme/themeOverride2.xml"/>
  <Relationship Id="rId2" Type="http://schemas.openxmlformats.org/officeDocument/2006/relationships/package" Target="../embeddings/Microsoft_Excel_Worksheet1.xlsx"/>
</Relationships>

</file>

<file path=word/charts/_rels/chart20.xml.rels><?xml version="1.0" encoding="UTF-8"?>

<Relationships xmlns="http://schemas.openxmlformats.org/package/2006/relationships">
  <Relationship Id="rId1" Type="http://schemas.openxmlformats.org/officeDocument/2006/relationships/oleObject" TargetMode="External" Target="file:///C:/Users/Elzbieta/AppData/Local/Microsoft/Windows/Temporary%20Internet%20Files/Content.Outlook/820IRV1L/koncentraciju%20uzduotis.xlsx"/>
</Relationships>

</file>

<file path=word/charts/_rels/chart21.xml.rels><?xml version="1.0" encoding="UTF-8"?>

<Relationships xmlns="http://schemas.openxmlformats.org/package/2006/relationships">
  <Relationship Id="rId1" Type="http://schemas.openxmlformats.org/officeDocument/2006/relationships/oleObject" TargetMode="External" Target="file:///C:/Users/Elzbieta/AppData/Local/Microsoft/Windows/Temporary%20Internet%20Files/Content.Outlook/820IRV1L/koncentraciju%20uzduotis.xlsx"/>
</Relationships>

</file>

<file path=word/charts/_rels/chart22.xml.rels><?xml version="1.0" encoding="UTF-8"?>

<Relationships xmlns="http://schemas.openxmlformats.org/package/2006/relationships">
  <Relationship Id="rId1" Type="http://schemas.openxmlformats.org/officeDocument/2006/relationships/oleObject" TargetMode="External" Target="file:///C:/Users/Elzbieta/AppData/Local/Microsoft/Windows/Temporary%20Internet%20Files/Content.Outlook/820IRV1L/koncentraciju%20uzduotis.xlsx"/>
</Relationships>

</file>

<file path=word/charts/_rels/chart23.xml.rels><?xml version="1.0" encoding="UTF-8"?>

<Relationships xmlns="http://schemas.openxmlformats.org/package/2006/relationships">
  <Relationship Id="rId1" Type="http://schemas.openxmlformats.org/officeDocument/2006/relationships/oleObject" TargetMode="External" Target="file:///C:/Users/Elzbieta/AppData/Local/Microsoft/Windows/Temporary%20Internet%20Files/Content.Outlook/820IRV1L/koncentraciju%20uzduotis.xlsx"/>
</Relationships>

</file>

<file path=word/charts/_rels/chart3.xml.rels><?xml version="1.0" encoding="UTF-8"?>

<Relationships xmlns="http://schemas.openxmlformats.org/package/2006/relationships">
  <Relationship Id="rId1" Type="http://schemas.openxmlformats.org/officeDocument/2006/relationships/oleObject" TargetMode="External" Target="file:///C:/Users/Zivile%20Klevene/Google%20Drive%20(elzbieta.smartcontinent@gmail.com)/186SPAP%20Apmin%20tarsa%20ir%20SPAV/Darbinis/Statistiniai%20duomenys/emisijos/skaiciavimai%20susije%20su%20paveikslais.xlsx"/>
</Relationships>

</file>

<file path=word/charts/_rels/chart4.xml.rels><?xml version="1.0" encoding="UTF-8"?>

<Relationships xmlns="http://schemas.openxmlformats.org/package/2006/relationships">
  <Relationship Id="rId1" Type="http://schemas.openxmlformats.org/officeDocument/2006/relationships/oleObject" TargetMode="External" Target="file:///C:/Users/Zivile%20Klevene/Google%20Drive%20(elzbieta.smartcontinent@gmail.com)/186SPAP%20Apmin%20tarsa%20ir%20SPAV/Darbinis/Statistiniai%20duomenys/emisijos/env_air_emis%20(2)%20-%20Copy.xls"/>
</Relationships>

</file>

<file path=word/charts/_rels/chart5.xml.rels><?xml version="1.0" encoding="UTF-8"?>

<Relationships xmlns="http://schemas.openxmlformats.org/package/2006/relationships">
  <Relationship Id="rId1" Type="http://schemas.openxmlformats.org/officeDocument/2006/relationships/themeOverride" Target="../theme/themeOverride3.xml"/>
  <Relationship Id="rId2" Type="http://schemas.openxmlformats.org/officeDocument/2006/relationships/package" Target="../embeddings/Microsoft_Excel_Worksheet2.xlsx"/>
</Relationships>

</file>

<file path=word/charts/_rels/chart6.xml.rels><?xml version="1.0" encoding="UTF-8"?>

<Relationships xmlns="http://schemas.openxmlformats.org/package/2006/relationships">
  <Relationship Id="rId1" Type="http://schemas.openxmlformats.org/officeDocument/2006/relationships/oleObject" TargetMode="External" Target="file:///C:/Users/Zivile%20Klevene/Google%20Drive%20(elzbieta.smartcontinent@gmail.com)/186SPAP%20Apmin%20tarsa%20ir%20SPAV/Darbinis/Statistiniai%20duomenys/emisijos/env_air_emis%20(2)%20-%20Copy.xls"/>
</Relationships>

</file>

<file path=word/charts/_rels/chart7.xml.rels><?xml version="1.0" encoding="UTF-8"?>

<Relationships xmlns="http://schemas.openxmlformats.org/package/2006/relationships">
  <Relationship Id="rId1" Type="http://schemas.openxmlformats.org/officeDocument/2006/relationships/themeOverride" Target="../theme/themeOverride4.xml"/>
  <Relationship Id="rId2" Type="http://schemas.openxmlformats.org/officeDocument/2006/relationships/package" Target="../embeddings/Microsoft_Excel_Worksheet3.xlsx"/>
</Relationships>

</file>

<file path=word/charts/_rels/chart8.xml.rels><?xml version="1.0" encoding="UTF-8"?>

<Relationships xmlns="http://schemas.openxmlformats.org/package/2006/relationships">
  <Relationship Id="rId1" Type="http://schemas.openxmlformats.org/officeDocument/2006/relationships/oleObject" TargetMode="External" Target="file:///C:/Users/Zivile%20Klevene/Google%20Drive%20(elzbieta.smartcontinent@gmail.com)/186SPAP%20Apmin%20tarsa%20ir%20SPAV/Darbinis/Statistiniai%20duomenys/emisijos/env_air_emis%20(2)%20-%20Copy.xls"/>
</Relationships>

</file>

<file path=word/charts/_rels/chart9.xml.rels><?xml version="1.0" encoding="UTF-8"?>

<Relationships xmlns="http://schemas.openxmlformats.org/package/2006/relationships">
  <Relationship Id="rId1" Type="http://schemas.openxmlformats.org/officeDocument/2006/relationships/themeOverride" Target="../theme/themeOverride5.xml"/>
  <Relationship Id="rId2" Type="http://schemas.openxmlformats.org/officeDocument/2006/relationships/package" Target="../embeddings/Microsoft_Excel_Worksheet4.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0"/>
            <c:invertIfNegative val="0"/>
            <c:bubble3D val="0"/>
            <c:spPr>
              <a:solidFill>
                <a:schemeClr val="tx2">
                  <a:lumMod val="50000"/>
                </a:schemeClr>
              </a:solidFill>
            </c:spPr>
            <c:extLst>
              <c:ext xmlns:c16="http://schemas.microsoft.com/office/drawing/2014/chart" uri="{C3380CC4-5D6E-409C-BE32-E72D297353CC}">
                <c16:uniqueId val="{00000001-B167-4DE9-B433-870628354703}"/>
              </c:ext>
            </c:extLst>
          </c:dPt>
          <c:dPt>
            <c:idx val="1"/>
            <c:invertIfNegative val="0"/>
            <c:bubble3D val="0"/>
            <c:spPr>
              <a:solidFill>
                <a:schemeClr val="accent1">
                  <a:lumMod val="60000"/>
                  <a:lumOff val="40000"/>
                </a:schemeClr>
              </a:solidFill>
            </c:spPr>
            <c:extLst>
              <c:ext xmlns:c16="http://schemas.microsoft.com/office/drawing/2014/chart" uri="{C3380CC4-5D6E-409C-BE32-E72D297353CC}">
                <c16:uniqueId val="{00000003-B167-4DE9-B433-870628354703}"/>
              </c:ext>
            </c:extLst>
          </c:dPt>
          <c:dPt>
            <c:idx val="2"/>
            <c:invertIfNegative val="0"/>
            <c:bubble3D val="0"/>
            <c:spPr>
              <a:solidFill>
                <a:schemeClr val="accent1">
                  <a:lumMod val="75000"/>
                </a:schemeClr>
              </a:solidFill>
            </c:spPr>
            <c:extLst>
              <c:ext xmlns:c16="http://schemas.microsoft.com/office/drawing/2014/chart" uri="{C3380CC4-5D6E-409C-BE32-E72D297353CC}">
                <c16:uniqueId val="{00000005-B167-4DE9-B433-870628354703}"/>
              </c:ext>
            </c:extLst>
          </c:dPt>
          <c:dPt>
            <c:idx val="3"/>
            <c:invertIfNegative val="0"/>
            <c:bubble3D val="0"/>
            <c:spPr>
              <a:solidFill>
                <a:schemeClr val="tx2">
                  <a:lumMod val="60000"/>
                  <a:lumOff val="40000"/>
                </a:schemeClr>
              </a:solidFill>
            </c:spPr>
            <c:extLst>
              <c:ext xmlns:c16="http://schemas.microsoft.com/office/drawing/2014/chart" uri="{C3380CC4-5D6E-409C-BE32-E72D297353CC}">
                <c16:uniqueId val="{00000007-B167-4DE9-B433-870628354703}"/>
              </c:ext>
            </c:extLst>
          </c:dPt>
          <c:dPt>
            <c:idx val="4"/>
            <c:invertIfNegative val="0"/>
            <c:bubble3D val="0"/>
            <c:spPr>
              <a:solidFill>
                <a:schemeClr val="bg1">
                  <a:lumMod val="65000"/>
                </a:schemeClr>
              </a:solidFill>
            </c:spPr>
            <c:extLst>
              <c:ext xmlns:c16="http://schemas.microsoft.com/office/drawing/2014/chart" uri="{C3380CC4-5D6E-409C-BE32-E72D297353CC}">
                <c16:uniqueId val="{00000009-B167-4DE9-B433-870628354703}"/>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(Sheet13!$B$3;Sheet13!$B$5;Sheet13!$B$7;Sheet13!$B$9;Sheet13!$B$12)</c:f>
              <c:strCache>
                <c:ptCount val="5"/>
                <c:pt idx="0">
                  <c:v>Kauno m. sav.</c:v>
                </c:pt>
                <c:pt idx="1">
                  <c:v>Vilniaus m. sav.</c:v>
                </c:pt>
                <c:pt idx="2">
                  <c:v>Klaipėdos m. sav.</c:v>
                </c:pt>
                <c:pt idx="3">
                  <c:v>Panevėžio m. sav.</c:v>
                </c:pt>
                <c:pt idx="4">
                  <c:v>Šiaulių m. sav.</c:v>
                </c:pt>
              </c:strCache>
            </c:strRef>
          </c:cat>
          <c:val>
            <c:numRef>
              <c:f>(Sheet13!$D$3;Sheet13!$D$5;Sheet13!$D$7;Sheet13!$D$9;Sheet13!$D$12)</c:f>
              <c:numCache>
                <c:formatCode>_-* #,##0\ _€_-;\-* #,##0\ _€_-;_-* "-"??\ _€_-;_-@_-</c:formatCode>
                <c:ptCount val="5"/>
                <c:pt idx="0">
                  <c:v>5369.12</c:v>
                </c:pt>
                <c:pt idx="1">
                  <c:v>3824.97</c:v>
                </c:pt>
                <c:pt idx="2">
                  <c:v>2959.69</c:v>
                </c:pt>
                <c:pt idx="3">
                  <c:v>2049.0430000000001</c:v>
                </c:pt>
                <c:pt idx="4">
                  <c:v>964.39</c:v>
                </c:pt>
              </c:numCache>
            </c:numRef>
          </c:val>
          <c:extLst>
            <c:ext xmlns:c16="http://schemas.microsoft.com/office/drawing/2014/chart" uri="{C3380CC4-5D6E-409C-BE32-E72D297353CC}">
              <c16:uniqueId val="{0000000A-B167-4DE9-B433-870628354703}"/>
            </c:ext>
          </c:extLst>
        </c:ser>
        <c:dLbls>
          <c:dLblPos val="outEnd"/>
          <c:showLegendKey val="0"/>
          <c:showVal val="1"/>
          <c:showCatName val="0"/>
          <c:showSerName val="0"/>
          <c:showPercent val="0"/>
          <c:showBubbleSize val="0"/>
        </c:dLbls>
        <c:gapWidth val="150"/>
        <c:axId val="139907456"/>
        <c:axId val="139916800"/>
      </c:barChart>
      <c:catAx>
        <c:axId val="139907456"/>
        <c:scaling>
          <c:orientation val="minMax"/>
        </c:scaling>
        <c:delete val="0"/>
        <c:axPos val="b"/>
        <c:numFmt formatCode="General" sourceLinked="0"/>
        <c:majorTickMark val="out"/>
        <c:minorTickMark val="none"/>
        <c:tickLblPos val="nextTo"/>
        <c:crossAx val="139916800"/>
        <c:crosses val="autoZero"/>
        <c:auto val="1"/>
        <c:lblAlgn val="ctr"/>
        <c:lblOffset val="100"/>
        <c:noMultiLvlLbl val="0"/>
      </c:catAx>
      <c:valAx>
        <c:axId val="139916800"/>
        <c:scaling>
          <c:orientation val="minMax"/>
          <c:min val="0"/>
        </c:scaling>
        <c:delete val="0"/>
        <c:axPos val="l"/>
        <c:majorGridlines/>
        <c:title>
          <c:tx>
            <c:rich>
              <a:bodyPr rot="-5400000" vert="horz"/>
              <a:lstStyle/>
              <a:p>
                <a:pPr>
                  <a:defRPr/>
                </a:pPr>
                <a:r>
                  <a:rPr lang="lt-LT"/>
                  <a:t>Bendras teršalų kiekis, t/m</a:t>
                </a:r>
              </a:p>
            </c:rich>
          </c:tx>
          <c:layout/>
          <c:overlay val="0"/>
        </c:title>
        <c:numFmt formatCode="_-* #,##0\ _€_-;\-* #,##0\ _€_-;_-* &quot;-&quot;??\ _€_-;_-@_-" sourceLinked="1"/>
        <c:majorTickMark val="out"/>
        <c:minorTickMark val="none"/>
        <c:tickLblPos val="nextTo"/>
        <c:crossAx val="139907456"/>
        <c:crosses val="autoZero"/>
        <c:crossBetween val="between"/>
      </c:valAx>
    </c:plotArea>
    <c:plotVisOnly val="1"/>
    <c:dispBlanksAs val="gap"/>
    <c:showDLblsOverMax val="0"/>
  </c:chart>
  <c:spPr>
    <a:ln>
      <a:noFill/>
    </a:ln>
  </c:spPr>
  <c:txPr>
    <a:bodyPr/>
    <a:lstStyle/>
    <a:p>
      <a:pPr>
        <a:defRPr sz="900" b="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Data!$M$11</c:f>
              <c:strCache>
                <c:ptCount val="1"/>
                <c:pt idx="0">
                  <c:v>Tikslai 2020-2029 m. ir nuo 2030 m.</c:v>
                </c:pt>
              </c:strCache>
            </c:strRef>
          </c:tx>
          <c:spPr>
            <a:ln>
              <a:solidFill>
                <a:srgbClr val="FFC000"/>
              </a:solidFill>
            </a:ln>
          </c:spPr>
          <c:marker>
            <c:symbol val="none"/>
          </c:marker>
          <c:cat>
            <c:strRef>
              <c:f>Data!$B$23:$AA$23</c:f>
              <c:strCach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strCache>
            </c:strRef>
          </c:cat>
          <c:val>
            <c:numRef>
              <c:f>Data!$B$25:$L$25</c:f>
              <c:numCache>
                <c:formatCode>General</c:formatCode>
                <c:ptCount val="11"/>
                <c:pt idx="0">
                  <c:v>29194.2</c:v>
                </c:pt>
                <c:pt idx="1">
                  <c:v>29194.2</c:v>
                </c:pt>
                <c:pt idx="2">
                  <c:v>29194.2</c:v>
                </c:pt>
                <c:pt idx="3">
                  <c:v>29194.2</c:v>
                </c:pt>
                <c:pt idx="4">
                  <c:v>29194.2</c:v>
                </c:pt>
                <c:pt idx="5">
                  <c:v>29194.2</c:v>
                </c:pt>
                <c:pt idx="6">
                  <c:v>29194.2</c:v>
                </c:pt>
                <c:pt idx="7">
                  <c:v>29194.2</c:v>
                </c:pt>
                <c:pt idx="8">
                  <c:v>29194.2</c:v>
                </c:pt>
                <c:pt idx="9">
                  <c:v>29194.2</c:v>
                </c:pt>
                <c:pt idx="10">
                  <c:v>29194.2</c:v>
                </c:pt>
              </c:numCache>
            </c:numRef>
          </c:val>
          <c:smooth val="0"/>
          <c:extLst>
            <c:ext xmlns:c16="http://schemas.microsoft.com/office/drawing/2014/chart" uri="{C3380CC4-5D6E-409C-BE32-E72D297353CC}">
              <c16:uniqueId val="{00000000-71F8-4959-BCD3-DF7BFD02AB50}"/>
            </c:ext>
          </c:extLst>
        </c:ser>
        <c:ser>
          <c:idx val="0"/>
          <c:order val="1"/>
          <c:tx>
            <c:strRef>
              <c:f>Data!$B$8</c:f>
              <c:strCache>
                <c:ptCount val="1"/>
                <c:pt idx="0">
                  <c:v>Amoniako išmetimai į aplinkos orą</c:v>
                </c:pt>
              </c:strCache>
            </c:strRef>
          </c:tx>
          <c:marker>
            <c:symbol val="none"/>
          </c:marker>
          <c:cat>
            <c:strRef>
              <c:f>Data!$B$23:$AA$23</c:f>
              <c:strCach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strCache>
            </c:strRef>
          </c:cat>
          <c:val>
            <c:numRef>
              <c:f>Data!$B$12:$L$12</c:f>
              <c:numCache>
                <c:formatCode>#,##0</c:formatCode>
                <c:ptCount val="11"/>
                <c:pt idx="0">
                  <c:v>32438</c:v>
                </c:pt>
                <c:pt idx="1">
                  <c:v>32595</c:v>
                </c:pt>
                <c:pt idx="2">
                  <c:v>31106</c:v>
                </c:pt>
                <c:pt idx="3">
                  <c:v>30162</c:v>
                </c:pt>
                <c:pt idx="4">
                  <c:v>30935</c:v>
                </c:pt>
                <c:pt idx="5">
                  <c:v>30789</c:v>
                </c:pt>
                <c:pt idx="6">
                  <c:v>29671</c:v>
                </c:pt>
                <c:pt idx="7">
                  <c:v>29464</c:v>
                </c:pt>
                <c:pt idx="8">
                  <c:v>28804</c:v>
                </c:pt>
                <c:pt idx="9">
                  <c:v>29196</c:v>
                </c:pt>
                <c:pt idx="10">
                  <c:v>28851</c:v>
                </c:pt>
              </c:numCache>
            </c:numRef>
          </c:val>
          <c:smooth val="0"/>
          <c:extLst>
            <c:ext xmlns:c16="http://schemas.microsoft.com/office/drawing/2014/chart" uri="{C3380CC4-5D6E-409C-BE32-E72D297353CC}">
              <c16:uniqueId val="{00000001-71F8-4959-BCD3-DF7BFD02AB50}"/>
            </c:ext>
          </c:extLst>
        </c:ser>
        <c:dLbls>
          <c:showLegendKey val="0"/>
          <c:showVal val="0"/>
          <c:showCatName val="0"/>
          <c:showSerName val="0"/>
          <c:showPercent val="0"/>
          <c:showBubbleSize val="0"/>
        </c:dLbls>
        <c:smooth val="0"/>
        <c:axId val="163524608"/>
        <c:axId val="163526144"/>
      </c:lineChart>
      <c:catAx>
        <c:axId val="163524608"/>
        <c:scaling>
          <c:orientation val="minMax"/>
        </c:scaling>
        <c:delete val="0"/>
        <c:axPos val="b"/>
        <c:numFmt formatCode="General" sourceLinked="1"/>
        <c:majorTickMark val="out"/>
        <c:minorTickMark val="none"/>
        <c:tickLblPos val="nextTo"/>
        <c:spPr>
          <a:ln>
            <a:solidFill>
              <a:schemeClr val="bg1">
                <a:lumMod val="65000"/>
              </a:schemeClr>
            </a:solidFill>
          </a:ln>
        </c:spPr>
        <c:txPr>
          <a:bodyPr rot="0" vert="horz"/>
          <a:lstStyle/>
          <a:p>
            <a:pPr>
              <a:defRPr/>
            </a:pPr>
            <a:endParaRPr lang="lt-LT"/>
          </a:p>
        </c:txPr>
        <c:crossAx val="163526144"/>
        <c:crosses val="autoZero"/>
        <c:auto val="1"/>
        <c:lblAlgn val="ctr"/>
        <c:lblOffset val="100"/>
        <c:noMultiLvlLbl val="0"/>
      </c:catAx>
      <c:valAx>
        <c:axId val="163526144"/>
        <c:scaling>
          <c:orientation val="minMax"/>
        </c:scaling>
        <c:delete val="0"/>
        <c:axPos val="l"/>
        <c:majorGridlines>
          <c:spPr>
            <a:ln>
              <a:solidFill>
                <a:schemeClr val="bg1">
                  <a:lumMod val="65000"/>
                </a:schemeClr>
              </a:solidFill>
            </a:ln>
          </c:spPr>
        </c:majorGridlines>
        <c:title>
          <c:tx>
            <c:rich>
              <a:bodyPr/>
              <a:lstStyle/>
              <a:p>
                <a:pPr>
                  <a:defRPr/>
                </a:pPr>
                <a:r>
                  <a:rPr lang="lt-LT"/>
                  <a:t>Tonos, t</a:t>
                </a:r>
              </a:p>
            </c:rich>
          </c:tx>
          <c:layout/>
          <c:overlay val="0"/>
        </c:title>
        <c:numFmt formatCode="General" sourceLinked="1"/>
        <c:majorTickMark val="out"/>
        <c:minorTickMark val="none"/>
        <c:tickLblPos val="nextTo"/>
        <c:spPr>
          <a:ln>
            <a:solidFill>
              <a:schemeClr val="bg1">
                <a:lumMod val="65000"/>
              </a:schemeClr>
            </a:solidFill>
          </a:ln>
        </c:spPr>
        <c:txPr>
          <a:bodyPr rot="0" vert="horz"/>
          <a:lstStyle/>
          <a:p>
            <a:pPr>
              <a:defRPr/>
            </a:pPr>
            <a:endParaRPr lang="lt-LT"/>
          </a:p>
        </c:txPr>
        <c:crossAx val="163524608"/>
        <c:crosses val="autoZero"/>
        <c:crossBetween val="between"/>
      </c:valAx>
    </c:plotArea>
    <c:legend>
      <c:legendPos val="r"/>
      <c:layout/>
      <c:overlay val="0"/>
    </c:legend>
    <c:plotVisOnly val="1"/>
    <c:dispBlanksAs val="gap"/>
    <c:showDLblsOverMax val="0"/>
  </c:chart>
  <c:spPr>
    <a:ln>
      <a:noFill/>
    </a:ln>
  </c:spPr>
  <c:txPr>
    <a:bodyPr/>
    <a:lstStyle/>
    <a:p>
      <a:pPr>
        <a:defRPr sz="1000" b="0" i="0" u="none" strike="noStrike" baseline="0">
          <a:solidFill>
            <a:srgbClr val="C0C0C0"/>
          </a:solidFill>
          <a:latin typeface="Times New Roman" panose="02020603050405020304" pitchFamily="18" charset="0"/>
          <a:ea typeface="Calibri"/>
          <a:cs typeface="Times New Roman" panose="02020603050405020304" pitchFamily="18" charset="0"/>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950488437466033E-2"/>
          <c:y val="4.9217002237136466E-2"/>
          <c:w val="0.57167342247899489"/>
          <c:h val="0.79203382910469533"/>
        </c:manualLayout>
      </c:layout>
      <c:barChart>
        <c:barDir val="col"/>
        <c:grouping val="percentStacked"/>
        <c:varyColors val="0"/>
        <c:ser>
          <c:idx val="0"/>
          <c:order val="0"/>
          <c:tx>
            <c:strRef>
              <c:f>'NH3'!$A$12</c:f>
              <c:strCache>
                <c:ptCount val="1"/>
                <c:pt idx="0">
                  <c:v>Žemės ūkis-gyvulininkystė</c:v>
                </c:pt>
              </c:strCache>
            </c:strRef>
          </c:tx>
          <c:invertIfNegative val="0"/>
          <c:cat>
            <c:numRef>
              <c:f>'NH3'!$N$2:$X$2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'NH3'!$N$12:$X$12</c:f>
              <c:numCache>
                <c:formatCode>0.0%</c:formatCode>
                <c:ptCount val="11"/>
                <c:pt idx="0">
                  <c:v>0.45416932732774312</c:v>
                </c:pt>
                <c:pt idx="1">
                  <c:v>0.45598246216035426</c:v>
                </c:pt>
                <c:pt idx="2">
                  <c:v>0.43727246185277663</c:v>
                </c:pt>
                <c:pt idx="3">
                  <c:v>0.43496628925099839</c:v>
                </c:pt>
                <c:pt idx="4">
                  <c:v>0.42544355954138507</c:v>
                </c:pt>
                <c:pt idx="5">
                  <c:v>0.42528557736192107</c:v>
                </c:pt>
                <c:pt idx="6">
                  <c:v>0.40851415712482225</c:v>
                </c:pt>
                <c:pt idx="7">
                  <c:v>0.40157523507547438</c:v>
                </c:pt>
                <c:pt idx="8">
                  <c:v>0.39385178366320905</c:v>
                </c:pt>
                <c:pt idx="9">
                  <c:v>0.38823321507003167</c:v>
                </c:pt>
                <c:pt idx="10">
                  <c:v>0.37889636844658453</c:v>
                </c:pt>
              </c:numCache>
            </c:numRef>
          </c:val>
          <c:extLst>
            <c:ext xmlns:c16="http://schemas.microsoft.com/office/drawing/2014/chart" uri="{C3380CC4-5D6E-409C-BE32-E72D297353CC}">
              <c16:uniqueId val="{00000000-C643-4A28-9693-9AF28D6618D6}"/>
            </c:ext>
          </c:extLst>
        </c:ser>
        <c:ser>
          <c:idx val="1"/>
          <c:order val="1"/>
          <c:tx>
            <c:strRef>
              <c:f>'NH3'!$A$13</c:f>
              <c:strCache>
                <c:ptCount val="1"/>
                <c:pt idx="0">
                  <c:v>Žemės ūkis-kitas</c:v>
                </c:pt>
              </c:strCache>
            </c:strRef>
          </c:tx>
          <c:spPr>
            <a:solidFill>
              <a:schemeClr val="tx2"/>
            </a:solidFill>
          </c:spPr>
          <c:invertIfNegative val="0"/>
          <c:cat>
            <c:numRef>
              <c:f>'NH3'!$N$2:$X$2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'NH3'!$N$13:$X$13</c:f>
              <c:numCache>
                <c:formatCode>0.0%</c:formatCode>
                <c:ptCount val="11"/>
                <c:pt idx="0">
                  <c:v>0.41970877719852079</c:v>
                </c:pt>
                <c:pt idx="1">
                  <c:v>0.42212891919115664</c:v>
                </c:pt>
                <c:pt idx="2">
                  <c:v>0.43576576732774752</c:v>
                </c:pt>
                <c:pt idx="3">
                  <c:v>0.42771674639145008</c:v>
                </c:pt>
                <c:pt idx="4">
                  <c:v>0.44212612797828987</c:v>
                </c:pt>
                <c:pt idx="5">
                  <c:v>0.45434726262359493</c:v>
                </c:pt>
                <c:pt idx="6">
                  <c:v>0.46402205914275968</c:v>
                </c:pt>
                <c:pt idx="7">
                  <c:v>0.46602573027155086</c:v>
                </c:pt>
                <c:pt idx="8">
                  <c:v>0.47484243522817993</c:v>
                </c:pt>
                <c:pt idx="9">
                  <c:v>0.4809140844621731</c:v>
                </c:pt>
                <c:pt idx="10">
                  <c:v>0.48141316833597975</c:v>
                </c:pt>
              </c:numCache>
            </c:numRef>
          </c:val>
          <c:extLst>
            <c:ext xmlns:c16="http://schemas.microsoft.com/office/drawing/2014/chart" uri="{C3380CC4-5D6E-409C-BE32-E72D297353CC}">
              <c16:uniqueId val="{00000001-C643-4A28-9693-9AF28D6618D6}"/>
            </c:ext>
          </c:extLst>
        </c:ser>
        <c:ser>
          <c:idx val="2"/>
          <c:order val="2"/>
          <c:tx>
            <c:strRef>
              <c:f>'NH3'!$A$15</c:f>
              <c:strCache>
                <c:ptCount val="1"/>
                <c:pt idx="0">
                  <c:v>Kiti sektoriai</c:v>
                </c:pt>
              </c:strCache>
            </c:strRef>
          </c:tx>
          <c:spPr>
            <a:solidFill>
              <a:schemeClr val="accent1">
                <a:lumMod val="20000"/>
                <a:lumOff val="80000"/>
              </a:schemeClr>
            </a:solidFill>
            <a:ln>
              <a:noFill/>
            </a:ln>
          </c:spPr>
          <c:invertIfNegative val="0"/>
          <c:cat>
            <c:numRef>
              <c:f>'NH3'!$N$2:$X$2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'NH3'!$N$15:$X$15</c:f>
              <c:numCache>
                <c:formatCode>0.0%</c:formatCode>
                <c:ptCount val="11"/>
                <c:pt idx="0">
                  <c:v>0.12612189547373612</c:v>
                </c:pt>
                <c:pt idx="1">
                  <c:v>0.12188861879329826</c:v>
                </c:pt>
                <c:pt idx="2">
                  <c:v>0.12696177069313466</c:v>
                </c:pt>
                <c:pt idx="3">
                  <c:v>0.1373169642265939</c:v>
                </c:pt>
                <c:pt idx="4">
                  <c:v>0.13243031221395959</c:v>
                </c:pt>
                <c:pt idx="5">
                  <c:v>0.1203671598858659</c:v>
                </c:pt>
                <c:pt idx="6">
                  <c:v>0.1274637835780579</c:v>
                </c:pt>
                <c:pt idx="7">
                  <c:v>0.1323990348264095</c:v>
                </c:pt>
                <c:pt idx="8">
                  <c:v>0.13130578097390891</c:v>
                </c:pt>
                <c:pt idx="9">
                  <c:v>0.13085270043765379</c:v>
                </c:pt>
                <c:pt idx="10">
                  <c:v>0.13969046297931306</c:v>
                </c:pt>
              </c:numCache>
            </c:numRef>
          </c:val>
          <c:extLst>
            <c:ext xmlns:c16="http://schemas.microsoft.com/office/drawing/2014/chart" uri="{C3380CC4-5D6E-409C-BE32-E72D297353CC}">
              <c16:uniqueId val="{00000002-C643-4A28-9693-9AF28D6618D6}"/>
            </c:ext>
          </c:extLst>
        </c:ser>
        <c:dLbls>
          <c:showLegendKey val="0"/>
          <c:showVal val="0"/>
          <c:showCatName val="0"/>
          <c:showSerName val="0"/>
          <c:showPercent val="0"/>
          <c:showBubbleSize val="0"/>
        </c:dLbls>
        <c:gapWidth val="150"/>
        <c:overlap val="100"/>
        <c:axId val="163954048"/>
        <c:axId val="163955840"/>
      </c:barChart>
      <c:catAx>
        <c:axId val="163954048"/>
        <c:scaling>
          <c:orientation val="minMax"/>
        </c:scaling>
        <c:delete val="0"/>
        <c:axPos val="b"/>
        <c:numFmt formatCode="General" sourceLinked="1"/>
        <c:majorTickMark val="out"/>
        <c:minorTickMark val="none"/>
        <c:tickLblPos val="nextTo"/>
        <c:crossAx val="163955840"/>
        <c:crosses val="autoZero"/>
        <c:auto val="1"/>
        <c:lblAlgn val="ctr"/>
        <c:lblOffset val="100"/>
        <c:noMultiLvlLbl val="0"/>
      </c:catAx>
      <c:valAx>
        <c:axId val="163955840"/>
        <c:scaling>
          <c:orientation val="minMax"/>
        </c:scaling>
        <c:delete val="0"/>
        <c:axPos val="l"/>
        <c:majorGridlines/>
        <c:numFmt formatCode="0%" sourceLinked="1"/>
        <c:majorTickMark val="out"/>
        <c:minorTickMark val="none"/>
        <c:tickLblPos val="nextTo"/>
        <c:crossAx val="163954048"/>
        <c:crosses val="autoZero"/>
        <c:crossBetween val="between"/>
      </c:valAx>
    </c:plotArea>
    <c:legend>
      <c:legendPos val="r"/>
      <c:layout/>
      <c:overlay val="0"/>
    </c:legend>
    <c:plotVisOnly val="1"/>
    <c:dispBlanksAs val="gap"/>
    <c:showDLblsOverMax val="0"/>
  </c:chart>
  <c:spPr>
    <a:ln>
      <a:noFill/>
    </a:ln>
  </c:spPr>
  <c:txPr>
    <a:bodyPr/>
    <a:lstStyle/>
    <a:p>
      <a:pPr>
        <a:defRPr sz="1000">
          <a:solidFill>
            <a:schemeClr val="bg1">
              <a:lumMod val="50000"/>
            </a:schemeClr>
          </a:solidFill>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Data!$B$57</c:f>
              <c:strCache>
                <c:ptCount val="1"/>
                <c:pt idx="0">
                  <c:v>KD2,5 išmetimai į aplinkos orą</c:v>
                </c:pt>
              </c:strCache>
            </c:strRef>
          </c:tx>
          <c:marker>
            <c:symbol val="none"/>
          </c:marker>
          <c:cat>
            <c:strRef>
              <c:f>Data!$B$74:$AA$74</c:f>
              <c:strCach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strCache>
            </c:strRef>
          </c:cat>
          <c:val>
            <c:numRef>
              <c:f>Data!$B$61:$L$61</c:f>
              <c:numCache>
                <c:formatCode>#,##0</c:formatCode>
                <c:ptCount val="11"/>
                <c:pt idx="0">
                  <c:v>20194</c:v>
                </c:pt>
                <c:pt idx="1">
                  <c:v>20961</c:v>
                </c:pt>
                <c:pt idx="2">
                  <c:v>20468</c:v>
                </c:pt>
                <c:pt idx="3">
                  <c:v>21208</c:v>
                </c:pt>
                <c:pt idx="4">
                  <c:v>20533</c:v>
                </c:pt>
                <c:pt idx="5">
                  <c:v>20397</c:v>
                </c:pt>
                <c:pt idx="6">
                  <c:v>19949</c:v>
                </c:pt>
                <c:pt idx="7">
                  <c:v>19912</c:v>
                </c:pt>
                <c:pt idx="8">
                  <c:v>19517</c:v>
                </c:pt>
                <c:pt idx="9">
                  <c:v>18510</c:v>
                </c:pt>
                <c:pt idx="10">
                  <c:v>17864</c:v>
                </c:pt>
              </c:numCache>
            </c:numRef>
          </c:val>
          <c:smooth val="0"/>
          <c:extLst>
            <c:ext xmlns:c16="http://schemas.microsoft.com/office/drawing/2014/chart" uri="{C3380CC4-5D6E-409C-BE32-E72D297353CC}">
              <c16:uniqueId val="{00000000-2D2F-49D0-AE3C-7EF755B5C4FE}"/>
            </c:ext>
          </c:extLst>
        </c:ser>
        <c:ser>
          <c:idx val="1"/>
          <c:order val="1"/>
          <c:tx>
            <c:strRef>
              <c:f>Data!$A$71</c:f>
              <c:strCache>
                <c:ptCount val="1"/>
                <c:pt idx="0">
                  <c:v>Tikslas 2020-2029 m.</c:v>
                </c:pt>
              </c:strCache>
            </c:strRef>
          </c:tx>
          <c:spPr>
            <a:ln>
              <a:solidFill>
                <a:schemeClr val="tx2"/>
              </a:solidFill>
            </a:ln>
          </c:spPr>
          <c:marker>
            <c:symbol val="none"/>
          </c:marker>
          <c:cat>
            <c:strRef>
              <c:f>Data!$B$74:$AA$74</c:f>
              <c:strCach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strCache>
            </c:strRef>
          </c:cat>
          <c:val>
            <c:numRef>
              <c:f>Data!$B$76:$L$76</c:f>
              <c:numCache>
                <c:formatCode>0</c:formatCode>
                <c:ptCount val="11"/>
                <c:pt idx="0">
                  <c:v>16155.2</c:v>
                </c:pt>
                <c:pt idx="1">
                  <c:v>16155.2</c:v>
                </c:pt>
                <c:pt idx="2">
                  <c:v>16155.2</c:v>
                </c:pt>
                <c:pt idx="3">
                  <c:v>16155.2</c:v>
                </c:pt>
                <c:pt idx="4">
                  <c:v>16155.2</c:v>
                </c:pt>
                <c:pt idx="5">
                  <c:v>16155.2</c:v>
                </c:pt>
                <c:pt idx="6">
                  <c:v>16155.2</c:v>
                </c:pt>
                <c:pt idx="7">
                  <c:v>16155.2</c:v>
                </c:pt>
                <c:pt idx="8">
                  <c:v>16155.2</c:v>
                </c:pt>
                <c:pt idx="9">
                  <c:v>16155.2</c:v>
                </c:pt>
                <c:pt idx="10">
                  <c:v>16155.2</c:v>
                </c:pt>
              </c:numCache>
            </c:numRef>
          </c:val>
          <c:smooth val="0"/>
          <c:extLst>
            <c:ext xmlns:c16="http://schemas.microsoft.com/office/drawing/2014/chart" uri="{C3380CC4-5D6E-409C-BE32-E72D297353CC}">
              <c16:uniqueId val="{00000001-2D2F-49D0-AE3C-7EF755B5C4FE}"/>
            </c:ext>
          </c:extLst>
        </c:ser>
        <c:ser>
          <c:idx val="2"/>
          <c:order val="2"/>
          <c:tx>
            <c:strRef>
              <c:f>Data!$A$72</c:f>
              <c:strCache>
                <c:ptCount val="1"/>
                <c:pt idx="0">
                  <c:v>Tikslas nuo 2030 m.</c:v>
                </c:pt>
              </c:strCache>
            </c:strRef>
          </c:tx>
          <c:spPr>
            <a:ln>
              <a:solidFill>
                <a:srgbClr val="FFC000"/>
              </a:solidFill>
            </a:ln>
          </c:spPr>
          <c:marker>
            <c:symbol val="none"/>
          </c:marker>
          <c:cat>
            <c:strRef>
              <c:f>Data!$B$74:$AA$74</c:f>
              <c:strCach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strCache>
            </c:strRef>
          </c:cat>
          <c:val>
            <c:numRef>
              <c:f>Data!$B$77:$L$77</c:f>
              <c:numCache>
                <c:formatCode>0</c:formatCode>
                <c:ptCount val="11"/>
                <c:pt idx="0">
                  <c:v>12924.16</c:v>
                </c:pt>
                <c:pt idx="1">
                  <c:v>12924.16</c:v>
                </c:pt>
                <c:pt idx="2">
                  <c:v>12924.16</c:v>
                </c:pt>
                <c:pt idx="3">
                  <c:v>12924.16</c:v>
                </c:pt>
                <c:pt idx="4">
                  <c:v>12924.16</c:v>
                </c:pt>
                <c:pt idx="5">
                  <c:v>12924.16</c:v>
                </c:pt>
                <c:pt idx="6">
                  <c:v>12924.16</c:v>
                </c:pt>
                <c:pt idx="7">
                  <c:v>12924.16</c:v>
                </c:pt>
                <c:pt idx="8">
                  <c:v>12924.16</c:v>
                </c:pt>
                <c:pt idx="9">
                  <c:v>12924.16</c:v>
                </c:pt>
                <c:pt idx="10">
                  <c:v>12924.16</c:v>
                </c:pt>
              </c:numCache>
            </c:numRef>
          </c:val>
          <c:smooth val="0"/>
          <c:extLst>
            <c:ext xmlns:c16="http://schemas.microsoft.com/office/drawing/2014/chart" uri="{C3380CC4-5D6E-409C-BE32-E72D297353CC}">
              <c16:uniqueId val="{00000002-2D2F-49D0-AE3C-7EF755B5C4FE}"/>
            </c:ext>
          </c:extLst>
        </c:ser>
        <c:dLbls>
          <c:showLegendKey val="0"/>
          <c:showVal val="0"/>
          <c:showCatName val="0"/>
          <c:showSerName val="0"/>
          <c:showPercent val="0"/>
          <c:showBubbleSize val="0"/>
        </c:dLbls>
        <c:smooth val="0"/>
        <c:axId val="163875456"/>
        <c:axId val="163881344"/>
      </c:lineChart>
      <c:catAx>
        <c:axId val="163875456"/>
        <c:scaling>
          <c:orientation val="minMax"/>
        </c:scaling>
        <c:delete val="0"/>
        <c:axPos val="b"/>
        <c:numFmt formatCode="General" sourceLinked="1"/>
        <c:majorTickMark val="out"/>
        <c:minorTickMark val="none"/>
        <c:tickLblPos val="nextTo"/>
        <c:spPr>
          <a:ln>
            <a:solidFill>
              <a:schemeClr val="bg1">
                <a:lumMod val="65000"/>
              </a:schemeClr>
            </a:solidFill>
          </a:ln>
        </c:spPr>
        <c:txPr>
          <a:bodyPr rot="-5400000" vert="horz"/>
          <a:lstStyle/>
          <a:p>
            <a:pPr>
              <a:defRPr/>
            </a:pPr>
            <a:endParaRPr lang="lt-LT"/>
          </a:p>
        </c:txPr>
        <c:crossAx val="163881344"/>
        <c:crosses val="autoZero"/>
        <c:auto val="1"/>
        <c:lblAlgn val="ctr"/>
        <c:lblOffset val="100"/>
        <c:noMultiLvlLbl val="0"/>
      </c:catAx>
      <c:valAx>
        <c:axId val="163881344"/>
        <c:scaling>
          <c:orientation val="minMax"/>
        </c:scaling>
        <c:delete val="0"/>
        <c:axPos val="l"/>
        <c:majorGridlines>
          <c:spPr>
            <a:ln>
              <a:solidFill>
                <a:schemeClr val="bg1">
                  <a:lumMod val="65000"/>
                </a:schemeClr>
              </a:solidFill>
            </a:ln>
          </c:spPr>
        </c:majorGridlines>
        <c:title>
          <c:tx>
            <c:rich>
              <a:bodyPr/>
              <a:lstStyle/>
              <a:p>
                <a:pPr>
                  <a:defRPr/>
                </a:pPr>
                <a:r>
                  <a:rPr lang="lt-LT"/>
                  <a:t>Tonos, t</a:t>
                </a:r>
              </a:p>
            </c:rich>
          </c:tx>
          <c:layout/>
          <c:overlay val="0"/>
        </c:title>
        <c:numFmt formatCode="#,##0" sourceLinked="1"/>
        <c:majorTickMark val="out"/>
        <c:minorTickMark val="none"/>
        <c:tickLblPos val="nextTo"/>
        <c:spPr>
          <a:ln>
            <a:solidFill>
              <a:schemeClr val="bg1">
                <a:lumMod val="65000"/>
              </a:schemeClr>
            </a:solidFill>
          </a:ln>
        </c:spPr>
        <c:txPr>
          <a:bodyPr rot="0" vert="horz"/>
          <a:lstStyle/>
          <a:p>
            <a:pPr>
              <a:defRPr/>
            </a:pPr>
            <a:endParaRPr lang="lt-LT"/>
          </a:p>
        </c:txPr>
        <c:crossAx val="163875456"/>
        <c:crosses val="autoZero"/>
        <c:crossBetween val="between"/>
      </c:valAx>
    </c:plotArea>
    <c:legend>
      <c:legendPos val="r"/>
      <c:layout>
        <c:manualLayout>
          <c:xMode val="edge"/>
          <c:yMode val="edge"/>
          <c:x val="0.63307980373054962"/>
          <c:y val="0.21884421659379238"/>
          <c:w val="0.34701953922426365"/>
          <c:h val="0.52530279496134824"/>
        </c:manualLayout>
      </c:layout>
      <c:overlay val="0"/>
    </c:legend>
    <c:plotVisOnly val="1"/>
    <c:dispBlanksAs val="gap"/>
    <c:showDLblsOverMax val="0"/>
  </c:chart>
  <c:spPr>
    <a:ln>
      <a:noFill/>
    </a:ln>
  </c:spPr>
  <c:txPr>
    <a:bodyPr/>
    <a:lstStyle/>
    <a:p>
      <a:pPr>
        <a:defRPr sz="1000" b="0" i="0" u="none" strike="noStrike" baseline="0">
          <a:solidFill>
            <a:srgbClr val="C0C0C0"/>
          </a:solidFill>
          <a:latin typeface="Times New Roman" panose="02020603050405020304" pitchFamily="18" charset="0"/>
          <a:ea typeface="Calibri"/>
          <a:cs typeface="Times New Roman" panose="02020603050405020304" pitchFamily="18" charset="0"/>
        </a:defRPr>
      </a:pPr>
      <a:endParaRPr lang="lt-L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'KD25'!$A$5</c:f>
              <c:strCache>
                <c:ptCount val="1"/>
                <c:pt idx="0">
                  <c:v>Kitas stacionarus deginimas</c:v>
                </c:pt>
              </c:strCache>
            </c:strRef>
          </c:tx>
          <c:invertIfNegative val="0"/>
          <c:cat>
            <c:numRef>
              <c:f>'KD25'!$N$2:$X$2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'KD25'!$N$5:$X$5</c:f>
              <c:numCache>
                <c:formatCode>0.0%</c:formatCode>
                <c:ptCount val="11"/>
                <c:pt idx="0">
                  <c:v>0.76884426168923425</c:v>
                </c:pt>
                <c:pt idx="1">
                  <c:v>0.77548960418491608</c:v>
                </c:pt>
                <c:pt idx="2">
                  <c:v>0.76585750067267788</c:v>
                </c:pt>
                <c:pt idx="3">
                  <c:v>0.76404403683584354</c:v>
                </c:pt>
                <c:pt idx="4">
                  <c:v>0.80218936126629148</c:v>
                </c:pt>
                <c:pt idx="5">
                  <c:v>0.80315204235382609</c:v>
                </c:pt>
                <c:pt idx="6">
                  <c:v>0.80574894008996223</c:v>
                </c:pt>
                <c:pt idx="7">
                  <c:v>0.80564145199747716</c:v>
                </c:pt>
                <c:pt idx="8">
                  <c:v>0.79868751246228142</c:v>
                </c:pt>
                <c:pt idx="9">
                  <c:v>0.78763876959235002</c:v>
                </c:pt>
                <c:pt idx="10">
                  <c:v>0.77486451500947962</c:v>
                </c:pt>
              </c:numCache>
            </c:numRef>
          </c:val>
          <c:extLst>
            <c:ext xmlns:c16="http://schemas.microsoft.com/office/drawing/2014/chart" uri="{C3380CC4-5D6E-409C-BE32-E72D297353CC}">
              <c16:uniqueId val="{00000000-E614-45C5-A0BD-9F9A7D2F7D20}"/>
            </c:ext>
          </c:extLst>
        </c:ser>
        <c:ser>
          <c:idx val="1"/>
          <c:order val="1"/>
          <c:tx>
            <c:strRef>
              <c:f>'KD25'!$A$8</c:f>
              <c:strCache>
                <c:ptCount val="1"/>
                <c:pt idx="0">
                  <c:v>Kelių transportas</c:v>
                </c:pt>
              </c:strCache>
            </c:strRef>
          </c:tx>
          <c:spPr>
            <a:solidFill>
              <a:schemeClr val="tx2"/>
            </a:solidFill>
          </c:spPr>
          <c:invertIfNegative val="0"/>
          <c:cat>
            <c:numRef>
              <c:f>'KD25'!$N$2:$X$2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'KD25'!$N$8:$X$8</c:f>
              <c:numCache>
                <c:formatCode>0.0%</c:formatCode>
                <c:ptCount val="11"/>
                <c:pt idx="0">
                  <c:v>6.505728701821839E-2</c:v>
                </c:pt>
                <c:pt idx="1">
                  <c:v>6.1443816311150284E-2</c:v>
                </c:pt>
                <c:pt idx="2">
                  <c:v>7.3901848214849214E-2</c:v>
                </c:pt>
                <c:pt idx="3">
                  <c:v>7.7671935754002483E-2</c:v>
                </c:pt>
                <c:pt idx="4">
                  <c:v>6.2037344417917584E-2</c:v>
                </c:pt>
                <c:pt idx="5">
                  <c:v>6.8336270774949109E-2</c:v>
                </c:pt>
                <c:pt idx="6">
                  <c:v>6.2987825987427429E-2</c:v>
                </c:pt>
                <c:pt idx="7">
                  <c:v>5.9725415728989678E-2</c:v>
                </c:pt>
                <c:pt idx="8">
                  <c:v>5.8986509447510549E-2</c:v>
                </c:pt>
                <c:pt idx="9">
                  <c:v>6.2594553973231132E-2</c:v>
                </c:pt>
                <c:pt idx="10">
                  <c:v>6.5844360789824016E-2</c:v>
                </c:pt>
              </c:numCache>
            </c:numRef>
          </c:val>
          <c:extLst>
            <c:ext xmlns:c16="http://schemas.microsoft.com/office/drawing/2014/chart" uri="{C3380CC4-5D6E-409C-BE32-E72D297353CC}">
              <c16:uniqueId val="{00000001-E614-45C5-A0BD-9F9A7D2F7D20}"/>
            </c:ext>
          </c:extLst>
        </c:ser>
        <c:ser>
          <c:idx val="2"/>
          <c:order val="2"/>
          <c:tx>
            <c:strRef>
              <c:f>'KD25'!$A$16</c:f>
              <c:strCache>
                <c:ptCount val="1"/>
                <c:pt idx="0">
                  <c:v>Kiti sektoriai</c:v>
                </c:pt>
              </c:strCache>
            </c:strRef>
          </c:tx>
          <c:spPr>
            <a:solidFill>
              <a:schemeClr val="accent1">
                <a:lumMod val="20000"/>
                <a:lumOff val="80000"/>
              </a:schemeClr>
            </a:solidFill>
          </c:spPr>
          <c:invertIfNegative val="0"/>
          <c:cat>
            <c:numRef>
              <c:f>'KD25'!$N$2:$X$2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'KD25'!$N$16:$X$16</c:f>
              <c:numCache>
                <c:formatCode>0.0%</c:formatCode>
                <c:ptCount val="11"/>
                <c:pt idx="0">
                  <c:v>0.16609845129254744</c:v>
                </c:pt>
                <c:pt idx="1">
                  <c:v>0.16306657950393355</c:v>
                </c:pt>
                <c:pt idx="2">
                  <c:v>0.16024065111247304</c:v>
                </c:pt>
                <c:pt idx="3">
                  <c:v>0.15828402741015402</c:v>
                </c:pt>
                <c:pt idx="4">
                  <c:v>0.13577329431579097</c:v>
                </c:pt>
                <c:pt idx="5">
                  <c:v>0.12851168687122463</c:v>
                </c:pt>
                <c:pt idx="6">
                  <c:v>0.13126323392261061</c:v>
                </c:pt>
                <c:pt idx="7">
                  <c:v>0.13463313227353302</c:v>
                </c:pt>
                <c:pt idx="8">
                  <c:v>0.14232597809020825</c:v>
                </c:pt>
                <c:pt idx="9">
                  <c:v>0.14976667643441879</c:v>
                </c:pt>
                <c:pt idx="10">
                  <c:v>0.15929112420069613</c:v>
                </c:pt>
              </c:numCache>
            </c:numRef>
          </c:val>
          <c:extLst>
            <c:ext xmlns:c16="http://schemas.microsoft.com/office/drawing/2014/chart" uri="{C3380CC4-5D6E-409C-BE32-E72D297353CC}">
              <c16:uniqueId val="{00000002-E614-45C5-A0BD-9F9A7D2F7D20}"/>
            </c:ext>
          </c:extLst>
        </c:ser>
        <c:dLbls>
          <c:showLegendKey val="0"/>
          <c:showVal val="0"/>
          <c:showCatName val="0"/>
          <c:showSerName val="0"/>
          <c:showPercent val="0"/>
          <c:showBubbleSize val="0"/>
        </c:dLbls>
        <c:gapWidth val="150"/>
        <c:overlap val="100"/>
        <c:axId val="163961088"/>
        <c:axId val="164495360"/>
      </c:barChart>
      <c:catAx>
        <c:axId val="163961088"/>
        <c:scaling>
          <c:orientation val="minMax"/>
        </c:scaling>
        <c:delete val="0"/>
        <c:axPos val="b"/>
        <c:numFmt formatCode="General" sourceLinked="1"/>
        <c:majorTickMark val="out"/>
        <c:minorTickMark val="none"/>
        <c:tickLblPos val="nextTo"/>
        <c:crossAx val="164495360"/>
        <c:crosses val="autoZero"/>
        <c:auto val="1"/>
        <c:lblAlgn val="ctr"/>
        <c:lblOffset val="100"/>
        <c:noMultiLvlLbl val="0"/>
      </c:catAx>
      <c:valAx>
        <c:axId val="164495360"/>
        <c:scaling>
          <c:orientation val="minMax"/>
        </c:scaling>
        <c:delete val="0"/>
        <c:axPos val="l"/>
        <c:majorGridlines/>
        <c:numFmt formatCode="0%" sourceLinked="1"/>
        <c:majorTickMark val="out"/>
        <c:minorTickMark val="none"/>
        <c:tickLblPos val="nextTo"/>
        <c:crossAx val="163961088"/>
        <c:crosses val="autoZero"/>
        <c:crossBetween val="between"/>
      </c:valAx>
    </c:plotArea>
    <c:legend>
      <c:legendPos val="r"/>
      <c:layout/>
      <c:overlay val="0"/>
    </c:legend>
    <c:plotVisOnly val="1"/>
    <c:dispBlanksAs val="gap"/>
    <c:showDLblsOverMax val="0"/>
  </c:chart>
  <c:spPr>
    <a:ln>
      <a:noFill/>
    </a:ln>
  </c:spPr>
  <c:txPr>
    <a:bodyPr/>
    <a:lstStyle/>
    <a:p>
      <a:pPr>
        <a:defRPr sz="900">
          <a:solidFill>
            <a:schemeClr val="bg1">
              <a:lumMod val="65000"/>
            </a:schemeClr>
          </a:solidFill>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'[koncentraciju uzduotis.xlsx]Pb'!$B$2</c:f>
              <c:strCache>
                <c:ptCount val="1"/>
                <c:pt idx="0">
                  <c:v>2007</c:v>
                </c:pt>
              </c:strCache>
            </c:strRef>
          </c:tx>
          <c:spPr>
            <a:solidFill>
              <a:schemeClr val="accent1"/>
            </a:solidFill>
            <a:ln>
              <a:noFill/>
            </a:ln>
            <a:effectLst/>
          </c:spPr>
          <c:invertIfNegative val="0"/>
          <c:cat>
            <c:strRef>
              <c:f>'[koncentraciju uzduotis.xlsx]Pb'!$A$3:$A$7</c:f>
              <c:strCache>
                <c:ptCount val="5"/>
                <c:pt idx="0">
                  <c:v>Vilnius
Lazdynai </c:v>
                </c:pt>
                <c:pt idx="1">
                  <c:v>Kaunas
Petrašiūnai </c:v>
                </c:pt>
                <c:pt idx="2">
                  <c:v>Klaipėda
Centras </c:v>
                </c:pt>
                <c:pt idx="3">
                  <c:v>Šiauliai</c:v>
                </c:pt>
                <c:pt idx="4">
                  <c:v>Aukštaitija</c:v>
                </c:pt>
              </c:strCache>
            </c:strRef>
          </c:cat>
          <c:val>
            <c:numRef>
              <c:f>'[koncentraciju uzduotis.xlsx]Pb'!$B$3:$B$7</c:f>
              <c:numCache>
                <c:formatCode>General</c:formatCode>
                <c:ptCount val="5"/>
                <c:pt idx="0">
                  <c:v>5.0000000000000001E-3</c:v>
                </c:pt>
                <c:pt idx="1">
                  <c:v>3.1E-2</c:v>
                </c:pt>
                <c:pt idx="2">
                  <c:v>8.0000000000000002E-3</c:v>
                </c:pt>
                <c:pt idx="3">
                  <c:v>6.0000000000000001E-3</c:v>
                </c:pt>
              </c:numCache>
            </c:numRef>
          </c:val>
          <c:extLst>
            <c:ext xmlns:c16="http://schemas.microsoft.com/office/drawing/2014/chart" uri="{C3380CC4-5D6E-409C-BE32-E72D297353CC}">
              <c16:uniqueId val="{00000000-5F4E-4CB2-9876-06C9404DAAE8}"/>
            </c:ext>
          </c:extLst>
        </c:ser>
        <c:ser>
          <c:idx val="1"/>
          <c:order val="1"/>
          <c:tx>
            <c:strRef>
              <c:f>'[koncentraciju uzduotis.xlsx]Pb'!$C$2</c:f>
              <c:strCache>
                <c:ptCount val="1"/>
                <c:pt idx="0">
                  <c:v>2016</c:v>
                </c:pt>
              </c:strCache>
            </c:strRef>
          </c:tx>
          <c:spPr>
            <a:solidFill>
              <a:srgbClr val="FFC000"/>
            </a:solidFill>
            <a:ln>
              <a:noFill/>
            </a:ln>
            <a:effectLst/>
          </c:spPr>
          <c:invertIfNegative val="0"/>
          <c:cat>
            <c:strRef>
              <c:f>'[koncentraciju uzduotis.xlsx]Pb'!$A$3:$A$7</c:f>
              <c:strCache>
                <c:ptCount val="5"/>
                <c:pt idx="0">
                  <c:v>Vilnius
Lazdynai </c:v>
                </c:pt>
                <c:pt idx="1">
                  <c:v>Kaunas
Petrašiūnai </c:v>
                </c:pt>
                <c:pt idx="2">
                  <c:v>Klaipėda
Centras </c:v>
                </c:pt>
                <c:pt idx="3">
                  <c:v>Šiauliai</c:v>
                </c:pt>
                <c:pt idx="4">
                  <c:v>Aukštaitija</c:v>
                </c:pt>
              </c:strCache>
            </c:strRef>
          </c:cat>
          <c:val>
            <c:numRef>
              <c:f>'[koncentraciju uzduotis.xlsx]Pb'!$C$3:$C$7</c:f>
              <c:numCache>
                <c:formatCode>General</c:formatCode>
                <c:ptCount val="5"/>
                <c:pt idx="0">
                  <c:v>3.0000000000000001E-3</c:v>
                </c:pt>
                <c:pt idx="1">
                  <c:v>3.0000000000000001E-3</c:v>
                </c:pt>
                <c:pt idx="2">
                  <c:v>1E-3</c:v>
                </c:pt>
                <c:pt idx="3">
                  <c:v>1E-3</c:v>
                </c:pt>
                <c:pt idx="4">
                  <c:v>1E-3</c:v>
                </c:pt>
              </c:numCache>
            </c:numRef>
          </c:val>
          <c:extLst>
            <c:ext xmlns:c16="http://schemas.microsoft.com/office/drawing/2014/chart" uri="{C3380CC4-5D6E-409C-BE32-E72D297353CC}">
              <c16:uniqueId val="{00000001-5F4E-4CB2-9876-06C9404DAAE8}"/>
            </c:ext>
          </c:extLst>
        </c:ser>
        <c:dLbls>
          <c:showLegendKey val="0"/>
          <c:showVal val="0"/>
          <c:showCatName val="0"/>
          <c:showSerName val="0"/>
          <c:showPercent val="0"/>
          <c:showBubbleSize val="0"/>
        </c:dLbls>
        <c:gapWidth val="219"/>
        <c:axId val="269437184"/>
        <c:axId val="269443072"/>
      </c:barChart>
      <c:catAx>
        <c:axId val="26943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269443072"/>
        <c:crosses val="autoZero"/>
        <c:auto val="1"/>
        <c:lblAlgn val="ctr"/>
        <c:lblOffset val="100"/>
        <c:noMultiLvlLbl val="0"/>
      </c:catAx>
      <c:valAx>
        <c:axId val="269443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µg/m³</a:t>
                </a:r>
              </a:p>
            </c:rich>
          </c:tx>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lt-LT"/>
          </a:p>
        </c:txPr>
        <c:crossAx val="269437184"/>
        <c:crosses val="autoZero"/>
        <c:crossBetween val="between"/>
      </c:valAx>
      <c:spPr>
        <a:noFill/>
        <a:ln>
          <a:noFill/>
        </a:ln>
        <a:effectLst/>
      </c:spPr>
    </c:plotArea>
    <c:legend>
      <c:legendPos val="b"/>
      <c:layout/>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'[koncentraciju uzduotis.xlsx]As'!$B$2</c:f>
              <c:strCache>
                <c:ptCount val="1"/>
                <c:pt idx="0">
                  <c:v>2007</c:v>
                </c:pt>
              </c:strCache>
            </c:strRef>
          </c:tx>
          <c:spPr>
            <a:solidFill>
              <a:schemeClr val="accent1"/>
            </a:solidFill>
            <a:ln>
              <a:noFill/>
            </a:ln>
            <a:effectLst/>
          </c:spPr>
          <c:invertIfNegative val="0"/>
          <c:cat>
            <c:strRef>
              <c:f>'[koncentraciju uzduotis.xlsx]As'!$A$3:$A$7</c:f>
              <c:strCache>
                <c:ptCount val="5"/>
                <c:pt idx="0">
                  <c:v>Vilnius
Lazdynai </c:v>
                </c:pt>
                <c:pt idx="1">
                  <c:v>Kaunas
Petrašiūnai </c:v>
                </c:pt>
                <c:pt idx="2">
                  <c:v>Klaipėda
Centras </c:v>
                </c:pt>
                <c:pt idx="3">
                  <c:v>Šiauliai</c:v>
                </c:pt>
                <c:pt idx="4">
                  <c:v>Aukštaitija</c:v>
                </c:pt>
              </c:strCache>
            </c:strRef>
          </c:cat>
          <c:val>
            <c:numRef>
              <c:f>'[koncentraciju uzduotis.xlsx]As'!$B$3:$B$7</c:f>
              <c:numCache>
                <c:formatCode>General</c:formatCode>
                <c:ptCount val="5"/>
                <c:pt idx="0">
                  <c:v>0.2</c:v>
                </c:pt>
                <c:pt idx="1">
                  <c:v>0.3</c:v>
                </c:pt>
                <c:pt idx="2">
                  <c:v>0.2</c:v>
                </c:pt>
                <c:pt idx="3">
                  <c:v>0.2</c:v>
                </c:pt>
              </c:numCache>
            </c:numRef>
          </c:val>
          <c:extLst>
            <c:ext xmlns:c16="http://schemas.microsoft.com/office/drawing/2014/chart" uri="{C3380CC4-5D6E-409C-BE32-E72D297353CC}">
              <c16:uniqueId val="{00000000-2FFB-4818-BCDC-E6C098D46A34}"/>
            </c:ext>
          </c:extLst>
        </c:ser>
        <c:ser>
          <c:idx val="1"/>
          <c:order val="1"/>
          <c:tx>
            <c:strRef>
              <c:f>'[koncentraciju uzduotis.xlsx]As'!$C$2</c:f>
              <c:strCache>
                <c:ptCount val="1"/>
                <c:pt idx="0">
                  <c:v>2016</c:v>
                </c:pt>
              </c:strCache>
            </c:strRef>
          </c:tx>
          <c:spPr>
            <a:solidFill>
              <a:srgbClr val="FFC000"/>
            </a:solidFill>
            <a:ln>
              <a:noFill/>
            </a:ln>
            <a:effectLst/>
          </c:spPr>
          <c:invertIfNegative val="0"/>
          <c:cat>
            <c:strRef>
              <c:f>'[koncentraciju uzduotis.xlsx]As'!$A$3:$A$7</c:f>
              <c:strCache>
                <c:ptCount val="5"/>
                <c:pt idx="0">
                  <c:v>Vilnius
Lazdynai </c:v>
                </c:pt>
                <c:pt idx="1">
                  <c:v>Kaunas
Petrašiūnai </c:v>
                </c:pt>
                <c:pt idx="2">
                  <c:v>Klaipėda
Centras </c:v>
                </c:pt>
                <c:pt idx="3">
                  <c:v>Šiauliai</c:v>
                </c:pt>
                <c:pt idx="4">
                  <c:v>Aukštaitija</c:v>
                </c:pt>
              </c:strCache>
            </c:strRef>
          </c:cat>
          <c:val>
            <c:numRef>
              <c:f>'[koncentraciju uzduotis.xlsx]As'!$C$3:$C$7</c:f>
              <c:numCache>
                <c:formatCode>General</c:formatCode>
                <c:ptCount val="5"/>
                <c:pt idx="0">
                  <c:v>0.14000000000000001</c:v>
                </c:pt>
                <c:pt idx="1">
                  <c:v>0.15</c:v>
                </c:pt>
                <c:pt idx="2">
                  <c:v>0.08</c:v>
                </c:pt>
                <c:pt idx="3">
                  <c:v>0.09</c:v>
                </c:pt>
                <c:pt idx="4">
                  <c:v>0.1</c:v>
                </c:pt>
              </c:numCache>
            </c:numRef>
          </c:val>
          <c:extLst>
            <c:ext xmlns:c16="http://schemas.microsoft.com/office/drawing/2014/chart" uri="{C3380CC4-5D6E-409C-BE32-E72D297353CC}">
              <c16:uniqueId val="{00000001-2FFB-4818-BCDC-E6C098D46A34}"/>
            </c:ext>
          </c:extLst>
        </c:ser>
        <c:dLbls>
          <c:showLegendKey val="0"/>
          <c:showVal val="0"/>
          <c:showCatName val="0"/>
          <c:showSerName val="0"/>
          <c:showPercent val="0"/>
          <c:showBubbleSize val="0"/>
        </c:dLbls>
        <c:gapWidth val="219"/>
        <c:axId val="269469184"/>
        <c:axId val="269470720"/>
      </c:barChart>
      <c:catAx>
        <c:axId val="26946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269470720"/>
        <c:crosses val="autoZero"/>
        <c:auto val="1"/>
        <c:lblAlgn val="ctr"/>
        <c:lblOffset val="100"/>
        <c:noMultiLvlLbl val="0"/>
      </c:catAx>
      <c:valAx>
        <c:axId val="26947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ng/m3</a:t>
                </a:r>
              </a:p>
            </c:rich>
          </c:tx>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lt-LT"/>
          </a:p>
        </c:txPr>
        <c:crossAx val="269469184"/>
        <c:crosses val="autoZero"/>
        <c:crossBetween val="between"/>
      </c:valAx>
      <c:spPr>
        <a:noFill/>
        <a:ln>
          <a:noFill/>
        </a:ln>
        <a:effectLst/>
      </c:spPr>
    </c:plotArea>
    <c:legend>
      <c:legendPos val="b"/>
      <c:layout/>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'[koncentraciju uzduotis.xlsx]Ni'!$B$2</c:f>
              <c:strCache>
                <c:ptCount val="1"/>
                <c:pt idx="0">
                  <c:v>2007</c:v>
                </c:pt>
              </c:strCache>
            </c:strRef>
          </c:tx>
          <c:spPr>
            <a:solidFill>
              <a:schemeClr val="accent1"/>
            </a:solidFill>
            <a:ln>
              <a:noFill/>
            </a:ln>
            <a:effectLst/>
          </c:spPr>
          <c:invertIfNegative val="0"/>
          <c:cat>
            <c:strRef>
              <c:f>'[koncentraciju uzduotis.xlsx]Ni'!$A$3:$A$7</c:f>
              <c:strCache>
                <c:ptCount val="5"/>
                <c:pt idx="0">
                  <c:v>Vilnius
Lazdynai </c:v>
                </c:pt>
                <c:pt idx="1">
                  <c:v>Kaunas
Petrašiūnai </c:v>
                </c:pt>
                <c:pt idx="2">
                  <c:v>Klaipėda
Centras </c:v>
                </c:pt>
                <c:pt idx="3">
                  <c:v>Šiauliai</c:v>
                </c:pt>
                <c:pt idx="4">
                  <c:v>Aukštaitija</c:v>
                </c:pt>
              </c:strCache>
            </c:strRef>
          </c:cat>
          <c:val>
            <c:numRef>
              <c:f>'[koncentraciju uzduotis.xlsx]Ni'!$B$3:$B$7</c:f>
              <c:numCache>
                <c:formatCode>General</c:formatCode>
                <c:ptCount val="5"/>
                <c:pt idx="0">
                  <c:v>0.9</c:v>
                </c:pt>
                <c:pt idx="1">
                  <c:v>1.3</c:v>
                </c:pt>
                <c:pt idx="2">
                  <c:v>2.1</c:v>
                </c:pt>
                <c:pt idx="3">
                  <c:v>1.8</c:v>
                </c:pt>
              </c:numCache>
            </c:numRef>
          </c:val>
          <c:extLst>
            <c:ext xmlns:c16="http://schemas.microsoft.com/office/drawing/2014/chart" uri="{C3380CC4-5D6E-409C-BE32-E72D297353CC}">
              <c16:uniqueId val="{00000000-02CC-4009-AE8B-869EAEA19E25}"/>
            </c:ext>
          </c:extLst>
        </c:ser>
        <c:ser>
          <c:idx val="1"/>
          <c:order val="1"/>
          <c:tx>
            <c:strRef>
              <c:f>'[koncentraciju uzduotis.xlsx]Ni'!$C$2</c:f>
              <c:strCache>
                <c:ptCount val="1"/>
                <c:pt idx="0">
                  <c:v>20016</c:v>
                </c:pt>
              </c:strCache>
            </c:strRef>
          </c:tx>
          <c:spPr>
            <a:solidFill>
              <a:srgbClr val="FFC000"/>
            </a:solidFill>
            <a:ln>
              <a:noFill/>
            </a:ln>
            <a:effectLst/>
          </c:spPr>
          <c:invertIfNegative val="0"/>
          <c:cat>
            <c:strRef>
              <c:f>'[koncentraciju uzduotis.xlsx]Ni'!$A$3:$A$7</c:f>
              <c:strCache>
                <c:ptCount val="5"/>
                <c:pt idx="0">
                  <c:v>Vilnius
Lazdynai </c:v>
                </c:pt>
                <c:pt idx="1">
                  <c:v>Kaunas
Petrašiūnai </c:v>
                </c:pt>
                <c:pt idx="2">
                  <c:v>Klaipėda
Centras </c:v>
                </c:pt>
                <c:pt idx="3">
                  <c:v>Šiauliai</c:v>
                </c:pt>
                <c:pt idx="4">
                  <c:v>Aukštaitija</c:v>
                </c:pt>
              </c:strCache>
            </c:strRef>
          </c:cat>
          <c:val>
            <c:numRef>
              <c:f>'[koncentraciju uzduotis.xlsx]Ni'!$C$3:$C$7</c:f>
              <c:numCache>
                <c:formatCode>General</c:formatCode>
                <c:ptCount val="5"/>
                <c:pt idx="0">
                  <c:v>0.53</c:v>
                </c:pt>
                <c:pt idx="1">
                  <c:v>0.66</c:v>
                </c:pt>
                <c:pt idx="2">
                  <c:v>0.31</c:v>
                </c:pt>
                <c:pt idx="3">
                  <c:v>0.3</c:v>
                </c:pt>
                <c:pt idx="4">
                  <c:v>0.2</c:v>
                </c:pt>
              </c:numCache>
            </c:numRef>
          </c:val>
          <c:extLst>
            <c:ext xmlns:c16="http://schemas.microsoft.com/office/drawing/2014/chart" uri="{C3380CC4-5D6E-409C-BE32-E72D297353CC}">
              <c16:uniqueId val="{00000001-02CC-4009-AE8B-869EAEA19E25}"/>
            </c:ext>
          </c:extLst>
        </c:ser>
        <c:dLbls>
          <c:showLegendKey val="0"/>
          <c:showVal val="0"/>
          <c:showCatName val="0"/>
          <c:showSerName val="0"/>
          <c:showPercent val="0"/>
          <c:showBubbleSize val="0"/>
        </c:dLbls>
        <c:gapWidth val="219"/>
        <c:axId val="269628160"/>
        <c:axId val="269629696"/>
      </c:barChart>
      <c:catAx>
        <c:axId val="26962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269629696"/>
        <c:crosses val="autoZero"/>
        <c:auto val="1"/>
        <c:lblAlgn val="ctr"/>
        <c:lblOffset val="100"/>
        <c:noMultiLvlLbl val="0"/>
      </c:catAx>
      <c:valAx>
        <c:axId val="26962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Ni, ng/m</a:t>
                </a:r>
              </a:p>
            </c:rich>
          </c:tx>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lt-LT"/>
          </a:p>
        </c:txPr>
        <c:crossAx val="269628160"/>
        <c:crosses val="autoZero"/>
        <c:crossBetween val="between"/>
      </c:valAx>
      <c:spPr>
        <a:noFill/>
        <a:ln>
          <a:noFill/>
        </a:ln>
        <a:effectLst/>
      </c:spPr>
    </c:plotArea>
    <c:legend>
      <c:legendPos val="b"/>
      <c:layout/>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'[koncentraciju uzduotis.xlsx]Cd'!$B$2</c:f>
              <c:strCache>
                <c:ptCount val="1"/>
                <c:pt idx="0">
                  <c:v>2007</c:v>
                </c:pt>
              </c:strCache>
            </c:strRef>
          </c:tx>
          <c:spPr>
            <a:solidFill>
              <a:schemeClr val="accent1"/>
            </a:solidFill>
            <a:ln>
              <a:noFill/>
            </a:ln>
            <a:effectLst/>
          </c:spPr>
          <c:invertIfNegative val="0"/>
          <c:cat>
            <c:strRef>
              <c:f>'[koncentraciju uzduotis.xlsx]Cd'!$A$3:$A$7</c:f>
              <c:strCache>
                <c:ptCount val="5"/>
                <c:pt idx="0">
                  <c:v>Vilnius
Lazdynai </c:v>
                </c:pt>
                <c:pt idx="1">
                  <c:v>Kaunas
Petrašiūnai </c:v>
                </c:pt>
                <c:pt idx="2">
                  <c:v>Klaipėda
Centras </c:v>
                </c:pt>
                <c:pt idx="3">
                  <c:v>Šiauliai</c:v>
                </c:pt>
                <c:pt idx="4">
                  <c:v>Aukštaitija</c:v>
                </c:pt>
              </c:strCache>
            </c:strRef>
          </c:cat>
          <c:val>
            <c:numRef>
              <c:f>'[koncentraciju uzduotis.xlsx]Cd'!$B$3:$B$7</c:f>
              <c:numCache>
                <c:formatCode>General</c:formatCode>
                <c:ptCount val="5"/>
                <c:pt idx="0">
                  <c:v>1.2</c:v>
                </c:pt>
                <c:pt idx="1">
                  <c:v>1.6</c:v>
                </c:pt>
                <c:pt idx="2">
                  <c:v>1.1000000000000001</c:v>
                </c:pt>
                <c:pt idx="3">
                  <c:v>0.3</c:v>
                </c:pt>
              </c:numCache>
            </c:numRef>
          </c:val>
          <c:extLst>
            <c:ext xmlns:c16="http://schemas.microsoft.com/office/drawing/2014/chart" uri="{C3380CC4-5D6E-409C-BE32-E72D297353CC}">
              <c16:uniqueId val="{00000000-6D62-40B5-8446-DF2498860650}"/>
            </c:ext>
          </c:extLst>
        </c:ser>
        <c:ser>
          <c:idx val="1"/>
          <c:order val="1"/>
          <c:tx>
            <c:strRef>
              <c:f>'[koncentraciju uzduotis.xlsx]Cd'!$C$2</c:f>
              <c:strCache>
                <c:ptCount val="1"/>
                <c:pt idx="0">
                  <c:v>2016</c:v>
                </c:pt>
              </c:strCache>
            </c:strRef>
          </c:tx>
          <c:spPr>
            <a:solidFill>
              <a:srgbClr val="FFC000"/>
            </a:solidFill>
            <a:ln>
              <a:noFill/>
            </a:ln>
            <a:effectLst/>
          </c:spPr>
          <c:invertIfNegative val="0"/>
          <c:cat>
            <c:strRef>
              <c:f>'[koncentraciju uzduotis.xlsx]Cd'!$A$3:$A$7</c:f>
              <c:strCache>
                <c:ptCount val="5"/>
                <c:pt idx="0">
                  <c:v>Vilnius
Lazdynai </c:v>
                </c:pt>
                <c:pt idx="1">
                  <c:v>Kaunas
Petrašiūnai </c:v>
                </c:pt>
                <c:pt idx="2">
                  <c:v>Klaipėda
Centras </c:v>
                </c:pt>
                <c:pt idx="3">
                  <c:v>Šiauliai</c:v>
                </c:pt>
                <c:pt idx="4">
                  <c:v>Aukštaitija</c:v>
                </c:pt>
              </c:strCache>
            </c:strRef>
          </c:cat>
          <c:val>
            <c:numRef>
              <c:f>'[koncentraciju uzduotis.xlsx]Cd'!$C$3:$C$7</c:f>
              <c:numCache>
                <c:formatCode>General</c:formatCode>
                <c:ptCount val="5"/>
                <c:pt idx="0">
                  <c:v>7.0000000000000007E-2</c:v>
                </c:pt>
                <c:pt idx="1">
                  <c:v>0.11</c:v>
                </c:pt>
                <c:pt idx="2">
                  <c:v>0.05</c:v>
                </c:pt>
                <c:pt idx="3">
                  <c:v>0.04</c:v>
                </c:pt>
                <c:pt idx="4">
                  <c:v>0.03</c:v>
                </c:pt>
              </c:numCache>
            </c:numRef>
          </c:val>
          <c:extLst>
            <c:ext xmlns:c16="http://schemas.microsoft.com/office/drawing/2014/chart" uri="{C3380CC4-5D6E-409C-BE32-E72D297353CC}">
              <c16:uniqueId val="{00000001-6D62-40B5-8446-DF2498860650}"/>
            </c:ext>
          </c:extLst>
        </c:ser>
        <c:dLbls>
          <c:showLegendKey val="0"/>
          <c:showVal val="0"/>
          <c:showCatName val="0"/>
          <c:showSerName val="0"/>
          <c:showPercent val="0"/>
          <c:showBubbleSize val="0"/>
        </c:dLbls>
        <c:gapWidth val="219"/>
        <c:axId val="269156352"/>
        <c:axId val="269157888"/>
      </c:barChart>
      <c:catAx>
        <c:axId val="26915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269157888"/>
        <c:crosses val="autoZero"/>
        <c:auto val="1"/>
        <c:lblAlgn val="ctr"/>
        <c:lblOffset val="100"/>
        <c:noMultiLvlLbl val="0"/>
      </c:catAx>
      <c:valAx>
        <c:axId val="269157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ng/m3</a:t>
                </a:r>
              </a:p>
            </c:rich>
          </c:tx>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lt-LT"/>
          </a:p>
        </c:txPr>
        <c:crossAx val="269156352"/>
        <c:crosses val="autoZero"/>
        <c:crossBetween val="between"/>
      </c:valAx>
      <c:spPr>
        <a:noFill/>
        <a:ln>
          <a:noFill/>
        </a:ln>
        <a:effectLst/>
      </c:spPr>
    </c:plotArea>
    <c:legend>
      <c:legendPos val="b"/>
      <c:layout/>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'[koncentraciju uzduotis.xlsx]benzo(a)pirenas'!$B$2</c:f>
              <c:strCache>
                <c:ptCount val="1"/>
                <c:pt idx="0">
                  <c:v>2007</c:v>
                </c:pt>
              </c:strCache>
            </c:strRef>
          </c:tx>
          <c:spPr>
            <a:solidFill>
              <a:schemeClr val="accent1"/>
            </a:solidFill>
            <a:ln>
              <a:noFill/>
            </a:ln>
            <a:effectLst/>
          </c:spPr>
          <c:invertIfNegative val="0"/>
          <c:cat>
            <c:strRef>
              <c:f>'[koncentraciju uzduotis.xlsx]benzo(a)pirenas'!$A$3:$A$7</c:f>
              <c:strCache>
                <c:ptCount val="5"/>
                <c:pt idx="0">
                  <c:v>Vilnius
Lazdynai </c:v>
                </c:pt>
                <c:pt idx="1">
                  <c:v>Kaunas
Petrašiūnai </c:v>
                </c:pt>
                <c:pt idx="2">
                  <c:v>Klaipėda
Centras </c:v>
                </c:pt>
                <c:pt idx="3">
                  <c:v>Šiauliai</c:v>
                </c:pt>
                <c:pt idx="4">
                  <c:v>Aukštaitija</c:v>
                </c:pt>
              </c:strCache>
            </c:strRef>
          </c:cat>
          <c:val>
            <c:numRef>
              <c:f>'[koncentraciju uzduotis.xlsx]benzo(a)pirenas'!$B$3:$B$7</c:f>
              <c:numCache>
                <c:formatCode>General</c:formatCode>
                <c:ptCount val="5"/>
                <c:pt idx="0">
                  <c:v>0.4</c:v>
                </c:pt>
                <c:pt idx="1">
                  <c:v>0.9</c:v>
                </c:pt>
                <c:pt idx="2">
                  <c:v>0.5</c:v>
                </c:pt>
                <c:pt idx="3">
                  <c:v>1</c:v>
                </c:pt>
              </c:numCache>
            </c:numRef>
          </c:val>
          <c:extLst>
            <c:ext xmlns:c16="http://schemas.microsoft.com/office/drawing/2014/chart" uri="{C3380CC4-5D6E-409C-BE32-E72D297353CC}">
              <c16:uniqueId val="{00000000-2626-4CE7-9C53-83A99CB3A0A8}"/>
            </c:ext>
          </c:extLst>
        </c:ser>
        <c:ser>
          <c:idx val="1"/>
          <c:order val="1"/>
          <c:tx>
            <c:strRef>
              <c:f>'[koncentraciju uzduotis.xlsx]benzo(a)pirenas'!$C$2</c:f>
              <c:strCache>
                <c:ptCount val="1"/>
                <c:pt idx="0">
                  <c:v>2016</c:v>
                </c:pt>
              </c:strCache>
            </c:strRef>
          </c:tx>
          <c:spPr>
            <a:solidFill>
              <a:srgbClr val="FFC000"/>
            </a:solidFill>
            <a:ln>
              <a:noFill/>
            </a:ln>
            <a:effectLst/>
          </c:spPr>
          <c:invertIfNegative val="0"/>
          <c:cat>
            <c:strRef>
              <c:f>'[koncentraciju uzduotis.xlsx]benzo(a)pirenas'!$A$3:$A$7</c:f>
              <c:strCache>
                <c:ptCount val="5"/>
                <c:pt idx="0">
                  <c:v>Vilnius
Lazdynai </c:v>
                </c:pt>
                <c:pt idx="1">
                  <c:v>Kaunas
Petrašiūnai </c:v>
                </c:pt>
                <c:pt idx="2">
                  <c:v>Klaipėda
Centras </c:v>
                </c:pt>
                <c:pt idx="3">
                  <c:v>Šiauliai</c:v>
                </c:pt>
                <c:pt idx="4">
                  <c:v>Aukštaitija</c:v>
                </c:pt>
              </c:strCache>
            </c:strRef>
          </c:cat>
          <c:val>
            <c:numRef>
              <c:f>'[koncentraciju uzduotis.xlsx]benzo(a)pirenas'!$C$3:$C$7</c:f>
              <c:numCache>
                <c:formatCode>General</c:formatCode>
                <c:ptCount val="5"/>
                <c:pt idx="0">
                  <c:v>0.94</c:v>
                </c:pt>
                <c:pt idx="1">
                  <c:v>1.46</c:v>
                </c:pt>
                <c:pt idx="2">
                  <c:v>0.67</c:v>
                </c:pt>
                <c:pt idx="3">
                  <c:v>1.28</c:v>
                </c:pt>
                <c:pt idx="4">
                  <c:v>0.2</c:v>
                </c:pt>
              </c:numCache>
            </c:numRef>
          </c:val>
          <c:extLst>
            <c:ext xmlns:c16="http://schemas.microsoft.com/office/drawing/2014/chart" uri="{C3380CC4-5D6E-409C-BE32-E72D297353CC}">
              <c16:uniqueId val="{00000001-2626-4CE7-9C53-83A99CB3A0A8}"/>
            </c:ext>
          </c:extLst>
        </c:ser>
        <c:dLbls>
          <c:showLegendKey val="0"/>
          <c:showVal val="0"/>
          <c:showCatName val="0"/>
          <c:showSerName val="0"/>
          <c:showPercent val="0"/>
          <c:showBubbleSize val="0"/>
        </c:dLbls>
        <c:gapWidth val="219"/>
        <c:axId val="269184384"/>
        <c:axId val="269186176"/>
      </c:barChart>
      <c:catAx>
        <c:axId val="26918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269186176"/>
        <c:crosses val="autoZero"/>
        <c:auto val="1"/>
        <c:lblAlgn val="ctr"/>
        <c:lblOffset val="100"/>
        <c:noMultiLvlLbl val="0"/>
      </c:catAx>
      <c:valAx>
        <c:axId val="269186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ng/m3</a:t>
                </a:r>
              </a:p>
            </c:rich>
          </c:tx>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lt-LT"/>
          </a:p>
        </c:txPr>
        <c:crossAx val="269184384"/>
        <c:crosses val="autoZero"/>
        <c:crossBetween val="between"/>
      </c:valAx>
      <c:spPr>
        <a:noFill/>
        <a:ln>
          <a:noFill/>
        </a:ln>
        <a:effectLst/>
      </c:spPr>
    </c:plotArea>
    <c:legend>
      <c:legendPos val="b"/>
      <c:layout/>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'[koncentraciju uzduotis.xlsx]Benzo(a)antracenas'!$B$2</c:f>
              <c:strCache>
                <c:ptCount val="1"/>
                <c:pt idx="0">
                  <c:v>2007</c:v>
                </c:pt>
              </c:strCache>
            </c:strRef>
          </c:tx>
          <c:spPr>
            <a:solidFill>
              <a:schemeClr val="accent1"/>
            </a:solidFill>
            <a:ln>
              <a:noFill/>
            </a:ln>
            <a:effectLst/>
          </c:spPr>
          <c:invertIfNegative val="0"/>
          <c:cat>
            <c:strRef>
              <c:f>'[koncentraciju uzduotis.xlsx]Benzo(a)antracenas'!$A$3:$A$7</c:f>
              <c:strCache>
                <c:ptCount val="5"/>
                <c:pt idx="0">
                  <c:v>Vilnius
Lazdynai </c:v>
                </c:pt>
                <c:pt idx="1">
                  <c:v>Kaunas
Petrašiūnai </c:v>
                </c:pt>
                <c:pt idx="2">
                  <c:v>Klaipėda
Centras </c:v>
                </c:pt>
                <c:pt idx="3">
                  <c:v>Šiauliai</c:v>
                </c:pt>
                <c:pt idx="4">
                  <c:v>Aukštaitija</c:v>
                </c:pt>
              </c:strCache>
            </c:strRef>
          </c:cat>
          <c:val>
            <c:numRef>
              <c:f>'[koncentraciju uzduotis.xlsx]Benzo(a)antracenas'!$B$3:$B$7</c:f>
              <c:numCache>
                <c:formatCode>General</c:formatCode>
                <c:ptCount val="5"/>
                <c:pt idx="0">
                  <c:v>0.3</c:v>
                </c:pt>
                <c:pt idx="1">
                  <c:v>1</c:v>
                </c:pt>
                <c:pt idx="2">
                  <c:v>0.5</c:v>
                </c:pt>
                <c:pt idx="3">
                  <c:v>1</c:v>
                </c:pt>
              </c:numCache>
            </c:numRef>
          </c:val>
          <c:extLst>
            <c:ext xmlns:c16="http://schemas.microsoft.com/office/drawing/2014/chart" uri="{C3380CC4-5D6E-409C-BE32-E72D297353CC}">
              <c16:uniqueId val="{00000000-4EB9-45F2-93D8-B5AA7261A49E}"/>
            </c:ext>
          </c:extLst>
        </c:ser>
        <c:ser>
          <c:idx val="1"/>
          <c:order val="1"/>
          <c:tx>
            <c:strRef>
              <c:f>'[koncentraciju uzduotis.xlsx]Benzo(a)antracenas'!$C$2</c:f>
              <c:strCache>
                <c:ptCount val="1"/>
                <c:pt idx="0">
                  <c:v>2016</c:v>
                </c:pt>
              </c:strCache>
            </c:strRef>
          </c:tx>
          <c:spPr>
            <a:solidFill>
              <a:srgbClr val="FFC000"/>
            </a:solidFill>
            <a:ln>
              <a:noFill/>
            </a:ln>
            <a:effectLst/>
          </c:spPr>
          <c:invertIfNegative val="0"/>
          <c:cat>
            <c:strRef>
              <c:f>'[koncentraciju uzduotis.xlsx]Benzo(a)antracenas'!$A$3:$A$7</c:f>
              <c:strCache>
                <c:ptCount val="5"/>
                <c:pt idx="0">
                  <c:v>Vilnius
Lazdynai </c:v>
                </c:pt>
                <c:pt idx="1">
                  <c:v>Kaunas
Petrašiūnai </c:v>
                </c:pt>
                <c:pt idx="2">
                  <c:v>Klaipėda
Centras </c:v>
                </c:pt>
                <c:pt idx="3">
                  <c:v>Šiauliai</c:v>
                </c:pt>
                <c:pt idx="4">
                  <c:v>Aukštaitija</c:v>
                </c:pt>
              </c:strCache>
            </c:strRef>
          </c:cat>
          <c:val>
            <c:numRef>
              <c:f>'[koncentraciju uzduotis.xlsx]Benzo(a)antracenas'!$C$3:$C$7</c:f>
              <c:numCache>
                <c:formatCode>General</c:formatCode>
                <c:ptCount val="5"/>
                <c:pt idx="0">
                  <c:v>1.54</c:v>
                </c:pt>
                <c:pt idx="1">
                  <c:v>2.1800000000000002</c:v>
                </c:pt>
                <c:pt idx="2">
                  <c:v>0.86</c:v>
                </c:pt>
                <c:pt idx="3">
                  <c:v>2.1</c:v>
                </c:pt>
                <c:pt idx="4">
                  <c:v>0.26</c:v>
                </c:pt>
              </c:numCache>
            </c:numRef>
          </c:val>
          <c:extLst>
            <c:ext xmlns:c16="http://schemas.microsoft.com/office/drawing/2014/chart" uri="{C3380CC4-5D6E-409C-BE32-E72D297353CC}">
              <c16:uniqueId val="{00000001-4EB9-45F2-93D8-B5AA7261A49E}"/>
            </c:ext>
          </c:extLst>
        </c:ser>
        <c:dLbls>
          <c:showLegendKey val="0"/>
          <c:showVal val="0"/>
          <c:showCatName val="0"/>
          <c:showSerName val="0"/>
          <c:showPercent val="0"/>
          <c:showBubbleSize val="0"/>
        </c:dLbls>
        <c:gapWidth val="219"/>
        <c:axId val="269208192"/>
        <c:axId val="269816192"/>
      </c:barChart>
      <c:catAx>
        <c:axId val="26920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269816192"/>
        <c:crosses val="autoZero"/>
        <c:auto val="1"/>
        <c:lblAlgn val="ctr"/>
        <c:lblOffset val="100"/>
        <c:noMultiLvlLbl val="0"/>
      </c:catAx>
      <c:valAx>
        <c:axId val="269816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ng/m³ </a:t>
                </a:r>
              </a:p>
            </c:rich>
          </c:tx>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lt-LT"/>
          </a:p>
        </c:txPr>
        <c:crossAx val="269208192"/>
        <c:crosses val="autoZero"/>
        <c:crossBetween val="between"/>
      </c:valAx>
      <c:spPr>
        <a:noFill/>
        <a:ln>
          <a:noFill/>
        </a:ln>
        <a:effectLst/>
      </c:spPr>
    </c:plotArea>
    <c:legend>
      <c:legendPos val="b"/>
      <c:layout/>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0"/>
            <c:invertIfNegative val="0"/>
            <c:bubble3D val="0"/>
            <c:spPr>
              <a:solidFill>
                <a:schemeClr val="tx2">
                  <a:lumMod val="50000"/>
                </a:schemeClr>
              </a:solidFill>
            </c:spPr>
            <c:extLst>
              <c:ext xmlns:c16="http://schemas.microsoft.com/office/drawing/2014/chart" uri="{C3380CC4-5D6E-409C-BE32-E72D297353CC}">
                <c16:uniqueId val="{00000001-1AEC-434D-B65B-FFE6B0A9C457}"/>
              </c:ext>
            </c:extLst>
          </c:dPt>
          <c:dPt>
            <c:idx val="2"/>
            <c:invertIfNegative val="0"/>
            <c:bubble3D val="0"/>
            <c:spPr>
              <a:solidFill>
                <a:schemeClr val="accent1">
                  <a:lumMod val="60000"/>
                  <a:lumOff val="40000"/>
                </a:schemeClr>
              </a:solidFill>
            </c:spPr>
            <c:extLst>
              <c:ext xmlns:c16="http://schemas.microsoft.com/office/drawing/2014/chart" uri="{C3380CC4-5D6E-409C-BE32-E72D297353CC}">
                <c16:uniqueId val="{00000003-1AEC-434D-B65B-FFE6B0A9C457}"/>
              </c:ext>
            </c:extLst>
          </c:dPt>
          <c:dPt>
            <c:idx val="3"/>
            <c:invertIfNegative val="0"/>
            <c:bubble3D val="0"/>
            <c:spPr>
              <a:solidFill>
                <a:schemeClr val="accent1">
                  <a:lumMod val="75000"/>
                </a:schemeClr>
              </a:solidFill>
            </c:spPr>
            <c:extLst>
              <c:ext xmlns:c16="http://schemas.microsoft.com/office/drawing/2014/chart" uri="{C3380CC4-5D6E-409C-BE32-E72D297353CC}">
                <c16:uniqueId val="{00000005-1AEC-434D-B65B-FFE6B0A9C457}"/>
              </c:ext>
            </c:extLst>
          </c:dPt>
          <c:dPt>
            <c:idx val="4"/>
            <c:invertIfNegative val="0"/>
            <c:bubble3D val="0"/>
            <c:spPr>
              <a:solidFill>
                <a:schemeClr val="bg1">
                  <a:lumMod val="50000"/>
                </a:schemeClr>
              </a:solidFill>
            </c:spPr>
            <c:extLst>
              <c:ext xmlns:c16="http://schemas.microsoft.com/office/drawing/2014/chart" uri="{C3380CC4-5D6E-409C-BE32-E72D297353CC}">
                <c16:uniqueId val="{00000007-1AEC-434D-B65B-FFE6B0A9C457}"/>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(Sheet13!$B$2;Sheet13!$B$4;Sheet13!$B$6;Sheet13!$B$8;Sheet13!$B$10)</c:f>
              <c:strCache>
                <c:ptCount val="5"/>
                <c:pt idx="0">
                  <c:v>Mažeikių r. sav.</c:v>
                </c:pt>
                <c:pt idx="1">
                  <c:v>Akmenės r. sav.</c:v>
                </c:pt>
                <c:pt idx="2">
                  <c:v>Jonavos r. sav.</c:v>
                </c:pt>
                <c:pt idx="3">
                  <c:v>Elektrėnų sav.</c:v>
                </c:pt>
                <c:pt idx="4">
                  <c:v>Kėdainių r. sav.</c:v>
                </c:pt>
              </c:strCache>
            </c:strRef>
          </c:cat>
          <c:val>
            <c:numRef>
              <c:f>(Sheet13!$D$2;Sheet13!$D$4;Sheet13!$D$6;Sheet13!$D$8;Sheet13!$D$10)</c:f>
              <c:numCache>
                <c:formatCode>_-* #,##0\ _€_-;\-* #,##0\ _€_-;_-* "-"??\ _€_-;_-@_-</c:formatCode>
                <c:ptCount val="5"/>
                <c:pt idx="0">
                  <c:v>24674.74</c:v>
                </c:pt>
                <c:pt idx="1">
                  <c:v>4910.17</c:v>
                </c:pt>
                <c:pt idx="2">
                  <c:v>3002.81</c:v>
                </c:pt>
                <c:pt idx="3">
                  <c:v>2487.67</c:v>
                </c:pt>
                <c:pt idx="4">
                  <c:v>2035.44</c:v>
                </c:pt>
              </c:numCache>
            </c:numRef>
          </c:val>
          <c:extLst>
            <c:ext xmlns:c16="http://schemas.microsoft.com/office/drawing/2014/chart" uri="{C3380CC4-5D6E-409C-BE32-E72D297353CC}">
              <c16:uniqueId val="{00000008-1AEC-434D-B65B-FFE6B0A9C457}"/>
            </c:ext>
          </c:extLst>
        </c:ser>
        <c:dLbls>
          <c:dLblPos val="outEnd"/>
          <c:showLegendKey val="0"/>
          <c:showVal val="1"/>
          <c:showCatName val="0"/>
          <c:showSerName val="0"/>
          <c:showPercent val="0"/>
          <c:showBubbleSize val="0"/>
        </c:dLbls>
        <c:gapWidth val="150"/>
        <c:axId val="143033472"/>
        <c:axId val="191709952"/>
      </c:barChart>
      <c:catAx>
        <c:axId val="143033472"/>
        <c:scaling>
          <c:orientation val="minMax"/>
        </c:scaling>
        <c:delete val="0"/>
        <c:axPos val="b"/>
        <c:numFmt formatCode="General" sourceLinked="0"/>
        <c:majorTickMark val="out"/>
        <c:minorTickMark val="none"/>
        <c:tickLblPos val="nextTo"/>
        <c:crossAx val="191709952"/>
        <c:crosses val="autoZero"/>
        <c:auto val="1"/>
        <c:lblAlgn val="ctr"/>
        <c:lblOffset val="100"/>
        <c:noMultiLvlLbl val="0"/>
      </c:catAx>
      <c:valAx>
        <c:axId val="191709952"/>
        <c:scaling>
          <c:orientation val="minMax"/>
        </c:scaling>
        <c:delete val="0"/>
        <c:axPos val="l"/>
        <c:majorGridlines/>
        <c:title>
          <c:tx>
            <c:rich>
              <a:bodyPr rot="-5400000" vert="horz"/>
              <a:lstStyle/>
              <a:p>
                <a:pPr>
                  <a:defRPr/>
                </a:pPr>
                <a:r>
                  <a:rPr lang="lt-LT"/>
                  <a:t>Bendras teršalų kiekis, t/m</a:t>
                </a:r>
              </a:p>
            </c:rich>
          </c:tx>
          <c:layout/>
          <c:overlay val="0"/>
        </c:title>
        <c:numFmt formatCode="_-* #,##0\ _€_-;\-* #,##0\ _€_-;_-* &quot;-&quot;??\ _€_-;_-@_-" sourceLinked="1"/>
        <c:majorTickMark val="out"/>
        <c:minorTickMark val="none"/>
        <c:tickLblPos val="nextTo"/>
        <c:crossAx val="143033472"/>
        <c:crosses val="autoZero"/>
        <c:crossBetween val="between"/>
      </c:valAx>
    </c:plotArea>
    <c:plotVisOnly val="1"/>
    <c:dispBlanksAs val="gap"/>
    <c:showDLblsOverMax val="0"/>
  </c:chart>
  <c:spPr>
    <a:ln>
      <a:noFill/>
    </a:ln>
  </c:spPr>
  <c:txPr>
    <a:bodyPr/>
    <a:lstStyle/>
    <a:p>
      <a:pPr>
        <a:defRPr sz="900" b="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'[koncentraciju uzduotis.xlsx]Benzo(b)fluorantenas'!$B$2</c:f>
              <c:strCache>
                <c:ptCount val="1"/>
                <c:pt idx="0">
                  <c:v>2007</c:v>
                </c:pt>
              </c:strCache>
            </c:strRef>
          </c:tx>
          <c:spPr>
            <a:solidFill>
              <a:schemeClr val="accent1"/>
            </a:solidFill>
            <a:ln>
              <a:noFill/>
            </a:ln>
            <a:effectLst/>
          </c:spPr>
          <c:invertIfNegative val="0"/>
          <c:cat>
            <c:strRef>
              <c:f>'[koncentraciju uzduotis.xlsx]Benzo(b)fluorantenas'!$A$3:$A$7</c:f>
              <c:strCache>
                <c:ptCount val="5"/>
                <c:pt idx="0">
                  <c:v>Vilnius
Lazdynai </c:v>
                </c:pt>
                <c:pt idx="1">
                  <c:v>Kaunas
Petrašiūnai </c:v>
                </c:pt>
                <c:pt idx="2">
                  <c:v>Klaipėda
Centras </c:v>
                </c:pt>
                <c:pt idx="3">
                  <c:v>Šiauliai</c:v>
                </c:pt>
                <c:pt idx="4">
                  <c:v>Aukštaitija</c:v>
                </c:pt>
              </c:strCache>
            </c:strRef>
          </c:cat>
          <c:val>
            <c:numRef>
              <c:f>'[koncentraciju uzduotis.xlsx]Benzo(b)fluorantenas'!$B$3:$B$7</c:f>
              <c:numCache>
                <c:formatCode>General</c:formatCode>
                <c:ptCount val="5"/>
                <c:pt idx="0">
                  <c:v>0.4</c:v>
                </c:pt>
                <c:pt idx="1">
                  <c:v>1.1000000000000001</c:v>
                </c:pt>
                <c:pt idx="2">
                  <c:v>0.5</c:v>
                </c:pt>
                <c:pt idx="3">
                  <c:v>1.1000000000000001</c:v>
                </c:pt>
              </c:numCache>
            </c:numRef>
          </c:val>
          <c:extLst>
            <c:ext xmlns:c16="http://schemas.microsoft.com/office/drawing/2014/chart" uri="{C3380CC4-5D6E-409C-BE32-E72D297353CC}">
              <c16:uniqueId val="{00000000-81DA-454B-AA31-851D64615356}"/>
            </c:ext>
          </c:extLst>
        </c:ser>
        <c:ser>
          <c:idx val="1"/>
          <c:order val="1"/>
          <c:tx>
            <c:strRef>
              <c:f>'[koncentraciju uzduotis.xlsx]Benzo(b)fluorantenas'!$C$2</c:f>
              <c:strCache>
                <c:ptCount val="1"/>
                <c:pt idx="0">
                  <c:v>2016</c:v>
                </c:pt>
              </c:strCache>
            </c:strRef>
          </c:tx>
          <c:spPr>
            <a:solidFill>
              <a:srgbClr val="FFC000"/>
            </a:solidFill>
            <a:ln>
              <a:noFill/>
            </a:ln>
            <a:effectLst/>
          </c:spPr>
          <c:invertIfNegative val="0"/>
          <c:cat>
            <c:strRef>
              <c:f>'[koncentraciju uzduotis.xlsx]Benzo(b)fluorantenas'!$A$3:$A$7</c:f>
              <c:strCache>
                <c:ptCount val="5"/>
                <c:pt idx="0">
                  <c:v>Vilnius
Lazdynai </c:v>
                </c:pt>
                <c:pt idx="1">
                  <c:v>Kaunas
Petrašiūnai </c:v>
                </c:pt>
                <c:pt idx="2">
                  <c:v>Klaipėda
Centras </c:v>
                </c:pt>
                <c:pt idx="3">
                  <c:v>Šiauliai</c:v>
                </c:pt>
                <c:pt idx="4">
                  <c:v>Aukštaitija</c:v>
                </c:pt>
              </c:strCache>
            </c:strRef>
          </c:cat>
          <c:val>
            <c:numRef>
              <c:f>'[koncentraciju uzduotis.xlsx]Benzo(b)fluorantenas'!$C$3:$C$7</c:f>
              <c:numCache>
                <c:formatCode>General</c:formatCode>
                <c:ptCount val="5"/>
                <c:pt idx="0">
                  <c:v>0.97</c:v>
                </c:pt>
                <c:pt idx="1">
                  <c:v>1.4</c:v>
                </c:pt>
                <c:pt idx="2">
                  <c:v>0.69</c:v>
                </c:pt>
                <c:pt idx="3">
                  <c:v>1.22</c:v>
                </c:pt>
                <c:pt idx="4">
                  <c:v>0.28000000000000003</c:v>
                </c:pt>
              </c:numCache>
            </c:numRef>
          </c:val>
          <c:extLst>
            <c:ext xmlns:c16="http://schemas.microsoft.com/office/drawing/2014/chart" uri="{C3380CC4-5D6E-409C-BE32-E72D297353CC}">
              <c16:uniqueId val="{00000001-81DA-454B-AA31-851D64615356}"/>
            </c:ext>
          </c:extLst>
        </c:ser>
        <c:dLbls>
          <c:showLegendKey val="0"/>
          <c:showVal val="0"/>
          <c:showCatName val="0"/>
          <c:showSerName val="0"/>
          <c:showPercent val="0"/>
          <c:showBubbleSize val="0"/>
        </c:dLbls>
        <c:gapWidth val="219"/>
        <c:axId val="269846400"/>
        <c:axId val="269847936"/>
      </c:barChart>
      <c:catAx>
        <c:axId val="26984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269847936"/>
        <c:crosses val="autoZero"/>
        <c:auto val="1"/>
        <c:lblAlgn val="ctr"/>
        <c:lblOffset val="100"/>
        <c:noMultiLvlLbl val="0"/>
      </c:catAx>
      <c:valAx>
        <c:axId val="269847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ng/m³ </a:t>
                </a:r>
              </a:p>
            </c:rich>
          </c:tx>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lt-LT"/>
          </a:p>
        </c:txPr>
        <c:crossAx val="269846400"/>
        <c:crosses val="autoZero"/>
        <c:crossBetween val="between"/>
      </c:valAx>
      <c:spPr>
        <a:noFill/>
        <a:ln>
          <a:noFill/>
        </a:ln>
        <a:effectLst/>
      </c:spPr>
    </c:plotArea>
    <c:legend>
      <c:legendPos val="b"/>
      <c:layout/>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'[koncentraciju uzduotis.xlsx]Benzo(k)fluorantenas'!$B$2</c:f>
              <c:strCache>
                <c:ptCount val="1"/>
                <c:pt idx="0">
                  <c:v>2007</c:v>
                </c:pt>
              </c:strCache>
            </c:strRef>
          </c:tx>
          <c:spPr>
            <a:solidFill>
              <a:schemeClr val="accent1"/>
            </a:solidFill>
            <a:ln>
              <a:noFill/>
            </a:ln>
            <a:effectLst/>
          </c:spPr>
          <c:invertIfNegative val="0"/>
          <c:cat>
            <c:strRef>
              <c:f>'[koncentraciju uzduotis.xlsx]Benzo(k)fluorantenas'!$A$3:$A$7</c:f>
              <c:strCache>
                <c:ptCount val="5"/>
                <c:pt idx="0">
                  <c:v>Vilnius
Lazdynai </c:v>
                </c:pt>
                <c:pt idx="1">
                  <c:v>Kaunas
Petrašiūnai </c:v>
                </c:pt>
                <c:pt idx="2">
                  <c:v>Klaipėda
Centras </c:v>
                </c:pt>
                <c:pt idx="3">
                  <c:v>Šiauliai</c:v>
                </c:pt>
                <c:pt idx="4">
                  <c:v>Aukštaitija</c:v>
                </c:pt>
              </c:strCache>
            </c:strRef>
          </c:cat>
          <c:val>
            <c:numRef>
              <c:f>'[koncentraciju uzduotis.xlsx]Benzo(k)fluorantenas'!$B$3:$B$7</c:f>
              <c:numCache>
                <c:formatCode>General</c:formatCode>
                <c:ptCount val="5"/>
                <c:pt idx="0">
                  <c:v>0.2</c:v>
                </c:pt>
                <c:pt idx="1">
                  <c:v>0.6</c:v>
                </c:pt>
                <c:pt idx="2">
                  <c:v>0.3</c:v>
                </c:pt>
                <c:pt idx="3">
                  <c:v>0.6</c:v>
                </c:pt>
              </c:numCache>
            </c:numRef>
          </c:val>
          <c:extLst>
            <c:ext xmlns:c16="http://schemas.microsoft.com/office/drawing/2014/chart" uri="{C3380CC4-5D6E-409C-BE32-E72D297353CC}">
              <c16:uniqueId val="{00000000-4D04-43A4-B1F2-37362B05814A}"/>
            </c:ext>
          </c:extLst>
        </c:ser>
        <c:ser>
          <c:idx val="1"/>
          <c:order val="1"/>
          <c:tx>
            <c:strRef>
              <c:f>'[koncentraciju uzduotis.xlsx]Benzo(k)fluorantenas'!$C$2</c:f>
              <c:strCache>
                <c:ptCount val="1"/>
                <c:pt idx="0">
                  <c:v>2016</c:v>
                </c:pt>
              </c:strCache>
            </c:strRef>
          </c:tx>
          <c:spPr>
            <a:solidFill>
              <a:srgbClr val="FFC000"/>
            </a:solidFill>
            <a:ln>
              <a:noFill/>
            </a:ln>
            <a:effectLst/>
          </c:spPr>
          <c:invertIfNegative val="0"/>
          <c:cat>
            <c:strRef>
              <c:f>'[koncentraciju uzduotis.xlsx]Benzo(k)fluorantenas'!$A$3:$A$7</c:f>
              <c:strCache>
                <c:ptCount val="5"/>
                <c:pt idx="0">
                  <c:v>Vilnius
Lazdynai </c:v>
                </c:pt>
                <c:pt idx="1">
                  <c:v>Kaunas
Petrašiūnai </c:v>
                </c:pt>
                <c:pt idx="2">
                  <c:v>Klaipėda
Centras </c:v>
                </c:pt>
                <c:pt idx="3">
                  <c:v>Šiauliai</c:v>
                </c:pt>
                <c:pt idx="4">
                  <c:v>Aukštaitija</c:v>
                </c:pt>
              </c:strCache>
            </c:strRef>
          </c:cat>
          <c:val>
            <c:numRef>
              <c:f>'[koncentraciju uzduotis.xlsx]Benzo(k)fluorantenas'!$C$3:$C$7</c:f>
              <c:numCache>
                <c:formatCode>General</c:formatCode>
                <c:ptCount val="5"/>
                <c:pt idx="0">
                  <c:v>0.42</c:v>
                </c:pt>
                <c:pt idx="1">
                  <c:v>0.69</c:v>
                </c:pt>
                <c:pt idx="2">
                  <c:v>0.31</c:v>
                </c:pt>
                <c:pt idx="3">
                  <c:v>0.55000000000000004</c:v>
                </c:pt>
                <c:pt idx="4">
                  <c:v>0.12</c:v>
                </c:pt>
              </c:numCache>
            </c:numRef>
          </c:val>
          <c:extLst>
            <c:ext xmlns:c16="http://schemas.microsoft.com/office/drawing/2014/chart" uri="{C3380CC4-5D6E-409C-BE32-E72D297353CC}">
              <c16:uniqueId val="{00000001-4D04-43A4-B1F2-37362B05814A}"/>
            </c:ext>
          </c:extLst>
        </c:ser>
        <c:dLbls>
          <c:showLegendKey val="0"/>
          <c:showVal val="0"/>
          <c:showCatName val="0"/>
          <c:showSerName val="0"/>
          <c:showPercent val="0"/>
          <c:showBubbleSize val="0"/>
        </c:dLbls>
        <c:gapWidth val="219"/>
        <c:axId val="269882496"/>
        <c:axId val="269884032"/>
      </c:barChart>
      <c:catAx>
        <c:axId val="26988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269884032"/>
        <c:crosses val="autoZero"/>
        <c:auto val="1"/>
        <c:lblAlgn val="ctr"/>
        <c:lblOffset val="100"/>
        <c:noMultiLvlLbl val="0"/>
      </c:catAx>
      <c:valAx>
        <c:axId val="269884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ng/m³</a:t>
                </a:r>
              </a:p>
            </c:rich>
          </c:tx>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lt-LT"/>
          </a:p>
        </c:txPr>
        <c:crossAx val="269882496"/>
        <c:crosses val="autoZero"/>
        <c:crossBetween val="between"/>
      </c:valAx>
      <c:spPr>
        <a:noFill/>
        <a:ln>
          <a:noFill/>
        </a:ln>
        <a:effectLst/>
      </c:spPr>
    </c:plotArea>
    <c:legend>
      <c:legendPos val="b"/>
      <c:layout/>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'[koncentraciju uzduotis.xlsx]Dibenzo(a,h)antracenas'!$B$2</c:f>
              <c:strCache>
                <c:ptCount val="1"/>
                <c:pt idx="0">
                  <c:v>2007</c:v>
                </c:pt>
              </c:strCache>
            </c:strRef>
          </c:tx>
          <c:spPr>
            <a:solidFill>
              <a:schemeClr val="accent1"/>
            </a:solidFill>
            <a:ln>
              <a:noFill/>
            </a:ln>
            <a:effectLst/>
          </c:spPr>
          <c:invertIfNegative val="0"/>
          <c:cat>
            <c:strRef>
              <c:f>'[koncentraciju uzduotis.xlsx]Dibenzo(a,h)antracenas'!$A$3:$A$7</c:f>
              <c:strCache>
                <c:ptCount val="5"/>
                <c:pt idx="0">
                  <c:v>Vilnius
Lazdynai </c:v>
                </c:pt>
                <c:pt idx="1">
                  <c:v>Kaunas
Petrašiūnai </c:v>
                </c:pt>
                <c:pt idx="2">
                  <c:v>Klaipėda
Centras </c:v>
                </c:pt>
                <c:pt idx="3">
                  <c:v>Šiauliai</c:v>
                </c:pt>
                <c:pt idx="4">
                  <c:v>Aukštaitija</c:v>
                </c:pt>
              </c:strCache>
            </c:strRef>
          </c:cat>
          <c:val>
            <c:numRef>
              <c:f>'[koncentraciju uzduotis.xlsx]Dibenzo(a,h)antracenas'!$B$3:$B$7</c:f>
              <c:numCache>
                <c:formatCode>General</c:formatCode>
                <c:ptCount val="5"/>
                <c:pt idx="0">
                  <c:v>0.04</c:v>
                </c:pt>
                <c:pt idx="1">
                  <c:v>0.08</c:v>
                </c:pt>
                <c:pt idx="2">
                  <c:v>0.04</c:v>
                </c:pt>
                <c:pt idx="3">
                  <c:v>0.05</c:v>
                </c:pt>
              </c:numCache>
            </c:numRef>
          </c:val>
          <c:extLst>
            <c:ext xmlns:c16="http://schemas.microsoft.com/office/drawing/2014/chart" uri="{C3380CC4-5D6E-409C-BE32-E72D297353CC}">
              <c16:uniqueId val="{00000000-4EF0-4A40-BCA0-064BA5BC4143}"/>
            </c:ext>
          </c:extLst>
        </c:ser>
        <c:ser>
          <c:idx val="1"/>
          <c:order val="1"/>
          <c:tx>
            <c:strRef>
              <c:f>'[koncentraciju uzduotis.xlsx]Dibenzo(a,h)antracenas'!$C$2</c:f>
              <c:strCache>
                <c:ptCount val="1"/>
                <c:pt idx="0">
                  <c:v>2016</c:v>
                </c:pt>
              </c:strCache>
            </c:strRef>
          </c:tx>
          <c:spPr>
            <a:solidFill>
              <a:srgbClr val="FFC000"/>
            </a:solidFill>
            <a:ln w="9525">
              <a:solidFill>
                <a:schemeClr val="tx1">
                  <a:lumMod val="15000"/>
                  <a:lumOff val="85000"/>
                  <a:alpha val="99000"/>
                </a:schemeClr>
              </a:solidFill>
            </a:ln>
            <a:effectLst/>
          </c:spPr>
          <c:invertIfNegative val="0"/>
          <c:dPt>
            <c:idx val="3"/>
            <c:invertIfNegative val="0"/>
            <c:bubble3D val="0"/>
            <c:spPr>
              <a:solidFill>
                <a:srgbClr val="FFC000"/>
              </a:solidFill>
              <a:ln w="9525">
                <a:noFill/>
              </a:ln>
              <a:effectLst/>
            </c:spPr>
            <c:extLst>
              <c:ext xmlns:c16="http://schemas.microsoft.com/office/drawing/2014/chart" uri="{C3380CC4-5D6E-409C-BE32-E72D297353CC}">
                <c16:uniqueId val="{00000002-4EF0-4A40-BCA0-064BA5BC4143}"/>
              </c:ext>
            </c:extLst>
          </c:dPt>
          <c:cat>
            <c:strRef>
              <c:f>'[koncentraciju uzduotis.xlsx]Dibenzo(a,h)antracenas'!$A$3:$A$7</c:f>
              <c:strCache>
                <c:ptCount val="5"/>
                <c:pt idx="0">
                  <c:v>Vilnius
Lazdynai </c:v>
                </c:pt>
                <c:pt idx="1">
                  <c:v>Kaunas
Petrašiūnai </c:v>
                </c:pt>
                <c:pt idx="2">
                  <c:v>Klaipėda
Centras </c:v>
                </c:pt>
                <c:pt idx="3">
                  <c:v>Šiauliai</c:v>
                </c:pt>
                <c:pt idx="4">
                  <c:v>Aukštaitija</c:v>
                </c:pt>
              </c:strCache>
            </c:strRef>
          </c:cat>
          <c:val>
            <c:numRef>
              <c:f>'[koncentraciju uzduotis.xlsx]Dibenzo(a,h)antracenas'!$C$3:$C$7</c:f>
              <c:numCache>
                <c:formatCode>General</c:formatCode>
                <c:ptCount val="5"/>
                <c:pt idx="0">
                  <c:v>0.15</c:v>
                </c:pt>
                <c:pt idx="1">
                  <c:v>0.26</c:v>
                </c:pt>
                <c:pt idx="2">
                  <c:v>0.08</c:v>
                </c:pt>
                <c:pt idx="3">
                  <c:v>0.15</c:v>
                </c:pt>
                <c:pt idx="4">
                  <c:v>0.03</c:v>
                </c:pt>
              </c:numCache>
            </c:numRef>
          </c:val>
          <c:extLst>
            <c:ext xmlns:c16="http://schemas.microsoft.com/office/drawing/2014/chart" uri="{C3380CC4-5D6E-409C-BE32-E72D297353CC}">
              <c16:uniqueId val="{00000003-4EF0-4A40-BCA0-064BA5BC4143}"/>
            </c:ext>
          </c:extLst>
        </c:ser>
        <c:dLbls>
          <c:showLegendKey val="0"/>
          <c:showVal val="0"/>
          <c:showCatName val="0"/>
          <c:showSerName val="0"/>
          <c:showPercent val="0"/>
          <c:showBubbleSize val="0"/>
        </c:dLbls>
        <c:gapWidth val="219"/>
        <c:axId val="269939840"/>
        <c:axId val="269941376"/>
      </c:barChart>
      <c:catAx>
        <c:axId val="26993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269941376"/>
        <c:crosses val="autoZero"/>
        <c:auto val="1"/>
        <c:lblAlgn val="ctr"/>
        <c:lblOffset val="100"/>
        <c:noMultiLvlLbl val="0"/>
      </c:catAx>
      <c:valAx>
        <c:axId val="269941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ng/m³</a:t>
                </a:r>
              </a:p>
            </c:rich>
          </c:tx>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lt-LT"/>
          </a:p>
        </c:txPr>
        <c:crossAx val="269939840"/>
        <c:crosses val="autoZero"/>
        <c:crossBetween val="between"/>
      </c:valAx>
      <c:spPr>
        <a:noFill/>
        <a:ln>
          <a:noFill/>
        </a:ln>
        <a:effectLst/>
      </c:spPr>
    </c:plotArea>
    <c:legend>
      <c:legendPos val="b"/>
      <c:layout/>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'[koncentraciju uzduotis.xlsx]Indeno(1,2,3- cd)pirenas'!$B$2</c:f>
              <c:strCache>
                <c:ptCount val="1"/>
                <c:pt idx="0">
                  <c:v>2007</c:v>
                </c:pt>
              </c:strCache>
            </c:strRef>
          </c:tx>
          <c:spPr>
            <a:solidFill>
              <a:schemeClr val="accent1"/>
            </a:solidFill>
            <a:ln>
              <a:noFill/>
            </a:ln>
            <a:effectLst/>
          </c:spPr>
          <c:invertIfNegative val="0"/>
          <c:cat>
            <c:strRef>
              <c:f>'[koncentraciju uzduotis.xlsx]Indeno(1,2,3- cd)pirenas'!$A$3:$A$7</c:f>
              <c:strCache>
                <c:ptCount val="5"/>
                <c:pt idx="0">
                  <c:v>Vilnius
Lazdynai </c:v>
                </c:pt>
                <c:pt idx="1">
                  <c:v>Kaunas
Petrašiūnai </c:v>
                </c:pt>
                <c:pt idx="2">
                  <c:v>Klaipėda
Centras </c:v>
                </c:pt>
                <c:pt idx="3">
                  <c:v>Šiauliai</c:v>
                </c:pt>
                <c:pt idx="4">
                  <c:v>Aukštaitija</c:v>
                </c:pt>
              </c:strCache>
            </c:strRef>
          </c:cat>
          <c:val>
            <c:numRef>
              <c:f>'[koncentraciju uzduotis.xlsx]Indeno(1,2,3- cd)pirenas'!$B$3:$B$7</c:f>
              <c:numCache>
                <c:formatCode>General</c:formatCode>
                <c:ptCount val="5"/>
                <c:pt idx="0">
                  <c:v>0.3</c:v>
                </c:pt>
                <c:pt idx="1">
                  <c:v>0.8</c:v>
                </c:pt>
                <c:pt idx="2">
                  <c:v>0.3</c:v>
                </c:pt>
                <c:pt idx="3">
                  <c:v>0.7</c:v>
                </c:pt>
              </c:numCache>
            </c:numRef>
          </c:val>
          <c:extLst>
            <c:ext xmlns:c16="http://schemas.microsoft.com/office/drawing/2014/chart" uri="{C3380CC4-5D6E-409C-BE32-E72D297353CC}">
              <c16:uniqueId val="{00000000-93FF-43E5-B3B6-2126F7381CF5}"/>
            </c:ext>
          </c:extLst>
        </c:ser>
        <c:ser>
          <c:idx val="1"/>
          <c:order val="1"/>
          <c:tx>
            <c:strRef>
              <c:f>'[koncentraciju uzduotis.xlsx]Indeno(1,2,3- cd)pirenas'!$C$2</c:f>
              <c:strCache>
                <c:ptCount val="1"/>
                <c:pt idx="0">
                  <c:v>2016</c:v>
                </c:pt>
              </c:strCache>
            </c:strRef>
          </c:tx>
          <c:spPr>
            <a:solidFill>
              <a:srgbClr val="FFC000"/>
            </a:solidFill>
            <a:ln>
              <a:noFill/>
            </a:ln>
            <a:effectLst/>
          </c:spPr>
          <c:invertIfNegative val="0"/>
          <c:cat>
            <c:strRef>
              <c:f>'[koncentraciju uzduotis.xlsx]Indeno(1,2,3- cd)pirenas'!$A$3:$A$7</c:f>
              <c:strCache>
                <c:ptCount val="5"/>
                <c:pt idx="0">
                  <c:v>Vilnius
Lazdynai </c:v>
                </c:pt>
                <c:pt idx="1">
                  <c:v>Kaunas
Petrašiūnai </c:v>
                </c:pt>
                <c:pt idx="2">
                  <c:v>Klaipėda
Centras </c:v>
                </c:pt>
                <c:pt idx="3">
                  <c:v>Šiauliai</c:v>
                </c:pt>
                <c:pt idx="4">
                  <c:v>Aukštaitija</c:v>
                </c:pt>
              </c:strCache>
            </c:strRef>
          </c:cat>
          <c:val>
            <c:numRef>
              <c:f>'[koncentraciju uzduotis.xlsx]Indeno(1,2,3- cd)pirenas'!$C$3:$C$7</c:f>
              <c:numCache>
                <c:formatCode>General</c:formatCode>
                <c:ptCount val="5"/>
                <c:pt idx="0">
                  <c:v>0.75</c:v>
                </c:pt>
                <c:pt idx="1">
                  <c:v>1.23</c:v>
                </c:pt>
                <c:pt idx="2">
                  <c:v>0.59</c:v>
                </c:pt>
                <c:pt idx="3">
                  <c:v>0.99</c:v>
                </c:pt>
                <c:pt idx="4">
                  <c:v>0.24</c:v>
                </c:pt>
              </c:numCache>
            </c:numRef>
          </c:val>
          <c:extLst>
            <c:ext xmlns:c16="http://schemas.microsoft.com/office/drawing/2014/chart" uri="{C3380CC4-5D6E-409C-BE32-E72D297353CC}">
              <c16:uniqueId val="{00000001-93FF-43E5-B3B6-2126F7381CF5}"/>
            </c:ext>
          </c:extLst>
        </c:ser>
        <c:dLbls>
          <c:showLegendKey val="0"/>
          <c:showVal val="0"/>
          <c:showCatName val="0"/>
          <c:showSerName val="0"/>
          <c:showPercent val="0"/>
          <c:showBubbleSize val="0"/>
        </c:dLbls>
        <c:gapWidth val="219"/>
        <c:axId val="269967744"/>
        <c:axId val="269969280"/>
      </c:barChart>
      <c:catAx>
        <c:axId val="269967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269969280"/>
        <c:crosses val="autoZero"/>
        <c:auto val="1"/>
        <c:lblAlgn val="ctr"/>
        <c:lblOffset val="100"/>
        <c:noMultiLvlLbl val="0"/>
      </c:catAx>
      <c:valAx>
        <c:axId val="269969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ng/m³</a:t>
                </a:r>
              </a:p>
            </c:rich>
          </c:tx>
          <c:layout/>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lt-LT"/>
          </a:p>
        </c:txPr>
        <c:crossAx val="269967744"/>
        <c:crosses val="autoZero"/>
        <c:crossBetween val="between"/>
      </c:valAx>
      <c:spPr>
        <a:noFill/>
        <a:ln>
          <a:noFill/>
        </a:ln>
        <a:effectLst/>
      </c:spPr>
    </c:plotArea>
    <c:legend>
      <c:legendPos val="b"/>
      <c:layout/>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chemeClr val="bg1">
                  <a:lumMod val="50000"/>
                </a:schemeClr>
              </a:solidFill>
            </c:spPr>
            <c:extLst>
              <c:ext xmlns:c16="http://schemas.microsoft.com/office/drawing/2014/chart" uri="{C3380CC4-5D6E-409C-BE32-E72D297353CC}">
                <c16:uniqueId val="{00000001-4E80-42B8-9FBA-C94A8BF0F70B}"/>
              </c:ext>
            </c:extLst>
          </c:dPt>
          <c:dPt>
            <c:idx val="1"/>
            <c:invertIfNegative val="0"/>
            <c:bubble3D val="0"/>
            <c:spPr>
              <a:solidFill>
                <a:schemeClr val="accent1">
                  <a:lumMod val="75000"/>
                </a:schemeClr>
              </a:solidFill>
            </c:spPr>
            <c:extLst>
              <c:ext xmlns:c16="http://schemas.microsoft.com/office/drawing/2014/chart" uri="{C3380CC4-5D6E-409C-BE32-E72D297353CC}">
                <c16:uniqueId val="{00000003-4E80-42B8-9FBA-C94A8BF0F70B}"/>
              </c:ext>
            </c:extLst>
          </c:dPt>
          <c:dPt>
            <c:idx val="2"/>
            <c:invertIfNegative val="0"/>
            <c:bubble3D val="0"/>
            <c:spPr>
              <a:solidFill>
                <a:schemeClr val="tx2">
                  <a:lumMod val="40000"/>
                  <a:lumOff val="60000"/>
                </a:schemeClr>
              </a:solidFill>
            </c:spPr>
            <c:extLst>
              <c:ext xmlns:c16="http://schemas.microsoft.com/office/drawing/2014/chart" uri="{C3380CC4-5D6E-409C-BE32-E72D297353CC}">
                <c16:uniqueId val="{00000005-4E80-42B8-9FBA-C94A8BF0F70B}"/>
              </c:ext>
            </c:extLst>
          </c:dPt>
          <c:dPt>
            <c:idx val="3"/>
            <c:invertIfNegative val="0"/>
            <c:bubble3D val="0"/>
            <c:spPr>
              <a:solidFill>
                <a:schemeClr val="tx2">
                  <a:lumMod val="60000"/>
                  <a:lumOff val="40000"/>
                </a:schemeClr>
              </a:solidFill>
            </c:spPr>
            <c:extLst>
              <c:ext xmlns:c16="http://schemas.microsoft.com/office/drawing/2014/chart" uri="{C3380CC4-5D6E-409C-BE32-E72D297353CC}">
                <c16:uniqueId val="{00000007-4E80-42B8-9FBA-C94A8BF0F70B}"/>
              </c:ext>
            </c:extLst>
          </c:dPt>
          <c:dPt>
            <c:idx val="4"/>
            <c:invertIfNegative val="0"/>
            <c:bubble3D val="0"/>
            <c:spPr>
              <a:solidFill>
                <a:schemeClr val="tx1"/>
              </a:solidFill>
            </c:spPr>
            <c:extLst>
              <c:ext xmlns:c16="http://schemas.microsoft.com/office/drawing/2014/chart" uri="{C3380CC4-5D6E-409C-BE32-E72D297353CC}">
                <c16:uniqueId val="{00000009-4E80-42B8-9FBA-C94A8BF0F70B}"/>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Sheet7!$A$15:$A$19</c:f>
              <c:strCache>
                <c:ptCount val="5"/>
                <c:pt idx="0">
                  <c:v>Naftos pramonė</c:v>
                </c:pt>
                <c:pt idx="1">
                  <c:v>Mineralinių medžiagų apdirbimo pramonė</c:v>
                </c:pt>
                <c:pt idx="2">
                  <c:v>Chemijos pramonė</c:v>
                </c:pt>
                <c:pt idx="3">
                  <c:v>Chemijos pramonė</c:v>
                </c:pt>
                <c:pt idx="4">
                  <c:v>Viešoji energijos gamyba</c:v>
                </c:pt>
              </c:strCache>
            </c:strRef>
          </c:cat>
          <c:val>
            <c:numRef>
              <c:f>Sheet7!$B$15:$B$19</c:f>
              <c:numCache>
                <c:formatCode>_-* #,##0\ _€_-;\-* #,##0\ _€_-;_-* "-"??\ _€_-;_-@_-</c:formatCode>
                <c:ptCount val="5"/>
                <c:pt idx="0">
                  <c:v>21530</c:v>
                </c:pt>
                <c:pt idx="1">
                  <c:v>3227</c:v>
                </c:pt>
                <c:pt idx="2">
                  <c:v>1414</c:v>
                </c:pt>
                <c:pt idx="3">
                  <c:v>851.8</c:v>
                </c:pt>
                <c:pt idx="4">
                  <c:v>436</c:v>
                </c:pt>
              </c:numCache>
            </c:numRef>
          </c:val>
          <c:extLst>
            <c:ext xmlns:c16="http://schemas.microsoft.com/office/drawing/2014/chart" uri="{C3380CC4-5D6E-409C-BE32-E72D297353CC}">
              <c16:uniqueId val="{0000000A-4E80-42B8-9FBA-C94A8BF0F70B}"/>
            </c:ext>
          </c:extLst>
        </c:ser>
        <c:dLbls>
          <c:dLblPos val="outEnd"/>
          <c:showLegendKey val="0"/>
          <c:showVal val="1"/>
          <c:showCatName val="0"/>
          <c:showSerName val="0"/>
          <c:showPercent val="0"/>
          <c:showBubbleSize val="0"/>
        </c:dLbls>
        <c:gapWidth val="150"/>
        <c:axId val="249574912"/>
        <c:axId val="274317312"/>
      </c:barChart>
      <c:catAx>
        <c:axId val="249574912"/>
        <c:scaling>
          <c:orientation val="minMax"/>
        </c:scaling>
        <c:delete val="0"/>
        <c:axPos val="b"/>
        <c:numFmt formatCode="General" sourceLinked="0"/>
        <c:majorTickMark val="out"/>
        <c:minorTickMark val="none"/>
        <c:tickLblPos val="nextTo"/>
        <c:crossAx val="274317312"/>
        <c:crosses val="autoZero"/>
        <c:auto val="1"/>
        <c:lblAlgn val="ctr"/>
        <c:lblOffset val="100"/>
        <c:noMultiLvlLbl val="0"/>
      </c:catAx>
      <c:valAx>
        <c:axId val="274317312"/>
        <c:scaling>
          <c:orientation val="minMax"/>
        </c:scaling>
        <c:delete val="0"/>
        <c:axPos val="l"/>
        <c:majorGridlines/>
        <c:title>
          <c:tx>
            <c:rich>
              <a:bodyPr rot="-5400000" vert="horz"/>
              <a:lstStyle/>
              <a:p>
                <a:pPr>
                  <a:defRPr/>
                </a:pPr>
                <a:r>
                  <a:rPr lang="lt-LT"/>
                  <a:t>Teršalų išmetimai, t/m</a:t>
                </a:r>
              </a:p>
            </c:rich>
          </c:tx>
          <c:layout/>
          <c:overlay val="0"/>
        </c:title>
        <c:numFmt formatCode="_-* #,##0\ _€_-;\-* #,##0\ _€_-;_-* &quot;-&quot;??\ _€_-;_-@_-" sourceLinked="1"/>
        <c:majorTickMark val="out"/>
        <c:minorTickMark val="none"/>
        <c:tickLblPos val="nextTo"/>
        <c:crossAx val="249574912"/>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81846080946511"/>
          <c:y val="4.7909407665505228E-2"/>
          <c:w val="0.56345986547168203"/>
          <c:h val="0.81945458037257535"/>
        </c:manualLayout>
      </c:layout>
      <c:lineChart>
        <c:grouping val="standard"/>
        <c:varyColors val="0"/>
        <c:ser>
          <c:idx val="0"/>
          <c:order val="0"/>
          <c:tx>
            <c:strRef>
              <c:f>Data!$B$99</c:f>
              <c:strCache>
                <c:ptCount val="1"/>
                <c:pt idx="0">
                  <c:v>SO2 išmetimai į aplinkos orą</c:v>
                </c:pt>
              </c:strCache>
            </c:strRef>
          </c:tx>
          <c:spPr>
            <a:ln>
              <a:solidFill>
                <a:schemeClr val="tx2">
                  <a:lumMod val="60000"/>
                  <a:lumOff val="40000"/>
                </a:schemeClr>
              </a:solidFill>
            </a:ln>
          </c:spPr>
          <c:marker>
            <c:symbol val="none"/>
          </c:marker>
          <c:cat>
            <c:numRef>
              <c:f>Data!$D$116:$AC$116</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Data!$B$103:$L$103</c:f>
              <c:numCache>
                <c:formatCode>#,##0</c:formatCode>
                <c:ptCount val="11"/>
                <c:pt idx="0">
                  <c:v>30908</c:v>
                </c:pt>
                <c:pt idx="1">
                  <c:v>29710</c:v>
                </c:pt>
                <c:pt idx="2">
                  <c:v>25902</c:v>
                </c:pt>
                <c:pt idx="3">
                  <c:v>22856</c:v>
                </c:pt>
                <c:pt idx="4">
                  <c:v>22262</c:v>
                </c:pt>
                <c:pt idx="5">
                  <c:v>22374</c:v>
                </c:pt>
                <c:pt idx="6">
                  <c:v>24179</c:v>
                </c:pt>
                <c:pt idx="7">
                  <c:v>20632</c:v>
                </c:pt>
                <c:pt idx="8">
                  <c:v>18811</c:v>
                </c:pt>
                <c:pt idx="9">
                  <c:v>16887</c:v>
                </c:pt>
                <c:pt idx="10">
                  <c:v>18232</c:v>
                </c:pt>
              </c:numCache>
            </c:numRef>
          </c:val>
          <c:smooth val="0"/>
          <c:extLst>
            <c:ext xmlns:c16="http://schemas.microsoft.com/office/drawing/2014/chart" uri="{C3380CC4-5D6E-409C-BE32-E72D297353CC}">
              <c16:uniqueId val="{00000000-5942-4D93-ACBF-588708188FA2}"/>
            </c:ext>
          </c:extLst>
        </c:ser>
        <c:ser>
          <c:idx val="1"/>
          <c:order val="1"/>
          <c:tx>
            <c:strRef>
              <c:f>Data!$A$113</c:f>
              <c:strCache>
                <c:ptCount val="1"/>
                <c:pt idx="0">
                  <c:v>SO2 tikslas 2020-2029 m.</c:v>
                </c:pt>
              </c:strCache>
            </c:strRef>
          </c:tx>
          <c:spPr>
            <a:ln>
              <a:solidFill>
                <a:schemeClr val="tx2"/>
              </a:solidFill>
            </a:ln>
          </c:spPr>
          <c:marker>
            <c:symbol val="none"/>
          </c:marker>
          <c:cat>
            <c:numRef>
              <c:f>Data!$D$116:$AC$116</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Data!$D$119:$N$119</c:f>
              <c:numCache>
                <c:formatCode>#,##0</c:formatCode>
                <c:ptCount val="11"/>
                <c:pt idx="0">
                  <c:v>13908.599999999999</c:v>
                </c:pt>
                <c:pt idx="1">
                  <c:v>13908.599999999999</c:v>
                </c:pt>
                <c:pt idx="2">
                  <c:v>13908.599999999999</c:v>
                </c:pt>
                <c:pt idx="3">
                  <c:v>13908.599999999999</c:v>
                </c:pt>
                <c:pt idx="4">
                  <c:v>13908.599999999999</c:v>
                </c:pt>
                <c:pt idx="5">
                  <c:v>13908.599999999999</c:v>
                </c:pt>
                <c:pt idx="6">
                  <c:v>13908.599999999999</c:v>
                </c:pt>
                <c:pt idx="7">
                  <c:v>13908.599999999999</c:v>
                </c:pt>
                <c:pt idx="8">
                  <c:v>13908.599999999999</c:v>
                </c:pt>
                <c:pt idx="9">
                  <c:v>13908.599999999999</c:v>
                </c:pt>
                <c:pt idx="10">
                  <c:v>13908.599999999999</c:v>
                </c:pt>
              </c:numCache>
            </c:numRef>
          </c:val>
          <c:smooth val="0"/>
          <c:extLst>
            <c:ext xmlns:c16="http://schemas.microsoft.com/office/drawing/2014/chart" uri="{C3380CC4-5D6E-409C-BE32-E72D297353CC}">
              <c16:uniqueId val="{00000001-5942-4D93-ACBF-588708188FA2}"/>
            </c:ext>
          </c:extLst>
        </c:ser>
        <c:ser>
          <c:idx val="2"/>
          <c:order val="2"/>
          <c:tx>
            <c:strRef>
              <c:f>Data!$A$114</c:f>
              <c:strCache>
                <c:ptCount val="1"/>
                <c:pt idx="0">
                  <c:v>SO2 tikslas nuo 2030 m.</c:v>
                </c:pt>
              </c:strCache>
            </c:strRef>
          </c:tx>
          <c:spPr>
            <a:ln>
              <a:solidFill>
                <a:srgbClr val="FFC000"/>
              </a:solidFill>
            </a:ln>
          </c:spPr>
          <c:marker>
            <c:symbol val="none"/>
          </c:marker>
          <c:cat>
            <c:numRef>
              <c:f>Data!$D$116:$AC$116</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Data!$D$120:$N$120</c:f>
              <c:numCache>
                <c:formatCode>#,##0</c:formatCode>
                <c:ptCount val="11"/>
                <c:pt idx="0">
                  <c:v>12363.2</c:v>
                </c:pt>
                <c:pt idx="1">
                  <c:v>12363.2</c:v>
                </c:pt>
                <c:pt idx="2">
                  <c:v>12363.2</c:v>
                </c:pt>
                <c:pt idx="3">
                  <c:v>12363.2</c:v>
                </c:pt>
                <c:pt idx="4">
                  <c:v>12363.2</c:v>
                </c:pt>
                <c:pt idx="5">
                  <c:v>12363.2</c:v>
                </c:pt>
                <c:pt idx="6">
                  <c:v>12363.2</c:v>
                </c:pt>
                <c:pt idx="7">
                  <c:v>12363.2</c:v>
                </c:pt>
                <c:pt idx="8">
                  <c:v>12363.2</c:v>
                </c:pt>
                <c:pt idx="9">
                  <c:v>12363.2</c:v>
                </c:pt>
                <c:pt idx="10">
                  <c:v>12363.2</c:v>
                </c:pt>
              </c:numCache>
            </c:numRef>
          </c:val>
          <c:smooth val="0"/>
          <c:extLst>
            <c:ext xmlns:c16="http://schemas.microsoft.com/office/drawing/2014/chart" uri="{C3380CC4-5D6E-409C-BE32-E72D297353CC}">
              <c16:uniqueId val="{00000002-5942-4D93-ACBF-588708188FA2}"/>
            </c:ext>
          </c:extLst>
        </c:ser>
        <c:dLbls>
          <c:showLegendKey val="0"/>
          <c:showVal val="0"/>
          <c:showCatName val="0"/>
          <c:showSerName val="0"/>
          <c:showPercent val="0"/>
          <c:showBubbleSize val="0"/>
        </c:dLbls>
        <c:smooth val="0"/>
        <c:axId val="163341056"/>
        <c:axId val="163342592"/>
      </c:lineChart>
      <c:catAx>
        <c:axId val="163341056"/>
        <c:scaling>
          <c:orientation val="minMax"/>
        </c:scaling>
        <c:delete val="0"/>
        <c:axPos val="b"/>
        <c:numFmt formatCode="General" sourceLinked="1"/>
        <c:majorTickMark val="out"/>
        <c:minorTickMark val="none"/>
        <c:tickLblPos val="nextTo"/>
        <c:spPr>
          <a:ln>
            <a:solidFill>
              <a:schemeClr val="bg1">
                <a:lumMod val="65000"/>
              </a:schemeClr>
            </a:solidFill>
          </a:ln>
        </c:spPr>
        <c:txPr>
          <a:bodyPr rot="-5400000" vert="horz"/>
          <a:lstStyle/>
          <a:p>
            <a:pPr>
              <a:defRPr/>
            </a:pPr>
            <a:endParaRPr lang="lt-LT"/>
          </a:p>
        </c:txPr>
        <c:crossAx val="163342592"/>
        <c:crosses val="autoZero"/>
        <c:auto val="1"/>
        <c:lblAlgn val="ctr"/>
        <c:lblOffset val="100"/>
        <c:noMultiLvlLbl val="0"/>
      </c:catAx>
      <c:valAx>
        <c:axId val="163342592"/>
        <c:scaling>
          <c:orientation val="minMax"/>
        </c:scaling>
        <c:delete val="0"/>
        <c:axPos val="l"/>
        <c:majorGridlines>
          <c:spPr>
            <a:ln>
              <a:solidFill>
                <a:schemeClr val="bg1">
                  <a:lumMod val="65000"/>
                </a:schemeClr>
              </a:solidFill>
            </a:ln>
          </c:spPr>
        </c:majorGridlines>
        <c:title>
          <c:tx>
            <c:rich>
              <a:bodyPr/>
              <a:lstStyle/>
              <a:p>
                <a:pPr>
                  <a:defRPr/>
                </a:pPr>
                <a:r>
                  <a:rPr lang="lt-LT"/>
                  <a:t>Tonos, t</a:t>
                </a:r>
              </a:p>
            </c:rich>
          </c:tx>
          <c:layout/>
          <c:overlay val="0"/>
        </c:title>
        <c:numFmt formatCode="#,##0" sourceLinked="1"/>
        <c:majorTickMark val="out"/>
        <c:minorTickMark val="none"/>
        <c:tickLblPos val="nextTo"/>
        <c:spPr>
          <a:ln>
            <a:solidFill>
              <a:schemeClr val="bg1">
                <a:lumMod val="65000"/>
              </a:schemeClr>
            </a:solidFill>
          </a:ln>
        </c:spPr>
        <c:txPr>
          <a:bodyPr rot="0" vert="horz"/>
          <a:lstStyle/>
          <a:p>
            <a:pPr>
              <a:defRPr/>
            </a:pPr>
            <a:endParaRPr lang="lt-LT"/>
          </a:p>
        </c:txPr>
        <c:crossAx val="163341056"/>
        <c:crosses val="autoZero"/>
        <c:crossBetween val="between"/>
      </c:valAx>
    </c:plotArea>
    <c:legend>
      <c:legendPos val="r"/>
      <c:layout>
        <c:manualLayout>
          <c:xMode val="edge"/>
          <c:yMode val="edge"/>
          <c:x val="0.74159101217163714"/>
          <c:y val="0.21469642223104074"/>
          <c:w val="0.24907318596506878"/>
          <c:h val="0.56781504765485225"/>
        </c:manualLayout>
      </c:layout>
      <c:overlay val="0"/>
    </c:legend>
    <c:plotVisOnly val="1"/>
    <c:dispBlanksAs val="gap"/>
    <c:showDLblsOverMax val="0"/>
  </c:chart>
  <c:spPr>
    <a:ln>
      <a:noFill/>
    </a:ln>
  </c:spPr>
  <c:txPr>
    <a:bodyPr/>
    <a:lstStyle/>
    <a:p>
      <a:pPr>
        <a:defRPr sz="1000" b="0" i="0" u="none" strike="noStrike" baseline="0">
          <a:solidFill>
            <a:srgbClr val="C0C0C0"/>
          </a:solidFill>
          <a:latin typeface="Times New Roman" panose="02020603050405020304" pitchFamily="18" charset="0"/>
          <a:ea typeface="Calibri"/>
          <a:cs typeface="Times New Roman" panose="02020603050405020304" pitchFamily="18" charset="0"/>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SO!$A$3</c:f>
              <c:strCache>
                <c:ptCount val="1"/>
                <c:pt idx="0">
                  <c:v>Viešoji energijos gamyba</c:v>
                </c:pt>
              </c:strCache>
            </c:strRef>
          </c:tx>
          <c:invertIfNegative val="0"/>
          <c:cat>
            <c:numRef>
              <c:f>SO!$B$2:$L$2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SO!$N$3:$X$3</c:f>
              <c:numCache>
                <c:formatCode>0%</c:formatCode>
                <c:ptCount val="11"/>
                <c:pt idx="0">
                  <c:v>0.32245164196025744</c:v>
                </c:pt>
                <c:pt idx="1">
                  <c:v>0.28442791144354751</c:v>
                </c:pt>
                <c:pt idx="2">
                  <c:v>0.39450945531290332</c:v>
                </c:pt>
                <c:pt idx="3">
                  <c:v>0.19152621644331308</c:v>
                </c:pt>
                <c:pt idx="4">
                  <c:v>0.23606715214306923</c:v>
                </c:pt>
                <c:pt idx="5">
                  <c:v>0.2163204230041455</c:v>
                </c:pt>
                <c:pt idx="6">
                  <c:v>0.14267173641737629</c:v>
                </c:pt>
                <c:pt idx="7">
                  <c:v>0.15799960618139539</c:v>
                </c:pt>
                <c:pt idx="8">
                  <c:v>0.15053795017201213</c:v>
                </c:pt>
                <c:pt idx="9">
                  <c:v>0.16385144302696741</c:v>
                </c:pt>
                <c:pt idx="10">
                  <c:v>0.22186165912684472</c:v>
                </c:pt>
              </c:numCache>
            </c:numRef>
          </c:val>
          <c:extLst>
            <c:ext xmlns:c16="http://schemas.microsoft.com/office/drawing/2014/chart" uri="{C3380CC4-5D6E-409C-BE32-E72D297353CC}">
              <c16:uniqueId val="{00000000-48A2-4179-8BEE-49271DA6C886}"/>
            </c:ext>
          </c:extLst>
        </c:ser>
        <c:ser>
          <c:idx val="1"/>
          <c:order val="1"/>
          <c:tx>
            <c:strRef>
              <c:f>SO!$A$4</c:f>
              <c:strCache>
                <c:ptCount val="1"/>
                <c:pt idx="0">
                  <c:v>Pramonė</c:v>
                </c:pt>
              </c:strCache>
            </c:strRef>
          </c:tx>
          <c:spPr>
            <a:solidFill>
              <a:schemeClr val="tx2"/>
            </a:solidFill>
          </c:spPr>
          <c:invertIfNegative val="0"/>
          <c:cat>
            <c:numRef>
              <c:f>SO!$B$2:$L$2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SO!$N$4:$X$4</c:f>
              <c:numCache>
                <c:formatCode>0%</c:formatCode>
                <c:ptCount val="11"/>
                <c:pt idx="0">
                  <c:v>0.37281505524969127</c:v>
                </c:pt>
                <c:pt idx="1">
                  <c:v>0.33116589045246725</c:v>
                </c:pt>
                <c:pt idx="2">
                  <c:v>0.28873772017516564</c:v>
                </c:pt>
                <c:pt idx="3">
                  <c:v>0.27704203579655862</c:v>
                </c:pt>
                <c:pt idx="4">
                  <c:v>0.3006963901471213</c:v>
                </c:pt>
                <c:pt idx="5">
                  <c:v>0.23685787155078877</c:v>
                </c:pt>
                <c:pt idx="6">
                  <c:v>0.24130060383676979</c:v>
                </c:pt>
                <c:pt idx="7">
                  <c:v>0.24602882552281669</c:v>
                </c:pt>
                <c:pt idx="8">
                  <c:v>0.23470483849576859</c:v>
                </c:pt>
                <c:pt idx="9">
                  <c:v>0.2243094674828125</c:v>
                </c:pt>
                <c:pt idx="10">
                  <c:v>0.19405551418224679</c:v>
                </c:pt>
              </c:numCache>
            </c:numRef>
          </c:val>
          <c:extLst>
            <c:ext xmlns:c16="http://schemas.microsoft.com/office/drawing/2014/chart" uri="{C3380CC4-5D6E-409C-BE32-E72D297353CC}">
              <c16:uniqueId val="{00000001-48A2-4179-8BEE-49271DA6C886}"/>
            </c:ext>
          </c:extLst>
        </c:ser>
        <c:ser>
          <c:idx val="2"/>
          <c:order val="2"/>
          <c:tx>
            <c:strRef>
              <c:f>SO!$A$5</c:f>
              <c:strCache>
                <c:ptCount val="1"/>
                <c:pt idx="0">
                  <c:v>Kitas stacionarus deginimas</c:v>
                </c:pt>
              </c:strCache>
            </c:strRef>
          </c:tx>
          <c:spPr>
            <a:solidFill>
              <a:srgbClr val="FFC000"/>
            </a:solidFill>
          </c:spPr>
          <c:invertIfNegative val="0"/>
          <c:cat>
            <c:numRef>
              <c:f>SO!$B$2:$L$2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SO!$N$5:$X$5</c:f>
              <c:numCache>
                <c:formatCode>0%</c:formatCode>
                <c:ptCount val="11"/>
                <c:pt idx="0">
                  <c:v>0.15012799705956198</c:v>
                </c:pt>
                <c:pt idx="1">
                  <c:v>0.20546379361997194</c:v>
                </c:pt>
                <c:pt idx="2">
                  <c:v>0.20849345846212688</c:v>
                </c:pt>
                <c:pt idx="3">
                  <c:v>0.20262536391048155</c:v>
                </c:pt>
                <c:pt idx="4">
                  <c:v>0.21727666478381738</c:v>
                </c:pt>
                <c:pt idx="5">
                  <c:v>0.25693221750071255</c:v>
                </c:pt>
                <c:pt idx="6">
                  <c:v>0.2585770256407639</c:v>
                </c:pt>
                <c:pt idx="7">
                  <c:v>0.24172164148384279</c:v>
                </c:pt>
                <c:pt idx="8">
                  <c:v>0.29199930391860146</c:v>
                </c:pt>
                <c:pt idx="9">
                  <c:v>0.28480770436701996</c:v>
                </c:pt>
                <c:pt idx="10">
                  <c:v>0.21606095844977294</c:v>
                </c:pt>
              </c:numCache>
            </c:numRef>
          </c:val>
          <c:extLst>
            <c:ext xmlns:c16="http://schemas.microsoft.com/office/drawing/2014/chart" uri="{C3380CC4-5D6E-409C-BE32-E72D297353CC}">
              <c16:uniqueId val="{00000002-48A2-4179-8BEE-49271DA6C886}"/>
            </c:ext>
          </c:extLst>
        </c:ser>
        <c:ser>
          <c:idx val="3"/>
          <c:order val="3"/>
          <c:tx>
            <c:strRef>
              <c:f>SO!$A$6</c:f>
              <c:strCache>
                <c:ptCount val="1"/>
                <c:pt idx="0">
                  <c:v>Garavimo emisijos</c:v>
                </c:pt>
              </c:strCache>
            </c:strRef>
          </c:tx>
          <c:spPr>
            <a:solidFill>
              <a:srgbClr val="C00000"/>
            </a:solidFill>
          </c:spPr>
          <c:invertIfNegative val="0"/>
          <c:cat>
            <c:numRef>
              <c:f>SO!$B$2:$L$2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SO!$N$6:$X$6</c:f>
              <c:numCache>
                <c:formatCode>0%</c:formatCode>
                <c:ptCount val="11"/>
                <c:pt idx="0">
                  <c:v>0.14653657299197331</c:v>
                </c:pt>
                <c:pt idx="1">
                  <c:v>0.17068549685139545</c:v>
                </c:pt>
                <c:pt idx="2">
                  <c:v>9.7242428550139259E-2</c:v>
                </c:pt>
                <c:pt idx="3">
                  <c:v>0.31653563632044418</c:v>
                </c:pt>
                <c:pt idx="4">
                  <c:v>0.24017350748740712</c:v>
                </c:pt>
                <c:pt idx="5">
                  <c:v>0.28366703877430516</c:v>
                </c:pt>
                <c:pt idx="6">
                  <c:v>0.35156943953697628</c:v>
                </c:pt>
                <c:pt idx="7">
                  <c:v>0.34711012310872957</c:v>
                </c:pt>
                <c:pt idx="8">
                  <c:v>0.31459333006241286</c:v>
                </c:pt>
                <c:pt idx="9">
                  <c:v>0.31713964288990837</c:v>
                </c:pt>
                <c:pt idx="10">
                  <c:v>0.35858923445226598</c:v>
                </c:pt>
              </c:numCache>
            </c:numRef>
          </c:val>
          <c:extLst>
            <c:ext xmlns:c16="http://schemas.microsoft.com/office/drawing/2014/chart" uri="{C3380CC4-5D6E-409C-BE32-E72D297353CC}">
              <c16:uniqueId val="{00000003-48A2-4179-8BEE-49271DA6C886}"/>
            </c:ext>
          </c:extLst>
        </c:ser>
        <c:ser>
          <c:idx val="4"/>
          <c:order val="4"/>
          <c:tx>
            <c:strRef>
              <c:f>SO!$A$15</c:f>
              <c:strCache>
                <c:ptCount val="1"/>
                <c:pt idx="0">
                  <c:v>Kiti sektoriai</c:v>
                </c:pt>
              </c:strCache>
            </c:strRef>
          </c:tx>
          <c:invertIfNegative val="0"/>
          <c:cat>
            <c:numRef>
              <c:f>SO!$B$2:$L$2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SO!$N$15:$X$15</c:f>
              <c:numCache>
                <c:formatCode>0%</c:formatCode>
                <c:ptCount val="11"/>
                <c:pt idx="0">
                  <c:v>8.0687327385158564E-3</c:v>
                </c:pt>
                <c:pt idx="1">
                  <c:v>8.2569078345732776E-3</c:v>
                </c:pt>
                <c:pt idx="2">
                  <c:v>1.1016937576879646E-2</c:v>
                </c:pt>
                <c:pt idx="3">
                  <c:v>1.2270747441699465E-2</c:v>
                </c:pt>
                <c:pt idx="4">
                  <c:v>5.7862852589027547E-3</c:v>
                </c:pt>
                <c:pt idx="5">
                  <c:v>6.2224490806598465E-3</c:v>
                </c:pt>
                <c:pt idx="6">
                  <c:v>5.8811944274957907E-3</c:v>
                </c:pt>
                <c:pt idx="7">
                  <c:v>7.1398034608723066E-3</c:v>
                </c:pt>
                <c:pt idx="8">
                  <c:v>8.1645771917244411E-3</c:v>
                </c:pt>
                <c:pt idx="9">
                  <c:v>9.8917421740729768E-3</c:v>
                </c:pt>
                <c:pt idx="10">
                  <c:v>9.432633788869554E-3</c:v>
                </c:pt>
              </c:numCache>
            </c:numRef>
          </c:val>
          <c:extLst>
            <c:ext xmlns:c16="http://schemas.microsoft.com/office/drawing/2014/chart" uri="{C3380CC4-5D6E-409C-BE32-E72D297353CC}">
              <c16:uniqueId val="{00000004-48A2-4179-8BEE-49271DA6C886}"/>
            </c:ext>
          </c:extLst>
        </c:ser>
        <c:dLbls>
          <c:showLegendKey val="0"/>
          <c:showVal val="0"/>
          <c:showCatName val="0"/>
          <c:showSerName val="0"/>
          <c:showPercent val="0"/>
          <c:showBubbleSize val="0"/>
        </c:dLbls>
        <c:gapWidth val="150"/>
        <c:overlap val="100"/>
        <c:axId val="163304960"/>
        <c:axId val="163306496"/>
      </c:barChart>
      <c:catAx>
        <c:axId val="163304960"/>
        <c:scaling>
          <c:orientation val="minMax"/>
        </c:scaling>
        <c:delete val="0"/>
        <c:axPos val="b"/>
        <c:numFmt formatCode="General" sourceLinked="1"/>
        <c:majorTickMark val="out"/>
        <c:minorTickMark val="none"/>
        <c:tickLblPos val="nextTo"/>
        <c:crossAx val="163306496"/>
        <c:crosses val="autoZero"/>
        <c:auto val="1"/>
        <c:lblAlgn val="ctr"/>
        <c:lblOffset val="100"/>
        <c:noMultiLvlLbl val="0"/>
      </c:catAx>
      <c:valAx>
        <c:axId val="163306496"/>
        <c:scaling>
          <c:orientation val="minMax"/>
        </c:scaling>
        <c:delete val="0"/>
        <c:axPos val="l"/>
        <c:majorGridlines/>
        <c:numFmt formatCode="0%" sourceLinked="1"/>
        <c:majorTickMark val="out"/>
        <c:minorTickMark val="none"/>
        <c:tickLblPos val="nextTo"/>
        <c:crossAx val="163304960"/>
        <c:crosses val="autoZero"/>
        <c:crossBetween val="between"/>
      </c:valAx>
    </c:plotArea>
    <c:legend>
      <c:legendPos val="r"/>
      <c:layout/>
      <c:overlay val="0"/>
    </c:legend>
    <c:plotVisOnly val="1"/>
    <c:dispBlanksAs val="gap"/>
    <c:showDLblsOverMax val="0"/>
  </c:chart>
  <c:spPr>
    <a:ln>
      <a:noFill/>
    </a:ln>
  </c:spPr>
  <c:txPr>
    <a:bodyPr/>
    <a:lstStyle/>
    <a:p>
      <a:pPr>
        <a:defRPr sz="900">
          <a:solidFill>
            <a:schemeClr val="bg1">
              <a:lumMod val="50000"/>
            </a:schemeClr>
          </a:solidFill>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Data!$B$124</c:f>
              <c:strCache>
                <c:ptCount val="1"/>
                <c:pt idx="0">
                  <c:v>NOx išmetimai į aplinkos orą</c:v>
                </c:pt>
              </c:strCache>
            </c:strRef>
          </c:tx>
          <c:marker>
            <c:symbol val="none"/>
          </c:marker>
          <c:cat>
            <c:strRef>
              <c:f>Data!$B$142:$AA$142</c:f>
              <c:strCach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strCache>
            </c:strRef>
          </c:cat>
          <c:val>
            <c:numRef>
              <c:f>Data!$B$128:$L$128</c:f>
              <c:numCache>
                <c:formatCode>#,##0</c:formatCode>
                <c:ptCount val="11"/>
                <c:pt idx="0">
                  <c:v>60333</c:v>
                </c:pt>
                <c:pt idx="1">
                  <c:v>62902</c:v>
                </c:pt>
                <c:pt idx="2">
                  <c:v>59897</c:v>
                </c:pt>
                <c:pt idx="3">
                  <c:v>60513</c:v>
                </c:pt>
                <c:pt idx="4">
                  <c:v>54766</c:v>
                </c:pt>
                <c:pt idx="5">
                  <c:v>56612</c:v>
                </c:pt>
                <c:pt idx="6">
                  <c:v>53503</c:v>
                </c:pt>
                <c:pt idx="7">
                  <c:v>55565</c:v>
                </c:pt>
                <c:pt idx="8">
                  <c:v>54594</c:v>
                </c:pt>
                <c:pt idx="9">
                  <c:v>54404</c:v>
                </c:pt>
                <c:pt idx="10">
                  <c:v>55013</c:v>
                </c:pt>
              </c:numCache>
            </c:numRef>
          </c:val>
          <c:smooth val="0"/>
          <c:extLst>
            <c:ext xmlns:c16="http://schemas.microsoft.com/office/drawing/2014/chart" uri="{C3380CC4-5D6E-409C-BE32-E72D297353CC}">
              <c16:uniqueId val="{00000000-F714-4E2A-BE1C-BDFE2842A32C}"/>
            </c:ext>
          </c:extLst>
        </c:ser>
        <c:ser>
          <c:idx val="1"/>
          <c:order val="1"/>
          <c:tx>
            <c:strRef>
              <c:f>Data!$A$138</c:f>
              <c:strCache>
                <c:ptCount val="1"/>
                <c:pt idx="0">
                  <c:v>Tikslas 2020-2029 m.</c:v>
                </c:pt>
              </c:strCache>
            </c:strRef>
          </c:tx>
          <c:spPr>
            <a:ln>
              <a:solidFill>
                <a:schemeClr val="tx2"/>
              </a:solidFill>
            </a:ln>
          </c:spPr>
          <c:marker>
            <c:symbol val="none"/>
          </c:marker>
          <c:cat>
            <c:strRef>
              <c:f>Data!$B$142:$AA$142</c:f>
              <c:strCach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strCache>
            </c:strRef>
          </c:cat>
          <c:val>
            <c:numRef>
              <c:f>Data!$B$144:$L$144</c:f>
              <c:numCache>
                <c:formatCode>0</c:formatCode>
                <c:ptCount val="11"/>
                <c:pt idx="0">
                  <c:v>31373.16</c:v>
                </c:pt>
                <c:pt idx="1">
                  <c:v>31373.16</c:v>
                </c:pt>
                <c:pt idx="2">
                  <c:v>31373.16</c:v>
                </c:pt>
                <c:pt idx="3">
                  <c:v>31373.16</c:v>
                </c:pt>
                <c:pt idx="4">
                  <c:v>31373.16</c:v>
                </c:pt>
                <c:pt idx="5">
                  <c:v>31373.16</c:v>
                </c:pt>
                <c:pt idx="6">
                  <c:v>31373.16</c:v>
                </c:pt>
                <c:pt idx="7">
                  <c:v>31373.16</c:v>
                </c:pt>
                <c:pt idx="8">
                  <c:v>31373.16</c:v>
                </c:pt>
                <c:pt idx="9">
                  <c:v>31373.16</c:v>
                </c:pt>
                <c:pt idx="10">
                  <c:v>31373.16</c:v>
                </c:pt>
              </c:numCache>
            </c:numRef>
          </c:val>
          <c:smooth val="0"/>
          <c:extLst>
            <c:ext xmlns:c16="http://schemas.microsoft.com/office/drawing/2014/chart" uri="{C3380CC4-5D6E-409C-BE32-E72D297353CC}">
              <c16:uniqueId val="{00000001-F714-4E2A-BE1C-BDFE2842A32C}"/>
            </c:ext>
          </c:extLst>
        </c:ser>
        <c:ser>
          <c:idx val="2"/>
          <c:order val="2"/>
          <c:tx>
            <c:strRef>
              <c:f>Data!$A$139</c:f>
              <c:strCache>
                <c:ptCount val="1"/>
                <c:pt idx="0">
                  <c:v>Tikslas nuo 2030 m.</c:v>
                </c:pt>
              </c:strCache>
            </c:strRef>
          </c:tx>
          <c:spPr>
            <a:ln>
              <a:solidFill>
                <a:srgbClr val="FFC000"/>
              </a:solidFill>
            </a:ln>
          </c:spPr>
          <c:marker>
            <c:symbol val="none"/>
          </c:marker>
          <c:cat>
            <c:strRef>
              <c:f>Data!$B$142:$AA$142</c:f>
              <c:strCach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strCache>
            </c:strRef>
          </c:cat>
          <c:val>
            <c:numRef>
              <c:f>Data!$B$145:$L$145</c:f>
              <c:numCache>
                <c:formatCode>0</c:formatCode>
                <c:ptCount val="11"/>
                <c:pt idx="0">
                  <c:v>29563.17</c:v>
                </c:pt>
                <c:pt idx="1">
                  <c:v>29563.17</c:v>
                </c:pt>
                <c:pt idx="2">
                  <c:v>29563.17</c:v>
                </c:pt>
                <c:pt idx="3">
                  <c:v>29563.17</c:v>
                </c:pt>
                <c:pt idx="4">
                  <c:v>29563.17</c:v>
                </c:pt>
                <c:pt idx="5">
                  <c:v>29563.17</c:v>
                </c:pt>
                <c:pt idx="6">
                  <c:v>29563.17</c:v>
                </c:pt>
                <c:pt idx="7">
                  <c:v>29563.17</c:v>
                </c:pt>
                <c:pt idx="8">
                  <c:v>29563.17</c:v>
                </c:pt>
                <c:pt idx="9">
                  <c:v>29563.17</c:v>
                </c:pt>
                <c:pt idx="10">
                  <c:v>29563.17</c:v>
                </c:pt>
              </c:numCache>
            </c:numRef>
          </c:val>
          <c:smooth val="0"/>
          <c:extLst>
            <c:ext xmlns:c16="http://schemas.microsoft.com/office/drawing/2014/chart" uri="{C3380CC4-5D6E-409C-BE32-E72D297353CC}">
              <c16:uniqueId val="{00000002-F714-4E2A-BE1C-BDFE2842A32C}"/>
            </c:ext>
          </c:extLst>
        </c:ser>
        <c:dLbls>
          <c:showLegendKey val="0"/>
          <c:showVal val="0"/>
          <c:showCatName val="0"/>
          <c:showSerName val="0"/>
          <c:showPercent val="0"/>
          <c:showBubbleSize val="0"/>
        </c:dLbls>
        <c:smooth val="0"/>
        <c:axId val="163607296"/>
        <c:axId val="163608832"/>
      </c:lineChart>
      <c:catAx>
        <c:axId val="163607296"/>
        <c:scaling>
          <c:orientation val="minMax"/>
        </c:scaling>
        <c:delete val="0"/>
        <c:axPos val="b"/>
        <c:numFmt formatCode="General" sourceLinked="1"/>
        <c:majorTickMark val="out"/>
        <c:minorTickMark val="none"/>
        <c:tickLblPos val="nextTo"/>
        <c:spPr>
          <a:ln>
            <a:solidFill>
              <a:schemeClr val="bg1">
                <a:lumMod val="65000"/>
              </a:schemeClr>
            </a:solidFill>
          </a:ln>
        </c:spPr>
        <c:txPr>
          <a:bodyPr rot="-5400000" vert="horz"/>
          <a:lstStyle/>
          <a:p>
            <a:pPr>
              <a:defRPr/>
            </a:pPr>
            <a:endParaRPr lang="lt-LT"/>
          </a:p>
        </c:txPr>
        <c:crossAx val="163608832"/>
        <c:crosses val="autoZero"/>
        <c:auto val="1"/>
        <c:lblAlgn val="ctr"/>
        <c:lblOffset val="100"/>
        <c:noMultiLvlLbl val="0"/>
      </c:catAx>
      <c:valAx>
        <c:axId val="163608832"/>
        <c:scaling>
          <c:orientation val="minMax"/>
        </c:scaling>
        <c:delete val="0"/>
        <c:axPos val="l"/>
        <c:majorGridlines>
          <c:spPr>
            <a:ln>
              <a:solidFill>
                <a:schemeClr val="bg1">
                  <a:lumMod val="65000"/>
                </a:schemeClr>
              </a:solidFill>
            </a:ln>
          </c:spPr>
        </c:majorGridlines>
        <c:title>
          <c:tx>
            <c:rich>
              <a:bodyPr/>
              <a:lstStyle/>
              <a:p>
                <a:pPr>
                  <a:defRPr/>
                </a:pPr>
                <a:r>
                  <a:rPr lang="lt-LT"/>
                  <a:t>Tonos, t</a:t>
                </a:r>
              </a:p>
            </c:rich>
          </c:tx>
          <c:layout/>
          <c:overlay val="0"/>
        </c:title>
        <c:numFmt formatCode="#,##0" sourceLinked="1"/>
        <c:majorTickMark val="out"/>
        <c:minorTickMark val="none"/>
        <c:tickLblPos val="nextTo"/>
        <c:spPr>
          <a:ln>
            <a:solidFill>
              <a:schemeClr val="bg1">
                <a:lumMod val="65000"/>
              </a:schemeClr>
            </a:solidFill>
          </a:ln>
        </c:spPr>
        <c:txPr>
          <a:bodyPr rot="0" vert="horz"/>
          <a:lstStyle/>
          <a:p>
            <a:pPr>
              <a:defRPr/>
            </a:pPr>
            <a:endParaRPr lang="lt-LT"/>
          </a:p>
        </c:txPr>
        <c:crossAx val="163607296"/>
        <c:crosses val="autoZero"/>
        <c:crossBetween val="between"/>
      </c:valAx>
    </c:plotArea>
    <c:legend>
      <c:legendPos val="r"/>
      <c:layout>
        <c:manualLayout>
          <c:xMode val="edge"/>
          <c:yMode val="edge"/>
          <c:x val="0.65413758585833326"/>
          <c:y val="0.23437454263384364"/>
          <c:w val="0.33334387688718403"/>
          <c:h val="0.37417485602024175"/>
        </c:manualLayout>
      </c:layout>
      <c:overlay val="0"/>
    </c:legend>
    <c:plotVisOnly val="1"/>
    <c:dispBlanksAs val="gap"/>
    <c:showDLblsOverMax val="0"/>
  </c:chart>
  <c:spPr>
    <a:ln>
      <a:noFill/>
    </a:ln>
  </c:spPr>
  <c:txPr>
    <a:bodyPr/>
    <a:lstStyle/>
    <a:p>
      <a:pPr>
        <a:defRPr sz="1000" b="0" i="0" u="none" strike="noStrike" baseline="0">
          <a:solidFill>
            <a:srgbClr val="C0C0C0"/>
          </a:solidFill>
          <a:latin typeface="Times New Roman" panose="02020603050405020304" pitchFamily="18" charset="0"/>
          <a:ea typeface="Calibri"/>
          <a:cs typeface="Times New Roman" panose="02020603050405020304" pitchFamily="18" charset="0"/>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NO!$A$3</c:f>
              <c:strCache>
                <c:ptCount val="1"/>
                <c:pt idx="0">
                  <c:v>Viešoji energijos gamyba</c:v>
                </c:pt>
              </c:strCache>
            </c:strRef>
          </c:tx>
          <c:spPr>
            <a:solidFill>
              <a:schemeClr val="tx2">
                <a:lumMod val="60000"/>
                <a:lumOff val="40000"/>
              </a:schemeClr>
            </a:solidFill>
          </c:spPr>
          <c:invertIfNegative val="0"/>
          <c:cat>
            <c:numRef>
              <c:f>NO!$O$2:$Y$2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NO!$O$3:$Y$3</c:f>
              <c:numCache>
                <c:formatCode>0.0%</c:formatCode>
                <c:ptCount val="11"/>
                <c:pt idx="0">
                  <c:v>9.6680487136009893E-2</c:v>
                </c:pt>
                <c:pt idx="1">
                  <c:v>8.3938426658362153E-2</c:v>
                </c:pt>
                <c:pt idx="2">
                  <c:v>8.7521288400338723E-2</c:v>
                </c:pt>
                <c:pt idx="3">
                  <c:v>8.1588994319706537E-2</c:v>
                </c:pt>
                <c:pt idx="4">
                  <c:v>8.9047613951007271E-2</c:v>
                </c:pt>
                <c:pt idx="5">
                  <c:v>8.7410381159410591E-2</c:v>
                </c:pt>
                <c:pt idx="6">
                  <c:v>8.165877247316003E-2</c:v>
                </c:pt>
                <c:pt idx="7">
                  <c:v>8.1308762481514502E-2</c:v>
                </c:pt>
                <c:pt idx="8">
                  <c:v>7.1368305063842077E-2</c:v>
                </c:pt>
                <c:pt idx="9">
                  <c:v>6.6861018391174129E-2</c:v>
                </c:pt>
                <c:pt idx="10">
                  <c:v>7.5740988728849226E-2</c:v>
                </c:pt>
              </c:numCache>
            </c:numRef>
          </c:val>
          <c:extLst>
            <c:ext xmlns:c16="http://schemas.microsoft.com/office/drawing/2014/chart" uri="{C3380CC4-5D6E-409C-BE32-E72D297353CC}">
              <c16:uniqueId val="{00000000-DA68-43B0-A1B4-33EA1CA4C5FE}"/>
            </c:ext>
          </c:extLst>
        </c:ser>
        <c:ser>
          <c:idx val="1"/>
          <c:order val="1"/>
          <c:tx>
            <c:strRef>
              <c:f>NO!$A$4</c:f>
              <c:strCache>
                <c:ptCount val="1"/>
                <c:pt idx="0">
                  <c:v>Pramonė</c:v>
                </c:pt>
              </c:strCache>
            </c:strRef>
          </c:tx>
          <c:spPr>
            <a:solidFill>
              <a:schemeClr val="accent1">
                <a:lumMod val="75000"/>
              </a:schemeClr>
            </a:solidFill>
          </c:spPr>
          <c:invertIfNegative val="0"/>
          <c:cat>
            <c:numRef>
              <c:f>NO!$O$2:$Y$2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NO!$O$4:$Y$4</c:f>
              <c:numCache>
                <c:formatCode>0.0%</c:formatCode>
                <c:ptCount val="11"/>
                <c:pt idx="0">
                  <c:v>0.11964027132149824</c:v>
                </c:pt>
                <c:pt idx="1">
                  <c:v>0.12478287941306511</c:v>
                </c:pt>
                <c:pt idx="2">
                  <c:v>0.10465510368769493</c:v>
                </c:pt>
                <c:pt idx="3">
                  <c:v>0.1092914367202534</c:v>
                </c:pt>
                <c:pt idx="4">
                  <c:v>9.5056059761966571E-2</c:v>
                </c:pt>
                <c:pt idx="5">
                  <c:v>9.5142983213045748E-2</c:v>
                </c:pt>
                <c:pt idx="6">
                  <c:v>9.651621332729457E-2</c:v>
                </c:pt>
                <c:pt idx="7">
                  <c:v>9.0517508848103403E-2</c:v>
                </c:pt>
                <c:pt idx="8">
                  <c:v>8.9839653684015586E-2</c:v>
                </c:pt>
                <c:pt idx="9">
                  <c:v>8.1798706961824064E-2</c:v>
                </c:pt>
                <c:pt idx="10">
                  <c:v>0.10280909065622265</c:v>
                </c:pt>
              </c:numCache>
            </c:numRef>
          </c:val>
          <c:extLst>
            <c:ext xmlns:c16="http://schemas.microsoft.com/office/drawing/2014/chart" uri="{C3380CC4-5D6E-409C-BE32-E72D297353CC}">
              <c16:uniqueId val="{00000001-DA68-43B0-A1B4-33EA1CA4C5FE}"/>
            </c:ext>
          </c:extLst>
        </c:ser>
        <c:ser>
          <c:idx val="2"/>
          <c:order val="2"/>
          <c:tx>
            <c:strRef>
              <c:f>NO!$A$5</c:f>
              <c:strCache>
                <c:ptCount val="1"/>
                <c:pt idx="0">
                  <c:v>Kitas stacionarus deginimas</c:v>
                </c:pt>
              </c:strCache>
            </c:strRef>
          </c:tx>
          <c:spPr>
            <a:solidFill>
              <a:srgbClr val="FFC000"/>
            </a:solidFill>
          </c:spPr>
          <c:invertIfNegative val="0"/>
          <c:cat>
            <c:numRef>
              <c:f>NO!$O$2:$Y$2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NO!$O$5:$Y$5</c:f>
              <c:numCache>
                <c:formatCode>0.0%</c:formatCode>
                <c:ptCount val="11"/>
                <c:pt idx="0">
                  <c:v>5.4298864367832739E-2</c:v>
                </c:pt>
                <c:pt idx="1">
                  <c:v>5.6047134231887702E-2</c:v>
                </c:pt>
                <c:pt idx="2">
                  <c:v>5.6887407325976622E-2</c:v>
                </c:pt>
                <c:pt idx="3">
                  <c:v>5.586197833839094E-2</c:v>
                </c:pt>
                <c:pt idx="4">
                  <c:v>6.2425814857528565E-2</c:v>
                </c:pt>
                <c:pt idx="5">
                  <c:v>6.2909887657070743E-2</c:v>
                </c:pt>
                <c:pt idx="6">
                  <c:v>6.6710759902262162E-2</c:v>
                </c:pt>
                <c:pt idx="7">
                  <c:v>6.2134850173846741E-2</c:v>
                </c:pt>
                <c:pt idx="8">
                  <c:v>6.2236237754745426E-2</c:v>
                </c:pt>
                <c:pt idx="9">
                  <c:v>5.8951148194016534E-2</c:v>
                </c:pt>
                <c:pt idx="10">
                  <c:v>5.4059139309365935E-2</c:v>
                </c:pt>
              </c:numCache>
            </c:numRef>
          </c:val>
          <c:extLst>
            <c:ext xmlns:c16="http://schemas.microsoft.com/office/drawing/2014/chart" uri="{C3380CC4-5D6E-409C-BE32-E72D297353CC}">
              <c16:uniqueId val="{00000002-DA68-43B0-A1B4-33EA1CA4C5FE}"/>
            </c:ext>
          </c:extLst>
        </c:ser>
        <c:ser>
          <c:idx val="3"/>
          <c:order val="3"/>
          <c:tx>
            <c:strRef>
              <c:f>NO!$A$8</c:f>
              <c:strCache>
                <c:ptCount val="1"/>
                <c:pt idx="0">
                  <c:v>Kelių transportas</c:v>
                </c:pt>
              </c:strCache>
            </c:strRef>
          </c:tx>
          <c:spPr>
            <a:solidFill>
              <a:schemeClr val="tx2"/>
            </a:solidFill>
          </c:spPr>
          <c:invertIfNegative val="0"/>
          <c:cat>
            <c:numRef>
              <c:f>NO!$O$2:$Y$2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NO!$O$8:$Y$8</c:f>
              <c:numCache>
                <c:formatCode>0.0%</c:formatCode>
                <c:ptCount val="11"/>
                <c:pt idx="0">
                  <c:v>0.4864716424742781</c:v>
                </c:pt>
                <c:pt idx="1">
                  <c:v>0.49991218794758802</c:v>
                </c:pt>
                <c:pt idx="2">
                  <c:v>0.49885176200076264</c:v>
                </c:pt>
                <c:pt idx="3">
                  <c:v>0.50814411284492023</c:v>
                </c:pt>
                <c:pt idx="4">
                  <c:v>0.49911457496323247</c:v>
                </c:pt>
                <c:pt idx="5">
                  <c:v>0.49054152793909728</c:v>
                </c:pt>
                <c:pt idx="6">
                  <c:v>0.46818134881067097</c:v>
                </c:pt>
                <c:pt idx="7">
                  <c:v>0.48787666930703338</c:v>
                </c:pt>
                <c:pt idx="8">
                  <c:v>0.49499420948115619</c:v>
                </c:pt>
                <c:pt idx="9">
                  <c:v>0.4958096187850784</c:v>
                </c:pt>
                <c:pt idx="10">
                  <c:v>0.47887630822898597</c:v>
                </c:pt>
              </c:numCache>
            </c:numRef>
          </c:val>
          <c:extLst>
            <c:ext xmlns:c16="http://schemas.microsoft.com/office/drawing/2014/chart" uri="{C3380CC4-5D6E-409C-BE32-E72D297353CC}">
              <c16:uniqueId val="{00000003-DA68-43B0-A1B4-33EA1CA4C5FE}"/>
            </c:ext>
          </c:extLst>
        </c:ser>
        <c:ser>
          <c:idx val="4"/>
          <c:order val="4"/>
          <c:tx>
            <c:strRef>
              <c:f>NO!$A$11</c:f>
              <c:strCache>
                <c:ptCount val="1"/>
                <c:pt idx="0">
                  <c:v>Ne kelių transportas</c:v>
                </c:pt>
              </c:strCache>
            </c:strRef>
          </c:tx>
          <c:spPr>
            <a:solidFill>
              <a:schemeClr val="accent1">
                <a:lumMod val="40000"/>
                <a:lumOff val="60000"/>
              </a:schemeClr>
            </a:solidFill>
          </c:spPr>
          <c:invertIfNegative val="0"/>
          <c:cat>
            <c:numRef>
              <c:f>NO!$O$2:$Y$2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NO!$O$11:$Y$11</c:f>
              <c:numCache>
                <c:formatCode>0.0%</c:formatCode>
                <c:ptCount val="11"/>
                <c:pt idx="0">
                  <c:v>0.10096536533139316</c:v>
                </c:pt>
                <c:pt idx="1">
                  <c:v>9.5443386216584838E-2</c:v>
                </c:pt>
                <c:pt idx="2">
                  <c:v>0.10056533039875749</c:v>
                </c:pt>
                <c:pt idx="3">
                  <c:v>0.10029814009830541</c:v>
                </c:pt>
                <c:pt idx="4">
                  <c:v>8.5916091958006188E-2</c:v>
                </c:pt>
                <c:pt idx="5">
                  <c:v>8.7054590292245659E-2</c:v>
                </c:pt>
                <c:pt idx="6">
                  <c:v>9.5460802827267238E-2</c:v>
                </c:pt>
                <c:pt idx="7">
                  <c:v>9.1322928774481629E-2</c:v>
                </c:pt>
                <c:pt idx="8">
                  <c:v>8.7396056836627531E-2</c:v>
                </c:pt>
                <c:pt idx="9">
                  <c:v>9.165395019897167E-2</c:v>
                </c:pt>
                <c:pt idx="10">
                  <c:v>8.4568517719010639E-2</c:v>
                </c:pt>
              </c:numCache>
            </c:numRef>
          </c:val>
          <c:extLst>
            <c:ext xmlns:c16="http://schemas.microsoft.com/office/drawing/2014/chart" uri="{C3380CC4-5D6E-409C-BE32-E72D297353CC}">
              <c16:uniqueId val="{00000004-DA68-43B0-A1B4-33EA1CA4C5FE}"/>
            </c:ext>
          </c:extLst>
        </c:ser>
        <c:ser>
          <c:idx val="5"/>
          <c:order val="5"/>
          <c:tx>
            <c:strRef>
              <c:f>NO!$A$14</c:f>
              <c:strCache>
                <c:ptCount val="1"/>
                <c:pt idx="0">
                  <c:v>Žemės ūkis-kitas</c:v>
                </c:pt>
              </c:strCache>
            </c:strRef>
          </c:tx>
          <c:spPr>
            <a:solidFill>
              <a:srgbClr val="C00000"/>
            </a:solidFill>
          </c:spPr>
          <c:invertIfNegative val="0"/>
          <c:cat>
            <c:numRef>
              <c:f>NO!$O$2:$Y$2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NO!$O$14:$Y$14</c:f>
              <c:numCache>
                <c:formatCode>0.0%</c:formatCode>
                <c:ptCount val="11"/>
                <c:pt idx="0">
                  <c:v>0.11630859417613104</c:v>
                </c:pt>
                <c:pt idx="1">
                  <c:v>0.11406304769439518</c:v>
                </c:pt>
                <c:pt idx="2">
                  <c:v>0.1251505958024087</c:v>
                </c:pt>
                <c:pt idx="3">
                  <c:v>0.11552594883010588</c:v>
                </c:pt>
                <c:pt idx="4">
                  <c:v>0.14504406301592732</c:v>
                </c:pt>
                <c:pt idx="5">
                  <c:v>0.14876418715177481</c:v>
                </c:pt>
                <c:pt idx="6">
                  <c:v>0.16165300778710254</c:v>
                </c:pt>
                <c:pt idx="7">
                  <c:v>0.15873020056564729</c:v>
                </c:pt>
                <c:pt idx="8">
                  <c:v>0.16588119309232999</c:v>
                </c:pt>
                <c:pt idx="9">
                  <c:v>0.17446407551657131</c:v>
                </c:pt>
                <c:pt idx="10">
                  <c:v>0.17298226292321595</c:v>
                </c:pt>
              </c:numCache>
            </c:numRef>
          </c:val>
          <c:extLst>
            <c:ext xmlns:c16="http://schemas.microsoft.com/office/drawing/2014/chart" uri="{C3380CC4-5D6E-409C-BE32-E72D297353CC}">
              <c16:uniqueId val="{00000005-DA68-43B0-A1B4-33EA1CA4C5FE}"/>
            </c:ext>
          </c:extLst>
        </c:ser>
        <c:ser>
          <c:idx val="6"/>
          <c:order val="6"/>
          <c:tx>
            <c:strRef>
              <c:f>NO!$A$16</c:f>
              <c:strCache>
                <c:ptCount val="1"/>
                <c:pt idx="0">
                  <c:v>Kiti sektoriai</c:v>
                </c:pt>
              </c:strCache>
            </c:strRef>
          </c:tx>
          <c:invertIfNegative val="0"/>
          <c:cat>
            <c:numRef>
              <c:f>NO!$O$2:$Y$2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NO!$O$16:$Y$16</c:f>
              <c:numCache>
                <c:formatCode>0.0%</c:formatCode>
                <c:ptCount val="11"/>
                <c:pt idx="0">
                  <c:v>2.5634775192856889E-2</c:v>
                </c:pt>
                <c:pt idx="1">
                  <c:v>2.581293783811708E-2</c:v>
                </c:pt>
                <c:pt idx="2">
                  <c:v>2.6368512384060988E-2</c:v>
                </c:pt>
                <c:pt idx="3">
                  <c:v>2.9289388848317569E-2</c:v>
                </c:pt>
                <c:pt idx="4">
                  <c:v>2.3395781492331659E-2</c:v>
                </c:pt>
                <c:pt idx="5">
                  <c:v>2.8176442587355018E-2</c:v>
                </c:pt>
                <c:pt idx="6">
                  <c:v>2.9819094872242411E-2</c:v>
                </c:pt>
                <c:pt idx="7">
                  <c:v>2.810907984937306E-2</c:v>
                </c:pt>
                <c:pt idx="8">
                  <c:v>2.8284344087283225E-2</c:v>
                </c:pt>
                <c:pt idx="9">
                  <c:v>3.0461481952363676E-2</c:v>
                </c:pt>
                <c:pt idx="10">
                  <c:v>3.0963692434349457E-2</c:v>
                </c:pt>
              </c:numCache>
            </c:numRef>
          </c:val>
          <c:extLst>
            <c:ext xmlns:c16="http://schemas.microsoft.com/office/drawing/2014/chart" uri="{C3380CC4-5D6E-409C-BE32-E72D297353CC}">
              <c16:uniqueId val="{00000006-DA68-43B0-A1B4-33EA1CA4C5FE}"/>
            </c:ext>
          </c:extLst>
        </c:ser>
        <c:dLbls>
          <c:showLegendKey val="0"/>
          <c:showVal val="0"/>
          <c:showCatName val="0"/>
          <c:showSerName val="0"/>
          <c:showPercent val="0"/>
          <c:showBubbleSize val="0"/>
        </c:dLbls>
        <c:gapWidth val="150"/>
        <c:overlap val="100"/>
        <c:axId val="163733504"/>
        <c:axId val="163735040"/>
      </c:barChart>
      <c:catAx>
        <c:axId val="163733504"/>
        <c:scaling>
          <c:orientation val="minMax"/>
        </c:scaling>
        <c:delete val="0"/>
        <c:axPos val="b"/>
        <c:numFmt formatCode="General" sourceLinked="1"/>
        <c:majorTickMark val="out"/>
        <c:minorTickMark val="none"/>
        <c:tickLblPos val="nextTo"/>
        <c:crossAx val="163735040"/>
        <c:crosses val="autoZero"/>
        <c:auto val="1"/>
        <c:lblAlgn val="ctr"/>
        <c:lblOffset val="100"/>
        <c:noMultiLvlLbl val="0"/>
      </c:catAx>
      <c:valAx>
        <c:axId val="163735040"/>
        <c:scaling>
          <c:orientation val="minMax"/>
        </c:scaling>
        <c:delete val="0"/>
        <c:axPos val="l"/>
        <c:majorGridlines/>
        <c:numFmt formatCode="0%" sourceLinked="1"/>
        <c:majorTickMark val="out"/>
        <c:minorTickMark val="none"/>
        <c:tickLblPos val="nextTo"/>
        <c:crossAx val="163733504"/>
        <c:crosses val="autoZero"/>
        <c:crossBetween val="between"/>
      </c:valAx>
    </c:plotArea>
    <c:legend>
      <c:legendPos val="r"/>
      <c:layout>
        <c:manualLayout>
          <c:xMode val="edge"/>
          <c:yMode val="edge"/>
          <c:x val="0.65652734033245841"/>
          <c:y val="0.11343759113444153"/>
          <c:w val="0.32680599300087487"/>
          <c:h val="0.75923592884222801"/>
        </c:manualLayout>
      </c:layout>
      <c:overlay val="0"/>
    </c:legend>
    <c:plotVisOnly val="1"/>
    <c:dispBlanksAs val="gap"/>
    <c:showDLblsOverMax val="0"/>
  </c:chart>
  <c:spPr>
    <a:ln>
      <a:noFill/>
    </a:ln>
  </c:spPr>
  <c:txPr>
    <a:bodyPr/>
    <a:lstStyle/>
    <a:p>
      <a:pPr>
        <a:defRPr sz="900">
          <a:solidFill>
            <a:schemeClr val="bg1">
              <a:lumMod val="50000"/>
            </a:schemeClr>
          </a:solidFill>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Data!$B$34</c:f>
              <c:strCache>
                <c:ptCount val="1"/>
                <c:pt idx="0">
                  <c:v>NMLOJ išmetimai į aplinkos orą</c:v>
                </c:pt>
              </c:strCache>
            </c:strRef>
          </c:tx>
          <c:marker>
            <c:symbol val="none"/>
          </c:marker>
          <c:cat>
            <c:strRef>
              <c:f>Data!$B$50:$AA$50</c:f>
              <c:strCach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strCache>
            </c:strRef>
          </c:cat>
          <c:val>
            <c:numRef>
              <c:f>Data!$B$38:$L$38</c:f>
              <c:numCache>
                <c:formatCode>#,##0</c:formatCode>
                <c:ptCount val="11"/>
                <c:pt idx="0">
                  <c:v>75071</c:v>
                </c:pt>
                <c:pt idx="1">
                  <c:v>74614</c:v>
                </c:pt>
                <c:pt idx="2">
                  <c:v>73000</c:v>
                </c:pt>
                <c:pt idx="3">
                  <c:v>70824</c:v>
                </c:pt>
                <c:pt idx="4">
                  <c:v>66839</c:v>
                </c:pt>
                <c:pt idx="5">
                  <c:v>66879</c:v>
                </c:pt>
                <c:pt idx="6">
                  <c:v>64538</c:v>
                </c:pt>
                <c:pt idx="7">
                  <c:v>63839</c:v>
                </c:pt>
                <c:pt idx="8">
                  <c:v>60465</c:v>
                </c:pt>
                <c:pt idx="9">
                  <c:v>60283</c:v>
                </c:pt>
                <c:pt idx="10">
                  <c:v>59358</c:v>
                </c:pt>
              </c:numCache>
            </c:numRef>
          </c:val>
          <c:smooth val="0"/>
          <c:extLst>
            <c:ext xmlns:c16="http://schemas.microsoft.com/office/drawing/2014/chart" uri="{C3380CC4-5D6E-409C-BE32-E72D297353CC}">
              <c16:uniqueId val="{00000000-0337-41C7-9ADE-873FA0327B37}"/>
            </c:ext>
          </c:extLst>
        </c:ser>
        <c:ser>
          <c:idx val="1"/>
          <c:order val="1"/>
          <c:tx>
            <c:strRef>
              <c:f>Data!$A$47</c:f>
              <c:strCache>
                <c:ptCount val="1"/>
                <c:pt idx="0">
                  <c:v>Tikslas 2020-2029 m.</c:v>
                </c:pt>
              </c:strCache>
            </c:strRef>
          </c:tx>
          <c:spPr>
            <a:ln>
              <a:solidFill>
                <a:schemeClr val="tx2"/>
              </a:solidFill>
            </a:ln>
          </c:spPr>
          <c:marker>
            <c:symbol val="none"/>
          </c:marker>
          <c:cat>
            <c:strRef>
              <c:f>Data!$B$50:$AA$50</c:f>
              <c:strCach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strCache>
            </c:strRef>
          </c:cat>
          <c:val>
            <c:numRef>
              <c:f>Data!$B$52:$L$52</c:f>
              <c:numCache>
                <c:formatCode>General</c:formatCode>
                <c:ptCount val="11"/>
                <c:pt idx="0">
                  <c:v>51048.28</c:v>
                </c:pt>
                <c:pt idx="1">
                  <c:v>51048.28</c:v>
                </c:pt>
                <c:pt idx="2">
                  <c:v>51048.28</c:v>
                </c:pt>
                <c:pt idx="3">
                  <c:v>51048.28</c:v>
                </c:pt>
                <c:pt idx="4">
                  <c:v>51048.28</c:v>
                </c:pt>
                <c:pt idx="5">
                  <c:v>51048.28</c:v>
                </c:pt>
                <c:pt idx="6">
                  <c:v>51048.28</c:v>
                </c:pt>
                <c:pt idx="7">
                  <c:v>51048.28</c:v>
                </c:pt>
                <c:pt idx="8">
                  <c:v>51048.28</c:v>
                </c:pt>
                <c:pt idx="9">
                  <c:v>51048.28</c:v>
                </c:pt>
                <c:pt idx="10">
                  <c:v>51048.28</c:v>
                </c:pt>
              </c:numCache>
            </c:numRef>
          </c:val>
          <c:smooth val="0"/>
          <c:extLst>
            <c:ext xmlns:c16="http://schemas.microsoft.com/office/drawing/2014/chart" uri="{C3380CC4-5D6E-409C-BE32-E72D297353CC}">
              <c16:uniqueId val="{00000001-0337-41C7-9ADE-873FA0327B37}"/>
            </c:ext>
          </c:extLst>
        </c:ser>
        <c:ser>
          <c:idx val="2"/>
          <c:order val="2"/>
          <c:tx>
            <c:strRef>
              <c:f>Data!$A$48</c:f>
              <c:strCache>
                <c:ptCount val="1"/>
                <c:pt idx="0">
                  <c:v>Tikslas nuo 2030 m.</c:v>
                </c:pt>
              </c:strCache>
            </c:strRef>
          </c:tx>
          <c:spPr>
            <a:ln>
              <a:solidFill>
                <a:srgbClr val="FFC000"/>
              </a:solidFill>
            </a:ln>
          </c:spPr>
          <c:marker>
            <c:symbol val="none"/>
          </c:marker>
          <c:cat>
            <c:strRef>
              <c:f>Data!$B$50:$AA$50</c:f>
              <c:strCach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strCache>
            </c:strRef>
          </c:cat>
          <c:val>
            <c:numRef>
              <c:f>Data!$B$53:$L$53</c:f>
              <c:numCache>
                <c:formatCode>General</c:formatCode>
                <c:ptCount val="11"/>
                <c:pt idx="0">
                  <c:v>39787.630000000005</c:v>
                </c:pt>
                <c:pt idx="1">
                  <c:v>39787.630000000005</c:v>
                </c:pt>
                <c:pt idx="2">
                  <c:v>39787.630000000005</c:v>
                </c:pt>
                <c:pt idx="3">
                  <c:v>39787.630000000005</c:v>
                </c:pt>
                <c:pt idx="4">
                  <c:v>39787.630000000005</c:v>
                </c:pt>
                <c:pt idx="5">
                  <c:v>39787.630000000005</c:v>
                </c:pt>
                <c:pt idx="6">
                  <c:v>39787.630000000005</c:v>
                </c:pt>
                <c:pt idx="7">
                  <c:v>39787.630000000005</c:v>
                </c:pt>
                <c:pt idx="8">
                  <c:v>39787.630000000005</c:v>
                </c:pt>
                <c:pt idx="9">
                  <c:v>39787.630000000005</c:v>
                </c:pt>
                <c:pt idx="10">
                  <c:v>39787.630000000005</c:v>
                </c:pt>
              </c:numCache>
            </c:numRef>
          </c:val>
          <c:smooth val="0"/>
          <c:extLst>
            <c:ext xmlns:c16="http://schemas.microsoft.com/office/drawing/2014/chart" uri="{C3380CC4-5D6E-409C-BE32-E72D297353CC}">
              <c16:uniqueId val="{00000002-0337-41C7-9ADE-873FA0327B37}"/>
            </c:ext>
          </c:extLst>
        </c:ser>
        <c:dLbls>
          <c:showLegendKey val="0"/>
          <c:showVal val="0"/>
          <c:showCatName val="0"/>
          <c:showSerName val="0"/>
          <c:showPercent val="0"/>
          <c:showBubbleSize val="0"/>
        </c:dLbls>
        <c:smooth val="0"/>
        <c:axId val="257346560"/>
        <c:axId val="163054336"/>
      </c:lineChart>
      <c:catAx>
        <c:axId val="257346560"/>
        <c:scaling>
          <c:orientation val="minMax"/>
        </c:scaling>
        <c:delete val="0"/>
        <c:axPos val="b"/>
        <c:numFmt formatCode="General" sourceLinked="1"/>
        <c:majorTickMark val="out"/>
        <c:minorTickMark val="none"/>
        <c:tickLblPos val="nextTo"/>
        <c:spPr>
          <a:ln>
            <a:solidFill>
              <a:schemeClr val="bg1">
                <a:lumMod val="65000"/>
              </a:schemeClr>
            </a:solidFill>
          </a:ln>
        </c:spPr>
        <c:txPr>
          <a:bodyPr rot="-5400000" vert="horz"/>
          <a:lstStyle/>
          <a:p>
            <a:pPr>
              <a:defRPr/>
            </a:pPr>
            <a:endParaRPr lang="lt-LT"/>
          </a:p>
        </c:txPr>
        <c:crossAx val="163054336"/>
        <c:crosses val="autoZero"/>
        <c:auto val="1"/>
        <c:lblAlgn val="ctr"/>
        <c:lblOffset val="100"/>
        <c:noMultiLvlLbl val="0"/>
      </c:catAx>
      <c:valAx>
        <c:axId val="163054336"/>
        <c:scaling>
          <c:orientation val="minMax"/>
        </c:scaling>
        <c:delete val="0"/>
        <c:axPos val="l"/>
        <c:majorGridlines>
          <c:spPr>
            <a:ln>
              <a:solidFill>
                <a:schemeClr val="bg1">
                  <a:lumMod val="65000"/>
                </a:schemeClr>
              </a:solidFill>
            </a:ln>
          </c:spPr>
        </c:majorGridlines>
        <c:title>
          <c:tx>
            <c:rich>
              <a:bodyPr/>
              <a:lstStyle/>
              <a:p>
                <a:pPr>
                  <a:defRPr/>
                </a:pPr>
                <a:r>
                  <a:rPr lang="lt-LT"/>
                  <a:t>Tonos, t</a:t>
                </a:r>
              </a:p>
            </c:rich>
          </c:tx>
          <c:layout/>
          <c:overlay val="0"/>
        </c:title>
        <c:numFmt formatCode="#,##0" sourceLinked="1"/>
        <c:majorTickMark val="out"/>
        <c:minorTickMark val="none"/>
        <c:tickLblPos val="nextTo"/>
        <c:spPr>
          <a:ln>
            <a:solidFill>
              <a:schemeClr val="bg1">
                <a:lumMod val="65000"/>
              </a:schemeClr>
            </a:solidFill>
          </a:ln>
        </c:spPr>
        <c:txPr>
          <a:bodyPr rot="0" vert="horz"/>
          <a:lstStyle/>
          <a:p>
            <a:pPr>
              <a:defRPr/>
            </a:pPr>
            <a:endParaRPr lang="lt-LT"/>
          </a:p>
        </c:txPr>
        <c:crossAx val="257346560"/>
        <c:crosses val="autoZero"/>
        <c:crossBetween val="between"/>
      </c:valAx>
    </c:plotArea>
    <c:legend>
      <c:legendPos val="r"/>
      <c:layout>
        <c:manualLayout>
          <c:xMode val="edge"/>
          <c:yMode val="edge"/>
          <c:x val="0.65930573627189282"/>
          <c:y val="0.24422175913623587"/>
          <c:w val="0.32369023505792605"/>
          <c:h val="0.44838224729999743"/>
        </c:manualLayout>
      </c:layout>
      <c:overlay val="0"/>
    </c:legend>
    <c:plotVisOnly val="1"/>
    <c:dispBlanksAs val="gap"/>
    <c:showDLblsOverMax val="0"/>
  </c:chart>
  <c:spPr>
    <a:ln>
      <a:noFill/>
    </a:ln>
  </c:spPr>
  <c:txPr>
    <a:bodyPr/>
    <a:lstStyle/>
    <a:p>
      <a:pPr>
        <a:defRPr sz="1000" b="0" i="0" u="none" strike="noStrike" baseline="0">
          <a:solidFill>
            <a:srgbClr val="C0C0C0"/>
          </a:solidFill>
          <a:latin typeface="Times New Roman" panose="02020603050405020304" pitchFamily="18" charset="0"/>
          <a:ea typeface="Calibri"/>
          <a:cs typeface="Times New Roman" panose="02020603050405020304" pitchFamily="18" charset="0"/>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NMLOJ!$A$4</c:f>
              <c:strCache>
                <c:ptCount val="1"/>
                <c:pt idx="0">
                  <c:v>Pramonė</c:v>
                </c:pt>
              </c:strCache>
            </c:strRef>
          </c:tx>
          <c:invertIfNegative val="0"/>
          <c:cat>
            <c:numRef>
              <c:f>NMLOJ!$O$2:$Y$2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NMLOJ!$O$4:$Y$4</c:f>
              <c:numCache>
                <c:formatCode>0.0%</c:formatCode>
                <c:ptCount val="11"/>
                <c:pt idx="0">
                  <c:v>7.9492873022448535E-2</c:v>
                </c:pt>
                <c:pt idx="1">
                  <c:v>7.6622240108225909E-2</c:v>
                </c:pt>
                <c:pt idx="2">
                  <c:v>8.4418023791677274E-2</c:v>
                </c:pt>
                <c:pt idx="3">
                  <c:v>7.332078076650865E-2</c:v>
                </c:pt>
                <c:pt idx="4">
                  <c:v>7.4229841784033621E-2</c:v>
                </c:pt>
                <c:pt idx="5">
                  <c:v>7.6053615238102473E-2</c:v>
                </c:pt>
                <c:pt idx="6">
                  <c:v>8.3544846842909526E-2</c:v>
                </c:pt>
                <c:pt idx="7">
                  <c:v>8.6794780823947357E-2</c:v>
                </c:pt>
                <c:pt idx="8">
                  <c:v>9.8061629524862387E-2</c:v>
                </c:pt>
                <c:pt idx="9">
                  <c:v>9.7446470336421245E-2</c:v>
                </c:pt>
                <c:pt idx="10">
                  <c:v>9.0068289401597793E-2</c:v>
                </c:pt>
              </c:numCache>
            </c:numRef>
          </c:val>
          <c:extLst>
            <c:ext xmlns:c16="http://schemas.microsoft.com/office/drawing/2014/chart" uri="{C3380CC4-5D6E-409C-BE32-E72D297353CC}">
              <c16:uniqueId val="{00000000-02A6-4BC9-BBE1-669A8BF7ACF5}"/>
            </c:ext>
          </c:extLst>
        </c:ser>
        <c:ser>
          <c:idx val="1"/>
          <c:order val="1"/>
          <c:tx>
            <c:strRef>
              <c:f>NMLOJ!$A$5</c:f>
              <c:strCache>
                <c:ptCount val="1"/>
                <c:pt idx="0">
                  <c:v>Kitas stacionarus deginimas</c:v>
                </c:pt>
              </c:strCache>
            </c:strRef>
          </c:tx>
          <c:invertIfNegative val="0"/>
          <c:cat>
            <c:numRef>
              <c:f>NMLOJ!$O$2:$Y$2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NMLOJ!$O$5:$Y$5</c:f>
              <c:numCache>
                <c:formatCode>0.0%</c:formatCode>
                <c:ptCount val="11"/>
                <c:pt idx="0">
                  <c:v>0.17108475781862936</c:v>
                </c:pt>
                <c:pt idx="1">
                  <c:v>0.18094108969493369</c:v>
                </c:pt>
                <c:pt idx="2">
                  <c:v>0.179379354776699</c:v>
                </c:pt>
                <c:pt idx="3">
                  <c:v>0.19102000459922408</c:v>
                </c:pt>
                <c:pt idx="4">
                  <c:v>0.20504766318882273</c:v>
                </c:pt>
                <c:pt idx="5">
                  <c:v>0.2061450666310429</c:v>
                </c:pt>
                <c:pt idx="6">
                  <c:v>0.21045014843282592</c:v>
                </c:pt>
                <c:pt idx="7">
                  <c:v>0.2123317982963481</c:v>
                </c:pt>
                <c:pt idx="8">
                  <c:v>0.21878649676927633</c:v>
                </c:pt>
                <c:pt idx="9">
                  <c:v>0.20483563308205241</c:v>
                </c:pt>
                <c:pt idx="10">
                  <c:v>0.19742625908815459</c:v>
                </c:pt>
              </c:numCache>
            </c:numRef>
          </c:val>
          <c:extLst>
            <c:ext xmlns:c16="http://schemas.microsoft.com/office/drawing/2014/chart" uri="{C3380CC4-5D6E-409C-BE32-E72D297353CC}">
              <c16:uniqueId val="{00000001-02A6-4BC9-BBE1-669A8BF7ACF5}"/>
            </c:ext>
          </c:extLst>
        </c:ser>
        <c:ser>
          <c:idx val="2"/>
          <c:order val="2"/>
          <c:tx>
            <c:strRef>
              <c:f>NMLOJ!$A$6</c:f>
              <c:strCache>
                <c:ptCount val="1"/>
                <c:pt idx="0">
                  <c:v>Garavimo emisijos</c:v>
                </c:pt>
              </c:strCache>
            </c:strRef>
          </c:tx>
          <c:spPr>
            <a:solidFill>
              <a:schemeClr val="accent1">
                <a:lumMod val="20000"/>
                <a:lumOff val="80000"/>
              </a:schemeClr>
            </a:solidFill>
          </c:spPr>
          <c:invertIfNegative val="0"/>
          <c:cat>
            <c:numRef>
              <c:f>NMLOJ!$O$2:$Y$2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NMLOJ!$O$6:$Y$6</c:f>
              <c:numCache>
                <c:formatCode>0.0%</c:formatCode>
                <c:ptCount val="11"/>
                <c:pt idx="0">
                  <c:v>0.16583659567439549</c:v>
                </c:pt>
                <c:pt idx="1">
                  <c:v>0.16688787899292004</c:v>
                </c:pt>
                <c:pt idx="2">
                  <c:v>0.13730908390207625</c:v>
                </c:pt>
                <c:pt idx="3">
                  <c:v>0.1953278325133945</c:v>
                </c:pt>
                <c:pt idx="4">
                  <c:v>0.18409144939635938</c:v>
                </c:pt>
                <c:pt idx="5">
                  <c:v>0.18230638051070705</c:v>
                </c:pt>
                <c:pt idx="6">
                  <c:v>0.19216426801596737</c:v>
                </c:pt>
                <c:pt idx="7">
                  <c:v>0.19159036036480884</c:v>
                </c:pt>
                <c:pt idx="8">
                  <c:v>0.21048660463379049</c:v>
                </c:pt>
                <c:pt idx="9">
                  <c:v>0.18715574889202277</c:v>
                </c:pt>
                <c:pt idx="10">
                  <c:v>0.20246802349320794</c:v>
                </c:pt>
              </c:numCache>
            </c:numRef>
          </c:val>
          <c:extLst>
            <c:ext xmlns:c16="http://schemas.microsoft.com/office/drawing/2014/chart" uri="{C3380CC4-5D6E-409C-BE32-E72D297353CC}">
              <c16:uniqueId val="{00000002-02A6-4BC9-BBE1-669A8BF7ACF5}"/>
            </c:ext>
          </c:extLst>
        </c:ser>
        <c:ser>
          <c:idx val="3"/>
          <c:order val="3"/>
          <c:tx>
            <c:strRef>
              <c:f>NMLOJ!$A$7</c:f>
              <c:strCache>
                <c:ptCount val="1"/>
                <c:pt idx="0">
                  <c:v>Tirpikliai</c:v>
                </c:pt>
              </c:strCache>
            </c:strRef>
          </c:tx>
          <c:spPr>
            <a:solidFill>
              <a:schemeClr val="tx2"/>
            </a:solidFill>
          </c:spPr>
          <c:invertIfNegative val="0"/>
          <c:cat>
            <c:numRef>
              <c:f>NMLOJ!$O$2:$Y$2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NMLOJ!$O$7:$Y$7</c:f>
              <c:numCache>
                <c:formatCode>0.0%</c:formatCode>
                <c:ptCount val="11"/>
                <c:pt idx="0">
                  <c:v>0.23030427352248911</c:v>
                </c:pt>
                <c:pt idx="1">
                  <c:v>0.23798244389084497</c:v>
                </c:pt>
                <c:pt idx="2">
                  <c:v>0.28000651512257557</c:v>
                </c:pt>
                <c:pt idx="3">
                  <c:v>0.22151093861321042</c:v>
                </c:pt>
                <c:pt idx="4">
                  <c:v>0.21456173064273526</c:v>
                </c:pt>
                <c:pt idx="5">
                  <c:v>0.21946851425730171</c:v>
                </c:pt>
                <c:pt idx="6">
                  <c:v>0.22325139977828526</c:v>
                </c:pt>
                <c:pt idx="7">
                  <c:v>0.21133538986180084</c:v>
                </c:pt>
                <c:pt idx="8">
                  <c:v>0.20585911862173611</c:v>
                </c:pt>
                <c:pt idx="9">
                  <c:v>0.24075400972953392</c:v>
                </c:pt>
                <c:pt idx="10">
                  <c:v>0.26067052582498956</c:v>
                </c:pt>
              </c:numCache>
            </c:numRef>
          </c:val>
          <c:extLst>
            <c:ext xmlns:c16="http://schemas.microsoft.com/office/drawing/2014/chart" uri="{C3380CC4-5D6E-409C-BE32-E72D297353CC}">
              <c16:uniqueId val="{00000003-02A6-4BC9-BBE1-669A8BF7ACF5}"/>
            </c:ext>
          </c:extLst>
        </c:ser>
        <c:ser>
          <c:idx val="4"/>
          <c:order val="4"/>
          <c:tx>
            <c:strRef>
              <c:f>NMLOJ!$A$8</c:f>
              <c:strCache>
                <c:ptCount val="1"/>
                <c:pt idx="0">
                  <c:v>Kelių transportas</c:v>
                </c:pt>
              </c:strCache>
            </c:strRef>
          </c:tx>
          <c:invertIfNegative val="0"/>
          <c:cat>
            <c:numRef>
              <c:f>NMLOJ!$O$2:$Y$2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NMLOJ!$O$8:$Y$8</c:f>
              <c:numCache>
                <c:formatCode>0.0%</c:formatCode>
                <c:ptCount val="11"/>
                <c:pt idx="0">
                  <c:v>0.16443317850810998</c:v>
                </c:pt>
                <c:pt idx="1">
                  <c:v>0.14688424932958022</c:v>
                </c:pt>
                <c:pt idx="2">
                  <c:v>0.13244577705516658</c:v>
                </c:pt>
                <c:pt idx="3">
                  <c:v>0.12956302804313621</c:v>
                </c:pt>
                <c:pt idx="4">
                  <c:v>0.13023402032468753</c:v>
                </c:pt>
                <c:pt idx="5">
                  <c:v>0.1259060812988517</c:v>
                </c:pt>
                <c:pt idx="6">
                  <c:v>9.5139359929742734E-2</c:v>
                </c:pt>
                <c:pt idx="7">
                  <c:v>0.11143103410077676</c:v>
                </c:pt>
                <c:pt idx="8">
                  <c:v>7.7152088112292322E-2</c:v>
                </c:pt>
                <c:pt idx="9">
                  <c:v>7.7053288763165625E-2</c:v>
                </c:pt>
                <c:pt idx="10">
                  <c:v>5.6530306093544792E-2</c:v>
                </c:pt>
              </c:numCache>
            </c:numRef>
          </c:val>
          <c:extLst>
            <c:ext xmlns:c16="http://schemas.microsoft.com/office/drawing/2014/chart" uri="{C3380CC4-5D6E-409C-BE32-E72D297353CC}">
              <c16:uniqueId val="{00000004-02A6-4BC9-BBE1-669A8BF7ACF5}"/>
            </c:ext>
          </c:extLst>
        </c:ser>
        <c:ser>
          <c:idx val="5"/>
          <c:order val="5"/>
          <c:tx>
            <c:strRef>
              <c:f>NMLOJ!$A$13</c:f>
              <c:strCache>
                <c:ptCount val="1"/>
                <c:pt idx="0">
                  <c:v>Žemės ūkis-gyvulininkystė</c:v>
                </c:pt>
              </c:strCache>
            </c:strRef>
          </c:tx>
          <c:spPr>
            <a:solidFill>
              <a:srgbClr val="FFC000"/>
            </a:solidFill>
          </c:spPr>
          <c:invertIfNegative val="0"/>
          <c:cat>
            <c:numRef>
              <c:f>NMLOJ!$O$2:$Y$2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NMLOJ!$O$13:$Y$13</c:f>
              <c:numCache>
                <c:formatCode>0.0%</c:formatCode>
                <c:ptCount val="11"/>
                <c:pt idx="0">
                  <c:v>0.14302107656589036</c:v>
                </c:pt>
                <c:pt idx="1">
                  <c:v>0.14568352482546443</c:v>
                </c:pt>
                <c:pt idx="2">
                  <c:v>0.14292025249300835</c:v>
                </c:pt>
                <c:pt idx="3">
                  <c:v>0.14358513761261502</c:v>
                </c:pt>
                <c:pt idx="4">
                  <c:v>0.14781466000356761</c:v>
                </c:pt>
                <c:pt idx="5">
                  <c:v>0.14696232935835343</c:v>
                </c:pt>
                <c:pt idx="6">
                  <c:v>0.14870812703586569</c:v>
                </c:pt>
                <c:pt idx="7">
                  <c:v>0.14869326755833653</c:v>
                </c:pt>
                <c:pt idx="8">
                  <c:v>0.15363249254829994</c:v>
                </c:pt>
                <c:pt idx="9">
                  <c:v>0.15960024707071319</c:v>
                </c:pt>
                <c:pt idx="10">
                  <c:v>0.15867711538139029</c:v>
                </c:pt>
              </c:numCache>
            </c:numRef>
          </c:val>
          <c:extLst>
            <c:ext xmlns:c16="http://schemas.microsoft.com/office/drawing/2014/chart" uri="{C3380CC4-5D6E-409C-BE32-E72D297353CC}">
              <c16:uniqueId val="{00000005-02A6-4BC9-BBE1-669A8BF7ACF5}"/>
            </c:ext>
          </c:extLst>
        </c:ser>
        <c:ser>
          <c:idx val="6"/>
          <c:order val="6"/>
          <c:tx>
            <c:strRef>
              <c:f>NMLOJ!$A$16</c:f>
              <c:strCache>
                <c:ptCount val="1"/>
                <c:pt idx="0">
                  <c:v>Kiti sektoriai</c:v>
                </c:pt>
              </c:strCache>
            </c:strRef>
          </c:tx>
          <c:invertIfNegative val="0"/>
          <c:cat>
            <c:numRef>
              <c:f>NMLOJ!$O$2:$Y$2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NMLOJ!$O$16:$Y$16</c:f>
              <c:numCache>
                <c:formatCode>0.0%</c:formatCode>
                <c:ptCount val="11"/>
                <c:pt idx="0">
                  <c:v>4.582724488803698E-2</c:v>
                </c:pt>
                <c:pt idx="1">
                  <c:v>4.499857315803088E-2</c:v>
                </c:pt>
                <c:pt idx="2">
                  <c:v>4.3520992858797E-2</c:v>
                </c:pt>
                <c:pt idx="3">
                  <c:v>4.5672277851911039E-2</c:v>
                </c:pt>
                <c:pt idx="4">
                  <c:v>4.4020634659793702E-2</c:v>
                </c:pt>
                <c:pt idx="5">
                  <c:v>4.3158012705640736E-2</c:v>
                </c:pt>
                <c:pt idx="6">
                  <c:v>4.6741849964403344E-2</c:v>
                </c:pt>
                <c:pt idx="7">
                  <c:v>3.7823368993981643E-2</c:v>
                </c:pt>
                <c:pt idx="8">
                  <c:v>3.6021569789742414E-2</c:v>
                </c:pt>
                <c:pt idx="9">
                  <c:v>3.3154602126090914E-2</c:v>
                </c:pt>
                <c:pt idx="10">
                  <c:v>3.4159480717115102E-2</c:v>
                </c:pt>
              </c:numCache>
            </c:numRef>
          </c:val>
          <c:extLst>
            <c:ext xmlns:c16="http://schemas.microsoft.com/office/drawing/2014/chart" uri="{C3380CC4-5D6E-409C-BE32-E72D297353CC}">
              <c16:uniqueId val="{00000006-02A6-4BC9-BBE1-669A8BF7ACF5}"/>
            </c:ext>
          </c:extLst>
        </c:ser>
        <c:dLbls>
          <c:showLegendKey val="0"/>
          <c:showVal val="0"/>
          <c:showCatName val="0"/>
          <c:showSerName val="0"/>
          <c:showPercent val="0"/>
          <c:showBubbleSize val="0"/>
        </c:dLbls>
        <c:gapWidth val="150"/>
        <c:overlap val="100"/>
        <c:axId val="163080064"/>
        <c:axId val="163081600"/>
      </c:barChart>
      <c:catAx>
        <c:axId val="163080064"/>
        <c:scaling>
          <c:orientation val="minMax"/>
        </c:scaling>
        <c:delete val="0"/>
        <c:axPos val="b"/>
        <c:numFmt formatCode="General" sourceLinked="1"/>
        <c:majorTickMark val="out"/>
        <c:minorTickMark val="none"/>
        <c:tickLblPos val="nextTo"/>
        <c:spPr>
          <a:ln>
            <a:solidFill>
              <a:schemeClr val="bg1">
                <a:lumMod val="85000"/>
              </a:schemeClr>
            </a:solidFill>
          </a:ln>
        </c:spPr>
        <c:crossAx val="163081600"/>
        <c:crosses val="autoZero"/>
        <c:auto val="1"/>
        <c:lblAlgn val="ctr"/>
        <c:lblOffset val="100"/>
        <c:noMultiLvlLbl val="0"/>
      </c:catAx>
      <c:valAx>
        <c:axId val="163081600"/>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spPr>
          <a:ln>
            <a:solidFill>
              <a:schemeClr val="bg1">
                <a:lumMod val="85000"/>
              </a:schemeClr>
            </a:solidFill>
          </a:ln>
        </c:spPr>
        <c:crossAx val="163080064"/>
        <c:crosses val="autoZero"/>
        <c:crossBetween val="between"/>
      </c:valAx>
    </c:plotArea>
    <c:legend>
      <c:legendPos val="r"/>
      <c:layout>
        <c:manualLayout>
          <c:xMode val="edge"/>
          <c:yMode val="edge"/>
          <c:x val="0.64293000874890638"/>
          <c:y val="5.7882035578885972E-2"/>
          <c:w val="0.34040332458442696"/>
          <c:h val="0.9212729658792651"/>
        </c:manualLayout>
      </c:layout>
      <c:overlay val="0"/>
    </c:legend>
    <c:plotVisOnly val="1"/>
    <c:dispBlanksAs val="gap"/>
    <c:showDLblsOverMax val="0"/>
  </c:chart>
  <c:spPr>
    <a:ln>
      <a:noFill/>
    </a:ln>
  </c:spPr>
  <c:txPr>
    <a:bodyPr/>
    <a:lstStyle/>
    <a:p>
      <a:pPr>
        <a:defRPr sz="900">
          <a:solidFill>
            <a:schemeClr val="bg1">
              <a:lumMod val="65000"/>
            </a:schemeClr>
          </a:solidFill>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Bendrosios nuostatos"/>
          <w:gallery w:val="placeholder"/>
        </w:category>
        <w:types>
          <w:type w:val="bbPlcHdr"/>
        </w:types>
        <w:behaviors>
          <w:behavior w:val="content"/>
        </w:behaviors>
        <w:guid w:val="{47DB78F3-D665-4686-A804-7FE46D9299C4}"/>
      </w:docPartPr>
      <w:docPartBody>
        <w:p w:rsidR="00420D85" w:rsidRDefault="00420D85">
          <w:r w:rsidRPr="00617CCE">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D85"/>
    <w:rsid w:val="00420D8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420D8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14</TotalTime>
  <Pages>134</Pages>
  <Words>222316</Words>
  <Characters>126721</Characters>
  <Application>Microsoft Office Word</Application>
  <DocSecurity>0</DocSecurity>
  <Lines>1056</Lines>
  <Paragraphs>696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348341</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2022-08-08T07:06:00Z</dcterms:created>
  <dc:creator>ŠAULYTĖ SKAIRIENĖ Dalia</dc:creator>
  <lastModifiedBy>BODIN Aušra</lastModifiedBy>
  <dcterms:modified xsi:type="dcterms:W3CDTF">2022-08-08T08:11:00Z</dcterms:modified>
  <revision>3</revision>
</coreProperties>
</file>