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7beff81c3db48ff9d27d1325c72dbf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ŠALPOS PENSIJŲ ĮSTATYMO NR. I-675 1, 15, 22</w:t>
          </w:r>
          <w:r>
            <w:rPr>
              <w:b/>
              <w:caps/>
              <w:vertAlign w:val="superscript"/>
            </w:rPr>
            <w:t>4</w:t>
          </w:r>
          <w:r>
            <w:rPr>
              <w:b/>
              <w:caps/>
            </w:rPr>
            <w:t xml:space="preserve"> STRAIPSNIŲ </w:t>
          </w:r>
        </w:p>
        <w:p>
          <w:pPr>
            <w:jc w:val="center"/>
            <w:rPr>
              <w:b/>
              <w:caps/>
            </w:rPr>
          </w:pPr>
          <w:r>
            <w:rPr>
              <w:b/>
              <w:caps/>
            </w:rPr>
            <w:t>IR PRIEDO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kovo</w:t>
          </w:r>
          <w:r>
            <w:rPr>
              <w:szCs w:val="24"/>
            </w:rPr>
            <w:t xml:space="preserve"> </w:t>
          </w:r>
          <w:r>
            <w:rPr>
              <w:szCs w:val="24"/>
              <w:lang w:val="en-US"/>
            </w:rPr>
            <w:t>17</w:t>
          </w:r>
          <w:r>
            <w:rPr>
              <w:szCs w:val="24"/>
            </w:rPr>
            <w:t xml:space="preserve"> d. Nr. </w:t>
          </w:r>
          <w:r>
            <w:rPr>
              <w:szCs w:val="24"/>
              <w:lang w:val="en-US"/>
            </w:rPr>
            <w:t>XIV-951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38f3367b86e4f5a9c94c1db2aa21c01"/>
            <w:lock w:val="sdtLocked"/>
            <w:richText/>
          </w:sdtPr>
          <w:sdtContent>
            <w:p>
              <w:pPr>
                <w:spacing w:line="360" w:lineRule="auto"/>
                <w:ind w:firstLine="720"/>
                <w:jc w:val="both"/>
                <w:rPr>
                  <w:b/>
                  <w:bCs/>
                  <w:szCs w:val="24"/>
                </w:rPr>
              </w:pPr>
              <w:sdt>
                <w:sdtPr>
                  <w:alias w:val="Numeris"/>
                  <w:tag w:val="nr_c38f3367b86e4f5a9c94c1db2aa21c01"/>
                  <w:lock w:val="sdtLocked"/>
                  <w:richText/>
                </w:sdtPr>
                <w:sdtContent>
                  <w:r>
                    <w:rPr>
                      <w:b/>
                      <w:bCs/>
                      <w:szCs w:val="24"/>
                    </w:rPr>
                    <w:t>1</w:t>
                  </w:r>
                </w:sdtContent>
              </w:sdt>
              <w:r>
                <w:rPr>
                  <w:b/>
                  <w:bCs/>
                  <w:szCs w:val="24"/>
                </w:rPr>
                <w:t xml:space="preserve"> straipsnis. </w:t>
              </w:r>
              <w:sdt>
                <w:sdtPr>
                  <w:alias w:val="Pavadinimas"/>
                  <w:tag w:val="title_c38f3367b86e4f5a9c94c1db2aa21c01"/>
                  <w:lock w:val="sdtLocked"/>
                  <w:richText/>
                </w:sdtPr>
                <w:sdtContent>
                  <w:r>
                    <w:rPr>
                      <w:b/>
                      <w:bCs/>
                      <w:szCs w:val="24"/>
                    </w:rPr>
                    <w:t>1 straipsnio pakeitimas</w:t>
                  </w:r>
                </w:sdtContent>
              </w:sdt>
            </w:p>
            <w:sdt>
              <w:sdtPr>
                <w:alias w:val="1 str. 1 d."/>
                <w:tag w:val="part_f048eb0467c34f538cab0532f52d4f4e"/>
                <w:lock w:val="sdtLocked"/>
                <w:richText/>
              </w:sdtPr>
              <w:sdtContent>
                <w:p>
                  <w:pPr>
                    <w:spacing w:line="360" w:lineRule="auto"/>
                    <w:ind w:firstLine="720"/>
                    <w:jc w:val="both"/>
                    <w:rPr>
                      <w:bCs/>
                      <w:szCs w:val="24"/>
                    </w:rPr>
                  </w:pPr>
                  <w:sdt>
                    <w:sdtPr>
                      <w:alias w:val="Numeris"/>
                      <w:tag w:val="nr_f048eb0467c34f538cab0532f52d4f4e"/>
                      <w:lock w:val="sdtLocked"/>
                      <w:richText/>
                    </w:sdtPr>
                    <w:sdtContent>
                      <w:r>
                        <w:rPr>
                          <w:bCs/>
                          <w:szCs w:val="24"/>
                        </w:rPr>
                        <w:t>1</w:t>
                      </w:r>
                    </w:sdtContent>
                  </w:sdt>
                  <w:r>
                    <w:rPr>
                      <w:bCs/>
                      <w:szCs w:val="24"/>
                    </w:rPr>
                    <w:t>. Pakeisti 1 straipsnio 3 dalies 4 punktą ir jį išdėstyti taip:</w:t>
                  </w:r>
                </w:p>
                <w:sdt>
                  <w:sdtPr>
                    <w:alias w:val="citata"/>
                    <w:tag w:val="part_95ca1cd301fc4ce9afd1a4fdf9de1446"/>
                    <w:lock w:val="sdtLocked"/>
                    <w:richText/>
                  </w:sdtPr>
                  <w:sdtContent>
                    <w:sdt>
                      <w:sdtPr>
                        <w:alias w:val="4 p."/>
                        <w:tag w:val="part_8d2a21f12377477b9c716ab6e5e68b3d"/>
                        <w:lock w:val="sdtLocked"/>
                        <w:richText/>
                      </w:sdtPr>
                      <w:sdtContent>
                        <w:p>
                          <w:pPr>
                            <w:spacing w:line="360" w:lineRule="auto"/>
                            <w:ind w:firstLine="720"/>
                            <w:jc w:val="both"/>
                            <w:rPr>
                              <w:bCs/>
                              <w:szCs w:val="24"/>
                            </w:rPr>
                          </w:pPr>
                          <w:r>
                            <w:rPr>
                              <w:bCs/>
                              <w:szCs w:val="24"/>
                            </w:rPr>
                            <w:t>„</w:t>
                          </w:r>
                          <w:sdt>
                            <w:sdtPr>
                              <w:alias w:val="Numeris"/>
                              <w:tag w:val="nr_8d2a21f12377477b9c716ab6e5e68b3d"/>
                              <w:lock w:val="sdtLocked"/>
                              <w:richText/>
                            </w:sdtPr>
                            <w:sdtContent>
                              <w:r>
                                <w:rPr>
                                  <w:bCs/>
                                  <w:szCs w:val="24"/>
                                </w:rPr>
                                <w:t>4</w:t>
                              </w:r>
                            </w:sdtContent>
                          </w:sdt>
                          <w:r>
                            <w:rPr>
                              <w:bCs/>
                              <w:szCs w:val="24"/>
                            </w:rPr>
                            <w:t>) užsieniečiams, kuriems suteiktas prieglobstis arba laikinoji apsauga Lietuvos Respublikoje;“.</w:t>
                          </w:r>
                        </w:p>
                      </w:sdtContent>
                    </w:sdt>
                  </w:sdtContent>
                </w:sdt>
              </w:sdtContent>
            </w:sdt>
            <w:sdt>
              <w:sdtPr>
                <w:alias w:val="1 str. 2 d."/>
                <w:tag w:val="part_161d5091e6264ecfbbd0c665c2da8930"/>
                <w:lock w:val="sdtLocked"/>
                <w:richText/>
              </w:sdtPr>
              <w:sdtContent>
                <w:p>
                  <w:pPr>
                    <w:spacing w:line="360" w:lineRule="auto"/>
                    <w:ind w:firstLine="720"/>
                    <w:jc w:val="both"/>
                    <w:rPr>
                      <w:bCs/>
                      <w:szCs w:val="24"/>
                    </w:rPr>
                  </w:pPr>
                  <w:sdt>
                    <w:sdtPr>
                      <w:alias w:val="Numeris"/>
                      <w:tag w:val="nr_161d5091e6264ecfbbd0c665c2da8930"/>
                      <w:lock w:val="sdtLocked"/>
                      <w:richText/>
                    </w:sdtPr>
                    <w:sdtContent>
                      <w:r>
                        <w:rPr>
                          <w:bCs/>
                          <w:szCs w:val="24"/>
                        </w:rPr>
                        <w:t>2</w:t>
                      </w:r>
                    </w:sdtContent>
                  </w:sdt>
                  <w:r>
                    <w:rPr>
                      <w:bCs/>
                      <w:szCs w:val="24"/>
                    </w:rPr>
                    <w:t>. Papildyti 1 straipsnio 3 dalį 6 punktu:</w:t>
                  </w:r>
                </w:p>
                <w:sdt>
                  <w:sdtPr>
                    <w:alias w:val="citata"/>
                    <w:tag w:val="part_94441f85732e4d2caa8caeb5c1dd8ff0"/>
                    <w:lock w:val="sdtLocked"/>
                    <w:richText/>
                  </w:sdtPr>
                  <w:sdtContent>
                    <w:sdt>
                      <w:sdtPr>
                        <w:alias w:val="6 p."/>
                        <w:tag w:val="part_48dc579c68da4ac59708e1dcc8d05aa9"/>
                        <w:lock w:val="sdtLocked"/>
                        <w:richText/>
                      </w:sdtPr>
                      <w:sdtContent>
                        <w:p>
                          <w:pPr>
                            <w:spacing w:line="360" w:lineRule="auto"/>
                            <w:ind w:firstLine="720"/>
                            <w:jc w:val="both"/>
                            <w:rPr>
                              <w:bCs/>
                            </w:rPr>
                          </w:pPr>
                          <w:r>
                            <w:rPr>
                              <w:bCs/>
                              <w:szCs w:val="24"/>
                            </w:rPr>
                            <w:t>„</w:t>
                          </w:r>
                          <w:sdt>
                            <w:sdtPr>
                              <w:alias w:val="Numeris"/>
                              <w:tag w:val="nr_48dc579c68da4ac59708e1dcc8d05aa9"/>
                              <w:lock w:val="sdtLocked"/>
                              <w:richText/>
                            </w:sdtPr>
                            <w:sdtContent>
                              <w:r>
                                <w:rPr>
                                  <w:bCs/>
                                  <w:szCs w:val="24"/>
                                </w:rPr>
                                <w:t>6</w:t>
                              </w:r>
                            </w:sdtContent>
                          </w:sdt>
                          <w:r>
                            <w:rPr>
                              <w:bCs/>
                              <w:szCs w:val="24"/>
                            </w:rPr>
                            <w:t xml:space="preserve">) </w:t>
                          </w:r>
                          <w:r>
                            <w:rPr>
                              <w:bCs/>
                            </w:rPr>
                            <w:t>asmenims, kuriems taikomos Lietuvos Respublikos tarptautinės sutartys dėl socialinio draudimo pensijų mokėjimo.</w:t>
                          </w:r>
                          <w:r>
                            <w:rPr>
                              <w:bCs/>
                              <w:szCs w:val="24"/>
                            </w:rPr>
                            <w:t>“</w:t>
                          </w:r>
                        </w:p>
                        <w:p>
                          <w:pPr>
                            <w:spacing w:line="360" w:lineRule="auto"/>
                            <w:ind w:firstLine="720"/>
                            <w:jc w:val="both"/>
                            <w:rPr>
                              <w:bCs/>
                              <w:szCs w:val="24"/>
                            </w:rPr>
                          </w:pPr>
                        </w:p>
                      </w:sdtContent>
                    </w:sdt>
                  </w:sdtContent>
                </w:sdt>
              </w:sdtContent>
            </w:sdt>
          </w:sdtContent>
        </w:sdt>
        <w:sdt>
          <w:sdtPr>
            <w:alias w:val="2 str."/>
            <w:tag w:val="part_ac93a4794ea4455eb9cd9df0d48ac38e"/>
            <w:lock w:val="sdtLocked"/>
            <w:richText/>
          </w:sdtPr>
          <w:sdtContent>
            <w:p>
              <w:pPr>
                <w:spacing w:line="360" w:lineRule="auto"/>
                <w:ind w:firstLine="720"/>
                <w:jc w:val="both"/>
                <w:rPr>
                  <w:b/>
                  <w:bCs/>
                  <w:szCs w:val="24"/>
                </w:rPr>
              </w:pPr>
              <w:sdt>
                <w:sdtPr>
                  <w:alias w:val="Numeris"/>
                  <w:tag w:val="nr_ac93a4794ea4455eb9cd9df0d48ac38e"/>
                  <w:lock w:val="sdtLocked"/>
                  <w:richText/>
                </w:sdtPr>
                <w:sdtContent>
                  <w:r>
                    <w:rPr>
                      <w:b/>
                      <w:bCs/>
                    </w:rPr>
                    <w:t>2</w:t>
                  </w:r>
                </w:sdtContent>
              </w:sdt>
              <w:r>
                <w:rPr>
                  <w:b/>
                  <w:bCs/>
                </w:rPr>
                <w:t xml:space="preserve"> straipsnis.</w:t>
              </w:r>
              <w:r>
                <w:rPr>
                  <w:b/>
                  <w:bCs/>
                  <w:szCs w:val="24"/>
                </w:rPr>
                <w:t xml:space="preserve"> </w:t>
              </w:r>
              <w:sdt>
                <w:sdtPr>
                  <w:alias w:val="Pavadinimas"/>
                  <w:tag w:val="title_ac93a4794ea4455eb9cd9df0d48ac38e"/>
                  <w:lock w:val="sdtLocked"/>
                  <w:richText/>
                </w:sdtPr>
                <w:sdtContent>
                  <w:r>
                    <w:rPr>
                      <w:b/>
                      <w:bCs/>
                      <w:szCs w:val="24"/>
                    </w:rPr>
                    <w:t>15 straipsnio pakeitimas</w:t>
                  </w:r>
                </w:sdtContent>
              </w:sdt>
            </w:p>
            <w:sdt>
              <w:sdtPr>
                <w:alias w:val="2 str. 1 d."/>
                <w:tag w:val="part_c24567ce0f2244b7a3d281587ee3beb2"/>
                <w:lock w:val="sdtLocked"/>
                <w:richText/>
              </w:sdtPr>
              <w:sdtContent>
                <w:p>
                  <w:pPr>
                    <w:spacing w:line="360" w:lineRule="auto"/>
                    <w:ind w:firstLine="720"/>
                    <w:jc w:val="both"/>
                    <w:rPr>
                      <w:bCs/>
                      <w:szCs w:val="24"/>
                    </w:rPr>
                  </w:pPr>
                  <w:sdt>
                    <w:sdtPr>
                      <w:alias w:val="Numeris"/>
                      <w:tag w:val="nr_c24567ce0f2244b7a3d281587ee3beb2"/>
                      <w:lock w:val="sdtLocked"/>
                      <w:richText/>
                    </w:sdtPr>
                    <w:sdtContent>
                      <w:r>
                        <w:rPr>
                          <w:bCs/>
                          <w:szCs w:val="24"/>
                        </w:rPr>
                        <w:t>1</w:t>
                      </w:r>
                    </w:sdtContent>
                  </w:sdt>
                  <w:r>
                    <w:rPr>
                      <w:bCs/>
                      <w:szCs w:val="24"/>
                    </w:rPr>
                    <w:t>. Pakeisti 15 straipsnio 4 dalį ir ją išdėstyti taip:</w:t>
                  </w:r>
                </w:p>
                <w:sdt>
                  <w:sdtPr>
                    <w:alias w:val="citata"/>
                    <w:tag w:val="part_5da57bc05efc478c9a8515e5582a7a76"/>
                    <w:lock w:val="sdtLocked"/>
                    <w:richText/>
                  </w:sdtPr>
                  <w:sdtContent>
                    <w:sdt>
                      <w:sdtPr>
                        <w:alias w:val="4 d."/>
                        <w:tag w:val="part_159883dbfd6f45c69879b0a745784123"/>
                        <w:lock w:val="sdtLocked"/>
                        <w:richText/>
                      </w:sdtPr>
                      <w:sdtContent>
                        <w:p>
                          <w:pPr>
                            <w:spacing w:line="360" w:lineRule="auto"/>
                            <w:ind w:firstLine="720"/>
                            <w:jc w:val="both"/>
                            <w:rPr>
                              <w:bCs/>
                              <w:szCs w:val="24"/>
                            </w:rPr>
                          </w:pPr>
                          <w:r>
                            <w:rPr>
                              <w:bCs/>
                              <w:szCs w:val="24"/>
                            </w:rPr>
                            <w:t>„</w:t>
                          </w:r>
                          <w:sdt>
                            <w:sdtPr>
                              <w:alias w:val="Numeris"/>
                              <w:tag w:val="nr_159883dbfd6f45c69879b0a745784123"/>
                              <w:lock w:val="sdtLocked"/>
                              <w:richText/>
                            </w:sdtPr>
                            <w:sdtContent>
                              <w:r>
                                <w:rPr>
                                  <w:bCs/>
                                  <w:szCs w:val="24"/>
                                </w:rPr>
                                <w:t>4</w:t>
                              </w:r>
                            </w:sdtContent>
                          </w:sdt>
                          <w:r>
                            <w:rPr>
                              <w:bCs/>
                              <w:szCs w:val="24"/>
                            </w:rPr>
                            <w:t>. Šalpos išmokas mokanti įstaiga per 10 darbo dienų nuo prašymo skirti šalpos išmoką ar atnaujinti (pratęsti) jos mokėjimą kartu su visais reikiamais dokumentais arba papildomų dokumentų, išskyrus šio straipsnio 5</w:t>
                          </w:r>
                          <w:r>
                            <w:rPr>
                              <w:bCs/>
                              <w:szCs w:val="24"/>
                              <w:vertAlign w:val="superscript"/>
                            </w:rPr>
                            <w:t>1</w:t>
                          </w:r>
                          <w:r>
                            <w:rPr>
                              <w:bCs/>
                              <w:szCs w:val="24"/>
                            </w:rPr>
                            <w:t xml:space="preserve"> dalyje nustatytus atvejus, gavimo šalpos išmokas mokančioje įstaigoje dienos privalo priimti sprendimą dėl šalpos išmokos skyrimo ar mokėjimo atnaujinimo (pratęsimo) ir apie tai raštu pranešti pareiškėjui.“</w:t>
                          </w:r>
                        </w:p>
                      </w:sdtContent>
                    </w:sdt>
                  </w:sdtContent>
                </w:sdt>
              </w:sdtContent>
            </w:sdt>
            <w:sdt>
              <w:sdtPr>
                <w:alias w:val="2 str. 2 d."/>
                <w:tag w:val="part_1c4439dc7e924808a2f509a76d2522e1"/>
                <w:lock w:val="sdtLocked"/>
                <w:richText/>
              </w:sdtPr>
              <w:sdtContent>
                <w:p>
                  <w:pPr>
                    <w:spacing w:line="360" w:lineRule="auto"/>
                    <w:ind w:firstLine="720"/>
                    <w:jc w:val="both"/>
                    <w:rPr>
                      <w:szCs w:val="24"/>
                    </w:rPr>
                  </w:pPr>
                  <w:sdt>
                    <w:sdtPr>
                      <w:alias w:val="Numeris"/>
                      <w:tag w:val="nr_1c4439dc7e924808a2f509a76d2522e1"/>
                      <w:lock w:val="sdtLocked"/>
                      <w:richText/>
                    </w:sdtPr>
                    <w:sdtContent>
                      <w:r>
                        <w:rPr>
                          <w:bCs/>
                          <w:szCs w:val="24"/>
                        </w:rPr>
                        <w:t>2</w:t>
                      </w:r>
                    </w:sdtContent>
                  </w:sdt>
                  <w:r>
                    <w:rPr>
                      <w:bCs/>
                      <w:szCs w:val="24"/>
                    </w:rPr>
                    <w:t>. Pakeisti 15 straipsnio 5</w:t>
                  </w:r>
                  <w:r>
                    <w:rPr>
                      <w:bCs/>
                      <w:szCs w:val="24"/>
                      <w:vertAlign w:val="superscript"/>
                    </w:rPr>
                    <w:t>1</w:t>
                  </w:r>
                  <w:r>
                    <w:rPr>
                      <w:bCs/>
                      <w:szCs w:val="24"/>
                    </w:rPr>
                    <w:t xml:space="preserve"> dalį ir ją išdėstyti taip:</w:t>
                  </w:r>
                </w:p>
                <w:sdt>
                  <w:sdtPr>
                    <w:alias w:val="citata"/>
                    <w:tag w:val="part_3634cc3dbb3a4470812afe4640b6d353"/>
                    <w:lock w:val="sdtLocked"/>
                    <w:richText/>
                  </w:sdtPr>
                  <w:sdtContent>
                    <w:sdt>
                      <w:sdtPr>
                        <w:alias w:val="5-1 d."/>
                        <w:tag w:val="part_4d11bedce89b4e859eceb49000ac665e"/>
                        <w:lock w:val="sdtLocked"/>
                        <w:richText/>
                      </w:sdtPr>
                      <w:sdtContent>
                        <w:p>
                          <w:pPr>
                            <w:spacing w:line="360" w:lineRule="auto"/>
                            <w:ind w:firstLine="720"/>
                            <w:jc w:val="both"/>
                            <w:rPr>
                              <w:bCs/>
                              <w:szCs w:val="24"/>
                              <w:lang w:eastAsia="lt-LT"/>
                            </w:rPr>
                          </w:pPr>
                          <w:r>
                            <w:rPr>
                              <w:szCs w:val="24"/>
                            </w:rPr>
                            <w:t>„</w:t>
                          </w:r>
                          <w:sdt>
                            <w:sdtPr>
                              <w:alias w:val="Numeris"/>
                              <w:tag w:val="nr_4d11bedce89b4e859eceb49000ac665e"/>
                              <w:lock w:val="sdtLocked"/>
                              <w:richText/>
                            </w:sdtPr>
                            <w:sdtContent>
                              <w:r>
                                <w:rPr>
                                  <w:bCs/>
                                  <w:szCs w:val="24"/>
                                  <w:lang w:eastAsia="lt-LT"/>
                                </w:rPr>
                                <w:t>5</w:t>
                              </w:r>
                              <w:r>
                                <w:rPr>
                                  <w:bCs/>
                                  <w:szCs w:val="24"/>
                                  <w:vertAlign w:val="superscript"/>
                                  <w:lang w:eastAsia="lt-LT"/>
                                </w:rPr>
                                <w:t>1</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taip pat iš Lietuvos Respublikos užsienio reikalų ministerijos gavusi informaciją, kad šioje dalyje nurodytos informacijos ir (ar) duomenų negalima gauti diplomatiniais kanalais,</w:t>
                          </w:r>
                          <w:r>
                            <w:rPr>
                              <w:bCs/>
                              <w:color w:val="000000"/>
                            </w:rPr>
                            <w:t xml:space="preserve"> arba tais atvejais, kai Lietuvos Respublika ar užsienio valstybė yra prisijungusi prie tarptautinės konvencijos, kito tarptautinio teisės akto ar su užsienio valstybe yra sudaryta tarptautinė sutartis ar tarptautinis tarpžinybinis susitarimas, tačiau, Užsienio reikalų ministerijos pateiktais duomenimis, šią užsienio valstybę ištiko</w:t>
                          </w:r>
                          <w:r>
                            <w:rPr>
                              <w:color w:val="000000"/>
                            </w:rPr>
                            <w:t xml:space="preserve"> humanitarinė krizė, kaip ji apibrėžta Lietuvos Respublikos asmenų perkėlimo į Lietuvos Respubliką įstatyme (toliau – humanitarinė krizė),</w:t>
                          </w:r>
                          <w:r>
                            <w:rPr>
                              <w:szCs w:val="24"/>
                              <w:lang w:eastAsia="lt-LT"/>
                            </w:rPr>
                            <w:t xml:space="preserve"> ir duomenų apie asmeniui užsienio valstybės paskirtos pensijos dydį negalima gauti diplomatiniais kanalais</w:t>
                          </w:r>
                          <w:r>
                            <w:rPr>
                              <w:color w:val="000000"/>
                            </w:rPr>
                            <w:t xml:space="preserve">, </w:t>
                          </w:r>
                          <w:r>
                            <w:rPr>
                              <w:szCs w:val="24"/>
                              <w:lang w:eastAsia="lt-LT"/>
                            </w:rPr>
                            <w:t>per 10 darbo dienų nuo tokios informacijos ir kitų šalpos</w:t>
                          </w:r>
                          <w:r>
                            <w:rPr>
                              <w:bCs/>
                              <w:szCs w:val="24"/>
                              <w:lang w:eastAsia="lt-LT"/>
                            </w:rPr>
                            <w:t xml:space="preserve">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p>
                          <w:pPr>
                            <w:spacing w:line="360" w:lineRule="auto"/>
                            <w:ind w:firstLine="720"/>
                            <w:jc w:val="both"/>
                            <w:rPr>
                              <w:bCs/>
                              <w:szCs w:val="24"/>
                              <w:lang w:eastAsia="lt-LT"/>
                            </w:rPr>
                          </w:pPr>
                        </w:p>
                      </w:sdtContent>
                    </w:sdt>
                  </w:sdtContent>
                </w:sdt>
              </w:sdtContent>
            </w:sdt>
          </w:sdtContent>
        </w:sdt>
        <w:sdt>
          <w:sdtPr>
            <w:alias w:val="3 str."/>
            <w:tag w:val="part_abefdb97bf7d4375833771a5f147ddca"/>
            <w:lock w:val="sdtLocked"/>
            <w:richText/>
          </w:sdtPr>
          <w:sdtContent>
            <w:p>
              <w:pPr>
                <w:spacing w:line="360" w:lineRule="auto"/>
                <w:ind w:firstLine="720"/>
                <w:jc w:val="both"/>
                <w:rPr>
                  <w:b/>
                  <w:szCs w:val="24"/>
                  <w:lang w:eastAsia="lt-LT"/>
                </w:rPr>
              </w:pPr>
              <w:sdt>
                <w:sdtPr>
                  <w:alias w:val="Numeris"/>
                  <w:tag w:val="nr_abefdb97bf7d4375833771a5f147ddca"/>
                  <w:lock w:val="sdtLocked"/>
                  <w:richText/>
                </w:sdtPr>
                <w:sdtContent>
                  <w:r>
                    <w:rPr>
                      <w:b/>
                      <w:szCs w:val="24"/>
                      <w:lang w:eastAsia="lt-LT"/>
                    </w:rPr>
                    <w:t>3</w:t>
                  </w:r>
                </w:sdtContent>
              </w:sdt>
              <w:r>
                <w:rPr>
                  <w:b/>
                  <w:szCs w:val="24"/>
                  <w:lang w:eastAsia="lt-LT"/>
                </w:rPr>
                <w:t xml:space="preserve"> straipsnis. </w:t>
              </w:r>
              <w:sdt>
                <w:sdtPr>
                  <w:alias w:val="Pavadinimas"/>
                  <w:tag w:val="title_abefdb97bf7d4375833771a5f147ddca"/>
                  <w:lock w:val="sdtLocked"/>
                  <w:richText/>
                </w:sdtPr>
                <w:sdtContent>
                  <w:r>
                    <w:rPr>
                      <w:b/>
                      <w:szCs w:val="24"/>
                      <w:lang w:eastAsia="lt-LT"/>
                    </w:rPr>
                    <w:t>22</w:t>
                  </w:r>
                  <w:r>
                    <w:rPr>
                      <w:b/>
                      <w:szCs w:val="24"/>
                      <w:vertAlign w:val="superscript"/>
                      <w:lang w:eastAsia="lt-LT"/>
                    </w:rPr>
                    <w:t xml:space="preserve">4 </w:t>
                  </w:r>
                  <w:r>
                    <w:rPr>
                      <w:b/>
                      <w:szCs w:val="24"/>
                      <w:lang w:eastAsia="lt-LT"/>
                    </w:rPr>
                    <w:t>straipsnio pakeitimas</w:t>
                  </w:r>
                </w:sdtContent>
              </w:sdt>
            </w:p>
            <w:sdt>
              <w:sdtPr>
                <w:alias w:val="3 str. 1 d."/>
                <w:tag w:val="part_a4378d4d155f4ff2b2b580a767c5cd05"/>
                <w:lock w:val="sdtLocked"/>
                <w:richText/>
              </w:sdtPr>
              <w:sdtContent>
                <w:p>
                  <w:pPr>
                    <w:spacing w:line="360" w:lineRule="auto"/>
                    <w:ind w:firstLine="720"/>
                    <w:jc w:val="both"/>
                    <w:rPr>
                      <w:bCs/>
                      <w:szCs w:val="24"/>
                      <w:lang w:eastAsia="lt-LT"/>
                    </w:rPr>
                  </w:pPr>
                  <w:sdt>
                    <w:sdtPr>
                      <w:alias w:val="Numeris"/>
                      <w:tag w:val="nr_a4378d4d155f4ff2b2b580a767c5cd05"/>
                      <w:lock w:val="sdtLocked"/>
                      <w:richText/>
                    </w:sdtPr>
                    <w:sdtContent>
                      <w:r>
                        <w:rPr>
                          <w:bCs/>
                          <w:szCs w:val="24"/>
                          <w:lang w:eastAsia="lt-LT"/>
                        </w:rPr>
                        <w:t>1</w:t>
                      </w:r>
                    </w:sdtContent>
                  </w:sdt>
                  <w:r>
                    <w:rPr>
                      <w:bCs/>
                      <w:szCs w:val="24"/>
                      <w:lang w:eastAsia="lt-LT"/>
                    </w:rPr>
                    <w:t>. Pakeisti 22</w:t>
                  </w:r>
                  <w:r>
                    <w:rPr>
                      <w:bCs/>
                      <w:szCs w:val="24"/>
                      <w:vertAlign w:val="superscript"/>
                      <w:lang w:eastAsia="lt-LT"/>
                    </w:rPr>
                    <w:t>4</w:t>
                  </w:r>
                  <w:r>
                    <w:rPr>
                      <w:bCs/>
                      <w:szCs w:val="24"/>
                      <w:lang w:eastAsia="lt-LT"/>
                    </w:rPr>
                    <w:t xml:space="preserve"> straipsnio 2 dalį ir ją išdėstyti taip:</w:t>
                  </w:r>
                </w:p>
                <w:sdt>
                  <w:sdtPr>
                    <w:alias w:val="citata"/>
                    <w:tag w:val="part_d4b0ae7737ea4d19b11ead02395f54f9"/>
                    <w:lock w:val="sdtLocked"/>
                    <w:richText/>
                  </w:sdtPr>
                  <w:sdtContent>
                    <w:sdt>
                      <w:sdtPr>
                        <w:alias w:val="2 d."/>
                        <w:tag w:val="part_0b4c1a1236d44a0ca4022ad42b34201f"/>
                        <w:lock w:val="sdtLocked"/>
                        <w:richText/>
                      </w:sdtPr>
                      <w:sdtContent>
                        <w:p>
                          <w:pPr>
                            <w:spacing w:line="360" w:lineRule="auto"/>
                            <w:ind w:firstLine="720"/>
                            <w:jc w:val="both"/>
                            <w:rPr>
                              <w:bCs/>
                              <w:szCs w:val="24"/>
                              <w:lang w:eastAsia="lt-LT"/>
                            </w:rPr>
                          </w:pPr>
                          <w:r>
                            <w:rPr>
                              <w:bCs/>
                              <w:szCs w:val="24"/>
                              <w:lang w:eastAsia="lt-LT"/>
                            </w:rPr>
                            <w:t>„</w:t>
                          </w:r>
                          <w:sdt>
                            <w:sdtPr>
                              <w:alias w:val="Numeris"/>
                              <w:tag w:val="nr_0b4c1a1236d44a0ca4022ad42b34201f"/>
                              <w:lock w:val="sdtLocked"/>
                              <w:richText/>
                            </w:sdtPr>
                            <w:sdtContent>
                              <w:r>
                                <w:rPr>
                                  <w:bCs/>
                                  <w:szCs w:val="24"/>
                                  <w:lang w:eastAsia="lt-LT"/>
                                </w:rPr>
                                <w:t>2</w:t>
                              </w:r>
                            </w:sdtContent>
                          </w:sdt>
                          <w:r>
                            <w:rPr>
                              <w:bCs/>
                              <w:szCs w:val="24"/>
                              <w:lang w:eastAsia="lt-LT"/>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išskyrus šio straipsnio 2</w:t>
                          </w:r>
                          <w:r>
                            <w:rPr>
                              <w:bCs/>
                              <w:szCs w:val="24"/>
                              <w:vertAlign w:val="superscript"/>
                              <w:lang w:eastAsia="lt-LT"/>
                            </w:rPr>
                            <w:t>1</w:t>
                          </w:r>
                          <w:r>
                            <w:rPr>
                              <w:bCs/>
                              <w:szCs w:val="24"/>
                              <w:lang w:eastAsia="lt-LT"/>
                            </w:rPr>
                            <w:t xml:space="preserve"> dalyje nustatytą atvejį.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12 mėnesių nuo duomenų apie užsienio valstybės paskirtos pensijos dydį pateikimo dienos, ir išmoka pensijos priemokos nepriemoką. Duomenis apie užsienio valstybės paskirtos pensijos dydį asmuo privalo teikti ne rečiau kaip vieną kartą per metus, jeigu Valstybinio socialinio draudimo fondo valdybos prie Socialinės apsaugos ir darbo ministerijos įgaliota Valstybinio socialinio draudimo fondo administravimo įstaiga negauna šių duomenų.“</w:t>
                          </w:r>
                        </w:p>
                      </w:sdtContent>
                    </w:sdt>
                  </w:sdtContent>
                </w:sdt>
              </w:sdtContent>
            </w:sdt>
            <w:sdt>
              <w:sdtPr>
                <w:alias w:val="3 str. 2 d."/>
                <w:tag w:val="part_e02332704e8a4b018e638aa92e2456fc"/>
                <w:lock w:val="sdtLocked"/>
                <w:richText/>
              </w:sdtPr>
              <w:sdtContent>
                <w:p>
                  <w:pPr>
                    <w:spacing w:line="360" w:lineRule="auto"/>
                    <w:ind w:firstLine="720"/>
                    <w:jc w:val="both"/>
                    <w:rPr>
                      <w:bCs/>
                      <w:szCs w:val="24"/>
                      <w:lang w:eastAsia="lt-LT"/>
                    </w:rPr>
                  </w:pPr>
                  <w:sdt>
                    <w:sdtPr>
                      <w:alias w:val="Numeris"/>
                      <w:tag w:val="nr_e02332704e8a4b018e638aa92e2456fc"/>
                      <w:lock w:val="sdtLocked"/>
                      <w:richText/>
                    </w:sdtPr>
                    <w:sdtContent>
                      <w:r>
                        <w:rPr>
                          <w:bCs/>
                          <w:szCs w:val="24"/>
                          <w:lang w:eastAsia="lt-LT"/>
                        </w:rPr>
                        <w:t>2</w:t>
                      </w:r>
                    </w:sdtContent>
                  </w:sdt>
                  <w:r>
                    <w:rPr>
                      <w:bCs/>
                      <w:szCs w:val="24"/>
                      <w:lang w:eastAsia="lt-LT"/>
                    </w:rPr>
                    <w:t>. Papildyti 22</w:t>
                  </w:r>
                  <w:r>
                    <w:rPr>
                      <w:bCs/>
                      <w:szCs w:val="24"/>
                      <w:vertAlign w:val="superscript"/>
                      <w:lang w:eastAsia="lt-LT"/>
                    </w:rPr>
                    <w:t>4</w:t>
                  </w:r>
                  <w:r>
                    <w:rPr>
                      <w:bCs/>
                      <w:szCs w:val="24"/>
                      <w:lang w:eastAsia="lt-LT"/>
                    </w:rPr>
                    <w:t xml:space="preserve"> straipsnį 2</w:t>
                  </w:r>
                  <w:r>
                    <w:rPr>
                      <w:bCs/>
                      <w:szCs w:val="24"/>
                      <w:vertAlign w:val="superscript"/>
                      <w:lang w:eastAsia="lt-LT"/>
                    </w:rPr>
                    <w:t>1</w:t>
                  </w:r>
                  <w:r>
                    <w:rPr>
                      <w:bCs/>
                      <w:szCs w:val="24"/>
                      <w:lang w:eastAsia="lt-LT"/>
                    </w:rPr>
                    <w:t xml:space="preserve"> dalimi:</w:t>
                  </w:r>
                </w:p>
                <w:sdt>
                  <w:sdtPr>
                    <w:alias w:val="citata"/>
                    <w:tag w:val="part_b289b74bfe9b4635a414e1a153a79fbe"/>
                    <w:lock w:val="sdtLocked"/>
                    <w:richText/>
                  </w:sdtPr>
                  <w:sdtContent>
                    <w:sdt>
                      <w:sdtPr>
                        <w:alias w:val="2-1 d."/>
                        <w:tag w:val="part_6ad868073751412ca1cd85781e499b13"/>
                        <w:lock w:val="sdtLocked"/>
                        <w:richText/>
                      </w:sdtPr>
                      <w:sdtContent>
                        <w:p>
                          <w:pPr>
                            <w:spacing w:line="360" w:lineRule="auto"/>
                            <w:ind w:firstLine="720"/>
                            <w:jc w:val="both"/>
                            <w:rPr>
                              <w:bCs/>
                              <w:szCs w:val="24"/>
                              <w:lang w:eastAsia="lt-LT"/>
                            </w:rPr>
                          </w:pPr>
                          <w:r>
                            <w:rPr>
                              <w:bCs/>
                              <w:szCs w:val="24"/>
                              <w:lang w:eastAsia="lt-LT"/>
                            </w:rPr>
                            <w:t>„</w:t>
                          </w:r>
                          <w:sdt>
                            <w:sdtPr>
                              <w:alias w:val="Numeris"/>
                              <w:tag w:val="nr_6ad868073751412ca1cd85781e499b13"/>
                              <w:lock w:val="sdtLocked"/>
                              <w:richText/>
                            </w:sdtPr>
                            <w:sdtContent>
                              <w:r>
                                <w:rPr>
                                  <w:bCs/>
                                  <w:szCs w:val="24"/>
                                  <w:lang w:eastAsia="lt-LT"/>
                                </w:rPr>
                                <w:t>2</w:t>
                              </w:r>
                              <w:r>
                                <w:rPr>
                                  <w:bCs/>
                                  <w:szCs w:val="24"/>
                                  <w:vertAlign w:val="superscript"/>
                                  <w:lang w:eastAsia="lt-LT"/>
                                </w:rPr>
                                <w:t>1</w:t>
                              </w:r>
                            </w:sdtContent>
                          </w:sdt>
                          <w:r>
                            <w:rPr>
                              <w:bCs/>
                              <w:szCs w:val="24"/>
                              <w:lang w:eastAsia="lt-LT"/>
                            </w:rPr>
                            <w:t>. Kai asmuo, kuris gauna užsienio valstybės pensiją, patvirtina, kad negali šio straipsnio 2 dalyje nustatyta tvarka pateikti duomenų apie jam užsienio valstybės paskirtos pensijos dydį (jeigu Valstybinio socialinio draudimo fondo valdybos prie Socialinės apsaugos ir darbo ministerijos įgaliota Valstybinio socialinio draudimo fondo administravimo įstaiga negali šių duomenų gauti iš kompetentingų užsienio valstybių institucijų), o iš Užsienio reikalų ministerijos yra gauta informacija, kad užsienio valstybę ištiko humanitarinė krizė ir duomenų apie asmeniui užsienio valstybės paskirtos pensijos dydį negalima gauti diplomatiniais kanalais, pensijos priemoka šiam asmeniui skiriama ir mokama nereikalaujant duomenų apie jam užsienio valstybės paskirtos pensijos dydį ir laikant, kad jam užsienio valstybės paskirtos pensijos dydis yra 0 eurų. Valstybinio socialinio draudimo fondo</w:t>
                          </w:r>
                          <w:r>
                            <w:rPr>
                              <w:b/>
                              <w:szCs w:val="24"/>
                              <w:lang w:eastAsia="lt-LT"/>
                            </w:rPr>
                            <w:t xml:space="preserve"> </w:t>
                          </w:r>
                          <w:r>
                            <w:rPr>
                              <w:bCs/>
                              <w:szCs w:val="24"/>
                              <w:lang w:eastAsia="lt-LT"/>
                            </w:rPr>
                            <w:t>valdybos prie Socialinės apsaugos ir darbo ministerijos įgaliota Valstybinio socialinio draudimo fondo administravimo įstaiga, iš asmens, kompetentingų užsienio valstybių institucijų ir (ar) Užsienio reikalų ministerijos gavusi duomenis apie tam asmeniui užsienio valstybės paskirtos pensijos dydį, nustato šio asmens teisę gauti pensijos priemoką iš naujo ir naujo dydžio pensijos priemoką pradeda mokėti arba pensijos priemokos mokėjimą nutraukia nuo kito mėnesio, einančio po mėnesio, kurį nurodyta informacija ir (ar) duomenys buvo gauti, pirmos dienos.“</w:t>
                          </w:r>
                        </w:p>
                        <w:p>
                          <w:pPr>
                            <w:spacing w:line="360" w:lineRule="auto"/>
                            <w:ind w:firstLine="720"/>
                            <w:jc w:val="both"/>
                            <w:rPr>
                              <w:bCs/>
                              <w:szCs w:val="24"/>
                              <w:lang w:eastAsia="lt-LT"/>
                            </w:rPr>
                          </w:pPr>
                        </w:p>
                      </w:sdtContent>
                    </w:sdt>
                  </w:sdtContent>
                </w:sdt>
              </w:sdtContent>
            </w:sdt>
          </w:sdtContent>
        </w:sdt>
        <w:sdt>
          <w:sdtPr>
            <w:alias w:val="4 str."/>
            <w:tag w:val="part_c91162406bcb4c98b393b134f284c7ff"/>
            <w:lock w:val="sdtLocked"/>
            <w:richText/>
          </w:sdtPr>
          <w:sdtContent>
            <w:p>
              <w:pPr>
                <w:spacing w:line="360" w:lineRule="auto"/>
                <w:ind w:firstLine="720"/>
                <w:jc w:val="both"/>
                <w:rPr>
                  <w:b/>
                  <w:szCs w:val="24"/>
                  <w:lang w:eastAsia="lt-LT"/>
                </w:rPr>
              </w:pPr>
              <w:sdt>
                <w:sdtPr>
                  <w:alias w:val="Numeris"/>
                  <w:tag w:val="nr_c91162406bcb4c98b393b134f284c7ff"/>
                  <w:lock w:val="sdtLocked"/>
                  <w:richText/>
                </w:sdtPr>
                <w:sdtContent>
                  <w:r>
                    <w:rPr>
                      <w:b/>
                      <w:szCs w:val="24"/>
                      <w:lang w:eastAsia="lt-LT"/>
                    </w:rPr>
                    <w:t>4</w:t>
                  </w:r>
                </w:sdtContent>
              </w:sdt>
              <w:r>
                <w:rPr>
                  <w:b/>
                  <w:szCs w:val="24"/>
                  <w:lang w:eastAsia="lt-LT"/>
                </w:rPr>
                <w:t xml:space="preserve"> straipsnis. </w:t>
              </w:r>
              <w:sdt>
                <w:sdtPr>
                  <w:alias w:val="Pavadinimas"/>
                  <w:tag w:val="title_c91162406bcb4c98b393b134f284c7ff"/>
                  <w:lock w:val="sdtLocked"/>
                  <w:richText/>
                </w:sdtPr>
                <w:sdtContent>
                  <w:r>
                    <w:rPr>
                      <w:b/>
                      <w:szCs w:val="24"/>
                      <w:lang w:eastAsia="lt-LT"/>
                    </w:rPr>
                    <w:t>Įstatymo priedo pakeitimas</w:t>
                  </w:r>
                </w:sdtContent>
              </w:sdt>
            </w:p>
            <w:sdt>
              <w:sdtPr>
                <w:alias w:val="4 str. 1 d."/>
                <w:tag w:val="part_454f0796f6914ac3b1ca29dc3894e4b5"/>
                <w:lock w:val="sdtLocked"/>
                <w:richText/>
              </w:sdtPr>
              <w:sdtContent>
                <w:p>
                  <w:pPr>
                    <w:spacing w:line="360" w:lineRule="auto"/>
                    <w:ind w:firstLine="720"/>
                    <w:jc w:val="both"/>
                    <w:rPr>
                      <w:bCs/>
                      <w:szCs w:val="24"/>
                      <w:lang w:eastAsia="lt-LT"/>
                    </w:rPr>
                  </w:pPr>
                  <w:r>
                    <w:rPr>
                      <w:bCs/>
                      <w:szCs w:val="24"/>
                      <w:lang w:eastAsia="lt-LT"/>
                    </w:rPr>
                    <w:t>Pakeisti Įstatymo priedą ir jį išdėstyti taip:</w:t>
                  </w:r>
                </w:p>
                <w:sdt>
                  <w:sdtPr>
                    <w:alias w:val="citata"/>
                    <w:tag w:val="part_400cf6d9904a44b182aae819ba264129"/>
                    <w:lock w:val="sdtLocked"/>
                    <w:richText/>
                  </w:sdtPr>
                  <w:sdtContent>
                    <w:sdt>
                      <w:sdtPr>
                        <w:alias w:val="pr."/>
                        <w:tag w:val="part_e714f820dc494c2f8e5e3cb9c78e6589"/>
                        <w:lock w:val="sdtLocked"/>
                        <w:richText/>
                      </w:sdtPr>
                      <w:sdtContent>
                        <w:p>
                          <w:pPr>
                            <w:ind w:firstLine="6804"/>
                            <w:jc w:val="both"/>
                            <w:rPr>
                              <w:szCs w:val="24"/>
                              <w:lang w:eastAsia="lt-LT"/>
                            </w:rPr>
                          </w:pPr>
                          <w:r>
                            <w:rPr>
                              <w:bCs/>
                              <w:szCs w:val="24"/>
                              <w:lang w:eastAsia="lt-LT"/>
                            </w:rPr>
                            <w:t>„</w:t>
                          </w:r>
                          <w:r>
                            <w:rPr>
                              <w:szCs w:val="24"/>
                              <w:lang w:eastAsia="lt-LT"/>
                            </w:rPr>
                            <w:t xml:space="preserve">Lietuvos Respublikos </w:t>
                          </w:r>
                        </w:p>
                        <w:p>
                          <w:pPr>
                            <w:ind w:firstLine="6804"/>
                            <w:jc w:val="both"/>
                            <w:rPr>
                              <w:szCs w:val="24"/>
                              <w:lang w:eastAsia="lt-LT"/>
                            </w:rPr>
                          </w:pPr>
                          <w:r>
                            <w:rPr>
                              <w:szCs w:val="24"/>
                              <w:lang w:eastAsia="lt-LT"/>
                            </w:rPr>
                            <w:t xml:space="preserve">šalpos pensijų įstatymo </w:t>
                          </w:r>
                        </w:p>
                        <w:p>
                          <w:pPr>
                            <w:ind w:firstLine="6804"/>
                            <w:jc w:val="both"/>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bCs/>
                              <w:szCs w:val="24"/>
                              <w:lang w:eastAsia="lt-LT"/>
                            </w:rPr>
                          </w:pPr>
                          <w:sdt>
                            <w:sdtPr>
                              <w:alias w:val="Pavadinimas"/>
                              <w:tag w:val="title_e714f820dc494c2f8e5e3cb9c78e6589"/>
                              <w:lock w:val="sdtLocked"/>
                              <w:richText/>
                            </w:sdtPr>
                            <w:sdtContent>
                              <w:r>
                                <w:rPr>
                                  <w:b/>
                                  <w:bCs/>
                                  <w:szCs w:val="24"/>
                                  <w:lang w:eastAsia="lt-LT"/>
                                </w:rPr>
                                <w:t>ĮGYVENDINAMI EUROPOS SĄJUNGOS TEISĖS AKTAI</w:t>
                              </w:r>
                            </w:sdtContent>
                          </w:sdt>
                        </w:p>
                        <w:p>
                          <w:pPr>
                            <w:spacing w:line="360" w:lineRule="auto"/>
                            <w:ind w:firstLine="720"/>
                            <w:jc w:val="both"/>
                            <w:rPr>
                              <w:szCs w:val="24"/>
                              <w:lang w:eastAsia="lt-LT"/>
                            </w:rPr>
                          </w:pPr>
                        </w:p>
                        <w:sdt>
                          <w:sdtPr>
                            <w:alias w:val="pr. 1 p."/>
                            <w:tag w:val="part_87e32c9853c8456dbd7eaf55659fd0b5"/>
                            <w:lock w:val="sdtLocked"/>
                            <w:richText/>
                          </w:sdtPr>
                          <w:sdtContent>
                            <w:p>
                              <w:pPr>
                                <w:spacing w:line="360" w:lineRule="auto"/>
                                <w:ind w:firstLine="720"/>
                                <w:jc w:val="both"/>
                                <w:rPr>
                                  <w:szCs w:val="24"/>
                                  <w:lang w:eastAsia="lt-LT"/>
                                </w:rPr>
                              </w:pPr>
                              <w:sdt>
                                <w:sdtPr>
                                  <w:alias w:val="Numeris"/>
                                  <w:tag w:val="nr_87e32c9853c8456dbd7eaf55659fd0b5"/>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6be7e4888cd64836b0ceb10d1d5553a6"/>
                            <w:lock w:val="sdtLocked"/>
                            <w:richText/>
                          </w:sdtPr>
                          <w:sdtContent>
                            <w:p>
                              <w:pPr>
                                <w:spacing w:line="360" w:lineRule="auto"/>
                                <w:ind w:firstLine="720"/>
                                <w:jc w:val="both"/>
                                <w:rPr>
                                  <w:bCs/>
                                  <w:szCs w:val="24"/>
                                  <w:lang w:eastAsia="lt-LT"/>
                                </w:rPr>
                              </w:pPr>
                              <w:sdt>
                                <w:sdtPr>
                                  <w:alias w:val="Numeris"/>
                                  <w:tag w:val="nr_6be7e4888cd64836b0ceb10d1d5553a6"/>
                                  <w:lock w:val="sdtLocked"/>
                                  <w:richText/>
                                </w:sdtPr>
                                <w:sdtContent>
                                  <w:r>
                                    <w:rPr>
                                      <w:szCs w:val="24"/>
                                      <w:lang w:eastAsia="lt-LT"/>
                                    </w:rPr>
                                    <w:t>2</w:t>
                                  </w:r>
                                </w:sdtContent>
                              </w:sdt>
                              <w:r>
                                <w:rPr>
                                  <w:szCs w:val="24"/>
                                  <w:lang w:eastAsia="lt-LT"/>
                                </w:rPr>
                                <w:t>. 2014 m. balandžio 16 d. Europos Parlamento ir Tarybos direktyva 2014/54/ES dėl priemonių, kad darbuotojai galėtų lengviau naudotis laisvo darbuotojų judėjimo teisėmis.</w:t>
                              </w:r>
                              <w:r>
                                <w:rPr>
                                  <w:bCs/>
                                  <w:szCs w:val="24"/>
                                  <w:lang w:eastAsia="lt-LT"/>
                                </w:rPr>
                                <w:t>“</w:t>
                              </w:r>
                            </w:p>
                            <w:p>
                              <w:pPr>
                                <w:spacing w:line="360" w:lineRule="auto"/>
                                <w:ind w:firstLine="720"/>
                                <w:jc w:val="both"/>
                                <w:rPr>
                                  <w:bCs/>
                                  <w:szCs w:val="24"/>
                                  <w:lang w:eastAsia="lt-LT"/>
                                </w:rPr>
                              </w:pPr>
                            </w:p>
                          </w:sdtContent>
                        </w:sdt>
                      </w:sdtContent>
                    </w:sdt>
                  </w:sdtContent>
                </w:sdt>
              </w:sdtContent>
            </w:sdt>
          </w:sdtContent>
        </w:sdt>
        <w:sdt>
          <w:sdtPr>
            <w:alias w:val="5 str."/>
            <w:tag w:val="part_4bfa358177ff416cb9c106a6e79d72b8"/>
            <w:lock w:val="sdtLocked"/>
            <w:richText/>
          </w:sdtPr>
          <w:sdtContent>
            <w:p>
              <w:pPr>
                <w:spacing w:line="360" w:lineRule="auto"/>
                <w:ind w:firstLine="720"/>
                <w:jc w:val="both"/>
                <w:rPr>
                  <w:b/>
                  <w:szCs w:val="24"/>
                  <w:lang w:eastAsia="lt-LT"/>
                </w:rPr>
              </w:pPr>
              <w:sdt>
                <w:sdtPr>
                  <w:alias w:val="Numeris"/>
                  <w:tag w:val="nr_4bfa358177ff416cb9c106a6e79d72b8"/>
                  <w:lock w:val="sdtLocked"/>
                  <w:richText/>
                </w:sdtPr>
                <w:sdtContent>
                  <w:r>
                    <w:rPr>
                      <w:b/>
                      <w:szCs w:val="24"/>
                      <w:lang w:eastAsia="lt-LT"/>
                    </w:rPr>
                    <w:t>5</w:t>
                  </w:r>
                </w:sdtContent>
              </w:sdt>
              <w:r>
                <w:rPr>
                  <w:b/>
                  <w:szCs w:val="24"/>
                  <w:lang w:eastAsia="lt-LT"/>
                </w:rPr>
                <w:t xml:space="preserve"> straipsnis. </w:t>
              </w:r>
              <w:sdt>
                <w:sdtPr>
                  <w:alias w:val="Pavadinimas"/>
                  <w:tag w:val="title_4bfa358177ff416cb9c106a6e79d72b8"/>
                  <w:lock w:val="sdtLocked"/>
                  <w:richText/>
                </w:sdtPr>
                <w:sdtContent>
                  <w:r>
                    <w:rPr>
                      <w:b/>
                      <w:szCs w:val="24"/>
                      <w:lang w:eastAsia="lt-LT"/>
                    </w:rPr>
                    <w:t>Įstatymo įsigaliojimas, taikymas ir įgyvendinimas</w:t>
                  </w:r>
                </w:sdtContent>
              </w:sdt>
            </w:p>
            <w:sdt>
              <w:sdtPr>
                <w:alias w:val="5 str. 1 d."/>
                <w:tag w:val="part_2000a9f488c1467f98a4169d3ccd54a9"/>
                <w:lock w:val="sdtLocked"/>
                <w:richText/>
              </w:sdtPr>
              <w:sdtContent>
                <w:p>
                  <w:pPr>
                    <w:spacing w:line="360" w:lineRule="auto"/>
                    <w:ind w:firstLine="720"/>
                    <w:jc w:val="both"/>
                    <w:rPr>
                      <w:bCs/>
                      <w:szCs w:val="24"/>
                      <w:lang w:eastAsia="lt-LT"/>
                    </w:rPr>
                  </w:pPr>
                  <w:sdt>
                    <w:sdtPr>
                      <w:alias w:val="Numeris"/>
                      <w:tag w:val="nr_2000a9f488c1467f98a4169d3ccd54a9"/>
                      <w:lock w:val="sdtLocked"/>
                      <w:richText/>
                    </w:sdtPr>
                    <w:sdtContent>
                      <w:r>
                        <w:rPr>
                          <w:bCs/>
                          <w:szCs w:val="24"/>
                          <w:lang w:eastAsia="lt-LT"/>
                        </w:rPr>
                        <w:t>1</w:t>
                      </w:r>
                    </w:sdtContent>
                  </w:sdt>
                  <w:r>
                    <w:rPr>
                      <w:bCs/>
                      <w:szCs w:val="24"/>
                      <w:lang w:eastAsia="lt-LT"/>
                    </w:rPr>
                    <w:t>. Šis įstatymas, išskyrus šio straipsnio 5 dalį, įsigalioja 2022 m. balandžio 1 d.</w:t>
                  </w:r>
                </w:p>
              </w:sdtContent>
            </w:sdt>
            <w:sdt>
              <w:sdtPr>
                <w:alias w:val="5 str. 2 d."/>
                <w:tag w:val="part_a43e1d10489e4746b3e71ec21123faf2"/>
                <w:lock w:val="sdtLocked"/>
                <w:richText/>
              </w:sdtPr>
              <w:sdtContent>
                <w:p>
                  <w:pPr>
                    <w:spacing w:line="360" w:lineRule="auto"/>
                    <w:ind w:firstLine="720"/>
                    <w:jc w:val="both"/>
                    <w:rPr>
                      <w:bCs/>
                      <w:szCs w:val="24"/>
                      <w:lang w:eastAsia="lt-LT"/>
                    </w:rPr>
                  </w:pPr>
                  <w:sdt>
                    <w:sdtPr>
                      <w:alias w:val="Numeris"/>
                      <w:tag w:val="nr_a43e1d10489e4746b3e71ec21123faf2"/>
                      <w:lock w:val="sdtLocked"/>
                      <w:richText/>
                    </w:sdtPr>
                    <w:sdtContent>
                      <w:r>
                        <w:rPr>
                          <w:bCs/>
                          <w:szCs w:val="24"/>
                          <w:lang w:eastAsia="lt-LT"/>
                        </w:rPr>
                        <w:t>2</w:t>
                      </w:r>
                    </w:sdtContent>
                  </w:sdt>
                  <w:r>
                    <w:rPr>
                      <w:bCs/>
                      <w:szCs w:val="24"/>
                      <w:lang w:eastAsia="lt-LT"/>
                    </w:rPr>
                    <w:t>. Jeigu asmuo, kuris gauna užsienio valstybės pensiją ar pensijų išmoką, iki įsigaliojant šiam įstatymui negalėjo pateikti informacijos ir (ar) duomenų apie jam užsienio valstybės paskirtą pensiją ar pensijų išmoką, nes užsienio valstybę, kuri jam yra paskyrusi pensiją ar pensijų išmoką, buvo ir, įsigaliojus šiam įstatymui, tebėra ištikusi humanitarinė krizė, kaip ji apibrėžta Lietuvos Respublikos asmenų perkėlimo į Lietuvos Respubliką įstatyme (toliau – humanitarinė krizė), ir dėl to jam buvo sustabdytas šalpos išmokos arba pensijos priemokos mokėjimas, jam pagal Lietuvos Respublikos šalpos pensijų įstatymą paskirtos ir mokamos šalpos išmokos arba pensijos priemokos mokėjimas atitinkamai Šalpos pensijų įstatymo 15 straipsnio 5</w:t>
                  </w:r>
                  <w:r>
                    <w:rPr>
                      <w:bCs/>
                      <w:szCs w:val="24"/>
                      <w:vertAlign w:val="superscript"/>
                      <w:lang w:eastAsia="lt-LT"/>
                    </w:rPr>
                    <w:t>1</w:t>
                  </w:r>
                  <w:r>
                    <w:rPr>
                      <w:bCs/>
                      <w:szCs w:val="24"/>
                      <w:lang w:eastAsia="lt-LT"/>
                    </w:rPr>
                    <w:t xml:space="preserve"> dalyje arba 22</w:t>
                  </w:r>
                  <w:r>
                    <w:rPr>
                      <w:bCs/>
                      <w:szCs w:val="24"/>
                      <w:vertAlign w:val="superscript"/>
                      <w:lang w:eastAsia="lt-LT"/>
                    </w:rPr>
                    <w:t>4</w:t>
                  </w:r>
                  <w:r>
                    <w:rPr>
                      <w:bCs/>
                      <w:szCs w:val="24"/>
                      <w:lang w:eastAsia="lt-LT"/>
                    </w:rPr>
                    <w:t> straipsnio 2</w:t>
                  </w:r>
                  <w:r>
                    <w:rPr>
                      <w:bCs/>
                      <w:szCs w:val="24"/>
                      <w:vertAlign w:val="superscript"/>
                      <w:lang w:eastAsia="lt-LT"/>
                    </w:rPr>
                    <w:t>1</w:t>
                  </w:r>
                  <w:r>
                    <w:rPr>
                      <w:bCs/>
                      <w:szCs w:val="24"/>
                      <w:lang w:eastAsia="lt-LT"/>
                    </w:rPr>
                    <w:t xml:space="preserve"> dalyje nustatyta tvarka atnaujinamas ir šalpos išmokos arba pensijos priemokos nepriemoka apskaičiuojama už laikotarpį nuo šalpos išmokos arba pensijos priemokos mokėjimo sustabdymo dienos, gavus iš Lietuvos Respublikos užsienio reikalų ministerijos informaciją, kad užsienio valstybę, kuri yra paskyrusi asmeniui pensiją ar pensijų išmoką, ištiko humanitarinė krizė. Šalpos išmokos arba pensijos priemokos nepriemoka, susidariusi dėl jos sustabdymo šioje dalyje nustatytu atveju, išmokama ne vėliau kaip kitą kalendorinį mėnesį nuo sprendimo atnaujinti šalpos išmokos arba pensijos priemokos mokėjimą priėmimo dienos.</w:t>
                  </w:r>
                </w:p>
              </w:sdtContent>
            </w:sdt>
            <w:sdt>
              <w:sdtPr>
                <w:alias w:val="5 str. 3 d."/>
                <w:tag w:val="part_c8feaf45d50141dca43182676f9d9137"/>
                <w:lock w:val="sdtLocked"/>
                <w:richText/>
              </w:sdtPr>
              <w:sdtContent>
                <w:p>
                  <w:pPr>
                    <w:spacing w:line="360" w:lineRule="auto"/>
                    <w:ind w:firstLine="720"/>
                    <w:jc w:val="both"/>
                    <w:rPr>
                      <w:bCs/>
                      <w:szCs w:val="24"/>
                      <w:lang w:eastAsia="lt-LT"/>
                    </w:rPr>
                  </w:pPr>
                  <w:sdt>
                    <w:sdtPr>
                      <w:alias w:val="Numeris"/>
                      <w:tag w:val="nr_c8feaf45d50141dca43182676f9d9137"/>
                      <w:lock w:val="sdtLocked"/>
                      <w:richText/>
                    </w:sdtPr>
                    <w:sdtContent>
                      <w:r>
                        <w:rPr>
                          <w:bCs/>
                          <w:szCs w:val="24"/>
                          <w:lang w:eastAsia="lt-LT"/>
                        </w:rPr>
                        <w:t>3</w:t>
                      </w:r>
                    </w:sdtContent>
                  </w:sdt>
                  <w:r>
                    <w:rPr>
                      <w:bCs/>
                      <w:szCs w:val="24"/>
                      <w:lang w:eastAsia="lt-LT"/>
                    </w:rPr>
                    <w:t>. Jeigu asmens teisė gauti šalpos išmoką arba pensijos priemoką atsirado iki įsigaliojant šiam įstatymui, tačiau šalpos išmoka arba pensijos priemoka jam nebuvo paskirta dėl to, kad jis negalėjo pateikti informacijos ir (ar) duomenų apie jam užsienio valstybės paskirtą pensiją ar pensijų išmoką, nes užsienio valstybę, kuri jam yra paskyrusi pensiją ar pensijų išmoką, buvo ir, įsigaliojus šiam įstatymui, tebėra ištikusi humanitarinė krizė, jam šalpos išmoka arba pensijos priemoka skiriama vadovaujantis atitinkamai Šalpos pensijų įstatymo 15 straipsnio 5</w:t>
                  </w:r>
                  <w:r>
                    <w:rPr>
                      <w:bCs/>
                      <w:szCs w:val="24"/>
                      <w:vertAlign w:val="superscript"/>
                      <w:lang w:eastAsia="lt-LT"/>
                    </w:rPr>
                    <w:t>1</w:t>
                  </w:r>
                  <w:r>
                    <w:rPr>
                      <w:bCs/>
                      <w:szCs w:val="24"/>
                      <w:lang w:eastAsia="lt-LT"/>
                    </w:rPr>
                    <w:t xml:space="preserve"> dalimi arba 22</w:t>
                  </w:r>
                  <w:r>
                    <w:rPr>
                      <w:bCs/>
                      <w:szCs w:val="24"/>
                      <w:vertAlign w:val="superscript"/>
                      <w:lang w:eastAsia="lt-LT"/>
                    </w:rPr>
                    <w:t>4</w:t>
                  </w:r>
                  <w:r>
                    <w:rPr>
                      <w:bCs/>
                      <w:szCs w:val="24"/>
                      <w:lang w:eastAsia="lt-LT"/>
                    </w:rPr>
                    <w:t xml:space="preserve"> straipsnio 2</w:t>
                  </w:r>
                  <w:r>
                    <w:rPr>
                      <w:bCs/>
                      <w:szCs w:val="24"/>
                      <w:vertAlign w:val="superscript"/>
                      <w:lang w:eastAsia="lt-LT"/>
                    </w:rPr>
                    <w:t>1</w:t>
                  </w:r>
                  <w:r>
                    <w:rPr>
                      <w:bCs/>
                      <w:szCs w:val="24"/>
                      <w:lang w:eastAsia="lt-LT"/>
                    </w:rPr>
                    <w:t xml:space="preserve"> dalimi.</w:t>
                  </w:r>
                </w:p>
              </w:sdtContent>
            </w:sdt>
            <w:sdt>
              <w:sdtPr>
                <w:alias w:val="5 str. 4 d."/>
                <w:tag w:val="part_f4ec9afdd13d4ed19abc3b708841b27c"/>
                <w:lock w:val="sdtLocked"/>
                <w:richText/>
              </w:sdtPr>
              <w:sdtContent>
                <w:p>
                  <w:pPr>
                    <w:spacing w:line="360" w:lineRule="auto"/>
                    <w:ind w:firstLine="720"/>
                    <w:jc w:val="both"/>
                    <w:rPr>
                      <w:bCs/>
                      <w:szCs w:val="24"/>
                      <w:lang w:eastAsia="lt-LT"/>
                    </w:rPr>
                  </w:pPr>
                  <w:sdt>
                    <w:sdtPr>
                      <w:alias w:val="Numeris"/>
                      <w:tag w:val="nr_f4ec9afdd13d4ed19abc3b708841b27c"/>
                      <w:lock w:val="sdtLocked"/>
                      <w:richText/>
                    </w:sdtPr>
                    <w:sdtContent>
                      <w:r>
                        <w:rPr>
                          <w:bCs/>
                          <w:szCs w:val="24"/>
                          <w:lang w:eastAsia="lt-LT"/>
                        </w:rPr>
                        <w:t>4</w:t>
                      </w:r>
                    </w:sdtContent>
                  </w:sdt>
                  <w:r>
                    <w:rPr>
                      <w:bCs/>
                      <w:szCs w:val="24"/>
                      <w:lang w:eastAsia="lt-LT"/>
                    </w:rPr>
                    <w:t>. Vadovaujantis šio įstatymo 3 straipsnio 1 dalimi keičiama Šalpos pensijų įstatymo 22</w:t>
                  </w:r>
                  <w:r>
                    <w:rPr>
                      <w:bCs/>
                      <w:szCs w:val="24"/>
                      <w:vertAlign w:val="superscript"/>
                      <w:lang w:eastAsia="lt-LT"/>
                    </w:rPr>
                    <w:t>4</w:t>
                  </w:r>
                  <w:r>
                    <w:rPr>
                      <w:bCs/>
                      <w:szCs w:val="24"/>
                      <w:lang w:eastAsia="lt-LT"/>
                    </w:rPr>
                    <w:t> straipsnio 2 dalimi, pensijos priemoka gali būti skiriama ne daugiau kaip už 12 mėnesių, kai Valstybinio socialinio draudimo fondo valdybos prie Socialinės apsaugos ir darbo ministerijos įgaliota Valstybinio socialinio draudimo fondo administravimo įstaiga duomenis apie asmeniui užsienio valstybės paskirtos pensijos dydį gavo įsigaliojus šiam įstatymui.</w:t>
                  </w:r>
                </w:p>
              </w:sdtContent>
            </w:sdt>
            <w:sdt>
              <w:sdtPr>
                <w:alias w:val="5 str. 5 d."/>
                <w:tag w:val="part_2ce41cd1ee51440585d3044f16b3481b"/>
                <w:lock w:val="sdtLocked"/>
                <w:richText/>
              </w:sdtPr>
              <w:sdtContent>
                <w:p>
                  <w:pPr>
                    <w:spacing w:line="360" w:lineRule="auto"/>
                    <w:ind w:firstLine="720"/>
                    <w:jc w:val="both"/>
                    <w:rPr>
                      <w:bCs/>
                      <w:szCs w:val="24"/>
                      <w:lang w:eastAsia="lt-LT"/>
                    </w:rPr>
                  </w:pPr>
                  <w:sdt>
                    <w:sdtPr>
                      <w:alias w:val="Numeris"/>
                      <w:tag w:val="nr_2ce41cd1ee51440585d3044f16b3481b"/>
                      <w:lock w:val="sdtLocked"/>
                      <w:richText/>
                    </w:sdtPr>
                    <w:sdtContent>
                      <w:r>
                        <w:rPr>
                          <w:bCs/>
                          <w:szCs w:val="24"/>
                          <w:lang w:eastAsia="lt-LT"/>
                        </w:rPr>
                        <w:t>5</w:t>
                      </w:r>
                    </w:sdtContent>
                  </w:sdt>
                  <w:r>
                    <w:rPr>
                      <w:bCs/>
                      <w:szCs w:val="24"/>
                      <w:lang w:eastAsia="lt-LT"/>
                    </w:rPr>
                    <w:t>. Socialinės apsaugos ir darbo ministras iki 2022 m. kovo 31 d. priima šio įstatymo įgyvendinamuosius teisės aktus.</w:t>
                  </w:r>
                </w:p>
                <w:p>
                  <w:pPr>
                    <w:spacing w:line="360" w:lineRule="auto"/>
                    <w:ind w:firstLine="720"/>
                    <w:jc w:val="both"/>
                  </w:pPr>
                </w:p>
              </w:sdtContent>
            </w:sdt>
          </w:sdtContent>
        </w:sdt>
        <w:sdt>
          <w:sdtPr>
            <w:alias w:val="signatura"/>
            <w:tag w:val="part_e43d3f83b05446bfbd88625a260da84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7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AFA22F6-06EA-4EBC-B512-3C64793BD9A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c547e76c3f4f2dad76e96e5e37d565" PartId="87beff81c3db48ff9d27d1325c72dbf6">
    <Part Type="straipsnis" Nr="1" Abbr="1 str." Title="1 straipsnio pakeitimas" DocPartId="b689ce8209274200942878df2985ea2e" PartId="c38f3367b86e4f5a9c94c1db2aa21c01">
      <Part Type="strDalis" Nr="1" Abbr="1 str. 1 d." DocPartId="f8a74a22b6dc4a1e9bb5e28df4c03570" PartId="f048eb0467c34f538cab0532f52d4f4e">
        <Part Type="citata" DocPartId="e7fe68c3a36b4e5caee837eb3dc75f91" PartId="95ca1cd301fc4ce9afd1a4fdf9de1446">
          <Part Type="strPunktas" Nr="4" Abbr="4 p." DocPartId="a9312417ef6f4c85b74115bac8dd05eb" PartId="8d2a21f12377477b9c716ab6e5e68b3d"/>
        </Part>
      </Part>
      <Part Type="strDalis" Nr="2" Abbr="1 str. 2 d." DocPartId="4de37ae7cd8d421b897042ad460b67d4" PartId="161d5091e6264ecfbbd0c665c2da8930">
        <Part Type="citata" DocPartId="d2c65b7660b8432fb20e3018c50cf39f" PartId="94441f85732e4d2caa8caeb5c1dd8ff0">
          <Part Type="strPunktas" Nr="6" Abbr="6 p." DocPartId="34fd88dd797f4e479a98533ab2e33fbf" PartId="48dc579c68da4ac59708e1dcc8d05aa9"/>
        </Part>
      </Part>
    </Part>
    <Part Type="straipsnis" Nr="2" Abbr="2 str." Title="15 straipsnio pakeitimas" DocPartId="d7cc35b4cc604d4c96b0643350f35ae8" PartId="ac93a4794ea4455eb9cd9df0d48ac38e">
      <Part Type="strDalis" Nr="1" Abbr="2 str. 1 d." DocPartId="cee251c5116c4aba902d1c44fb842afe" PartId="c24567ce0f2244b7a3d281587ee3beb2">
        <Part Type="citata" DocPartId="0b1a1543c9dd4528b0db5bfc8fec239c" PartId="5da57bc05efc478c9a8515e5582a7a76">
          <Part Type="strDalis" Nr="4" Abbr="4 d." DocPartId="be5e5596bb7f464380eb88582ff47d91" PartId="159883dbfd6f45c69879b0a745784123"/>
        </Part>
      </Part>
      <Part Type="strDalis" Nr="2" Abbr="2 str. 2 d." DocPartId="8ecad2f1560d487b82504d6a47066cc3" PartId="1c4439dc7e924808a2f509a76d2522e1">
        <Part Type="citata" DocPartId="66458195823842cf8d82b3dbe141087d" PartId="3634cc3dbb3a4470812afe4640b6d353">
          <Part Type="strDalis" Nr="5-1" Abbr="5-1 d." DocPartId="5fd44f3b24d74ff494c8f14416f8c208" PartId="4d11bedce89b4e859eceb49000ac665e"/>
        </Part>
      </Part>
    </Part>
    <Part Type="straipsnis" Nr="3" Abbr="3 str." Title="22⁴ straipsnio pakeitimas" DocPartId="2a748c8a9cb143b6ac547bd3c67c5213" PartId="abefdb97bf7d4375833771a5f147ddca">
      <Part Type="strDalis" Nr="1" Abbr="3 str. 1 d." DocPartId="41e0dad32f6b47faa2bb64cc08faf86c" PartId="a4378d4d155f4ff2b2b580a767c5cd05">
        <Part Type="citata" DocPartId="0e9aaae8ebfa4f63ad42da09dab0b98f" PartId="d4b0ae7737ea4d19b11ead02395f54f9">
          <Part Type="strDalis" Nr="2" Abbr="2 d." DocPartId="1ca26428c4e74461991fad7e52fc37b3" PartId="0b4c1a1236d44a0ca4022ad42b34201f"/>
        </Part>
      </Part>
      <Part Type="strDalis" Nr="2" Abbr="3 str. 2 d." DocPartId="e43c10c0758b4057bbaede12730ec46b" PartId="e02332704e8a4b018e638aa92e2456fc">
        <Part Type="citata" DocPartId="e1ad604bfd8c43468591be6b3497eb08" PartId="b289b74bfe9b4635a414e1a153a79fbe">
          <Part Type="strDalis" Nr="2-1" Abbr="2-1 d." DocPartId="be79dfeaa17e4507b2a9241404ba51a8" PartId="6ad868073751412ca1cd85781e499b13"/>
        </Part>
      </Part>
    </Part>
    <Part Type="straipsnis" Nr="4" Abbr="4 str." Title="Įstatymo priedo pakeitimas" DocPartId="63e539c109394cad907b9455f55444f5" PartId="c91162406bcb4c98b393b134f284c7ff">
      <Part Type="strDalis" Nr="1" Abbr="4 str. 1 d." DocPartId="dd12eb9b04a94e7185804d9860a2e41b" PartId="454f0796f6914ac3b1ca29dc3894e4b5">
        <Part Type="citata" DocPartId="84a7f3194b904433b289420af98181c9" PartId="400cf6d9904a44b182aae819ba264129">
          <Part Type="priedas" Abbr="pr." Title="ĮGYVENDINAMI EUROPOS SĄJUNGOS TEISĖS AKTAI" DocPartId="2dc966e3c4e04280be2f669175b3366b" PartId="e714f820dc494c2f8e5e3cb9c78e6589">
            <Part Type="punktas" Nr="1" Abbr="pr. 1 p." DocPartId="a91e44ee7d97494a8a673e0a5a88819c" PartId="87e32c9853c8456dbd7eaf55659fd0b5"/>
            <Part Type="punktas" Nr="2" Abbr="pr. 2 p." DocPartId="7b7fd0d71cd0481f8f6d2b2df4caee68" PartId="6be7e4888cd64836b0ceb10d1d5553a6"/>
          </Part>
        </Part>
      </Part>
    </Part>
    <Part Type="straipsnis" Nr="5" Abbr="5 str." Title="Įstatymo įsigaliojimas, taikymas ir įgyvendinimas" DocPartId="798711f8848942a4a234d18eb9462e1c" PartId="4bfa358177ff416cb9c106a6e79d72b8">
      <Part Type="strDalis" Nr="1" Abbr="5 str. 1 d." DocPartId="bedf442f330b433999f9172f84e6ad64" PartId="2000a9f488c1467f98a4169d3ccd54a9"/>
      <Part Type="strDalis" Nr="2" Abbr="5 str. 2 d." DocPartId="bc1b862471f84663bb6adb1aa9a0157d" PartId="a43e1d10489e4746b3e71ec21123faf2"/>
      <Part Type="strDalis" Nr="3" Abbr="5 str. 3 d." DocPartId="ebd38cabfb7a453dadc871bad7dd274e" PartId="c8feaf45d50141dca43182676f9d9137"/>
      <Part Type="strDalis" Nr="4" Abbr="5 str. 4 d." DocPartId="27b06e45d1f5470f9489008f3023f449" PartId="f4ec9afdd13d4ed19abc3b708841b27c"/>
      <Part Type="strDalis" Nr="5" Abbr="5 str. 5 d." DocPartId="706ec1cb38af4eadb23f9b612b400609" PartId="2ce41cd1ee51440585d3044f16b3481b"/>
    </Part>
    <Part Type="signatura" DocPartId="c941beb818744c0494cd37f9287fbc18" PartId="e43d3f83b05446bfbd88625a260da84b"/>
  </Part>
</Parts>
</file>

<file path=customXml/itemProps1.xml><?xml version="1.0" encoding="utf-8"?>
<ds:datastoreItem xmlns:ds="http://schemas.openxmlformats.org/officeDocument/2006/customXml" ds:itemID="{971F9DAA-8ACD-4D36-A0FD-014F79370B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1207</Words>
  <Characters>8004</Characters>
  <Application>Microsoft Office Word</Application>
  <DocSecurity>4</DocSecurity>
  <Lines>135</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9169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2022-03-22T15:01:00Z</dcterms:created>
  <dc:creator>MOZERĖ Dainora</dc:creator>
  <lastModifiedBy>adlibuser</lastModifiedBy>
  <lastPrinted>2022-03-17T11:35:00Z</lastPrinted>
  <dcterms:modified xsi:type="dcterms:W3CDTF">2022-03-22T15:01:00Z</dcterms:modified>
  <revision>2</revision>
</coreProperties>
</file>