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f0625552eaa48c6bfb611f3cb74d0a0"/>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3577A263" wp14:editId="499D760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6.696, 6.697 IR 6.698 STRAIPSNIŲ PAKEITIMO</w:t>
          </w:r>
        </w:p>
        <w:p>
          <w:pPr>
            <w:jc w:val="center"/>
            <w:rPr>
              <w:caps/>
            </w:rPr>
          </w:pPr>
          <w:r>
            <w:rPr>
              <w:b/>
              <w:caps/>
            </w:rPr>
            <w:t>ĮSTATYMAS</w:t>
          </w:r>
        </w:p>
        <w:p>
          <w:pPr>
            <w:jc w:val="center"/>
            <w:rPr>
              <w:b/>
              <w:caps/>
            </w:rPr>
          </w:pPr>
        </w:p>
        <w:p>
          <w:pPr>
            <w:jc w:val="center"/>
            <w:rPr>
              <w:sz w:val="22"/>
            </w:rPr>
          </w:pPr>
          <w:r>
            <w:rPr>
              <w:sz w:val="22"/>
            </w:rPr>
            <w:t>2016 m. birželio 30 d. Nr. XII-2579</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9cac4163e874109a6f35e485fc1ba93"/>
            <w:lock w:val="sdtLocked"/>
            <w:richText/>
          </w:sdtPr>
          <w:sdtContent>
            <w:p>
              <w:pPr>
                <w:spacing w:line="360" w:lineRule="auto"/>
                <w:ind w:firstLine="720"/>
                <w:jc w:val="both"/>
                <w:rPr>
                  <w:rFonts w:eastAsia="Calibri"/>
                  <w:b/>
                  <w:color w:val="000000"/>
                  <w:szCs w:val="24"/>
                </w:rPr>
              </w:pPr>
              <w:sdt>
                <w:sdtPr>
                  <w:alias w:val="Numeris"/>
                  <w:tag w:val="nr_a9cac4163e874109a6f35e485fc1ba93"/>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a9cac4163e874109a6f35e485fc1ba93"/>
                  <w:lock w:val="sdtLocked"/>
                  <w:richText/>
                </w:sdtPr>
                <w:sdtContent>
                  <w:r>
                    <w:rPr>
                      <w:rFonts w:eastAsia="Calibri"/>
                      <w:b/>
                      <w:color w:val="000000"/>
                      <w:szCs w:val="24"/>
                    </w:rPr>
                    <w:t>6.696 straipsnio pakeitimas</w:t>
                  </w:r>
                </w:sdtContent>
              </w:sdt>
            </w:p>
            <w:sdt>
              <w:sdtPr>
                <w:alias w:val="1 str. 1 d."/>
                <w:tag w:val="part_f59ba2ca35474d55bc54b18ab9f3f644"/>
                <w:lock w:val="sdtLocked"/>
                <w:richText/>
              </w:sdtPr>
              <w:sdtContent>
                <w:p>
                  <w:pPr>
                    <w:spacing w:line="360" w:lineRule="auto"/>
                    <w:ind w:firstLine="720"/>
                    <w:jc w:val="both"/>
                    <w:rPr>
                      <w:rFonts w:eastAsia="Calibri"/>
                      <w:color w:val="000000"/>
                      <w:szCs w:val="24"/>
                    </w:rPr>
                  </w:pPr>
                  <w:r>
                    <w:rPr>
                      <w:rFonts w:eastAsia="Calibri"/>
                      <w:color w:val="000000"/>
                      <w:szCs w:val="24"/>
                    </w:rPr>
                    <w:t>Pakeisti 6.696 straipsnį ir jį išdėstyti taip:</w:t>
                  </w:r>
                </w:p>
                <w:sdt>
                  <w:sdtPr>
                    <w:alias w:val="citata"/>
                    <w:tag w:val="part_84b46719c3fd4ff0855096e8af4ef4fa"/>
                    <w:lock w:val="sdtLocked"/>
                    <w:richText/>
                  </w:sdtPr>
                  <w:sdtContent>
                    <w:sdt>
                      <w:sdtPr>
                        <w:alias w:val="6.696 str."/>
                        <w:tag w:val="part_2f0355e1a2bb4f4c94dd1a9d4730980f"/>
                        <w:lock w:val="sdtLocked"/>
                        <w:richText/>
                      </w:sdtPr>
                      <w:sdtContent>
                        <w:p>
                          <w:pPr>
                            <w:spacing w:line="360" w:lineRule="auto"/>
                            <w:ind w:firstLine="720"/>
                            <w:jc w:val="both"/>
                            <w:rPr>
                              <w:rFonts w:eastAsia="Calibri"/>
                              <w:b/>
                              <w:szCs w:val="24"/>
                              <w:lang w:eastAsia="lt-LT"/>
                            </w:rPr>
                          </w:pPr>
                          <w:r>
                            <w:rPr>
                              <w:rFonts w:eastAsia="Calibri"/>
                              <w:bCs/>
                              <w:szCs w:val="24"/>
                              <w:lang w:eastAsia="lt-LT"/>
                            </w:rPr>
                            <w:t>„</w:t>
                          </w:r>
                          <w:sdt>
                            <w:sdtPr>
                              <w:alias w:val="Numeris"/>
                              <w:tag w:val="nr_2f0355e1a2bb4f4c94dd1a9d4730980f"/>
                              <w:lock w:val="sdtLocked"/>
                              <w:richText/>
                            </w:sdtPr>
                            <w:sdtContent>
                              <w:r>
                                <w:rPr>
                                  <w:rFonts w:eastAsia="Calibri"/>
                                  <w:b/>
                                  <w:bCs/>
                                  <w:szCs w:val="24"/>
                                  <w:lang w:eastAsia="lt-LT"/>
                                </w:rPr>
                                <w:t>6.696</w:t>
                              </w:r>
                            </w:sdtContent>
                          </w:sdt>
                          <w:r>
                            <w:rPr>
                              <w:rFonts w:eastAsia="Calibri"/>
                              <w:b/>
                              <w:bCs/>
                              <w:szCs w:val="24"/>
                              <w:lang w:eastAsia="lt-LT"/>
                            </w:rPr>
                            <w:t xml:space="preserve"> straipsnis. </w:t>
                          </w:r>
                          <w:sdt>
                            <w:sdtPr>
                              <w:alias w:val="Pavadinimas"/>
                              <w:tag w:val="title_2f0355e1a2bb4f4c94dd1a9d4730980f"/>
                              <w:lock w:val="sdtLocked"/>
                              <w:richText/>
                            </w:sdtPr>
                            <w:sdtContent>
                              <w:r>
                                <w:rPr>
                                  <w:rFonts w:eastAsia="Calibri"/>
                                  <w:b/>
                                  <w:bCs/>
                                  <w:szCs w:val="24"/>
                                  <w:lang w:eastAsia="lt-LT"/>
                                </w:rPr>
                                <w:t>Atsakomybė už statinio sugriuvimą</w:t>
                              </w:r>
                            </w:sdtContent>
                          </w:sdt>
                        </w:p>
                        <w:sdt>
                          <w:sdtPr>
                            <w:alias w:val="6.696 str. 1 d."/>
                            <w:tag w:val="part_14c0e2b3213345ccb037c9771ceb2535"/>
                            <w:lock w:val="sdtLocked"/>
                            <w:richText/>
                          </w:sdtPr>
                          <w:sdtContent>
                            <w:p>
                              <w:pPr>
                                <w:spacing w:line="360" w:lineRule="auto"/>
                                <w:ind w:firstLine="720"/>
                                <w:jc w:val="both"/>
                                <w:rPr>
                                  <w:rFonts w:eastAsia="Calibri"/>
                                  <w:szCs w:val="24"/>
                                  <w:lang w:eastAsia="lt-LT"/>
                                </w:rPr>
                              </w:pPr>
                              <w:sdt>
                                <w:sdtPr>
                                  <w:alias w:val="Numeris"/>
                                  <w:tag w:val="nr_14c0e2b3213345ccb037c9771ceb2535"/>
                                  <w:lock w:val="sdtLocked"/>
                                  <w:richText/>
                                </w:sdtPr>
                                <w:sdtContent>
                                  <w:r>
                                    <w:rPr>
                                      <w:rFonts w:eastAsia="Calibri"/>
                                      <w:szCs w:val="24"/>
                                      <w:lang w:eastAsia="lt-LT"/>
                                    </w:rPr>
                                    <w:t>1</w:t>
                                  </w:r>
                                </w:sdtContent>
                              </w:sdt>
                              <w:r>
                                <w:rPr>
                                  <w:rFonts w:eastAsia="Calibri"/>
                                  <w:szCs w:val="24"/>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8afd22691dc848a185e6a9197a27d1cd"/>
                            <w:lock w:val="sdtLocked"/>
                            <w:richText/>
                          </w:sdtPr>
                          <w:sdtContent>
                            <w:p>
                              <w:pPr>
                                <w:spacing w:line="360" w:lineRule="auto"/>
                                <w:ind w:firstLine="720"/>
                                <w:jc w:val="both"/>
                                <w:rPr>
                                  <w:rFonts w:eastAsia="Calibri"/>
                                  <w:szCs w:val="24"/>
                                  <w:lang w:eastAsia="lt-LT"/>
                                </w:rPr>
                              </w:pPr>
                              <w:sdt>
                                <w:sdtPr>
                                  <w:alias w:val="Numeris"/>
                                  <w:tag w:val="nr_8afd22691dc848a185e6a9197a27d1cd"/>
                                  <w:lock w:val="sdtLocked"/>
                                  <w:richText/>
                                </w:sdtPr>
                                <w:sdtContent>
                                  <w:r>
                                    <w:rPr>
                                      <w:rFonts w:eastAsia="Calibri"/>
                                      <w:szCs w:val="24"/>
                                      <w:lang w:eastAsia="lt-LT"/>
                                    </w:rPr>
                                    <w:t>2</w:t>
                                  </w:r>
                                </w:sdtContent>
                              </w:sdt>
                              <w:r>
                                <w:rPr>
                                  <w:rFonts w:eastAsia="Calibri"/>
                                  <w:szCs w:val="24"/>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fcb3ac456bf045edafe03f1ccfdb1d2e"/>
                            <w:lock w:val="sdtLocked"/>
                            <w:richText/>
                          </w:sdtPr>
                          <w:sdtContent>
                            <w:p>
                              <w:pPr>
                                <w:spacing w:line="360" w:lineRule="auto"/>
                                <w:ind w:firstLine="720"/>
                                <w:jc w:val="both"/>
                                <w:rPr>
                                  <w:rFonts w:eastAsia="Calibri"/>
                                  <w:szCs w:val="24"/>
                                  <w:lang w:eastAsia="lt-LT"/>
                                </w:rPr>
                              </w:pPr>
                              <w:sdt>
                                <w:sdtPr>
                                  <w:alias w:val="Numeris"/>
                                  <w:tag w:val="nr_fcb3ac456bf045edafe03f1ccfdb1d2e"/>
                                  <w:lock w:val="sdtLocked"/>
                                  <w:richText/>
                                </w:sdtPr>
                                <w:sdtContent>
                                  <w:r>
                                    <w:rPr>
                                      <w:rFonts w:eastAsia="Calibri"/>
                                      <w:szCs w:val="24"/>
                                      <w:lang w:eastAsia="lt-LT"/>
                                    </w:rPr>
                                    <w:t>3</w:t>
                                  </w:r>
                                </w:sdtContent>
                              </w:sdt>
                              <w:r>
                                <w:rPr>
                                  <w:rFonts w:eastAsia="Calibri"/>
                                  <w:szCs w:val="24"/>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fb5c3a868e9e4e8f93a5e63a106d4a5c"/>
                            <w:lock w:val="sdtLocked"/>
                            <w:richText/>
                          </w:sdtPr>
                          <w:sdtContent>
                            <w:p>
                              <w:pPr>
                                <w:spacing w:line="360" w:lineRule="auto"/>
                                <w:ind w:firstLine="720"/>
                                <w:jc w:val="both"/>
                                <w:rPr>
                                  <w:rFonts w:eastAsia="Calibri"/>
                                  <w:szCs w:val="24"/>
                                  <w:lang w:eastAsia="lt-LT"/>
                                </w:rPr>
                              </w:pPr>
                              <w:sdt>
                                <w:sdtPr>
                                  <w:alias w:val="Numeris"/>
                                  <w:tag w:val="nr_fb5c3a868e9e4e8f93a5e63a106d4a5c"/>
                                  <w:lock w:val="sdtLocked"/>
                                  <w:richText/>
                                </w:sdtPr>
                                <w:sdtContent>
                                  <w:r>
                                    <w:rPr>
                                      <w:rFonts w:eastAsia="Calibri"/>
                                      <w:szCs w:val="24"/>
                                      <w:lang w:eastAsia="lt-LT"/>
                                    </w:rPr>
                                    <w:t>4</w:t>
                                  </w:r>
                                </w:sdtContent>
                              </w:sdt>
                              <w:r>
                                <w:rPr>
                                  <w:rFonts w:eastAsia="Calibri"/>
                                  <w:szCs w:val="24"/>
                                  <w:lang w:eastAsia="lt-LT"/>
                                </w:rPr>
                                <w:t>. Jeigu negalima nustatyti, dėl kurių konkrečiai iš šio straipsnio 1 dalyje numatytų asmenų kaltės statinys sugriuvo, jie visi atsako solidariai.“</w:t>
                              </w:r>
                            </w:p>
                            <w:p>
                              <w:pPr>
                                <w:spacing w:line="360" w:lineRule="auto"/>
                                <w:ind w:firstLine="720"/>
                                <w:jc w:val="both"/>
                                <w:rPr>
                                  <w:rFonts w:eastAsia="Calibri"/>
                                  <w:b/>
                                  <w:color w:val="000000"/>
                                  <w:szCs w:val="24"/>
                                </w:rPr>
                              </w:pPr>
                            </w:p>
                          </w:sdtContent>
                        </w:sdt>
                      </w:sdtContent>
                    </w:sdt>
                  </w:sdtContent>
                </w:sdt>
              </w:sdtContent>
            </w:sdt>
          </w:sdtContent>
        </w:sdt>
        <w:sdt>
          <w:sdtPr>
            <w:alias w:val="2 str."/>
            <w:tag w:val="part_c091f97912c24a5898645170fa463768"/>
            <w:lock w:val="sdtLocked"/>
            <w:richText/>
          </w:sdtPr>
          <w:sdtContent>
            <w:p>
              <w:pPr>
                <w:spacing w:line="360" w:lineRule="auto"/>
                <w:ind w:firstLine="720"/>
                <w:jc w:val="both"/>
                <w:rPr>
                  <w:rFonts w:eastAsia="Calibri"/>
                  <w:b/>
                  <w:color w:val="000000"/>
                  <w:szCs w:val="24"/>
                </w:rPr>
              </w:pPr>
              <w:sdt>
                <w:sdtPr>
                  <w:alias w:val="Numeris"/>
                  <w:tag w:val="nr_c091f97912c24a5898645170fa463768"/>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c091f97912c24a5898645170fa463768"/>
                  <w:lock w:val="sdtLocked"/>
                  <w:richText/>
                </w:sdtPr>
                <w:sdtContent>
                  <w:r>
                    <w:rPr>
                      <w:rFonts w:eastAsia="Calibri"/>
                      <w:b/>
                      <w:color w:val="000000"/>
                      <w:szCs w:val="24"/>
                    </w:rPr>
                    <w:t>6.697 straipsnio pakeitimas</w:t>
                  </w:r>
                </w:sdtContent>
              </w:sdt>
            </w:p>
            <w:sdt>
              <w:sdtPr>
                <w:alias w:val="2 str. 1 d."/>
                <w:tag w:val="part_ffc2e061fb2645579417a3cb2773e181"/>
                <w:lock w:val="sdtLocked"/>
                <w:richText/>
              </w:sdtPr>
              <w:sdtContent>
                <w:p>
                  <w:pPr>
                    <w:spacing w:line="360" w:lineRule="auto"/>
                    <w:ind w:firstLine="720"/>
                    <w:jc w:val="both"/>
                    <w:rPr>
                      <w:rFonts w:eastAsia="Calibri"/>
                      <w:color w:val="000000"/>
                      <w:szCs w:val="24"/>
                    </w:rPr>
                  </w:pPr>
                  <w:r>
                    <w:rPr>
                      <w:rFonts w:eastAsia="Calibri"/>
                      <w:color w:val="000000"/>
                      <w:szCs w:val="24"/>
                    </w:rPr>
                    <w:t>Pakeisti 6.697 straipsnio 3 dalį ir ją išdėstyti taip:</w:t>
                  </w:r>
                </w:p>
                <w:sdt>
                  <w:sdtPr>
                    <w:alias w:val="citata"/>
                    <w:tag w:val="part_c94c0ba4dec94436b4632b8221518af6"/>
                    <w:lock w:val="sdtLocked"/>
                    <w:richText/>
                  </w:sdtPr>
                  <w:sdtContent>
                    <w:sdt>
                      <w:sdtPr>
                        <w:alias w:val="3 d."/>
                        <w:tag w:val="part_f374a88f325749829fe5b0ac2d4d0aa1"/>
                        <w:lock w:val="sdtLocked"/>
                        <w:richText/>
                      </w:sdtPr>
                      <w:sdtContent>
                        <w:p>
                          <w:pPr>
                            <w:spacing w:line="360" w:lineRule="auto"/>
                            <w:ind w:firstLine="720"/>
                            <w:jc w:val="both"/>
                            <w:rPr>
                              <w:rFonts w:eastAsia="Calibri"/>
                              <w:szCs w:val="24"/>
                              <w:lang w:eastAsia="lt-LT"/>
                            </w:rPr>
                          </w:pPr>
                          <w:r>
                            <w:rPr>
                              <w:rFonts w:eastAsia="Calibri"/>
                              <w:szCs w:val="24"/>
                              <w:lang w:eastAsia="lt-LT"/>
                            </w:rPr>
                            <w:t>„</w:t>
                          </w:r>
                          <w:sdt>
                            <w:sdtPr>
                              <w:alias w:val="Numeris"/>
                              <w:tag w:val="nr_f374a88f325749829fe5b0ac2d4d0aa1"/>
                              <w:lock w:val="sdtLocked"/>
                              <w:richText/>
                            </w:sdtPr>
                            <w:sdtContent>
                              <w:r>
                                <w:rPr>
                                  <w:rFonts w:eastAsia="Calibri"/>
                                  <w:szCs w:val="24"/>
                                  <w:lang w:eastAsia="lt-LT"/>
                                </w:rPr>
                                <w:t>3</w:t>
                              </w:r>
                            </w:sdtContent>
                          </w:sdt>
                          <w:r>
                            <w:rPr>
                              <w:rFonts w:eastAsia="Calibri"/>
                              <w:szCs w:val="24"/>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spacing w:line="360" w:lineRule="auto"/>
                            <w:ind w:firstLine="720"/>
                            <w:jc w:val="both"/>
                            <w:rPr>
                              <w:rFonts w:eastAsia="Calibri"/>
                              <w:b/>
                              <w:color w:val="000000"/>
                              <w:szCs w:val="24"/>
                            </w:rPr>
                          </w:pPr>
                        </w:p>
                        <w:p>
                          <w:pPr>
                            <w:spacing w:line="360" w:lineRule="auto"/>
                            <w:ind w:firstLine="720"/>
                            <w:jc w:val="both"/>
                            <w:rPr>
                              <w:rFonts w:eastAsia="Calibri"/>
                              <w:b/>
                              <w:color w:val="000000"/>
                              <w:szCs w:val="24"/>
                            </w:rPr>
                          </w:pPr>
                        </w:p>
                      </w:sdtContent>
                    </w:sdt>
                  </w:sdtContent>
                </w:sdt>
              </w:sdtContent>
            </w:sdt>
          </w:sdtContent>
        </w:sdt>
        <w:sdt>
          <w:sdtPr>
            <w:alias w:val="3 str."/>
            <w:tag w:val="part_a9420c5140044b5b9d49c0b2ff6e1fec"/>
            <w:lock w:val="sdtLocked"/>
            <w:richText/>
          </w:sdtPr>
          <w:sdtContent>
            <w:p>
              <w:pPr>
                <w:spacing w:line="360" w:lineRule="auto"/>
                <w:ind w:firstLine="720"/>
                <w:jc w:val="both"/>
                <w:rPr>
                  <w:rFonts w:eastAsia="Calibri"/>
                  <w:b/>
                  <w:color w:val="000000"/>
                  <w:szCs w:val="24"/>
                </w:rPr>
              </w:pPr>
              <w:sdt>
                <w:sdtPr>
                  <w:alias w:val="Numeris"/>
                  <w:tag w:val="nr_a9420c5140044b5b9d49c0b2ff6e1fec"/>
                  <w:lock w:val="sdtLocked"/>
                  <w:richText/>
                </w:sdtPr>
                <w:sdtContent>
                  <w:r>
                    <w:rPr>
                      <w:rFonts w:eastAsia="Calibri"/>
                      <w:b/>
                      <w:color w:val="000000"/>
                      <w:szCs w:val="24"/>
                    </w:rPr>
                    <w:t>3</w:t>
                  </w:r>
                </w:sdtContent>
              </w:sdt>
              <w:r>
                <w:rPr>
                  <w:rFonts w:eastAsia="Calibri"/>
                  <w:b/>
                  <w:color w:val="000000"/>
                  <w:szCs w:val="24"/>
                </w:rPr>
                <w:t xml:space="preserve"> straipsnis. </w:t>
              </w:r>
              <w:sdt>
                <w:sdtPr>
                  <w:alias w:val="Pavadinimas"/>
                  <w:tag w:val="title_a9420c5140044b5b9d49c0b2ff6e1fec"/>
                  <w:lock w:val="sdtLocked"/>
                  <w:richText/>
                </w:sdtPr>
                <w:sdtContent>
                  <w:r>
                    <w:rPr>
                      <w:rFonts w:eastAsia="Calibri"/>
                      <w:b/>
                      <w:color w:val="000000"/>
                      <w:szCs w:val="24"/>
                    </w:rPr>
                    <w:t>6.698 straipsnio pakeitimas</w:t>
                  </w:r>
                </w:sdtContent>
              </w:sdt>
            </w:p>
            <w:sdt>
              <w:sdtPr>
                <w:alias w:val="3 str. 1 d."/>
                <w:tag w:val="part_890567daa10041d0b5fb12160d81f68c"/>
                <w:lock w:val="sdtLocked"/>
                <w:richText/>
              </w:sdtPr>
              <w:sdtContent>
                <w:p>
                  <w:pPr>
                    <w:spacing w:line="360" w:lineRule="auto"/>
                    <w:ind w:firstLine="720"/>
                    <w:jc w:val="both"/>
                    <w:rPr>
                      <w:rFonts w:eastAsia="Calibri"/>
                      <w:color w:val="000000"/>
                      <w:szCs w:val="24"/>
                    </w:rPr>
                  </w:pPr>
                  <w:r>
                    <w:rPr>
                      <w:rFonts w:eastAsia="Calibri"/>
                      <w:color w:val="000000"/>
                      <w:szCs w:val="24"/>
                    </w:rPr>
                    <w:t>Pakeisti 6.698 straipsnį ir jį išdėstyti taip:</w:t>
                  </w:r>
                </w:p>
                <w:sdt>
                  <w:sdtPr>
                    <w:alias w:val="citata"/>
                    <w:tag w:val="part_384be68ffb0641428d85e5adc470fb0d"/>
                    <w:lock w:val="sdtLocked"/>
                    <w:richText/>
                  </w:sdtPr>
                  <w:sdtContent>
                    <w:sdt>
                      <w:sdtPr>
                        <w:alias w:val="6.698 str."/>
                        <w:tag w:val="part_eb2741aa30a04ad3bdf67cffdbac5413"/>
                        <w:lock w:val="sdtLocked"/>
                        <w:richText/>
                      </w:sdtPr>
                      <w:sdtContent>
                        <w:p>
                          <w:pPr>
                            <w:spacing w:line="360" w:lineRule="auto"/>
                            <w:ind w:firstLine="720"/>
                            <w:jc w:val="both"/>
                            <w:rPr>
                              <w:rFonts w:eastAsia="Calibri"/>
                              <w:szCs w:val="24"/>
                            </w:rPr>
                          </w:pPr>
                          <w:r>
                            <w:rPr>
                              <w:rFonts w:eastAsia="Calibri"/>
                              <w:color w:val="000000"/>
                              <w:szCs w:val="24"/>
                            </w:rPr>
                            <w:t>„</w:t>
                          </w:r>
                          <w:sdt>
                            <w:sdtPr>
                              <w:alias w:val="Numeris"/>
                              <w:tag w:val="nr_eb2741aa30a04ad3bdf67cffdbac5413"/>
                              <w:lock w:val="sdtLocked"/>
                              <w:richText/>
                            </w:sdtPr>
                            <w:sdtContent>
                              <w:r>
                                <w:rPr>
                                  <w:rFonts w:eastAsia="Calibri"/>
                                  <w:b/>
                                  <w:bCs/>
                                  <w:szCs w:val="24"/>
                                </w:rPr>
                                <w:t>6.698</w:t>
                              </w:r>
                            </w:sdtContent>
                          </w:sdt>
                          <w:r>
                            <w:rPr>
                              <w:rFonts w:eastAsia="Calibri"/>
                              <w:b/>
                              <w:bCs/>
                              <w:szCs w:val="24"/>
                            </w:rPr>
                            <w:t xml:space="preserve"> straipsnis. </w:t>
                          </w:r>
                          <w:sdt>
                            <w:sdtPr>
                              <w:alias w:val="Pavadinimas"/>
                              <w:tag w:val="title_eb2741aa30a04ad3bdf67cffdbac5413"/>
                              <w:lock w:val="sdtLocked"/>
                              <w:richText/>
                            </w:sdtPr>
                            <w:sdtContent>
                              <w:r>
                                <w:rPr>
                                  <w:rFonts w:eastAsia="Calibri"/>
                                  <w:b/>
                                  <w:szCs w:val="24"/>
                                </w:rPr>
                                <w:t>Garantiniai terminai</w:t>
                              </w:r>
                            </w:sdtContent>
                          </w:sdt>
                        </w:p>
                        <w:sdt>
                          <w:sdtPr>
                            <w:alias w:val="6.698 str. 1 d."/>
                            <w:tag w:val="part_f1185ec7ef00403e945664730cf14828"/>
                            <w:lock w:val="sdtLocked"/>
                            <w:richText/>
                          </w:sdtPr>
                          <w:sdtContent>
                            <w:p>
                              <w:pPr>
                                <w:spacing w:line="360" w:lineRule="auto"/>
                                <w:ind w:firstLine="720"/>
                                <w:jc w:val="both"/>
                                <w:rPr>
                                  <w:rFonts w:eastAsia="Calibri"/>
                                  <w:szCs w:val="24"/>
                                </w:rPr>
                              </w:pPr>
                              <w:sdt>
                                <w:sdtPr>
                                  <w:alias w:val="Numeris"/>
                                  <w:tag w:val="nr_f1185ec7ef00403e945664730cf14828"/>
                                  <w:lock w:val="sdtLocked"/>
                                  <w:richText/>
                                </w:sdtPr>
                                <w:sdtContent>
                                  <w:r>
                                    <w:rPr>
                                      <w:rFonts w:eastAsia="Calibri"/>
                                      <w:szCs w:val="24"/>
                                    </w:rPr>
                                    <w:t>1</w:t>
                                  </w:r>
                                </w:sdtContent>
                              </w:sdt>
                              <w:r>
                                <w:rPr>
                                  <w:rFonts w:eastAsia="Calibri"/>
                                  <w:szCs w:val="24"/>
                                </w:rPr>
                                <w:t>. Rangovas, projektuotojas, statinio projekto ekspertizės rangovas ar statybos techninis prižiūrėtojas atsako už objekto sugriuvimą ar defektus, jeigu objektas sugriuvo ar defektai buvo nustatyti per:</w:t>
                              </w:r>
                            </w:p>
                            <w:sdt>
                              <w:sdtPr>
                                <w:alias w:val="6.698 str. 1 d. 1 p."/>
                                <w:tag w:val="part_69e2271b12344e22ac49d7d97f1ad638"/>
                                <w:lock w:val="sdtLocked"/>
                                <w:richText/>
                              </w:sdtPr>
                              <w:sdtContent>
                                <w:p>
                                  <w:pPr>
                                    <w:spacing w:line="360" w:lineRule="auto"/>
                                    <w:ind w:firstLine="720"/>
                                    <w:jc w:val="both"/>
                                    <w:rPr>
                                      <w:rFonts w:eastAsia="Calibri"/>
                                      <w:szCs w:val="24"/>
                                    </w:rPr>
                                  </w:pPr>
                                  <w:sdt>
                                    <w:sdtPr>
                                      <w:alias w:val="Numeris"/>
                                      <w:tag w:val="nr_69e2271b12344e22ac49d7d97f1ad638"/>
                                      <w:lock w:val="sdtLocked"/>
                                      <w:richText/>
                                    </w:sdtPr>
                                    <w:sdtContent>
                                      <w:r>
                                        <w:rPr>
                                          <w:rFonts w:eastAsia="Calibri"/>
                                          <w:szCs w:val="24"/>
                                        </w:rPr>
                                        <w:t>1</w:t>
                                      </w:r>
                                    </w:sdtContent>
                                  </w:sdt>
                                  <w:r>
                                    <w:rPr>
                                      <w:rFonts w:eastAsia="Calibri"/>
                                      <w:szCs w:val="24"/>
                                    </w:rPr>
                                    <w:t>) penkerius metus;</w:t>
                                  </w:r>
                                </w:p>
                              </w:sdtContent>
                            </w:sdt>
                            <w:sdt>
                              <w:sdtPr>
                                <w:alias w:val="6.698 str. 1 d. 2 p."/>
                                <w:tag w:val="part_8cfe5e4b36354295922360aee8f6d701"/>
                                <w:lock w:val="sdtLocked"/>
                                <w:richText/>
                              </w:sdtPr>
                              <w:sdtContent>
                                <w:p>
                                  <w:pPr>
                                    <w:spacing w:line="360" w:lineRule="auto"/>
                                    <w:ind w:firstLine="720"/>
                                    <w:jc w:val="both"/>
                                    <w:rPr>
                                      <w:rFonts w:eastAsia="Calibri"/>
                                      <w:szCs w:val="24"/>
                                    </w:rPr>
                                  </w:pPr>
                                  <w:sdt>
                                    <w:sdtPr>
                                      <w:alias w:val="Numeris"/>
                                      <w:tag w:val="nr_8cfe5e4b36354295922360aee8f6d701"/>
                                      <w:lock w:val="sdtLocked"/>
                                      <w:richText/>
                                    </w:sdtPr>
                                    <w:sdtContent>
                                      <w:r>
                                        <w:rPr>
                                          <w:rFonts w:eastAsia="Calibri"/>
                                          <w:szCs w:val="24"/>
                                        </w:rPr>
                                        <w:t>2</w:t>
                                      </w:r>
                                    </w:sdtContent>
                                  </w:sdt>
                                  <w:r>
                                    <w:rPr>
                                      <w:rFonts w:eastAsia="Calibri"/>
                                      <w:szCs w:val="24"/>
                                    </w:rPr>
                                    <w:t>) dešimt metų – esant paslėptų statinio elementų (konstrukcijų, vamzdynų ir kt.);</w:t>
                                  </w:r>
                                </w:p>
                              </w:sdtContent>
                            </w:sdt>
                            <w:sdt>
                              <w:sdtPr>
                                <w:alias w:val="6.698 str. 1 d. 3 p."/>
                                <w:tag w:val="part_8e5f7581ed274e0cbc55784b237c4506"/>
                                <w:lock w:val="sdtLocked"/>
                                <w:richText/>
                              </w:sdtPr>
                              <w:sdtContent>
                                <w:p>
                                  <w:pPr>
                                    <w:spacing w:line="360" w:lineRule="auto"/>
                                    <w:ind w:firstLine="720"/>
                                    <w:jc w:val="both"/>
                                    <w:rPr>
                                      <w:rFonts w:eastAsia="Calibri"/>
                                      <w:szCs w:val="24"/>
                                    </w:rPr>
                                  </w:pPr>
                                  <w:sdt>
                                    <w:sdtPr>
                                      <w:alias w:val="Numeris"/>
                                      <w:tag w:val="nr_8e5f7581ed274e0cbc55784b237c4506"/>
                                      <w:lock w:val="sdtLocked"/>
                                      <w:richText/>
                                    </w:sdtPr>
                                    <w:sdtContent>
                                      <w:r>
                                        <w:rPr>
                                          <w:rFonts w:eastAsia="Calibri"/>
                                          <w:szCs w:val="24"/>
                                        </w:rPr>
                                        <w:t>3</w:t>
                                      </w:r>
                                    </w:sdtContent>
                                  </w:sdt>
                                  <w:r>
                                    <w:rPr>
                                      <w:rFonts w:eastAsia="Calibri"/>
                                      <w:szCs w:val="24"/>
                                    </w:rPr>
                                    <w:t>) dvidešimt metų – esant tyčia paslėptų defektų.</w:t>
                                  </w:r>
                                </w:p>
                              </w:sdtContent>
                            </w:sdt>
                          </w:sdtContent>
                        </w:sdt>
                        <w:sdt>
                          <w:sdtPr>
                            <w:alias w:val="6.698 str. 2 d."/>
                            <w:tag w:val="part_c8a6cbbeca0b45b58f560f863a5f93b7"/>
                            <w:lock w:val="sdtLocked"/>
                            <w:richText/>
                          </w:sdtPr>
                          <w:sdtContent>
                            <w:p>
                              <w:pPr>
                                <w:spacing w:line="360" w:lineRule="auto"/>
                                <w:ind w:firstLine="720"/>
                                <w:jc w:val="both"/>
                                <w:rPr>
                                  <w:rFonts w:eastAsia="Calibri"/>
                                  <w:color w:val="000000"/>
                                  <w:szCs w:val="24"/>
                                </w:rPr>
                              </w:pPr>
                              <w:sdt>
                                <w:sdtPr>
                                  <w:alias w:val="Numeris"/>
                                  <w:tag w:val="nr_c8a6cbbeca0b45b58f560f863a5f93b7"/>
                                  <w:lock w:val="sdtLocked"/>
                                  <w:richText/>
                                </w:sdtPr>
                                <w:sdtContent>
                                  <w:r>
                                    <w:rPr>
                                      <w:rFonts w:eastAsia="Calibri"/>
                                      <w:szCs w:val="24"/>
                                    </w:rPr>
                                    <w:t>2</w:t>
                                  </w:r>
                                </w:sdtContent>
                              </w:sdt>
                              <w:r>
                                <w:rPr>
                                  <w:rFonts w:eastAsia="Calibri"/>
                                  <w:szCs w:val="24"/>
                                </w:rPr>
                                <w:t xml:space="preserve">. Šio straipsnio 1 dalyje nustatyti terminai pradedami skaičiuoti </w:t>
                              </w:r>
                              <w:r>
                                <w:rPr>
                                  <w:rFonts w:eastAsia="Calibri"/>
                                  <w:bCs/>
                                  <w:szCs w:val="24"/>
                                </w:rPr>
                                <w:t>nuo visų rangovo atliktų statybos darbų rezultatų perdavimo užsakovui dienos (kai statyba vyko rangos būdu) arba nuo statybos užbaigimo dienos (kai statyba vyko ūkio arba mišriu būdu)</w:t>
                              </w:r>
                              <w:r>
                                <w:rPr>
                                  <w:rFonts w:eastAsia="Calibri"/>
                                  <w:szCs w:val="24"/>
                                </w:rPr>
                                <w:t>.</w:t>
                              </w:r>
                              <w:r>
                                <w:rPr>
                                  <w:rFonts w:eastAsia="Calibri"/>
                                  <w:color w:val="000000"/>
                                  <w:szCs w:val="24"/>
                                </w:rPr>
                                <w:t>“</w:t>
                              </w:r>
                            </w:p>
                            <w:p>
                              <w:pPr>
                                <w:spacing w:line="360" w:lineRule="auto"/>
                                <w:ind w:firstLine="720"/>
                                <w:jc w:val="both"/>
                                <w:rPr>
                                  <w:rFonts w:eastAsia="Calibri"/>
                                  <w:b/>
                                  <w:color w:val="000000"/>
                                  <w:szCs w:val="24"/>
                                </w:rPr>
                              </w:pPr>
                            </w:p>
                          </w:sdtContent>
                        </w:sdt>
                      </w:sdtContent>
                    </w:sdt>
                  </w:sdtContent>
                </w:sdt>
              </w:sdtContent>
            </w:sdt>
          </w:sdtContent>
        </w:sdt>
        <w:sdt>
          <w:sdtPr>
            <w:alias w:val="4 str."/>
            <w:tag w:val="part_8dadf89dfd744d5ca8dd6dd940270357"/>
            <w:lock w:val="sdtLocked"/>
            <w:richText/>
          </w:sdtPr>
          <w:sdtContent>
            <w:p>
              <w:pPr>
                <w:spacing w:line="360" w:lineRule="auto"/>
                <w:ind w:firstLine="720"/>
                <w:jc w:val="both"/>
                <w:rPr>
                  <w:rFonts w:eastAsia="Calibri"/>
                  <w:b/>
                  <w:color w:val="000000"/>
                  <w:szCs w:val="24"/>
                </w:rPr>
              </w:pPr>
              <w:sdt>
                <w:sdtPr>
                  <w:alias w:val="Numeris"/>
                  <w:tag w:val="nr_8dadf89dfd744d5ca8dd6dd940270357"/>
                  <w:lock w:val="sdtLocked"/>
                  <w:richText/>
                </w:sdtPr>
                <w:sdtContent>
                  <w:r>
                    <w:rPr>
                      <w:rFonts w:eastAsia="Calibri"/>
                      <w:b/>
                      <w:color w:val="000000"/>
                      <w:szCs w:val="24"/>
                    </w:rPr>
                    <w:t>4</w:t>
                  </w:r>
                </w:sdtContent>
              </w:sdt>
              <w:r>
                <w:rPr>
                  <w:rFonts w:eastAsia="Calibri"/>
                  <w:b/>
                  <w:color w:val="000000"/>
                  <w:szCs w:val="24"/>
                </w:rPr>
                <w:t xml:space="preserve"> straipsnis. </w:t>
              </w:r>
              <w:sdt>
                <w:sdtPr>
                  <w:alias w:val="Pavadinimas"/>
                  <w:tag w:val="title_8dadf89dfd744d5ca8dd6dd940270357"/>
                  <w:lock w:val="sdtLocked"/>
                  <w:richText/>
                </w:sdtPr>
                <w:sdtContent>
                  <w:r>
                    <w:rPr>
                      <w:rFonts w:eastAsia="Calibri"/>
                      <w:b/>
                      <w:color w:val="000000"/>
                      <w:szCs w:val="24"/>
                    </w:rPr>
                    <w:t>Įstatymo įsigaliojimas ir taikymas</w:t>
                  </w:r>
                </w:sdtContent>
              </w:sdt>
            </w:p>
            <w:sdt>
              <w:sdtPr>
                <w:alias w:val="4 str. 1 d."/>
                <w:tag w:val="part_85791ab96f024f75bd6da6a1b5d63973"/>
                <w:lock w:val="sdtLocked"/>
                <w:richText/>
              </w:sdtPr>
              <w:sdtContent>
                <w:p>
                  <w:pPr>
                    <w:spacing w:line="360" w:lineRule="auto"/>
                    <w:ind w:firstLine="720"/>
                    <w:jc w:val="both"/>
                    <w:rPr>
                      <w:rFonts w:eastAsia="Calibri"/>
                      <w:szCs w:val="24"/>
                    </w:rPr>
                  </w:pPr>
                  <w:sdt>
                    <w:sdtPr>
                      <w:alias w:val="Numeris"/>
                      <w:tag w:val="nr_85791ab96f024f75bd6da6a1b5d63973"/>
                      <w:lock w:val="sdtLocked"/>
                      <w:richText/>
                    </w:sdtPr>
                    <w:sdtContent>
                      <w:r>
                        <w:rPr>
                          <w:rFonts w:eastAsia="Calibri"/>
                          <w:szCs w:val="24"/>
                        </w:rPr>
                        <w:t>1</w:t>
                      </w:r>
                    </w:sdtContent>
                  </w:sdt>
                  <w:r>
                    <w:rPr>
                      <w:rFonts w:eastAsia="Calibri"/>
                      <w:szCs w:val="24"/>
                    </w:rPr>
                    <w:t>. Šis įstatymas įsigalioja 2017 m. sausio 1 d.</w:t>
                  </w:r>
                </w:p>
              </w:sdtContent>
            </w:sdt>
            <w:sdt>
              <w:sdtPr>
                <w:alias w:val="4 str. 2 d."/>
                <w:tag w:val="part_2af7d26f879a41e19ce2a4f0404f85b4"/>
                <w:lock w:val="sdtLocked"/>
                <w:richText/>
              </w:sdtPr>
              <w:sdtContent>
                <w:p>
                  <w:pPr>
                    <w:spacing w:line="360" w:lineRule="auto"/>
                    <w:ind w:firstLine="720"/>
                    <w:jc w:val="both"/>
                    <w:rPr>
                      <w:rFonts w:eastAsia="Calibri"/>
                      <w:szCs w:val="24"/>
                    </w:rPr>
                  </w:pPr>
                  <w:sdt>
                    <w:sdtPr>
                      <w:alias w:val="Numeris"/>
                      <w:tag w:val="nr_2af7d26f879a41e19ce2a4f0404f85b4"/>
                      <w:lock w:val="sdtLocked"/>
                      <w:richText/>
                    </w:sdtPr>
                    <w:sdtContent>
                      <w:r>
                        <w:rPr>
                          <w:rFonts w:eastAsia="Calibri"/>
                          <w:szCs w:val="24"/>
                        </w:rPr>
                        <w:t>2</w:t>
                      </w:r>
                    </w:sdtContent>
                  </w:sdt>
                  <w:r>
                    <w:rPr>
                      <w:rFonts w:eastAsia="Calibri"/>
                      <w:szCs w:val="24"/>
                    </w:rPr>
                    <w:t>. Statinio projekto ekspertizės rangovai atsako pagal šio įstatymo 1 straipsnyje išdėstytą Lietuvos Respublikos civilinio kodekso 6.696 straipsnį tik dėl tų statinių projektų, kurių ekspertizė atliekama po šio įstatymo įsigaliojimo.</w:t>
                  </w:r>
                </w:p>
                <w:p>
                  <w:pPr>
                    <w:spacing w:line="360" w:lineRule="auto"/>
                    <w:ind w:firstLine="720"/>
                    <w:jc w:val="both"/>
                  </w:pPr>
                </w:p>
                <w:p>
                  <w:pPr>
                    <w:spacing w:line="360" w:lineRule="auto"/>
                    <w:ind w:firstLine="720"/>
                    <w:jc w:val="both"/>
                    <w:sectPr>
                      <w:type w:val="continuous"/>
                      <w:pgSz w:w="11907" w:h="16840" w:code="9"/>
                      <w:pgMar w:top="1134" w:right="851" w:bottom="1134" w:left="1701" w:header="706" w:footer="706" w:gutter="0"/>
                      <w:cols w:space="1296"/>
                      <w:formProt w:val="0"/>
                      <w:titlePg/>
                    </w:sectPr>
                  </w:pPr>
                </w:p>
                <w:p>
                  <w:pPr>
                    <w:tabs>
                      <w:tab w:val="center" w:pos="4153"/>
                      <w:tab w:val="right" w:pos="8306"/>
                    </w:tabs>
                    <w:rPr>
                      <w:rFonts w:ascii="TimesLT" w:hAnsi="TimesLT"/>
                      <w:lang w:val="en-US"/>
                    </w:rPr>
                  </w:pPr>
                </w:p>
                <w:p>
                  <w:pPr>
                    <w:spacing w:line="360" w:lineRule="auto"/>
                    <w:ind w:firstLine="720"/>
                    <w:jc w:val="both"/>
                    <w:rPr>
                      <w:sz w:val="16"/>
                      <w:szCs w:val="16"/>
                    </w:rPr>
                  </w:pPr>
                </w:p>
                <w:p>
                  <w:pPr>
                    <w:spacing w:line="360" w:lineRule="auto"/>
                    <w:ind w:firstLine="720"/>
                    <w:jc w:val="both"/>
                    <w:sectPr>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Content>
            </w:sdt>
          </w:sdtContent>
        </w:sdt>
        <w:sdt>
          <w:sdtPr>
            <w:alias w:val="signatura"/>
            <w:tag w:val="part_7947852385ad4e158d6e233253be6c4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44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bfacf20b1d4f95b693ae6100495b83" PartId="ef0625552eaa48c6bfb611f3cb74d0a0">
    <Part Type="straipsnis" Nr="1" Abbr="1 str." Title="6.696 straipsnio pakeitimas" DocPartId="7d090fced7cc4449ba65ac619ade40c8" PartId="a9cac4163e874109a6f35e485fc1ba93">
      <Part Type="strDalis" Nr="1" Abbr="1 str. 1 d." DocPartId="0dae14039d904072ac38572522a779f5" PartId="f59ba2ca35474d55bc54b18ab9f3f644">
        <Part Type="citata" DocPartId="213bc2e422784d85b76efcf3ec399af2" PartId="84b46719c3fd4ff0855096e8af4ef4fa">
          <Part Type="straipsnis" Nr="6.696" Abbr="6.696 str." Title="Atsakomybė už statinio sugriuvimą" DocPartId="6f6b149455e84b3c83489f08d04d8190" PartId="2f0355e1a2bb4f4c94dd1a9d4730980f">
            <Part Type="strDalis" Nr="1" Abbr="6.696 str. 1 d." DocPartId="e9e21f3547df42cd8a52e0f711342e32" PartId="14c0e2b3213345ccb037c9771ceb2535"/>
            <Part Type="strDalis" Nr="2" Abbr="6.696 str. 2 d." DocPartId="fc465cbeef7e44bb970d57c64d739906" PartId="8afd22691dc848a185e6a9197a27d1cd"/>
            <Part Type="strDalis" Nr="3" Abbr="6.696 str. 3 d." DocPartId="1e9a62e739cd4482ab30d415b335cbeb" PartId="fcb3ac456bf045edafe03f1ccfdb1d2e"/>
            <Part Type="strDalis" Nr="4" Abbr="6.696 str. 4 d." DocPartId="f2ce21d6e4b24900aef0d5a3a76a4bea" PartId="fb5c3a868e9e4e8f93a5e63a106d4a5c"/>
          </Part>
        </Part>
      </Part>
    </Part>
    <Part Type="straipsnis" Nr="2" Abbr="2 str." Title="6.697 straipsnio pakeitimas" DocPartId="48a67f8d669d4387b434c4f8ae937c0d" PartId="c091f97912c24a5898645170fa463768">
      <Part Type="strDalis" Nr="1" Abbr="2 str. 1 d." DocPartId="3ad2ab0573a8455a8a9b7c94b75e5208" PartId="ffc2e061fb2645579417a3cb2773e181">
        <Part Type="citata" DocPartId="f405acc0ccf8415386d7825a36b26351" PartId="c94c0ba4dec94436b4632b8221518af6">
          <Part Type="strDalis" Nr="3" Abbr="3 d." DocPartId="74ff5e0a453749cc9dba525f9dd1b113" PartId="f374a88f325749829fe5b0ac2d4d0aa1"/>
        </Part>
      </Part>
    </Part>
    <Part Type="straipsnis" Nr="3" Abbr="3 str." Title="6.698 straipsnio pakeitimas" DocPartId="13759eac891b4d44a42a29adb8628db8" PartId="a9420c5140044b5b9d49c0b2ff6e1fec">
      <Part Type="strDalis" Nr="1" Abbr="3 str. 1 d." DocPartId="be9809af0cb84d82bef83ce60df40874" PartId="890567daa10041d0b5fb12160d81f68c">
        <Part Type="citata" DocPartId="13e528b28a01484a979412d0200555ad" PartId="384be68ffb0641428d85e5adc470fb0d">
          <Part Type="straipsnis" Nr="6.698" Abbr="6.698 str." Title="Garantiniai terminai" DocPartId="9b23d7fbf72e4bf1865acf3120c4a303" PartId="eb2741aa30a04ad3bdf67cffdbac5413">
            <Part Type="strDalis" Nr="1" Abbr="6.698 str. 1 d." DocPartId="ed8e72531b8d4172956a7631e9885a22" PartId="f1185ec7ef00403e945664730cf14828">
              <Part Type="strPunktas" Nr="1" Abbr="6.698 str. 1 d. 1 p." DocPartId="1eb927e2668343058587e5ed084c4c86" PartId="69e2271b12344e22ac49d7d97f1ad638"/>
              <Part Type="strPunktas" Nr="2" Abbr="6.698 str. 1 d. 2 p." DocPartId="295eaabce2a3443ebb387231bf4ee3c0" PartId="8cfe5e4b36354295922360aee8f6d701"/>
              <Part Type="strPunktas" Nr="3" Abbr="6.698 str. 1 d. 3 p." DocPartId="4af6828d65be4438b4684c735371f707" PartId="8e5f7581ed274e0cbc55784b237c4506"/>
            </Part>
            <Part Type="strDalis" Nr="2" Abbr="6.698 str. 2 d." DocPartId="5a37ce041363457aba54c169d17b7af1" PartId="c8a6cbbeca0b45b58f560f863a5f93b7"/>
          </Part>
        </Part>
      </Part>
    </Part>
    <Part Type="straipsnis" Nr="4" Abbr="4 str." Title="Įstatymo įsigaliojimas ir taikymas" DocPartId="b77aa74274f44dbba631dfd1b1576bbd" PartId="8dadf89dfd744d5ca8dd6dd940270357">
      <Part Type="strDalis" Nr="1" Abbr="4 str. 1 d." DocPartId="c458c4da3a384446a1539029a5c1f7c2" PartId="85791ab96f024f75bd6da6a1b5d63973"/>
      <Part Type="strDalis" Nr="2" Abbr="4 str. 2 d." DocPartId="a9863116032a4bc8ae6247c523b685bc" PartId="2af7d26f879a41e19ce2a4f0404f85b4"/>
    </Part>
    <Part Type="signatura" DocPartId="fa7a9e2a5a3744808f00aa643b446b9e" PartId="7947852385ad4e158d6e233253be6c4c"/>
  </Part>
</Parts>
</file>

<file path=customXml/itemProps1.xml><?xml version="1.0" encoding="utf-8"?>
<ds:datastoreItem xmlns:ds="http://schemas.openxmlformats.org/officeDocument/2006/customXml" ds:itemID="{003E9457-E63B-4D05-9C58-B663FD258A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405</Words>
  <Characters>2656</Characters>
  <Application>Microsoft Office Word</Application>
  <DocSecurity>4</DocSecurity>
  <Lines>66</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3028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2016-07-13T12:57:00Z</dcterms:created>
  <dc:creator>MANIUŠKIENĖ Violeta</dc:creator>
  <lastModifiedBy>Adlib User</lastModifiedBy>
  <lastPrinted>2016-07-04T09:29:00Z</lastPrinted>
  <dcterms:modified xsi:type="dcterms:W3CDTF">2016-07-13T12:57:00Z</dcterms:modified>
  <revision>2</revision>
</coreProperties>
</file>