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c0930009ec84949b94bf5ccbb499f52"/>
        <w:id w:val="287474133"/>
        <w:lock w:val="sdtLocked"/>
      </w:sdtPr>
      <w:sdtEndPr/>
      <w:sdtContent>
        <w:p w:rsidR="00184FDE" w:rsidRDefault="007F47C6">
          <w:pPr>
            <w:jc w:val="center"/>
          </w:pPr>
          <w:r>
            <w:rPr>
              <w:rFonts w:ascii="Arial" w:hAnsi="Arial" w:cs="Arial"/>
              <w:noProof/>
              <w:lang w:eastAsia="lt-LT"/>
            </w:rPr>
            <w:drawing>
              <wp:inline distT="0" distB="0" distL="0" distR="0" wp14:anchorId="3A05B92A" wp14:editId="089D4186">
                <wp:extent cx="546100" cy="514350"/>
                <wp:effectExtent l="0" t="0" r="635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6100" cy="514350"/>
                        </a:xfrm>
                        <a:prstGeom prst="rect">
                          <a:avLst/>
                        </a:prstGeom>
                        <a:noFill/>
                        <a:ln>
                          <a:noFill/>
                        </a:ln>
                      </pic:spPr>
                    </pic:pic>
                  </a:graphicData>
                </a:graphic>
              </wp:inline>
            </w:drawing>
          </w:r>
        </w:p>
        <w:p w:rsidR="00184FDE" w:rsidRDefault="00184FDE">
          <w:pPr>
            <w:rPr>
              <w:sz w:val="10"/>
              <w:szCs w:val="10"/>
            </w:rPr>
          </w:pPr>
        </w:p>
        <w:p w:rsidR="00184FDE" w:rsidRDefault="007F47C6">
          <w:pPr>
            <w:keepNext/>
            <w:jc w:val="center"/>
            <w:rPr>
              <w:rFonts w:ascii="Arial" w:hAnsi="Arial" w:cs="Arial"/>
              <w:caps/>
              <w:sz w:val="36"/>
              <w:lang w:eastAsia="lt-LT"/>
            </w:rPr>
          </w:pPr>
          <w:r>
            <w:rPr>
              <w:rFonts w:ascii="Arial" w:hAnsi="Arial" w:cs="Arial"/>
              <w:caps/>
              <w:sz w:val="36"/>
              <w:lang w:eastAsia="lt-LT"/>
            </w:rPr>
            <w:t>Lietuvos Respublikos Vyriausybė</w:t>
          </w:r>
        </w:p>
        <w:p w:rsidR="00184FDE" w:rsidRDefault="00184FDE">
          <w:pPr>
            <w:jc w:val="center"/>
            <w:rPr>
              <w:caps/>
            </w:rPr>
          </w:pPr>
        </w:p>
        <w:p w:rsidR="00184FDE" w:rsidRDefault="007F47C6">
          <w:pPr>
            <w:jc w:val="center"/>
            <w:rPr>
              <w:b/>
              <w:caps/>
            </w:rPr>
          </w:pPr>
          <w:r>
            <w:rPr>
              <w:b/>
              <w:caps/>
            </w:rPr>
            <w:t>nutarimas</w:t>
          </w:r>
        </w:p>
        <w:p w:rsidR="00184FDE" w:rsidRDefault="007F47C6">
          <w:pPr>
            <w:jc w:val="center"/>
            <w:rPr>
              <w:caps/>
            </w:rPr>
          </w:pPr>
          <w:r>
            <w:rPr>
              <w:b/>
              <w:caps/>
            </w:rPr>
            <w:t xml:space="preserve">DĖL </w:t>
          </w:r>
          <w:r>
            <w:rPr>
              <w:b/>
              <w:bCs/>
            </w:rPr>
            <w:t xml:space="preserve">LIETUVOS RESPUBLIKOS VYRIAUSYBĖS 2001 M. SAUSIO 25 D. NUTARIMO NR. 86 „DĖL LIGOS IR MOTINYSTĖS SOCIALINIO DRAUDIMO IŠMOKŲ NUOSTATŲ </w:t>
          </w:r>
          <w:r>
            <w:rPr>
              <w:b/>
              <w:bCs/>
            </w:rPr>
            <w:t>PATVIRTINIMO“ PAKEITIMO</w:t>
          </w:r>
        </w:p>
        <w:p w:rsidR="00184FDE" w:rsidRDefault="00184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184FDE" w:rsidRDefault="007F47C6">
          <w:pPr>
            <w:jc w:val="center"/>
            <w:rPr>
              <w:szCs w:val="24"/>
              <w:lang w:eastAsia="lt-LT"/>
            </w:rPr>
          </w:pPr>
          <w:r>
            <w:rPr>
              <w:szCs w:val="24"/>
            </w:rPr>
            <w:t>2024 m. lapkričio 27 d. Nr. 1031</w:t>
          </w:r>
          <w:bookmarkStart w:id="0" w:name="_GoBack"/>
          <w:bookmarkEnd w:id="0"/>
        </w:p>
        <w:p w:rsidR="00184FDE" w:rsidRDefault="007F47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rsidR="00184FDE" w:rsidRDefault="00184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preambule"/>
            <w:tag w:val="part_c576917f6d8f4fc88f6e2d8e55a54a0b"/>
            <w:id w:val="-2021765332"/>
            <w:lock w:val="sdtLocked"/>
          </w:sdtPr>
          <w:sdtEndPr/>
          <w:sdtContent>
            <w:p w:rsidR="00184FDE" w:rsidRDefault="007F47C6">
              <w:pPr>
                <w:tabs>
                  <w:tab w:val="left" w:pos="1276"/>
                </w:tabs>
                <w:spacing w:line="360" w:lineRule="atLeast"/>
                <w:ind w:firstLine="720"/>
                <w:jc w:val="both"/>
                <w:rPr>
                  <w:szCs w:val="24"/>
                </w:rPr>
              </w:pPr>
              <w:r>
                <w:rPr>
                  <w:szCs w:val="24"/>
                </w:rPr>
                <w:t>Lietuvos Respublikos Vyriausybė</w:t>
              </w:r>
              <w:r>
                <w:rPr>
                  <w:spacing w:val="100"/>
                  <w:szCs w:val="24"/>
                </w:rPr>
                <w:t xml:space="preserve"> nutari</w:t>
              </w:r>
              <w:r>
                <w:rPr>
                  <w:szCs w:val="24"/>
                </w:rPr>
                <w:t>a:</w:t>
              </w:r>
            </w:p>
          </w:sdtContent>
        </w:sdt>
        <w:sdt>
          <w:sdtPr>
            <w:alias w:val="1 p."/>
            <w:tag w:val="part_3b1b79aba9fd4f1fb464d2ed44e3c76c"/>
            <w:id w:val="167753748"/>
            <w:lock w:val="sdtLocked"/>
          </w:sdtPr>
          <w:sdtEndPr/>
          <w:sdtContent>
            <w:p w:rsidR="00184FDE" w:rsidRDefault="007F47C6">
              <w:pPr>
                <w:widowControl w:val="0"/>
                <w:tabs>
                  <w:tab w:val="left" w:pos="993"/>
                  <w:tab w:val="left" w:pos="1276"/>
                </w:tabs>
                <w:spacing w:line="360" w:lineRule="atLeast"/>
                <w:ind w:firstLine="720"/>
                <w:jc w:val="both"/>
                <w:rPr>
                  <w:color w:val="000000"/>
                  <w:szCs w:val="24"/>
                </w:rPr>
              </w:pPr>
              <w:sdt>
                <w:sdtPr>
                  <w:alias w:val="Numeris"/>
                  <w:tag w:val="nr_3b1b79aba9fd4f1fb464d2ed44e3c76c"/>
                  <w:id w:val="-1816712650"/>
                  <w:lock w:val="sdtLocked"/>
                </w:sdtPr>
                <w:sdtEndPr/>
                <w:sdtContent>
                  <w:r>
                    <w:rPr>
                      <w:rFonts w:eastAsia="Calibri"/>
                      <w:color w:val="000000"/>
                      <w:szCs w:val="24"/>
                    </w:rPr>
                    <w:t>1</w:t>
                  </w:r>
                </w:sdtContent>
              </w:sdt>
              <w:r>
                <w:rPr>
                  <w:rFonts w:eastAsia="Calibri"/>
                  <w:color w:val="000000"/>
                  <w:szCs w:val="24"/>
                </w:rPr>
                <w:t>.</w:t>
              </w:r>
              <w:r>
                <w:rPr>
                  <w:rFonts w:eastAsia="Calibri"/>
                  <w:color w:val="000000"/>
                  <w:szCs w:val="24"/>
                </w:rPr>
                <w:tab/>
              </w:r>
              <w:r>
                <w:rPr>
                  <w:color w:val="000000"/>
                  <w:szCs w:val="24"/>
                </w:rPr>
                <w:t>Pakeisti Ligos ir motinystės socialinio draudimo išmokų nuostatus, patvirtintus Lietuvos Respublikos Vyriausybės 2001 m. sausio 25 d. nutarimu Nr. 86 „Dėl Ligos ir motiny</w:t>
              </w:r>
              <w:r>
                <w:rPr>
                  <w:color w:val="000000"/>
                  <w:szCs w:val="24"/>
                </w:rPr>
                <w:t>stės socialinio draudimo išmokų nuostatų patvirtinimo“:</w:t>
              </w:r>
            </w:p>
            <w:sdt>
              <w:sdtPr>
                <w:alias w:val="1.1 pp."/>
                <w:tag w:val="part_998c7cd40ae44e31b2ac004f66fd4062"/>
                <w:id w:val="-1559084524"/>
                <w:lock w:val="sdtLocked"/>
              </w:sdtPr>
              <w:sdtEndPr/>
              <w:sdtContent>
                <w:p w:rsidR="00184FDE" w:rsidRDefault="007F47C6">
                  <w:pPr>
                    <w:widowControl w:val="0"/>
                    <w:tabs>
                      <w:tab w:val="left" w:pos="993"/>
                      <w:tab w:val="left" w:pos="1276"/>
                    </w:tabs>
                    <w:spacing w:line="360" w:lineRule="atLeast"/>
                    <w:ind w:firstLine="720"/>
                    <w:jc w:val="both"/>
                    <w:rPr>
                      <w:color w:val="000000"/>
                      <w:szCs w:val="24"/>
                    </w:rPr>
                  </w:pPr>
                  <w:sdt>
                    <w:sdtPr>
                      <w:alias w:val="Numeris"/>
                      <w:tag w:val="nr_998c7cd40ae44e31b2ac004f66fd4062"/>
                      <w:id w:val="-1249194767"/>
                      <w:lock w:val="sdtLocked"/>
                    </w:sdtPr>
                    <w:sdtEndPr/>
                    <w:sdtContent>
                      <w:r>
                        <w:rPr>
                          <w:rFonts w:eastAsia="Calibri"/>
                          <w:szCs w:val="24"/>
                        </w:rPr>
                        <w:t>1.1</w:t>
                      </w:r>
                    </w:sdtContent>
                  </w:sdt>
                  <w:r>
                    <w:rPr>
                      <w:rFonts w:eastAsia="Calibri"/>
                      <w:szCs w:val="24"/>
                    </w:rPr>
                    <w:t>.</w:t>
                  </w:r>
                  <w:r>
                    <w:rPr>
                      <w:rFonts w:eastAsia="Calibri"/>
                      <w:szCs w:val="24"/>
                    </w:rPr>
                    <w:tab/>
                  </w:r>
                  <w:r>
                    <w:rPr>
                      <w:color w:val="000000"/>
                      <w:szCs w:val="24"/>
                    </w:rPr>
                    <w:t>Pakeisti 55</w:t>
                  </w:r>
                  <w:r>
                    <w:rPr>
                      <w:color w:val="000000"/>
                      <w:szCs w:val="24"/>
                      <w:vertAlign w:val="superscript"/>
                    </w:rPr>
                    <w:t>1</w:t>
                  </w:r>
                  <w:r>
                    <w:rPr>
                      <w:color w:val="000000"/>
                      <w:szCs w:val="24"/>
                    </w:rPr>
                    <w:t xml:space="preserve"> punktą ir jį išdėstyti taip:</w:t>
                  </w:r>
                </w:p>
                <w:sdt>
                  <w:sdtPr>
                    <w:alias w:val="citata"/>
                    <w:tag w:val="part_11a5f9b378da44639892d02de151b587"/>
                    <w:id w:val="-1783180760"/>
                    <w:lock w:val="sdtLocked"/>
                  </w:sdtPr>
                  <w:sdtEndPr/>
                  <w:sdtContent>
                    <w:sdt>
                      <w:sdtPr>
                        <w:alias w:val="55-1 p."/>
                        <w:tag w:val="part_60577775331648fdb897f02a985ab43c"/>
                        <w:id w:val="-1662689271"/>
                        <w:lock w:val="sdtLocked"/>
                      </w:sdtPr>
                      <w:sdtEndPr/>
                      <w:sdtContent>
                        <w:p w:rsidR="00184FDE" w:rsidRDefault="007F47C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r>
                            <w:rPr>
                              <w:color w:val="000000"/>
                              <w:szCs w:val="24"/>
                            </w:rPr>
                            <w:t>„</w:t>
                          </w:r>
                          <w:sdt>
                            <w:sdtPr>
                              <w:alias w:val="Numeris"/>
                              <w:tag w:val="nr_60577775331648fdb897f02a985ab43c"/>
                              <w:id w:val="-1551367122"/>
                              <w:lock w:val="sdtLocked"/>
                            </w:sdtPr>
                            <w:sdtEndPr/>
                            <w:sdtContent>
                              <w:r>
                                <w:rPr>
                                  <w:color w:val="000000"/>
                                </w:rPr>
                                <w:t>55</w:t>
                              </w:r>
                              <w:r>
                                <w:rPr>
                                  <w:color w:val="000000"/>
                                  <w:vertAlign w:val="superscript"/>
                                </w:rPr>
                                <w:t>1</w:t>
                              </w:r>
                            </w:sdtContent>
                          </w:sdt>
                          <w:r>
                            <w:rPr>
                              <w:color w:val="000000"/>
                            </w:rPr>
                            <w:t xml:space="preserve">. Jeigu kitas iš tėvų (įtėvių), globėjų, senelių ar buvusių vaiko tėvų nuolatinių globėjų (rūpintojų), išskyrus atvejus, kai šis nuolatinis </w:t>
                          </w:r>
                          <w:r>
                            <w:rPr>
                              <w:color w:val="000000"/>
                            </w:rPr>
                            <w:t>globėjas (rūpintojas) buvo teismo nutartimi nušalintas nuo nuolatinio globėjo (rūpintojo) pareigų, (toliau – buvęs vaiko tėvų nuolatinis globėjas (rūpintojas)) kreipiasi dėl vaiko priežiūros išmokos už tą patį vaiką (tuos pačius vaikus), jiems skiriamos iš</w:t>
                          </w:r>
                          <w:r>
                            <w:rPr>
                              <w:color w:val="000000"/>
                            </w:rPr>
                            <w:t>mokos mokėjimo trukmė nustatoma pagal pirmojo iš tėvų (įtėvių), globėjų, senelių ar buvusių vaiko tėvų nuolatinių globėjų (rūpintojų) pasirinktą išmokos mokėjimo trukmę.</w:t>
                          </w:r>
                          <w:r>
                            <w:rPr>
                              <w:szCs w:val="24"/>
                            </w:rPr>
                            <w:t>“</w:t>
                          </w:r>
                        </w:p>
                      </w:sdtContent>
                    </w:sdt>
                  </w:sdtContent>
                </w:sdt>
              </w:sdtContent>
            </w:sdt>
            <w:sdt>
              <w:sdtPr>
                <w:alias w:val="1.2 pp."/>
                <w:tag w:val="part_e0c8702c3a9d4e81a2f4087fdaf9c58d"/>
                <w:id w:val="-793827516"/>
                <w:lock w:val="sdtLocked"/>
              </w:sdtPr>
              <w:sdtEndPr/>
              <w:sdtContent>
                <w:p w:rsidR="00184FDE" w:rsidRDefault="007F47C6">
                  <w:pPr>
                    <w:widowControl w:val="0"/>
                    <w:tabs>
                      <w:tab w:val="left" w:pos="993"/>
                      <w:tab w:val="left" w:pos="1276"/>
                    </w:tabs>
                    <w:spacing w:line="360" w:lineRule="atLeast"/>
                    <w:ind w:firstLine="720"/>
                    <w:jc w:val="both"/>
                    <w:rPr>
                      <w:color w:val="000000"/>
                      <w:szCs w:val="24"/>
                    </w:rPr>
                  </w:pPr>
                  <w:sdt>
                    <w:sdtPr>
                      <w:alias w:val="Numeris"/>
                      <w:tag w:val="nr_e0c8702c3a9d4e81a2f4087fdaf9c58d"/>
                      <w:id w:val="1336575309"/>
                      <w:lock w:val="sdtLocked"/>
                    </w:sdtPr>
                    <w:sdtEndPr/>
                    <w:sdtContent>
                      <w:r>
                        <w:rPr>
                          <w:rFonts w:eastAsia="Calibri"/>
                          <w:szCs w:val="24"/>
                        </w:rPr>
                        <w:t>1.2</w:t>
                      </w:r>
                    </w:sdtContent>
                  </w:sdt>
                  <w:r>
                    <w:rPr>
                      <w:rFonts w:eastAsia="Calibri"/>
                      <w:szCs w:val="24"/>
                    </w:rPr>
                    <w:t>.</w:t>
                  </w:r>
                  <w:r>
                    <w:rPr>
                      <w:rFonts w:eastAsia="Calibri"/>
                      <w:szCs w:val="24"/>
                    </w:rPr>
                    <w:tab/>
                  </w:r>
                  <w:r>
                    <w:rPr>
                      <w:color w:val="000000"/>
                      <w:szCs w:val="24"/>
                    </w:rPr>
                    <w:t>Pakeisti 56 punktą ir jį išdėstyti taip:</w:t>
                  </w:r>
                </w:p>
                <w:sdt>
                  <w:sdtPr>
                    <w:alias w:val="citata"/>
                    <w:tag w:val="part_24be3d1f84c54ef6a6497aeac179dd87"/>
                    <w:id w:val="1281991993"/>
                    <w:lock w:val="sdtLocked"/>
                  </w:sdtPr>
                  <w:sdtEndPr/>
                  <w:sdtContent>
                    <w:sdt>
                      <w:sdtPr>
                        <w:alias w:val="56 p."/>
                        <w:tag w:val="part_1f72bb3fb510478c87d4edf35ec1b5f1"/>
                        <w:id w:val="-1310010209"/>
                        <w:lock w:val="sdtLocked"/>
                      </w:sdtPr>
                      <w:sdtEndPr/>
                      <w:sdtContent>
                        <w:p w:rsidR="00184FDE" w:rsidRDefault="007F47C6">
                          <w:pPr>
                            <w:spacing w:line="360" w:lineRule="atLeast"/>
                            <w:ind w:firstLine="720"/>
                            <w:jc w:val="both"/>
                            <w:rPr>
                              <w:color w:val="000000"/>
                            </w:rPr>
                          </w:pPr>
                          <w:r>
                            <w:rPr>
                              <w:color w:val="000000"/>
                              <w:szCs w:val="24"/>
                            </w:rPr>
                            <w:t>„</w:t>
                          </w:r>
                          <w:sdt>
                            <w:sdtPr>
                              <w:alias w:val="Numeris"/>
                              <w:tag w:val="nr_1f72bb3fb510478c87d4edf35ec1b5f1"/>
                              <w:id w:val="863640464"/>
                              <w:lock w:val="sdtLocked"/>
                            </w:sdtPr>
                            <w:sdtEndPr/>
                            <w:sdtContent>
                              <w:r>
                                <w:rPr>
                                  <w:color w:val="000000"/>
                                </w:rPr>
                                <w:t>56</w:t>
                              </w:r>
                            </w:sdtContent>
                          </w:sdt>
                          <w:r>
                            <w:rPr>
                              <w:color w:val="000000"/>
                            </w:rPr>
                            <w:t>. Jeigu asmuo, gaunantis (</w:t>
                          </w:r>
                          <w:r>
                            <w:rPr>
                              <w:color w:val="000000"/>
                            </w:rPr>
                            <w:t>gavęs pirmaisiais vaiko, gimusio ar įvaikinto iki 2022 m. gruodžio 31 d., auginimo metais arba 18 mėnesių laikotarpiu už vaiką, gimusį ar įvaikintą 2023 m. sausio 1 d. ir vėliau) vaiko priežiūros išmoką, ar kitas iš tėvų (įtėvių), globėjų, senelių ar buvus</w:t>
                          </w:r>
                          <w:r>
                            <w:rPr>
                              <w:color w:val="000000"/>
                            </w:rPr>
                            <w:t>ių vaiko tėvų nuolatinių globėjų (rūpintojų), atitinkantis Įstatymo 22 straipsnio 1 dalies reikalavimus, kreipiasi dėl vaiko priežiūros išmokos už tą patį vaiką (tuos pačius vaikus), pasirinkta išmokos mokėjimo trukmė besikreipiančio asmens prašymu gali bū</w:t>
                          </w:r>
                          <w:r>
                            <w:rPr>
                              <w:color w:val="000000"/>
                            </w:rPr>
                            <w:t>ti keičiama tik grąžinus permokėtą vaiko priežiūros išmokos sumą į Valstybinio socialinio draudimo fondo biudžetą (jei vaiko priežiūros išmokos mokėjimo trukmė keičiama šią išmoką gaunančiam (gavusiam pirmaisiais vaiko, gimusio ar įvaikinto iki 2022 m. gru</w:t>
                          </w:r>
                          <w:r>
                            <w:rPr>
                              <w:color w:val="000000"/>
                            </w:rPr>
                            <w:t>odžio 31 d., auginimo metais arba 18 mėnesių laikotarpiu už vaiką, gimusį ar įvaikintą 2023 m. sausio 1 d. ir vėliau) asmeniui, permokėta suma įskaitoma į mokėtiną išmokos sumą).“</w:t>
                          </w:r>
                        </w:p>
                      </w:sdtContent>
                    </w:sdt>
                  </w:sdtContent>
                </w:sdt>
              </w:sdtContent>
            </w:sdt>
            <w:sdt>
              <w:sdtPr>
                <w:alias w:val="1.3 pp."/>
                <w:tag w:val="part_ccba3d7eace5449ca9d28b86a2ba9a84"/>
                <w:id w:val="516269930"/>
                <w:lock w:val="sdtLocked"/>
              </w:sdtPr>
              <w:sdtEndPr/>
              <w:sdtContent>
                <w:p w:rsidR="00184FDE" w:rsidRDefault="007F47C6">
                  <w:pPr>
                    <w:widowControl w:val="0"/>
                    <w:tabs>
                      <w:tab w:val="left" w:pos="993"/>
                      <w:tab w:val="left" w:pos="1276"/>
                    </w:tabs>
                    <w:spacing w:line="360" w:lineRule="atLeast"/>
                    <w:ind w:firstLine="720"/>
                    <w:jc w:val="both"/>
                    <w:rPr>
                      <w:color w:val="000000"/>
                      <w:szCs w:val="24"/>
                    </w:rPr>
                  </w:pPr>
                  <w:sdt>
                    <w:sdtPr>
                      <w:alias w:val="Numeris"/>
                      <w:tag w:val="nr_ccba3d7eace5449ca9d28b86a2ba9a84"/>
                      <w:id w:val="-1251885027"/>
                      <w:lock w:val="sdtLocked"/>
                    </w:sdtPr>
                    <w:sdtEndPr/>
                    <w:sdtContent>
                      <w:r>
                        <w:rPr>
                          <w:rFonts w:eastAsia="Calibri"/>
                          <w:szCs w:val="24"/>
                        </w:rPr>
                        <w:t>1.3</w:t>
                      </w:r>
                    </w:sdtContent>
                  </w:sdt>
                  <w:r>
                    <w:rPr>
                      <w:rFonts w:eastAsia="Calibri"/>
                      <w:szCs w:val="24"/>
                    </w:rPr>
                    <w:t>.</w:t>
                  </w:r>
                  <w:r>
                    <w:rPr>
                      <w:rFonts w:eastAsia="Calibri"/>
                      <w:szCs w:val="24"/>
                    </w:rPr>
                    <w:tab/>
                  </w:r>
                  <w:r>
                    <w:rPr>
                      <w:color w:val="000000"/>
                      <w:szCs w:val="24"/>
                    </w:rPr>
                    <w:t>Pakeisti 56</w:t>
                  </w:r>
                  <w:r>
                    <w:rPr>
                      <w:color w:val="000000"/>
                      <w:szCs w:val="24"/>
                      <w:vertAlign w:val="superscript"/>
                    </w:rPr>
                    <w:t>1</w:t>
                  </w:r>
                  <w:r>
                    <w:rPr>
                      <w:color w:val="000000"/>
                      <w:szCs w:val="24"/>
                    </w:rPr>
                    <w:t xml:space="preserve"> punktą ir jį išdėstyti taip:</w:t>
                  </w:r>
                </w:p>
                <w:sdt>
                  <w:sdtPr>
                    <w:alias w:val="citata"/>
                    <w:tag w:val="part_db8f2c75a51d445482e93faa5aecda02"/>
                    <w:id w:val="2036066454"/>
                    <w:lock w:val="sdtLocked"/>
                  </w:sdtPr>
                  <w:sdtEndPr/>
                  <w:sdtContent>
                    <w:sdt>
                      <w:sdtPr>
                        <w:alias w:val="56-1 p."/>
                        <w:tag w:val="part_6df53c2e925d48f69e8a87c98bc955ca"/>
                        <w:id w:val="681626730"/>
                        <w:lock w:val="sdtLocked"/>
                      </w:sdtPr>
                      <w:sdtEndPr/>
                      <w:sdtContent>
                        <w:p w:rsidR="00184FDE" w:rsidRDefault="007F47C6">
                          <w:pPr>
                            <w:tabs>
                              <w:tab w:val="left" w:pos="1276"/>
                            </w:tabs>
                            <w:spacing w:line="360" w:lineRule="atLeast"/>
                            <w:ind w:firstLine="720"/>
                            <w:jc w:val="both"/>
                            <w:rPr>
                              <w:rFonts w:eastAsia="Calibri"/>
                              <w:szCs w:val="24"/>
                            </w:rPr>
                          </w:pPr>
                          <w:r>
                            <w:t>„</w:t>
                          </w:r>
                          <w:sdt>
                            <w:sdtPr>
                              <w:alias w:val="Numeris"/>
                              <w:tag w:val="nr_6df53c2e925d48f69e8a87c98bc955ca"/>
                              <w:id w:val="1941715695"/>
                              <w:lock w:val="sdtLocked"/>
                            </w:sdtPr>
                            <w:sdtEndPr/>
                            <w:sdtContent>
                              <w:r>
                                <w:rPr>
                                  <w:rFonts w:eastAsia="Calibri"/>
                                  <w:szCs w:val="24"/>
                                </w:rPr>
                                <w:t>56</w:t>
                              </w:r>
                              <w:r>
                                <w:rPr>
                                  <w:rFonts w:eastAsia="Calibri"/>
                                  <w:szCs w:val="24"/>
                                  <w:vertAlign w:val="superscript"/>
                                </w:rPr>
                                <w:t>1</w:t>
                              </w:r>
                            </w:sdtContent>
                          </w:sdt>
                          <w:r>
                            <w:rPr>
                              <w:rFonts w:eastAsia="Calibri"/>
                              <w:szCs w:val="24"/>
                            </w:rPr>
                            <w:t>. Jeigu teise g</w:t>
                          </w:r>
                          <w:r>
                            <w:rPr>
                              <w:rFonts w:eastAsia="Calibri"/>
                              <w:szCs w:val="24"/>
                            </w:rPr>
                            <w:t xml:space="preserve">auti vaiko priežiūros išmoką jau yra pasinaudojęs vienas iš tėvų (įtėvių), globėjų, senelių ar buvusių vaiko tėvų nuolatinių globėjų (rūpintojų), atitinkančių Įstatymo 22 straipsnio 1 dalies reikalavimus, ir vaiko priežiūros išmoka jau yra išmokėta, vaiko </w:t>
                          </w:r>
                          <w:r>
                            <w:rPr>
                              <w:rFonts w:eastAsia="Calibri"/>
                              <w:szCs w:val="24"/>
                            </w:rPr>
                            <w:t xml:space="preserve">priežiūros išmoka kitam iš tėvų (įtėvių), globėjų, senelių ar buvusių </w:t>
                          </w:r>
                          <w:r>
                            <w:rPr>
                              <w:color w:val="000000"/>
                            </w:rPr>
                            <w:t xml:space="preserve">vaiko tėvų nuolatinių </w:t>
                          </w:r>
                          <w:r>
                            <w:rPr>
                              <w:color w:val="000000"/>
                            </w:rPr>
                            <w:lastRenderedPageBreak/>
                            <w:t>globėjų (rūpintojų)</w:t>
                          </w:r>
                          <w:r>
                            <w:rPr>
                              <w:rFonts w:eastAsia="Calibri"/>
                              <w:szCs w:val="24"/>
                            </w:rPr>
                            <w:t>, atitinkančių Įstatymo 22 straipsnio 1 dalies reikalavimus, už laikotarpį, už kurį vaiko priežiūros išmoka jau išmokėta, neskiriama.“</w:t>
                          </w:r>
                        </w:p>
                      </w:sdtContent>
                    </w:sdt>
                  </w:sdtContent>
                </w:sdt>
              </w:sdtContent>
            </w:sdt>
            <w:sdt>
              <w:sdtPr>
                <w:alias w:val="1.4 pp."/>
                <w:tag w:val="part_5c7a46e7d7164437b69240bacf4a083f"/>
                <w:id w:val="155736943"/>
                <w:lock w:val="sdtLocked"/>
              </w:sdtPr>
              <w:sdtEndPr/>
              <w:sdtContent>
                <w:p w:rsidR="00184FDE" w:rsidRDefault="007F47C6">
                  <w:pPr>
                    <w:widowControl w:val="0"/>
                    <w:tabs>
                      <w:tab w:val="left" w:pos="993"/>
                      <w:tab w:val="left" w:pos="1276"/>
                    </w:tabs>
                    <w:spacing w:line="360" w:lineRule="atLeast"/>
                    <w:ind w:firstLine="720"/>
                    <w:jc w:val="both"/>
                    <w:rPr>
                      <w:color w:val="000000"/>
                      <w:szCs w:val="24"/>
                    </w:rPr>
                  </w:pPr>
                  <w:sdt>
                    <w:sdtPr>
                      <w:alias w:val="Numeris"/>
                      <w:tag w:val="nr_5c7a46e7d7164437b69240bacf4a083f"/>
                      <w:id w:val="-327133159"/>
                      <w:lock w:val="sdtLocked"/>
                    </w:sdtPr>
                    <w:sdtEndPr/>
                    <w:sdtContent>
                      <w:r>
                        <w:rPr>
                          <w:rFonts w:eastAsia="Calibri"/>
                          <w:szCs w:val="24"/>
                        </w:rPr>
                        <w:t>1.4</w:t>
                      </w:r>
                    </w:sdtContent>
                  </w:sdt>
                  <w:r>
                    <w:rPr>
                      <w:rFonts w:eastAsia="Calibri"/>
                      <w:szCs w:val="24"/>
                    </w:rPr>
                    <w:t>.</w:t>
                  </w:r>
                  <w:r>
                    <w:rPr>
                      <w:rFonts w:eastAsia="Calibri"/>
                      <w:szCs w:val="24"/>
                    </w:rPr>
                    <w:tab/>
                  </w:r>
                  <w:r>
                    <w:rPr>
                      <w:color w:val="000000"/>
                      <w:szCs w:val="24"/>
                    </w:rPr>
                    <w:t>Pakeisti 58 punktą ir jį išdėstyti taip:</w:t>
                  </w:r>
                </w:p>
                <w:sdt>
                  <w:sdtPr>
                    <w:alias w:val="citata"/>
                    <w:tag w:val="part_40687da4797b48668a3bdb3a3e641301"/>
                    <w:id w:val="313452079"/>
                    <w:lock w:val="sdtLocked"/>
                  </w:sdtPr>
                  <w:sdtEndPr/>
                  <w:sdtContent>
                    <w:sdt>
                      <w:sdtPr>
                        <w:alias w:val="58 p."/>
                        <w:tag w:val="part_931fabae6e404083a41b4feef1377e5c"/>
                        <w:id w:val="-401598684"/>
                        <w:lock w:val="sdtLocked"/>
                      </w:sdtPr>
                      <w:sdtEndPr/>
                      <w:sdtContent>
                        <w:p w:rsidR="00184FDE" w:rsidRDefault="007F47C6">
                          <w:pPr>
                            <w:tabs>
                              <w:tab w:val="left" w:pos="1276"/>
                            </w:tabs>
                            <w:spacing w:line="360" w:lineRule="atLeast"/>
                            <w:ind w:firstLine="709"/>
                            <w:jc w:val="both"/>
                          </w:pPr>
                          <w:r>
                            <w:t>„</w:t>
                          </w:r>
                          <w:sdt>
                            <w:sdtPr>
                              <w:alias w:val="Numeris"/>
                              <w:tag w:val="nr_931fabae6e404083a41b4feef1377e5c"/>
                              <w:id w:val="495152537"/>
                              <w:lock w:val="sdtLocked"/>
                            </w:sdtPr>
                            <w:sdtEndPr/>
                            <w:sdtContent>
                              <w:r>
                                <w:rPr>
                                  <w:szCs w:val="24"/>
                                </w:rPr>
                                <w:t>58</w:t>
                              </w:r>
                            </w:sdtContent>
                          </w:sdt>
                          <w:r>
                            <w:rPr>
                              <w:szCs w:val="24"/>
                            </w:rPr>
                            <w:t>. Kai vaiko priežiūros atostogos skirtingų vaikų priežiūrai tuo pat metu suteikiamos motinai (įmotei), tėvui (įtėviui), globėjui (globėjai), seneliui (senelei) ar buvusiam vaiko tėvų nuolatiniam globėjui (rū</w:t>
                          </w:r>
                          <w:r>
                            <w:rPr>
                              <w:szCs w:val="24"/>
                            </w:rPr>
                            <w:t>pintojui), kiekvienam mokama vaiko priežiūros išmoka tik už tą vaiką, kurio priežiūrai šios atostogos suteiktos.</w:t>
                          </w:r>
                          <w:r>
                            <w:t>“</w:t>
                          </w:r>
                        </w:p>
                      </w:sdtContent>
                    </w:sdt>
                  </w:sdtContent>
                </w:sdt>
              </w:sdtContent>
            </w:sdt>
            <w:sdt>
              <w:sdtPr>
                <w:alias w:val="1.5 pp."/>
                <w:tag w:val="part_c9628d14224a406f9b1214bd9bcfc8ee"/>
                <w:id w:val="1602381364"/>
                <w:lock w:val="sdtLocked"/>
              </w:sdtPr>
              <w:sdtEndPr/>
              <w:sdtContent>
                <w:p w:rsidR="00184FDE" w:rsidRDefault="007F47C6">
                  <w:pPr>
                    <w:tabs>
                      <w:tab w:val="left" w:pos="1276"/>
                    </w:tabs>
                    <w:spacing w:line="360" w:lineRule="atLeast"/>
                    <w:ind w:firstLine="709"/>
                    <w:jc w:val="both"/>
                  </w:pPr>
                  <w:sdt>
                    <w:sdtPr>
                      <w:alias w:val="Numeris"/>
                      <w:tag w:val="nr_c9628d14224a406f9b1214bd9bcfc8ee"/>
                      <w:id w:val="-59484603"/>
                      <w:lock w:val="sdtLocked"/>
                    </w:sdtPr>
                    <w:sdtEndPr/>
                    <w:sdtContent>
                      <w:r>
                        <w:rPr>
                          <w:rFonts w:eastAsia="Calibri"/>
                        </w:rPr>
                        <w:t>1.5</w:t>
                      </w:r>
                    </w:sdtContent>
                  </w:sdt>
                  <w:r>
                    <w:rPr>
                      <w:rFonts w:eastAsia="Calibri"/>
                    </w:rPr>
                    <w:t>.</w:t>
                  </w:r>
                  <w:r>
                    <w:rPr>
                      <w:rFonts w:eastAsia="Calibri"/>
                    </w:rPr>
                    <w:tab/>
                  </w:r>
                  <w:r>
                    <w:rPr>
                      <w:color w:val="000000"/>
                      <w:szCs w:val="24"/>
                    </w:rPr>
                    <w:t>Pakeisti 59</w:t>
                  </w:r>
                  <w:r>
                    <w:rPr>
                      <w:color w:val="000000"/>
                      <w:szCs w:val="24"/>
                      <w:vertAlign w:val="superscript"/>
                    </w:rPr>
                    <w:t>2</w:t>
                  </w:r>
                  <w:r>
                    <w:rPr>
                      <w:color w:val="000000"/>
                      <w:szCs w:val="24"/>
                    </w:rPr>
                    <w:t xml:space="preserve"> punktą ir jį išdėstyti taip:</w:t>
                  </w:r>
                </w:p>
                <w:sdt>
                  <w:sdtPr>
                    <w:alias w:val="citata"/>
                    <w:tag w:val="part_f5b38cd0ed07462e864ed0ccb2b947f3"/>
                    <w:id w:val="37092668"/>
                    <w:lock w:val="sdtLocked"/>
                  </w:sdtPr>
                  <w:sdtEndPr/>
                  <w:sdtContent>
                    <w:sdt>
                      <w:sdtPr>
                        <w:alias w:val="59-2 p."/>
                        <w:tag w:val="part_1028325ce6904de3ab690684ccab3a0d"/>
                        <w:id w:val="-1377999569"/>
                        <w:lock w:val="sdtLocked"/>
                      </w:sdtPr>
                      <w:sdtEndPr/>
                      <w:sdtContent>
                        <w:p w:rsidR="00184FDE" w:rsidRDefault="007F47C6">
                          <w:pPr>
                            <w:tabs>
                              <w:tab w:val="left" w:pos="1276"/>
                            </w:tabs>
                            <w:spacing w:line="360" w:lineRule="atLeast"/>
                            <w:ind w:firstLine="709"/>
                            <w:jc w:val="both"/>
                          </w:pPr>
                          <w:r>
                            <w:rPr>
                              <w:color w:val="000000"/>
                              <w:szCs w:val="24"/>
                            </w:rPr>
                            <w:t>„</w:t>
                          </w:r>
                          <w:sdt>
                            <w:sdtPr>
                              <w:alias w:val="Numeris"/>
                              <w:tag w:val="nr_1028325ce6904de3ab690684ccab3a0d"/>
                              <w:id w:val="-440991234"/>
                              <w:lock w:val="sdtLocked"/>
                            </w:sdtPr>
                            <w:sdtEndPr/>
                            <w:sdtContent>
                              <w:r>
                                <w:rPr>
                                  <w:color w:val="000000"/>
                                </w:rPr>
                                <w:t>59</w:t>
                              </w:r>
                              <w:r>
                                <w:rPr>
                                  <w:color w:val="000000"/>
                                  <w:vertAlign w:val="superscript"/>
                                </w:rPr>
                                <w:t>2</w:t>
                              </w:r>
                            </w:sdtContent>
                          </w:sdt>
                          <w:r>
                            <w:rPr>
                              <w:color w:val="000000"/>
                            </w:rPr>
                            <w:t>.</w:t>
                          </w:r>
                          <w:r>
                            <w:rPr>
                              <w:i/>
                              <w:iCs/>
                              <w:color w:val="000000"/>
                              <w:sz w:val="20"/>
                            </w:rPr>
                            <w:t xml:space="preserve"> </w:t>
                          </w:r>
                          <w:r>
                            <w:rPr>
                              <w:color w:val="000000"/>
                            </w:rPr>
                            <w:t>Įvaikinę vaiką (-</w:t>
                          </w:r>
                          <w:proofErr w:type="spellStart"/>
                          <w:r>
                            <w:rPr>
                              <w:color w:val="000000"/>
                            </w:rPr>
                            <w:t>us</w:t>
                          </w:r>
                          <w:proofErr w:type="spellEnd"/>
                          <w:r>
                            <w:rPr>
                              <w:color w:val="000000"/>
                            </w:rPr>
                            <w:t>), įtėviai turi teisę gauti vaiko priežiūros išmoką už neper</w:t>
                          </w:r>
                          <w:r>
                            <w:rPr>
                              <w:color w:val="000000"/>
                            </w:rPr>
                            <w:t>leidžiamų dviejų mėnesių trukmės vaiko priežiūros atostogų, numatytų Darbo kodekso 134 straipsnio 3 dalyje, arba vaiko priežiūros laikotarpio dalį per 18 ar 24 mėnesius nuo vaiko priežiūros atostogų, suteiktų per 3 mėnesius nuo teismo sprendimo įvaikinti į</w:t>
                          </w:r>
                          <w:r>
                            <w:rPr>
                              <w:color w:val="000000"/>
                            </w:rPr>
                            <w:t>siteisėjimo (skubaus vykdymo atveju – per 3 mėnesius nuo sprendimo vykdymo pradžios) dienos, suteikimo dienos.“</w:t>
                          </w:r>
                        </w:p>
                      </w:sdtContent>
                    </w:sdt>
                  </w:sdtContent>
                </w:sdt>
              </w:sdtContent>
            </w:sdt>
            <w:sdt>
              <w:sdtPr>
                <w:alias w:val="1.6 pp."/>
                <w:tag w:val="part_0501a03209cf4b7d8ed3b4657db6aead"/>
                <w:id w:val="-961883016"/>
                <w:lock w:val="sdtLocked"/>
              </w:sdtPr>
              <w:sdtEndPr/>
              <w:sdtContent>
                <w:p w:rsidR="00184FDE" w:rsidRDefault="007F47C6">
                  <w:pPr>
                    <w:tabs>
                      <w:tab w:val="left" w:pos="1276"/>
                    </w:tabs>
                    <w:spacing w:line="360" w:lineRule="atLeast"/>
                    <w:ind w:firstLine="709"/>
                    <w:jc w:val="both"/>
                  </w:pPr>
                  <w:sdt>
                    <w:sdtPr>
                      <w:alias w:val="Numeris"/>
                      <w:tag w:val="nr_0501a03209cf4b7d8ed3b4657db6aead"/>
                      <w:id w:val="991522080"/>
                      <w:lock w:val="sdtLocked"/>
                    </w:sdtPr>
                    <w:sdtEndPr/>
                    <w:sdtContent>
                      <w:r>
                        <w:rPr>
                          <w:rFonts w:eastAsia="Calibri"/>
                        </w:rPr>
                        <w:t>1.6</w:t>
                      </w:r>
                    </w:sdtContent>
                  </w:sdt>
                  <w:r>
                    <w:rPr>
                      <w:rFonts w:eastAsia="Calibri"/>
                    </w:rPr>
                    <w:t>.</w:t>
                  </w:r>
                  <w:r>
                    <w:rPr>
                      <w:rFonts w:eastAsia="Calibri"/>
                    </w:rPr>
                    <w:tab/>
                  </w:r>
                  <w:r>
                    <w:rPr>
                      <w:color w:val="000000"/>
                      <w:szCs w:val="24"/>
                    </w:rPr>
                    <w:t>Pakeisti 59</w:t>
                  </w:r>
                  <w:r>
                    <w:rPr>
                      <w:color w:val="000000"/>
                      <w:szCs w:val="24"/>
                      <w:vertAlign w:val="superscript"/>
                    </w:rPr>
                    <w:t>3</w:t>
                  </w:r>
                  <w:r>
                    <w:rPr>
                      <w:color w:val="000000"/>
                      <w:szCs w:val="24"/>
                    </w:rPr>
                    <w:t xml:space="preserve"> punktą ir jį išdėstyti taip:</w:t>
                  </w:r>
                </w:p>
                <w:sdt>
                  <w:sdtPr>
                    <w:alias w:val="citata"/>
                    <w:tag w:val="part_5769396a64104658ab329b62e7643164"/>
                    <w:id w:val="-819502740"/>
                    <w:lock w:val="sdtLocked"/>
                  </w:sdtPr>
                  <w:sdtEndPr/>
                  <w:sdtContent>
                    <w:sdt>
                      <w:sdtPr>
                        <w:alias w:val="59-3 p."/>
                        <w:tag w:val="part_7d76a2e0acf044ee8a67a1568b6ab1fd"/>
                        <w:id w:val="-1376841717"/>
                        <w:lock w:val="sdtLocked"/>
                      </w:sdtPr>
                      <w:sdtEndPr/>
                      <w:sdtContent>
                        <w:p w:rsidR="00184FDE" w:rsidRDefault="007F47C6">
                          <w:pPr>
                            <w:tabs>
                              <w:tab w:val="left" w:pos="1276"/>
                            </w:tabs>
                            <w:spacing w:line="360" w:lineRule="atLeast"/>
                            <w:ind w:firstLine="709"/>
                            <w:jc w:val="both"/>
                          </w:pPr>
                          <w:r>
                            <w:rPr>
                              <w:color w:val="000000"/>
                            </w:rPr>
                            <w:t>„</w:t>
                          </w:r>
                          <w:sdt>
                            <w:sdtPr>
                              <w:alias w:val="Numeris"/>
                              <w:tag w:val="nr_7d76a2e0acf044ee8a67a1568b6ab1fd"/>
                              <w:id w:val="-823667904"/>
                              <w:lock w:val="sdtLocked"/>
                            </w:sdtPr>
                            <w:sdtEndPr/>
                            <w:sdtContent>
                              <w:r>
                                <w:rPr>
                                  <w:color w:val="000000"/>
                                </w:rPr>
                                <w:t>59</w:t>
                              </w:r>
                              <w:r>
                                <w:rPr>
                                  <w:color w:val="000000"/>
                                  <w:vertAlign w:val="superscript"/>
                                </w:rPr>
                                <w:t>3</w:t>
                              </w:r>
                            </w:sdtContent>
                          </w:sdt>
                          <w:r>
                            <w:rPr>
                              <w:color w:val="000000"/>
                            </w:rPr>
                            <w:t>. Įvaikinus vaiką (-</w:t>
                          </w:r>
                          <w:proofErr w:type="spellStart"/>
                          <w:r>
                            <w:rPr>
                              <w:color w:val="000000"/>
                            </w:rPr>
                            <w:t>us</w:t>
                          </w:r>
                          <w:proofErr w:type="spellEnd"/>
                          <w:r>
                            <w:rPr>
                              <w:color w:val="000000"/>
                            </w:rPr>
                            <w:t xml:space="preserve">), teisę gauti vaiko priežiūros išmoką išsaugo ir kitas iš </w:t>
                          </w:r>
                          <w:r>
                            <w:rPr>
                              <w:color w:val="000000"/>
                            </w:rPr>
                            <w:t xml:space="preserve">vaiko įtėvių, kuriam šio (šių) vaiko (-ų) priežiūros atostogas darbdavys suteikė vėliau nei per 3 mėnesius po teismo sprendimo įvaikinti įsiteisėjimo dienos (skubaus vykdymo atveju – vėliau nei per 3 mėnesius nuo sprendimo vykdymo pirmosios dienos), jeigu </w:t>
                          </w:r>
                          <w:r>
                            <w:rPr>
                              <w:color w:val="000000"/>
                            </w:rPr>
                            <w:t>pirmajam dėl vaiko priežiūros išmokos besikreipusiam asmeniui (įmotei ar įtėviui) įvaikinto (-ų) vaiko (-ų) priežiūros atostogos buvo suteiktos nepraėjus 3 mėnesiams po teismo sprendimo įvaikinti įsiteisėjimo dienos (skubaus vykdymo atveju – nepraėjus 3 mė</w:t>
                          </w:r>
                          <w:r>
                            <w:rPr>
                              <w:color w:val="000000"/>
                            </w:rPr>
                            <w:t>nesiams nuo pirmosios sprendimo vykdymo dienos).“</w:t>
                          </w:r>
                        </w:p>
                      </w:sdtContent>
                    </w:sdt>
                  </w:sdtContent>
                </w:sdt>
              </w:sdtContent>
            </w:sdt>
            <w:sdt>
              <w:sdtPr>
                <w:alias w:val="1.7 pp."/>
                <w:tag w:val="part_ca39d2a35bfa4f82bb51d6e00618e96e"/>
                <w:id w:val="-1849474648"/>
                <w:lock w:val="sdtLocked"/>
              </w:sdtPr>
              <w:sdtEndPr/>
              <w:sdtContent>
                <w:p w:rsidR="00184FDE" w:rsidRDefault="007F47C6">
                  <w:pPr>
                    <w:tabs>
                      <w:tab w:val="left" w:pos="1276"/>
                    </w:tabs>
                    <w:spacing w:line="360" w:lineRule="atLeast"/>
                    <w:ind w:firstLine="709"/>
                    <w:jc w:val="both"/>
                  </w:pPr>
                  <w:sdt>
                    <w:sdtPr>
                      <w:alias w:val="Numeris"/>
                      <w:tag w:val="nr_ca39d2a35bfa4f82bb51d6e00618e96e"/>
                      <w:id w:val="2034992609"/>
                      <w:lock w:val="sdtLocked"/>
                    </w:sdtPr>
                    <w:sdtEndPr/>
                    <w:sdtContent>
                      <w:r>
                        <w:rPr>
                          <w:rFonts w:eastAsia="Calibri"/>
                        </w:rPr>
                        <w:t>1.7</w:t>
                      </w:r>
                    </w:sdtContent>
                  </w:sdt>
                  <w:r>
                    <w:rPr>
                      <w:rFonts w:eastAsia="Calibri"/>
                    </w:rPr>
                    <w:t>.</w:t>
                  </w:r>
                  <w:r>
                    <w:rPr>
                      <w:rFonts w:eastAsia="Calibri"/>
                    </w:rPr>
                    <w:tab/>
                  </w:r>
                  <w:r>
                    <w:rPr>
                      <w:color w:val="000000"/>
                      <w:szCs w:val="24"/>
                    </w:rPr>
                    <w:t>Pakeisti 66</w:t>
                  </w:r>
                  <w:r>
                    <w:rPr>
                      <w:color w:val="000000"/>
                      <w:szCs w:val="24"/>
                      <w:vertAlign w:val="superscript"/>
                    </w:rPr>
                    <w:t>1</w:t>
                  </w:r>
                  <w:r>
                    <w:rPr>
                      <w:color w:val="000000"/>
                      <w:szCs w:val="24"/>
                    </w:rPr>
                    <w:t xml:space="preserve"> punktą ir jį išdėstyti taip:</w:t>
                  </w:r>
                </w:p>
                <w:sdt>
                  <w:sdtPr>
                    <w:alias w:val="citata"/>
                    <w:tag w:val="part_9efa80bfa4e34a4bacf4a6231397f9c2"/>
                    <w:id w:val="1906875929"/>
                    <w:lock w:val="sdtLocked"/>
                  </w:sdtPr>
                  <w:sdtEndPr/>
                  <w:sdtContent>
                    <w:sdt>
                      <w:sdtPr>
                        <w:alias w:val="66-1 p."/>
                        <w:tag w:val="part_dcf517e08a1449b0a5c6e71b4b1d9b55"/>
                        <w:id w:val="299202210"/>
                        <w:lock w:val="sdtLocked"/>
                      </w:sdtPr>
                      <w:sdtEndPr/>
                      <w:sdtContent>
                        <w:p w:rsidR="00184FDE" w:rsidRDefault="007F47C6">
                          <w:pPr>
                            <w:tabs>
                              <w:tab w:val="left" w:pos="1276"/>
                            </w:tabs>
                            <w:spacing w:line="360" w:lineRule="atLeast"/>
                            <w:ind w:firstLine="709"/>
                            <w:jc w:val="both"/>
                            <w:rPr>
                              <w:szCs w:val="24"/>
                            </w:rPr>
                          </w:pPr>
                          <w:r>
                            <w:t>„</w:t>
                          </w:r>
                          <w:sdt>
                            <w:sdtPr>
                              <w:alias w:val="Numeris"/>
                              <w:tag w:val="nr_dcf517e08a1449b0a5c6e71b4b1d9b55"/>
                              <w:id w:val="1567916247"/>
                              <w:lock w:val="sdtLocked"/>
                            </w:sdtPr>
                            <w:sdtEndPr/>
                            <w:sdtContent>
                              <w:r>
                                <w:rPr>
                                  <w:color w:val="000000"/>
                                </w:rPr>
                                <w:t>66</w:t>
                              </w:r>
                              <w:r>
                                <w:rPr>
                                  <w:color w:val="000000"/>
                                  <w:vertAlign w:val="superscript"/>
                                </w:rPr>
                                <w:t>1</w:t>
                              </w:r>
                            </w:sdtContent>
                          </w:sdt>
                          <w:r>
                            <w:rPr>
                              <w:color w:val="000000"/>
                            </w:rPr>
                            <w:t>.</w:t>
                          </w:r>
                          <w:r>
                            <w:rPr>
                              <w:i/>
                              <w:iCs/>
                              <w:color w:val="000000"/>
                            </w:rPr>
                            <w:t xml:space="preserve"> </w:t>
                          </w:r>
                          <w:r>
                            <w:rPr>
                              <w:color w:val="000000"/>
                            </w:rPr>
                            <w:t xml:space="preserve">Vaiko priežiūros išmoka už neperleidžiamų dviejų mėnesių trukmės vaiko priežiūros atostogų, numatytų Darbo kodekso 134 straipsnio 3 dalyje, ar </w:t>
                          </w:r>
                          <w:r>
                            <w:rPr>
                              <w:color w:val="000000"/>
                            </w:rPr>
                            <w:t>vaiko priežiūros laikotarpio dalį mokama už 62 kalendorines dienas, neatsižvelgiant į tai, ar neperleidžiamų dviejų mėnesių trukmės vaiko priežiūros atostogų ar vaiko priežiūros laikotarpio dalis imama visa iš karto ar dalimis.“</w:t>
                          </w:r>
                        </w:p>
                      </w:sdtContent>
                    </w:sdt>
                  </w:sdtContent>
                </w:sdt>
              </w:sdtContent>
            </w:sdt>
            <w:sdt>
              <w:sdtPr>
                <w:alias w:val="1.8 pp."/>
                <w:tag w:val="part_36c77e457f3142bd97b4e1dee6bf3bbf"/>
                <w:id w:val="-656763871"/>
                <w:lock w:val="sdtLocked"/>
              </w:sdtPr>
              <w:sdtEndPr/>
              <w:sdtContent>
                <w:p w:rsidR="00184FDE" w:rsidRDefault="007F47C6">
                  <w:pPr>
                    <w:tabs>
                      <w:tab w:val="left" w:pos="142"/>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rPr>
                  </w:pPr>
                  <w:sdt>
                    <w:sdtPr>
                      <w:alias w:val="Numeris"/>
                      <w:tag w:val="nr_36c77e457f3142bd97b4e1dee6bf3bbf"/>
                      <w:id w:val="756710630"/>
                      <w:lock w:val="sdtLocked"/>
                    </w:sdtPr>
                    <w:sdtEndPr/>
                    <w:sdtContent>
                      <w:r>
                        <w:rPr>
                          <w:rFonts w:eastAsia="Calibri"/>
                        </w:rPr>
                        <w:t>1.8</w:t>
                      </w:r>
                    </w:sdtContent>
                  </w:sdt>
                  <w:r>
                    <w:rPr>
                      <w:rFonts w:eastAsia="Calibri"/>
                    </w:rPr>
                    <w:t>.</w:t>
                  </w:r>
                  <w:r>
                    <w:rPr>
                      <w:rFonts w:eastAsia="Calibri"/>
                    </w:rPr>
                    <w:tab/>
                  </w:r>
                  <w:r>
                    <w:rPr>
                      <w:color w:val="000000"/>
                    </w:rPr>
                    <w:t>Papildyti 70</w:t>
                  </w:r>
                  <w:r>
                    <w:rPr>
                      <w:color w:val="000000"/>
                      <w:vertAlign w:val="superscript"/>
                    </w:rPr>
                    <w:t>1</w:t>
                  </w:r>
                  <w:r>
                    <w:rPr>
                      <w:color w:val="000000"/>
                    </w:rPr>
                    <w:t xml:space="preserve"> punktu:</w:t>
                  </w:r>
                </w:p>
                <w:sdt>
                  <w:sdtPr>
                    <w:alias w:val="citata"/>
                    <w:tag w:val="part_10802969861448cb95da4cde6ee51cc0"/>
                    <w:id w:val="529988447"/>
                    <w:lock w:val="sdtLocked"/>
                  </w:sdtPr>
                  <w:sdtEndPr/>
                  <w:sdtContent>
                    <w:sdt>
                      <w:sdtPr>
                        <w:alias w:val="70-1 p."/>
                        <w:tag w:val="part_451ac0189b8b49e6aebcd7039e1bfca4"/>
                        <w:id w:val="-1232921629"/>
                        <w:lock w:val="sdtLocked"/>
                      </w:sdtPr>
                      <w:sdtEndPr/>
                      <w:sdtContent>
                        <w:p w:rsidR="00184FDE" w:rsidRDefault="007F47C6">
                          <w:pPr>
                            <w:tabs>
                              <w:tab w:val="left" w:pos="142"/>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rPr>
                          </w:pPr>
                          <w:r>
                            <w:rPr>
                              <w:color w:val="000000"/>
                            </w:rPr>
                            <w:t>„</w:t>
                          </w:r>
                          <w:sdt>
                            <w:sdtPr>
                              <w:alias w:val="Numeris"/>
                              <w:tag w:val="nr_451ac0189b8b49e6aebcd7039e1bfca4"/>
                              <w:id w:val="-574050735"/>
                              <w:lock w:val="sdtLocked"/>
                            </w:sdtPr>
                            <w:sdtEndPr/>
                            <w:sdtContent>
                              <w:r>
                                <w:rPr>
                                  <w:color w:val="000000"/>
                                </w:rPr>
                                <w:t>70</w:t>
                              </w:r>
                              <w:r>
                                <w:rPr>
                                  <w:color w:val="000000"/>
                                  <w:vertAlign w:val="superscript"/>
                                </w:rPr>
                                <w:t>1</w:t>
                              </w:r>
                            </w:sdtContent>
                          </w:sdt>
                          <w:r>
                            <w:rPr>
                              <w:color w:val="000000"/>
                            </w:rPr>
                            <w:t xml:space="preserve">. Jei dėl vaiko priežiūros išmokos kreipiasi buvęs vaiko tėvų nuolatinis globėjas (rūpintojas), kartu su Nuostatų 69.5 ar 70.5 papunktyje nurodytais dokumentais ir (ar) duomenimis teritoriniam skyriui turi būti pateikta informacija, </w:t>
                          </w:r>
                          <w:r>
                            <w:rPr>
                              <w:szCs w:val="24"/>
                            </w:rPr>
                            <w:t>patvirti</w:t>
                          </w:r>
                          <w:r>
                            <w:rPr>
                              <w:szCs w:val="24"/>
                            </w:rPr>
                            <w:t xml:space="preserve">nanti, kad dėl vaiko priežiūros išmokos besikreipiantis asmuo buvo paskirtas vaiko tėvų nuolatiniu globėju (rūpintoju) ir kad jis nebuvo </w:t>
                          </w:r>
                          <w:r>
                            <w:rPr>
                              <w:color w:val="000000"/>
                            </w:rPr>
                            <w:t>teismo nutartimi nu</w:t>
                          </w:r>
                          <w:r>
                            <w:rPr>
                              <w:szCs w:val="24"/>
                            </w:rPr>
                            <w:t xml:space="preserve">šalintas nuo </w:t>
                          </w:r>
                          <w:r>
                            <w:rPr>
                              <w:color w:val="000000"/>
                            </w:rPr>
                            <w:t xml:space="preserve">nuolatinio globėjo (rūpintojo) </w:t>
                          </w:r>
                          <w:r>
                            <w:rPr>
                              <w:szCs w:val="24"/>
                            </w:rPr>
                            <w:t>pareigų, dėl kurios pateikimo į savivaldybės, kurioje bu</w:t>
                          </w:r>
                          <w:r>
                            <w:rPr>
                              <w:szCs w:val="24"/>
                            </w:rPr>
                            <w:t>vo nustatyta ir iki 2018 m. birželio 30 d. pasibaigė nuolatinė globa (rūpyba), administraciją ar Valstybės vaiko teisų apsaugos ir įvaikinimo tarnybos prie Socialinės apsaugos ir darbo ministerijos teritorinį skyrių, kurio veiklos teritorijoje buvo nustaty</w:t>
                          </w:r>
                          <w:r>
                            <w:rPr>
                              <w:szCs w:val="24"/>
                            </w:rPr>
                            <w:t>ta nuolatinė globa (rūpyba), pasibaigusi 2018 m. liepos 1 d. ir vėliau, kreipiasi teritorinis skyrius, jeigu minėtų duomenų nėra registrų,</w:t>
                          </w:r>
                          <w:r>
                            <w:rPr>
                              <w:color w:val="000000"/>
                            </w:rPr>
                            <w:t xml:space="preserve"> valstybės ir vidaus administravimo informacinėse sistemose arba šie duomenys negaunami elektroniniu būdu pagal asmens</w:t>
                          </w:r>
                          <w:r>
                            <w:rPr>
                              <w:color w:val="000000"/>
                            </w:rPr>
                            <w:t xml:space="preserve"> duomenų teikimo sutartį.“</w:t>
                          </w:r>
                        </w:p>
                      </w:sdtContent>
                    </w:sdt>
                  </w:sdtContent>
                </w:sdt>
              </w:sdtContent>
            </w:sdt>
          </w:sdtContent>
        </w:sdt>
        <w:sdt>
          <w:sdtPr>
            <w:alias w:val="2 p."/>
            <w:tag w:val="part_00c25f2e8eb04d6b85b1e82d729eea6f"/>
            <w:id w:val="-762995485"/>
            <w:lock w:val="sdtLocked"/>
          </w:sdtPr>
          <w:sdtEndPr/>
          <w:sdtContent>
            <w:p w:rsidR="00184FDE" w:rsidRDefault="007F47C6">
              <w:pPr>
                <w:tabs>
                  <w:tab w:val="left" w:pos="142"/>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shd w:val="clear" w:color="auto" w:fill="FFFFFF"/>
                </w:rPr>
              </w:pPr>
              <w:sdt>
                <w:sdtPr>
                  <w:alias w:val="Numeris"/>
                  <w:tag w:val="nr_00c25f2e8eb04d6b85b1e82d729eea6f"/>
                  <w:id w:val="1009637035"/>
                  <w:lock w:val="sdtLocked"/>
                </w:sdtPr>
                <w:sdtEndPr/>
                <w:sdtContent>
                  <w:r>
                    <w:rPr>
                      <w:rFonts w:eastAsia="Calibri"/>
                      <w:szCs w:val="24"/>
                    </w:rPr>
                    <w:t>2</w:t>
                  </w:r>
                </w:sdtContent>
              </w:sdt>
              <w:r>
                <w:rPr>
                  <w:rFonts w:eastAsia="Calibri"/>
                  <w:szCs w:val="24"/>
                </w:rPr>
                <w:t>.</w:t>
              </w:r>
              <w:r>
                <w:rPr>
                  <w:rFonts w:eastAsia="Calibri"/>
                  <w:szCs w:val="24"/>
                </w:rPr>
                <w:tab/>
              </w:r>
              <w:r>
                <w:rPr>
                  <w:color w:val="000000"/>
                  <w:szCs w:val="24"/>
                  <w:shd w:val="clear" w:color="auto" w:fill="FFFFFF"/>
                </w:rPr>
                <w:t>Nustatyti, kad šis nutarimas įsigalioja 2025 m. sausio 1 d.</w:t>
              </w:r>
            </w:p>
            <w:p w:rsidR="00184FDE" w:rsidRDefault="00184FDE">
              <w:pPr>
                <w:ind w:firstLine="709"/>
                <w:rPr>
                  <w:szCs w:val="24"/>
                </w:rPr>
              </w:pPr>
            </w:p>
            <w:p w:rsidR="00184FDE" w:rsidRDefault="00184FDE">
              <w:pPr>
                <w:ind w:firstLine="709"/>
                <w:rPr>
                  <w:szCs w:val="24"/>
                </w:rPr>
              </w:pPr>
            </w:p>
            <w:p w:rsidR="00184FDE" w:rsidRDefault="007F47C6">
              <w:pPr>
                <w:ind w:firstLine="709"/>
                <w:rPr>
                  <w:szCs w:val="24"/>
                </w:rPr>
              </w:pPr>
            </w:p>
          </w:sdtContent>
        </w:sdt>
        <w:sdt>
          <w:sdtPr>
            <w:alias w:val="signatura"/>
            <w:tag w:val="part_31ee8dc88bb84044b67858f3587214b1"/>
            <w:id w:val="514352731"/>
            <w:lock w:val="sdtLocked"/>
          </w:sdtPr>
          <w:sdtEndPr/>
          <w:sdtContent>
            <w:p w:rsidR="00184FDE" w:rsidRDefault="007F47C6">
              <w:pPr>
                <w:tabs>
                  <w:tab w:val="center" w:pos="-7800"/>
                  <w:tab w:val="left" w:pos="6237"/>
                  <w:tab w:val="right" w:pos="7230"/>
                </w:tabs>
                <w:ind w:right="-2"/>
                <w:jc w:val="both"/>
                <w:rPr>
                  <w:lang w:eastAsia="lt-LT"/>
                </w:rPr>
              </w:pPr>
              <w:r>
                <w:rPr>
                  <w:lang w:eastAsia="lt-LT"/>
                </w:rPr>
                <w:t>Laikinai einanti Ministro Pirmininko pareigas</w:t>
              </w:r>
              <w:r>
                <w:rPr>
                  <w:lang w:eastAsia="lt-LT"/>
                </w:rPr>
                <w:tab/>
              </w:r>
              <w:r>
                <w:rPr>
                  <w:lang w:eastAsia="lt-LT"/>
                </w:rPr>
                <w:tab/>
                <w:t xml:space="preserve">                   Ingrida </w:t>
              </w:r>
              <w:proofErr w:type="spellStart"/>
              <w:r>
                <w:rPr>
                  <w:lang w:eastAsia="lt-LT"/>
                </w:rPr>
                <w:t>Šimonytė</w:t>
              </w:r>
              <w:proofErr w:type="spellEnd"/>
            </w:p>
            <w:p w:rsidR="00184FDE" w:rsidRDefault="00184FDE">
              <w:pPr>
                <w:tabs>
                  <w:tab w:val="center" w:pos="-7800"/>
                  <w:tab w:val="left" w:pos="6237"/>
                  <w:tab w:val="right" w:pos="8306"/>
                </w:tabs>
                <w:ind w:right="-2"/>
                <w:jc w:val="both"/>
                <w:rPr>
                  <w:lang w:eastAsia="lt-LT"/>
                </w:rPr>
              </w:pPr>
            </w:p>
            <w:p w:rsidR="00184FDE" w:rsidRDefault="00184FDE">
              <w:pPr>
                <w:tabs>
                  <w:tab w:val="center" w:pos="-7800"/>
                  <w:tab w:val="left" w:pos="6237"/>
                  <w:tab w:val="right" w:pos="8306"/>
                </w:tabs>
                <w:ind w:right="-2"/>
                <w:jc w:val="both"/>
                <w:rPr>
                  <w:lang w:eastAsia="lt-LT"/>
                </w:rPr>
              </w:pPr>
            </w:p>
            <w:p w:rsidR="00184FDE" w:rsidRDefault="00184FDE">
              <w:pPr>
                <w:tabs>
                  <w:tab w:val="center" w:pos="-7800"/>
                  <w:tab w:val="left" w:pos="6237"/>
                  <w:tab w:val="right" w:pos="8306"/>
                </w:tabs>
                <w:ind w:right="-2"/>
                <w:jc w:val="both"/>
                <w:rPr>
                  <w:lang w:eastAsia="lt-LT"/>
                </w:rPr>
              </w:pPr>
            </w:p>
            <w:p w:rsidR="00184FDE" w:rsidRDefault="007F47C6">
              <w:pPr>
                <w:jc w:val="both"/>
                <w:rPr>
                  <w:szCs w:val="24"/>
                </w:rPr>
              </w:pPr>
              <w:r>
                <w:rPr>
                  <w:szCs w:val="24"/>
                </w:rPr>
                <w:t>Laikinai einantis socialinės apsaugos ir darbo ministro pareigas</w:t>
              </w:r>
              <w:r>
                <w:rPr>
                  <w:szCs w:val="24"/>
                </w:rPr>
                <w:tab/>
              </w:r>
              <w:r>
                <w:rPr>
                  <w:szCs w:val="24"/>
                </w:rPr>
                <w:tab/>
                <w:t xml:space="preserve"> Vytautas Šilinskas</w:t>
              </w:r>
            </w:p>
            <w:p w:rsidR="00184FDE" w:rsidRDefault="007F47C6">
              <w:pPr>
                <w:jc w:val="both"/>
                <w:rPr>
                  <w:szCs w:val="24"/>
                </w:rPr>
              </w:pPr>
            </w:p>
          </w:sdtContent>
        </w:sdt>
      </w:sdtContent>
    </w:sdt>
    <w:sectPr w:rsidR="00184FDE">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4FDE" w:rsidRDefault="007F47C6">
      <w:r>
        <w:separator/>
      </w:r>
    </w:p>
  </w:endnote>
  <w:endnote w:type="continuationSeparator" w:id="0">
    <w:p w:rsidR="00184FDE" w:rsidRDefault="007F4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184FD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184FD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184FD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4FDE" w:rsidRDefault="007F47C6">
      <w:r>
        <w:separator/>
      </w:r>
    </w:p>
  </w:footnote>
  <w:footnote w:type="continuationSeparator" w:id="0">
    <w:p w:rsidR="00184FDE" w:rsidRDefault="007F47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7F47C6">
    <w:pPr>
      <w:framePr w:wrap="auto" w:vAnchor="text" w:hAnchor="margin" w:xAlign="center" w:y="1"/>
      <w:tabs>
        <w:tab w:val="center" w:pos="4153"/>
        <w:tab w:val="right" w:pos="8306"/>
      </w:tabs>
    </w:pPr>
    <w:r>
      <w:fldChar w:fldCharType="begin"/>
    </w:r>
    <w:r>
      <w:instrText xml:space="preserve">PAGE  </w:instrText>
    </w:r>
    <w:r>
      <w:fldChar w:fldCharType="end"/>
    </w:r>
  </w:p>
  <w:p w:rsidR="00184FDE" w:rsidRDefault="00184FDE">
    <w:pPr>
      <w:tabs>
        <w:tab w:val="center" w:pos="4153"/>
        <w:tab w:val="right" w:pos="8306"/>
      </w:tabs>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7F47C6">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noProof/>
        <w:sz w:val="22"/>
      </w:rPr>
      <w:t>3</w:t>
    </w:r>
    <w:r>
      <w:rPr>
        <w:sz w:val="22"/>
      </w:rPr>
      <w:fldChar w:fldCharType="end"/>
    </w:r>
  </w:p>
  <w:p w:rsidR="00184FDE" w:rsidRDefault="00184FDE">
    <w:pPr>
      <w:tabs>
        <w:tab w:val="center" w:pos="4153"/>
        <w:tab w:val="right" w:pos="8306"/>
      </w:tabs>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FDE" w:rsidRDefault="00184FD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84FDE"/>
    <w:rsid w:val="004C66E7"/>
    <w:rsid w:val="007F47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A07DA0"/>
  <w15:docId w15:val="{BBDFB55D-54E2-4795-992A-74B7C9105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639021">
      <w:bodyDiv w:val="1"/>
      <w:marLeft w:val="0"/>
      <w:marRight w:val="0"/>
      <w:marTop w:val="0"/>
      <w:marBottom w:val="0"/>
      <w:divBdr>
        <w:top w:val="none" w:sz="0" w:space="0" w:color="auto"/>
        <w:left w:val="none" w:sz="0" w:space="0" w:color="auto"/>
        <w:bottom w:val="none" w:sz="0" w:space="0" w:color="auto"/>
        <w:right w:val="none" w:sz="0" w:space="0" w:color="auto"/>
      </w:divBdr>
    </w:div>
    <w:div w:id="134641053">
      <w:bodyDiv w:val="1"/>
      <w:marLeft w:val="0"/>
      <w:marRight w:val="0"/>
      <w:marTop w:val="0"/>
      <w:marBottom w:val="0"/>
      <w:divBdr>
        <w:top w:val="none" w:sz="0" w:space="0" w:color="auto"/>
        <w:left w:val="none" w:sz="0" w:space="0" w:color="auto"/>
        <w:bottom w:val="none" w:sz="0" w:space="0" w:color="auto"/>
        <w:right w:val="none" w:sz="0" w:space="0" w:color="auto"/>
      </w:divBdr>
    </w:div>
    <w:div w:id="332922886">
      <w:bodyDiv w:val="1"/>
      <w:marLeft w:val="0"/>
      <w:marRight w:val="0"/>
      <w:marTop w:val="0"/>
      <w:marBottom w:val="0"/>
      <w:divBdr>
        <w:top w:val="none" w:sz="0" w:space="0" w:color="auto"/>
        <w:left w:val="none" w:sz="0" w:space="0" w:color="auto"/>
        <w:bottom w:val="none" w:sz="0" w:space="0" w:color="auto"/>
        <w:right w:val="none" w:sz="0" w:space="0" w:color="auto"/>
      </w:divBdr>
    </w:div>
    <w:div w:id="335235870">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87321147">
      <w:bodyDiv w:val="1"/>
      <w:marLeft w:val="0"/>
      <w:marRight w:val="0"/>
      <w:marTop w:val="0"/>
      <w:marBottom w:val="0"/>
      <w:divBdr>
        <w:top w:val="none" w:sz="0" w:space="0" w:color="auto"/>
        <w:left w:val="none" w:sz="0" w:space="0" w:color="auto"/>
        <w:bottom w:val="none" w:sz="0" w:space="0" w:color="auto"/>
        <w:right w:val="none" w:sz="0" w:space="0" w:color="auto"/>
      </w:divBdr>
      <w:divsChild>
        <w:div w:id="813453263">
          <w:marLeft w:val="0"/>
          <w:marRight w:val="0"/>
          <w:marTop w:val="0"/>
          <w:marBottom w:val="0"/>
          <w:divBdr>
            <w:top w:val="none" w:sz="0" w:space="0" w:color="auto"/>
            <w:left w:val="none" w:sz="0" w:space="0" w:color="auto"/>
            <w:bottom w:val="none" w:sz="0" w:space="0" w:color="auto"/>
            <w:right w:val="none" w:sz="0" w:space="0" w:color="auto"/>
          </w:divBdr>
        </w:div>
        <w:div w:id="327248598">
          <w:marLeft w:val="0"/>
          <w:marRight w:val="0"/>
          <w:marTop w:val="0"/>
          <w:marBottom w:val="0"/>
          <w:divBdr>
            <w:top w:val="none" w:sz="0" w:space="0" w:color="auto"/>
            <w:left w:val="none" w:sz="0" w:space="0" w:color="auto"/>
            <w:bottom w:val="none" w:sz="0" w:space="0" w:color="auto"/>
            <w:right w:val="none" w:sz="0" w:space="0" w:color="auto"/>
          </w:divBdr>
          <w:divsChild>
            <w:div w:id="1292440598">
              <w:marLeft w:val="0"/>
              <w:marRight w:val="0"/>
              <w:marTop w:val="0"/>
              <w:marBottom w:val="0"/>
              <w:divBdr>
                <w:top w:val="none" w:sz="0" w:space="0" w:color="auto"/>
                <w:left w:val="none" w:sz="0" w:space="0" w:color="auto"/>
                <w:bottom w:val="none" w:sz="0" w:space="0" w:color="auto"/>
                <w:right w:val="none" w:sz="0" w:space="0" w:color="auto"/>
              </w:divBdr>
              <w:divsChild>
                <w:div w:id="1687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568507">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609002345">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e6fc94ca9314e0485da0e03d2015ba0" PartId="7c0930009ec84949b94bf5ccbb499f52">
    <Part Type="preambule" DocPartId="f7427d21af554ce2bc4040429e7d4bea" PartId="c576917f6d8f4fc88f6e2d8e55a54a0b"/>
    <Part Type="punktas" Nr="1" Abbr="1 p." DocPartId="4d18740d73204f92a5295481d6be5e3a" PartId="3b1b79aba9fd4f1fb464d2ed44e3c76c">
      <Part Type="papunktis" Nr="1.1" Abbr="1.1 pp." DocPartId="adfa0473b22143ff85eb46484d9e4f7c" PartId="998c7cd40ae44e31b2ac004f66fd4062">
        <Part Type="citata" DocPartId="e5a5659e182f46279a2fc69668dc649d" PartId="11a5f9b378da44639892d02de151b587">
          <Part Type="punktas" Nr="55-1" Abbr="55-1 p." DocPartId="13c2099ff8c84e74b460ff1449f03897" PartId="60577775331648fdb897f02a985ab43c"/>
        </Part>
      </Part>
      <Part Type="papunktis" Nr="1.2" Abbr="1.2 pp." DocPartId="12e6f537908648969782b024c98fcd38" PartId="e0c8702c3a9d4e81a2f4087fdaf9c58d">
        <Part Type="citata" DocPartId="cdd8286f8d894f9aadd9a719fba9ee5b" PartId="24be3d1f84c54ef6a6497aeac179dd87">
          <Part Type="punktas" Nr="56" Abbr="56 p." DocPartId="f09fc584ce0c4ecab73ac74d0ebe360f" PartId="1f72bb3fb510478c87d4edf35ec1b5f1"/>
        </Part>
      </Part>
      <Part Type="papunktis" Nr="1.3" Abbr="1.3 pp." DocPartId="f60d0af3a53643598aa409bf2ec1c67a" PartId="ccba3d7eace5449ca9d28b86a2ba9a84">
        <Part Type="citata" DocPartId="8fe2fc8cdbaf4fa7b93065d792702517" PartId="db8f2c75a51d445482e93faa5aecda02">
          <Part Type="punktas" Nr="56-1" Abbr="56-1 p." DocPartId="40599546427e4d69a50c130689da279e" PartId="6df53c2e925d48f69e8a87c98bc955ca"/>
        </Part>
      </Part>
      <Part Type="papunktis" Nr="1.4" Abbr="1.4 pp." DocPartId="58bbe004c9e649288597dc1a41acc32d" PartId="5c7a46e7d7164437b69240bacf4a083f">
        <Part Type="citata" DocPartId="30f03c65ea1a4cf58225331bbd443a26" PartId="40687da4797b48668a3bdb3a3e641301">
          <Part Type="punktas" Nr="58" Abbr="58 p." DocPartId="1773f31522334c9fb76b65e7b3b2b574" PartId="931fabae6e404083a41b4feef1377e5c"/>
        </Part>
      </Part>
      <Part Type="papunktis" Nr="1.5" Abbr="1.5 pp." DocPartId="3122843d0d974933a292cd54d339dabd" PartId="c9628d14224a406f9b1214bd9bcfc8ee">
        <Part Type="citata" DocPartId="a3acd6b983bf4ca29ec5841c363e9181" PartId="f5b38cd0ed07462e864ed0ccb2b947f3">
          <Part Type="punktas" Nr="59-2" Abbr="59-2 p." DocPartId="3279f5d5ee1d43f69a8313325ff428cb" PartId="1028325ce6904de3ab690684ccab3a0d"/>
        </Part>
      </Part>
      <Part Type="papunktis" Nr="1.6" Abbr="1.6 pp." DocPartId="5a751f43668f4899a6d80d4b97263608" PartId="0501a03209cf4b7d8ed3b4657db6aead">
        <Part Type="citata" DocPartId="37ff86bc980c4c03acb53d7c209f3ff2" PartId="5769396a64104658ab329b62e7643164">
          <Part Type="punktas" Nr="59-3" Abbr="59-3 p." DocPartId="6a550a1fe19e42baba57927a2d5f2b6c" PartId="7d76a2e0acf044ee8a67a1568b6ab1fd"/>
        </Part>
      </Part>
      <Part Type="papunktis" Nr="1.7" Abbr="1.7 pp." DocPartId="0cbd790d870344d495350d4aa6b639e2" PartId="ca39d2a35bfa4f82bb51d6e00618e96e">
        <Part Type="citata" DocPartId="625b271596b2453982aa2919f1ee80b0" PartId="9efa80bfa4e34a4bacf4a6231397f9c2">
          <Part Type="punktas" Nr="66-1" Abbr="66-1 p." DocPartId="232c6422e38e4d7a9d4dc1e8439b7f78" PartId="dcf517e08a1449b0a5c6e71b4b1d9b55"/>
        </Part>
      </Part>
      <Part Type="papunktis" Nr="1.8" Abbr="1.8 pp." DocPartId="4c2296b833b54c70ac1806381f05f605" PartId="36c77e457f3142bd97b4e1dee6bf3bbf">
        <Part Type="citata" DocPartId="06de14b74c0b46a48dbb19e0893018ba" PartId="10802969861448cb95da4cde6ee51cc0">
          <Part Type="punktas" Nr="70-1" Abbr="70-1 p." DocPartId="de3e7dea2b4949f7958b38369fbfb6f1" PartId="451ac0189b8b49e6aebcd7039e1bfca4"/>
        </Part>
      </Part>
    </Part>
    <Part Type="punktas" Nr="2" Abbr="2 p." DocPartId="6054204dbd5847d5997f5ba13d1a3c68" PartId="00c25f2e8eb04d6b85b1e82d729eea6f"/>
    <Part Type="signatura" DocPartId="9cdea414d5884ab2988d96a2d4da35c6" PartId="31ee8dc88bb84044b67858f3587214b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496F2-B95F-45E8-BEE3-22E9897627A0}">
  <ds:schemaRefs>
    <ds:schemaRef ds:uri="http://lrs.lt/TAIS/DocParts"/>
  </ds:schemaRefs>
</ds:datastoreItem>
</file>

<file path=customXml/itemProps2.xml><?xml version="1.0" encoding="utf-8"?>
<ds:datastoreItem xmlns:ds="http://schemas.openxmlformats.org/officeDocument/2006/customXml" ds:itemID="{9349180D-4D52-42E0-B3CB-60FAB57D8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3895</Words>
  <Characters>2221</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6104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2010-05-10T06:39:00Z</cp:lastPrinted>
  <dcterms:created xsi:type="dcterms:W3CDTF">2024-12-02T14:25:00Z</dcterms:created>
  <dcterms:modified xsi:type="dcterms:W3CDTF">2024-12-02T17:16:00Z</dcterms:modified>
</cp:coreProperties>
</file>