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df7b7a0cbfd4027bdbfaf2e202c3353"/>
        <w:id w:val="-1208880798"/>
        <w:lock w:val="sdtLocked"/>
      </w:sdtPr>
      <w:sdtEndPr/>
      <w:sdtContent>
        <w:p w:rsidR="0015561E" w:rsidRDefault="0015561E" w:rsidP="00DE1550">
          <w:pPr>
            <w:tabs>
              <w:tab w:val="center" w:pos="4986"/>
              <w:tab w:val="right" w:pos="9972"/>
            </w:tabs>
            <w:jc w:val="center"/>
          </w:pPr>
        </w:p>
        <w:p w:rsidR="0015561E" w:rsidRDefault="00DE1550">
          <w:pPr>
            <w:shd w:val="clear" w:color="auto" w:fill="FFFFFF"/>
            <w:tabs>
              <w:tab w:val="left" w:pos="0"/>
            </w:tabs>
            <w:spacing w:line="276" w:lineRule="auto"/>
            <w:jc w:val="center"/>
            <w:rPr>
              <w:color w:val="000000"/>
              <w:szCs w:val="24"/>
            </w:rPr>
          </w:pPr>
          <w:r>
            <w:rPr>
              <w:noProof/>
              <w:color w:val="000000"/>
              <w:szCs w:val="24"/>
              <w:lang w:eastAsia="lt-LT"/>
            </w:rPr>
            <w:drawing>
              <wp:inline distT="0" distB="0" distL="0" distR="0" wp14:anchorId="5C5320B5" wp14:editId="7C1AA235">
                <wp:extent cx="536575" cy="640080"/>
                <wp:effectExtent l="0" t="0" r="0" b="762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6575" cy="6400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15561E" w:rsidRDefault="0015561E" w:rsidP="00DE1550">
          <w:pPr>
            <w:jc w:val="center"/>
            <w:rPr>
              <w:color w:val="000000"/>
              <w:sz w:val="16"/>
              <w:szCs w:val="16"/>
              <w:lang w:eastAsia="lt-LT"/>
            </w:rPr>
          </w:pPr>
        </w:p>
        <w:p w:rsidR="0015561E" w:rsidRDefault="00DE1550" w:rsidP="00DE1550"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 xml:space="preserve">LIETUVOS RESPUBLIKOS SPECIALIŲJŲ TYRIMŲ TARNYBOS </w:t>
          </w:r>
        </w:p>
        <w:p w:rsidR="0015561E" w:rsidRDefault="00DE1550" w:rsidP="00DE1550"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 xml:space="preserve">DIREKTORIUS </w:t>
          </w:r>
        </w:p>
        <w:p w:rsidR="0015561E" w:rsidRDefault="0015561E" w:rsidP="00DE1550">
          <w:pPr>
            <w:jc w:val="center"/>
            <w:rPr>
              <w:b/>
              <w:color w:val="000000"/>
              <w:szCs w:val="24"/>
              <w:lang w:eastAsia="lt-LT"/>
            </w:rPr>
          </w:pPr>
        </w:p>
        <w:p w:rsidR="0015561E" w:rsidRDefault="00DE1550" w:rsidP="00DE1550"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 xml:space="preserve">ĮSAKYMAS </w:t>
          </w:r>
        </w:p>
        <w:p w:rsidR="0015561E" w:rsidRDefault="00DE1550" w:rsidP="00DE1550">
          <w:pPr>
            <w:widowControl w:val="0"/>
            <w:jc w:val="center"/>
            <w:rPr>
              <w:b/>
              <w:color w:val="000000"/>
              <w:szCs w:val="24"/>
            </w:rPr>
          </w:pPr>
          <w:r>
            <w:rPr>
              <w:b/>
              <w:szCs w:val="24"/>
            </w:rPr>
            <w:t>DĖL LIETUVOS RESPUBLIKOS SPECIALIŲJŲ TYRIMŲ TARNYBOS DIREKTORIAUS 2021 M. LAPKRIČIO 24 D. ĮSAKYMO NR. 2-242 „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Lietuvos Respublikos specialiųjų tyrimų tarnybos atliekamo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teisės aktų ar jų projektų antikorupcinio vertinimo tvarkos aprašo patvirtinimo</w:t>
          </w:r>
          <w:r>
            <w:rPr>
              <w:b/>
              <w:szCs w:val="24"/>
            </w:rPr>
            <w:t>“ PAKEITIMO</w:t>
          </w:r>
        </w:p>
        <w:p w:rsidR="0015561E" w:rsidRDefault="0015561E" w:rsidP="00DE1550">
          <w:pPr>
            <w:jc w:val="center"/>
            <w:rPr>
              <w:color w:val="000000"/>
              <w:szCs w:val="24"/>
            </w:rPr>
          </w:pPr>
        </w:p>
        <w:p w:rsidR="00DE1550" w:rsidRPr="00DE1550" w:rsidRDefault="00DE1550" w:rsidP="00DE1550">
          <w:pPr>
            <w:jc w:val="center"/>
            <w:rPr>
              <w:szCs w:val="24"/>
              <w:lang w:eastAsia="lt-LT"/>
            </w:rPr>
          </w:pPr>
          <w:r>
            <w:rPr>
              <w:color w:val="000000"/>
              <w:szCs w:val="24"/>
            </w:rPr>
            <w:t xml:space="preserve">2023 m. spalio 11 d. </w:t>
          </w:r>
          <w:r>
            <w:rPr>
              <w:color w:val="000000"/>
              <w:szCs w:val="24"/>
            </w:rPr>
            <w:t xml:space="preserve">Nr. </w:t>
          </w:r>
          <w:r w:rsidRPr="00DE1550">
            <w:rPr>
              <w:szCs w:val="24"/>
              <w:lang w:eastAsia="lt-LT"/>
            </w:rPr>
            <w:t>2-143</w:t>
          </w:r>
        </w:p>
        <w:p w:rsidR="0015561E" w:rsidRDefault="00DE1550" w:rsidP="00DE1550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:rsidR="0015561E" w:rsidRPr="00DE1550" w:rsidRDefault="0015561E" w:rsidP="00DE1550">
          <w:pPr>
            <w:widowControl w:val="0"/>
            <w:jc w:val="center"/>
            <w:rPr>
              <w:bCs/>
              <w:caps/>
              <w:color w:val="000000"/>
              <w:szCs w:val="24"/>
              <w:lang w:eastAsia="lt-LT"/>
            </w:rPr>
          </w:pPr>
        </w:p>
        <w:p w:rsidR="0015561E" w:rsidRPr="00DE1550" w:rsidRDefault="0015561E" w:rsidP="00DE1550">
          <w:pPr>
            <w:widowControl w:val="0"/>
            <w:jc w:val="center"/>
            <w:rPr>
              <w:bCs/>
              <w:caps/>
              <w:color w:val="000000"/>
              <w:szCs w:val="24"/>
              <w:lang w:eastAsia="lt-LT"/>
            </w:rPr>
          </w:pPr>
        </w:p>
        <w:sdt>
          <w:sdtPr>
            <w:alias w:val="1 p."/>
            <w:tag w:val="part_722a5c0c4382403da6ce8b009c7154fb"/>
            <w:id w:val="613328791"/>
            <w:lock w:val="sdtLocked"/>
          </w:sdtPr>
          <w:sdtEndPr/>
          <w:sdtContent>
            <w:p w:rsidR="0015561E" w:rsidRDefault="00DE1550">
              <w:pPr>
                <w:widowControl w:val="0"/>
                <w:spacing w:line="360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22a5c0c4382403da6ce8b009c7154fb"/>
                  <w:id w:val="124037047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pacing w:val="58"/>
                  <w:szCs w:val="24"/>
                  <w:lang w:eastAsia="lt-LT"/>
                </w:rPr>
                <w:t xml:space="preserve"> Pakeičiu</w:t>
              </w:r>
              <w:r>
                <w:rPr>
                  <w:color w:val="000000"/>
                  <w:szCs w:val="24"/>
                  <w:lang w:eastAsia="lt-LT"/>
                </w:rPr>
                <w:t xml:space="preserve"> Lietuvos Respublikos </w:t>
              </w:r>
              <w:r>
                <w:rPr>
                  <w:szCs w:val="24"/>
                </w:rPr>
                <w:t>specialiųjų tyrimų tarnybos atliekamo teisės aktų ar jų projektų antikorupcinio vertinimo tvarkos aprašą, patvirti</w:t>
              </w:r>
              <w:r>
                <w:rPr>
                  <w:szCs w:val="24"/>
                </w:rPr>
                <w:t>ntą</w:t>
              </w:r>
              <w:r>
                <w:rPr>
                  <w:color w:val="000000"/>
                  <w:szCs w:val="24"/>
                  <w:lang w:eastAsia="lt-LT"/>
                </w:rPr>
                <w:t xml:space="preserve"> Lietuvos Respublikos specialiųjų tyrimų tarnybos direktoriaus 2021 m. lapkričio 24 d. įsakymu Nr. </w:t>
              </w:r>
              <w:r>
                <w:rPr>
                  <w:color w:val="000000"/>
                  <w:szCs w:val="24"/>
                </w:rPr>
                <w:t>2-242</w:t>
              </w:r>
              <w:r>
                <w:rPr>
                  <w:color w:val="000000"/>
                  <w:szCs w:val="24"/>
                  <w:lang w:eastAsia="lt-LT"/>
                </w:rPr>
                <w:t xml:space="preserve"> „Dėl Lietuvos Respublikos </w:t>
              </w:r>
              <w:r>
                <w:rPr>
                  <w:szCs w:val="24"/>
                </w:rPr>
                <w:t>specialiųjų tyrimų tarnybos atliekamo teisės aktų ar jų projektų antikorupcinio vertinimo tvarkos aprašo patvirtinimo“</w:t>
              </w:r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  <w:sdt>
              <w:sdtPr>
                <w:alias w:val="1.1 pp."/>
                <w:tag w:val="part_f44275e900b240248a5fd586dbf75fc6"/>
                <w:id w:val="1416829994"/>
                <w:lock w:val="sdtLocked"/>
              </w:sdtPr>
              <w:sdtEndPr/>
              <w:sdtContent>
                <w:p w:rsidR="0015561E" w:rsidRDefault="00DE1550">
                  <w:pPr>
                    <w:widowControl w:val="0"/>
                    <w:suppressAutoHyphens/>
                    <w:spacing w:line="360" w:lineRule="auto"/>
                    <w:ind w:firstLine="851"/>
                    <w:jc w:val="both"/>
                    <w:textAlignment w:val="center"/>
                    <w:rPr>
                      <w:color w:val="000000"/>
                      <w:spacing w:val="-4"/>
                      <w:szCs w:val="24"/>
                      <w:vertAlign w:val="superscript"/>
                    </w:rPr>
                  </w:pPr>
                  <w:sdt>
                    <w:sdtPr>
                      <w:alias w:val="Numeris"/>
                      <w:tag w:val="nr_f44275e900b240248a5fd586dbf75fc6"/>
                      <w:id w:val="116998866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pacing w:val="-4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pacing w:val="-4"/>
                      <w:szCs w:val="24"/>
                    </w:rPr>
                    <w:t xml:space="preserve">. Pakeičiu </w:t>
                  </w:r>
                  <w:r>
                    <w:rPr>
                      <w:szCs w:val="24"/>
                    </w:rPr>
                    <w:t>20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.2 pa</w:t>
                  </w:r>
                  <w:r>
                    <w:rPr>
                      <w:color w:val="000000"/>
                      <w:spacing w:val="-4"/>
                      <w:szCs w:val="24"/>
                    </w:rPr>
                    <w:t>punktį ir jį išdėstau taip:</w:t>
                  </w:r>
                </w:p>
                <w:sdt>
                  <w:sdtPr>
                    <w:alias w:val="citata"/>
                    <w:tag w:val="part_9dd2acd0c5d1401384550daee55ef474"/>
                    <w:id w:val="1723712397"/>
                    <w:lock w:val="sdtLocked"/>
                  </w:sdtPr>
                  <w:sdtEndPr/>
                  <w:sdtContent>
                    <w:sdt>
                      <w:sdtPr>
                        <w:alias w:val="20-1.2 pp."/>
                        <w:tag w:val="part_29eff1117f8943b7be358030b80a084f"/>
                        <w:id w:val="1255316929"/>
                        <w:lock w:val="sdtLocked"/>
                      </w:sdtPr>
                      <w:sdtEndPr/>
                      <w:sdtContent>
                        <w:p w:rsidR="0015561E" w:rsidRDefault="00DE1550">
                          <w:pPr>
                            <w:widowControl w:val="0"/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eff1117f8943b7be358030b80a084f"/>
                              <w:id w:val="-2969123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20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</w:rPr>
                                <w:t>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į</w:t>
                          </w:r>
                          <w:r>
                            <w:rPr>
                              <w:color w:val="333333"/>
                              <w:shd w:val="clear" w:color="auto" w:fill="FFFFFF"/>
                            </w:rPr>
                            <w:t xml:space="preserve">traukti informaciją apie </w:t>
                          </w:r>
                          <w:r>
                            <w:rPr>
                              <w:szCs w:val="24"/>
                            </w:rPr>
                            <w:t xml:space="preserve">antikorupcinio vertinimo išvados gavėjo </w:t>
                          </w:r>
                          <w:r>
                            <w:rPr>
                              <w:color w:val="333333"/>
                              <w:shd w:val="clear" w:color="auto" w:fill="FFFFFF"/>
                            </w:rPr>
                            <w:t xml:space="preserve">neatsižvelgimą į </w:t>
                          </w:r>
                          <w:r>
                            <w:rPr>
                              <w:szCs w:val="24"/>
                            </w:rPr>
                            <w:t xml:space="preserve">antikorupcinio vertinimo išvadoje nurodytas kritines ir (ar) kitas antikorupcines pastabas ir pasiūlymus į </w:t>
                          </w:r>
                          <w:r>
                            <w:rPr>
                              <w:color w:val="333333"/>
                              <w:shd w:val="clear" w:color="auto" w:fill="FFFFFF"/>
                            </w:rPr>
                            <w:t xml:space="preserve">STT </w:t>
                          </w:r>
                          <w:r>
                            <w:rPr>
                              <w:color w:val="333333"/>
                              <w:shd w:val="clear" w:color="auto" w:fill="FFFFFF"/>
                            </w:rPr>
                            <w:t xml:space="preserve">Korupcijos prevencijos valdybos vidaus dokumentus, kurie naudojami tolesniuose teisėkūros procesuose siūlant įgyvendinti </w:t>
                          </w:r>
                          <w:r>
                            <w:rPr>
                              <w:szCs w:val="24"/>
                            </w:rPr>
                            <w:t>antikorupcinio vertinimo išvadoje nurodytas kritines ir (ar) kitas antikorupcines pastabas ir pasiūlymus,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siūlyti įtraukti atitinkamas </w:t>
                          </w:r>
                          <w:r>
                            <w:rPr>
                              <w:szCs w:val="24"/>
                            </w:rPr>
                            <w:t>priemones į korupcijos prevencijos planavimo dokumentus ir (ar) atlikti Lietuvos Respublikos korupcijos prevencijos įstatymo 26 straipsnio 1 dalies 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–</w:t>
                          </w:r>
                          <w:r>
                            <w:rPr>
                              <w:szCs w:val="24"/>
                            </w:rPr>
                            <w:t>4 punktuose nustatytus veiksmus, kai antikorupcinio vertinimo išvados gavėjo pateikti argumentai dėl neats</w:t>
                          </w:r>
                          <w:r>
                            <w:rPr>
                              <w:szCs w:val="24"/>
                            </w:rPr>
                            <w:t>ižvelgimo į antikorupcinio vertinimo išvadoje nurodytas kritines ir kitas antikorupcines pastabas ir pasiūlymus vertintini kaip nepagrįsti, taip pat kai antikorupcinio vertinimo išvados gavėjas po STT pakartotinio kreipimosi viešai nepaskelbia (ar kitu būd</w:t>
                          </w:r>
                          <w:r>
                            <w:rPr>
                              <w:szCs w:val="24"/>
                            </w:rPr>
                            <w:t>u Specialiųjų tyrimų tarnybai nepateikia) Korupcijos prevencijos įstatymo 8 straipsnio 8 dalyje nurodytos informacijos.“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f66a073abea9466bb9da11c1995da6d7"/>
                <w:id w:val="957687637"/>
                <w:lock w:val="sdtLocked"/>
              </w:sdtPr>
              <w:sdtEndPr/>
              <w:sdtContent>
                <w:p w:rsidR="0015561E" w:rsidRDefault="00DE1550">
                  <w:pPr>
                    <w:widowControl w:val="0"/>
                    <w:suppressAutoHyphens/>
                    <w:spacing w:line="360" w:lineRule="auto"/>
                    <w:ind w:firstLine="851"/>
                    <w:jc w:val="both"/>
                    <w:textAlignment w:val="center"/>
                    <w:rPr>
                      <w:color w:val="000000"/>
                      <w:spacing w:val="-4"/>
                      <w:szCs w:val="24"/>
                      <w:vertAlign w:val="superscript"/>
                    </w:rPr>
                  </w:pPr>
                  <w:sdt>
                    <w:sdtPr>
                      <w:alias w:val="Numeris"/>
                      <w:tag w:val="nr_f66a073abea9466bb9da11c1995da6d7"/>
                      <w:id w:val="-87878011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pacing w:val="-4"/>
                      <w:szCs w:val="24"/>
                    </w:rPr>
                    <w:t>Pakeičiu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pacing w:val="-4"/>
                      <w:szCs w:val="24"/>
                    </w:rPr>
                    <w:t>21</w:t>
                  </w:r>
                  <w:r>
                    <w:rPr>
                      <w:color w:val="000000"/>
                      <w:spacing w:val="-4"/>
                      <w:szCs w:val="24"/>
                      <w:vertAlign w:val="superscript"/>
                    </w:rPr>
                    <w:t xml:space="preserve">1 </w:t>
                  </w:r>
                  <w:r>
                    <w:rPr>
                      <w:color w:val="000000"/>
                      <w:spacing w:val="-4"/>
                      <w:szCs w:val="24"/>
                    </w:rPr>
                    <w:t>punktą ir jį išdėstau taip:</w:t>
                  </w:r>
                </w:p>
                <w:sdt>
                  <w:sdtPr>
                    <w:alias w:val="citata"/>
                    <w:tag w:val="part_baaf86e569f74809aae40ded26f277d1"/>
                    <w:id w:val="1212464278"/>
                    <w:lock w:val="sdtLocked"/>
                  </w:sdtPr>
                  <w:sdtEndPr/>
                  <w:sdtContent>
                    <w:sdt>
                      <w:sdtPr>
                        <w:alias w:val="21-1 p."/>
                        <w:tag w:val="part_3fa8871caa0d48cf9cf9f86c9bc2b15b"/>
                        <w:id w:val="-639650339"/>
                        <w:lock w:val="sdtLocked"/>
                      </w:sdtPr>
                      <w:sdtEndPr/>
                      <w:sdtContent>
                        <w:p w:rsidR="0015561E" w:rsidRDefault="00DE1550">
                          <w:pPr>
                            <w:widowControl w:val="0"/>
                            <w:tabs>
                              <w:tab w:val="left" w:pos="709"/>
                              <w:tab w:val="left" w:pos="1276"/>
                              <w:tab w:val="left" w:pos="141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a8871caa0d48cf9cf9f86c9bc2b15b"/>
                              <w:id w:val="8354970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4"/>
                                  <w:szCs w:val="24"/>
                                </w:rPr>
                                <w:t>21</w:t>
                              </w:r>
                              <w:r>
                                <w:rPr>
                                  <w:color w:val="000000"/>
                                  <w:spacing w:val="-4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t>Kai a</w:t>
                          </w:r>
                          <w:r>
                            <w:rPr>
                              <w:szCs w:val="24"/>
                            </w:rPr>
                            <w:t xml:space="preserve">ntikorupcinio vertinimo išvados gavėjas pateikia informaciją apie atsižvelgimą (neatsižvelgimą) į antikorupcinio vertinimo išvadoje nurodytas kritines ir kitas antikorupcines </w:t>
                          </w:r>
                          <w:r>
                            <w:rPr>
                              <w:szCs w:val="24"/>
                            </w:rPr>
                            <w:lastRenderedPageBreak/>
                            <w:t xml:space="preserve">pastabas ir pasiūlymus, taip pat kai antikorupcinio vertinimo išvados gavėjas po </w:t>
                          </w:r>
                          <w:r>
                            <w:rPr>
                              <w:szCs w:val="24"/>
                            </w:rPr>
                            <w:t xml:space="preserve">Aprašo 17.2 ir 19.2 papunkčiuose nurodyto STT pakartotinio kreipimosi viešai nepaskelbia (ar kitu būdu Specialiųjų tyrimų tarnybai nepateikia) Korupcijos prevencijos įstatymo 8 straipsnio 8 dalyje nurodytos informacijos, </w:t>
                          </w:r>
                          <w:r>
                            <w:t xml:space="preserve">vertintojas </w:t>
                          </w:r>
                          <w:r>
                            <w:rPr>
                              <w:color w:val="000000"/>
                            </w:rPr>
                            <w:t xml:space="preserve">užpildo antikorupcinio </w:t>
                          </w:r>
                          <w:r>
                            <w:rPr>
                              <w:color w:val="000000"/>
                            </w:rPr>
                            <w:t>vertinimo išvados įgyvendinimo pažymą</w:t>
                          </w:r>
                          <w:r>
                            <w:rPr>
                              <w:i/>
                              <w:iCs/>
                            </w:rPr>
                            <w:t xml:space="preserve"> </w:t>
                          </w:r>
                          <w:r>
                            <w:t>(pažymos skiltį „Specialiųjų tyrimų tarnybos vertinimas“) ir ją išsiunčia a</w:t>
                          </w:r>
                          <w:r>
                            <w:rPr>
                              <w:color w:val="000000"/>
                            </w:rPr>
                            <w:t>ntikorupcinio vertinimo išvados gavėjui</w:t>
                          </w:r>
                          <w:r>
                            <w:t xml:space="preserve"> bei</w:t>
                          </w:r>
                          <w:r>
                            <w:rPr>
                              <w:i/>
                              <w:iCs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pacing w:val="-4"/>
                            </w:rPr>
                            <w:t xml:space="preserve">paskelbia </w:t>
                          </w:r>
                          <w:r>
                            <w:t>Lietuvos Respublikos Seimo teisės aktų informacinėje sistemoje. Kai a</w:t>
                          </w:r>
                          <w:r>
                            <w:rPr>
                              <w:szCs w:val="24"/>
                            </w:rPr>
                            <w:t>ntikorupcinio vertin</w:t>
                          </w:r>
                          <w:r>
                            <w:rPr>
                              <w:szCs w:val="24"/>
                            </w:rPr>
                            <w:t>imo išvados gavėjas informuoja, kad į antikorupcinio vertinimo išvadoje pateiktas kritines ir kitas antikorupcines pastabas ir pasiūlymus bus atsižvelgta per ilgesnį laiko tarpą, STT raštu</w:t>
                          </w:r>
                          <w:r>
                            <w:t xml:space="preserve"> informuoja a</w:t>
                          </w:r>
                          <w:r>
                            <w:rPr>
                              <w:color w:val="000000"/>
                            </w:rPr>
                            <w:t xml:space="preserve">ntikorupcinio vertinimo išvados gavėją apie tęsiamą </w:t>
                          </w:r>
                          <w:r>
                            <w:rPr>
                              <w:szCs w:val="24"/>
                            </w:rPr>
                            <w:t>ant</w:t>
                          </w:r>
                          <w:r>
                            <w:rPr>
                              <w:szCs w:val="24"/>
                            </w:rPr>
                            <w:t>ikorupcinio vertinimo išvadoje pateiktų pastabų ir pasiūlymų įgyvendinimo</w:t>
                          </w:r>
                          <w:r>
                            <w:rPr>
                              <w:color w:val="000000"/>
                            </w:rPr>
                            <w:t xml:space="preserve"> stebėseną</w:t>
                          </w:r>
                          <w:r>
                            <w:t xml:space="preserve"> bei</w:t>
                          </w:r>
                          <w:r>
                            <w:rPr>
                              <w:iCs/>
                            </w:rPr>
                            <w:t xml:space="preserve"> šį raštą </w:t>
                          </w:r>
                          <w:r>
                            <w:rPr>
                              <w:color w:val="000000"/>
                              <w:spacing w:val="-4"/>
                            </w:rPr>
                            <w:t xml:space="preserve">paskelbia </w:t>
                          </w:r>
                          <w:r>
                            <w:t>Lietuvos Respublikos Seimo teisės aktų informacinėje sistemoje.“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42fe1bdb8a94f63bfd5b0fdb3243548"/>
            <w:id w:val="874812777"/>
            <w:lock w:val="sdtLocked"/>
          </w:sdtPr>
          <w:sdtEndPr/>
          <w:sdtContent>
            <w:p w:rsidR="0015561E" w:rsidRDefault="00DE1550" w:rsidP="00DE1550">
              <w:pPr>
                <w:widowControl w:val="0"/>
                <w:tabs>
                  <w:tab w:val="left" w:pos="709"/>
                  <w:tab w:val="left" w:pos="1276"/>
                  <w:tab w:val="left" w:pos="141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851"/>
                <w:jc w:val="both"/>
              </w:pPr>
              <w:sdt>
                <w:sdtPr>
                  <w:alias w:val="Numeris"/>
                  <w:tag w:val="nr_d42fe1bdb8a94f63bfd5b0fdb3243548"/>
                  <w:id w:val="-154174730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color w:val="000000"/>
                </w:rPr>
                <w:t xml:space="preserve">S k e l b i u šį įsakymą Teisės aktų registre ir Lietuvos Respublikos </w:t>
              </w:r>
              <w:r>
                <w:rPr>
                  <w:color w:val="000000"/>
                </w:rPr>
                <w:t>specialiųjų tyrimų tarnybos interneto svetainėje.</w:t>
              </w:r>
            </w:p>
          </w:sdtContent>
        </w:sdt>
        <w:sdt>
          <w:sdtPr>
            <w:alias w:val="signatura"/>
            <w:tag w:val="part_5c8124574aac4a9299bc7566ede56e7c"/>
            <w:id w:val="779234354"/>
            <w:lock w:val="sdtLocked"/>
          </w:sdtPr>
          <w:sdtEndPr/>
          <w:sdtContent>
            <w:bookmarkStart w:id="0" w:name="_GoBack" w:displacedByCustomXml="prev"/>
            <w:p w:rsidR="00DE1550" w:rsidRDefault="00DE1550" w:rsidP="00DE1550">
              <w:pPr>
                <w:widowControl w:val="0"/>
                <w:tabs>
                  <w:tab w:val="left" w:pos="7797"/>
                </w:tabs>
              </w:pPr>
            </w:p>
            <w:p w:rsidR="00DE1550" w:rsidRDefault="00DE1550" w:rsidP="00DE1550">
              <w:pPr>
                <w:widowControl w:val="0"/>
                <w:tabs>
                  <w:tab w:val="left" w:pos="7797"/>
                </w:tabs>
              </w:pPr>
            </w:p>
            <w:p w:rsidR="00DE1550" w:rsidRDefault="00DE1550" w:rsidP="00DE1550">
              <w:pPr>
                <w:widowControl w:val="0"/>
                <w:tabs>
                  <w:tab w:val="left" w:pos="7797"/>
                </w:tabs>
              </w:pPr>
            </w:p>
            <w:p w:rsidR="0015561E" w:rsidRDefault="00DE1550" w:rsidP="00DE1550">
              <w:pPr>
                <w:widowControl w:val="0"/>
                <w:tabs>
                  <w:tab w:val="left" w:pos="7797"/>
                </w:tabs>
              </w:pPr>
              <w:r>
                <w:rPr>
                  <w:color w:val="000000"/>
                  <w:szCs w:val="24"/>
                  <w:lang w:eastAsia="lt-LT"/>
                </w:rPr>
                <w:t xml:space="preserve">Direktorius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</w:rPr>
                <w:t xml:space="preserve">Linas </w:t>
              </w:r>
              <w:proofErr w:type="spellStart"/>
              <w:r>
                <w:rPr>
                  <w:color w:val="000000"/>
                  <w:szCs w:val="24"/>
                </w:rPr>
                <w:t>Pernavas</w:t>
              </w:r>
              <w:proofErr w:type="spellEnd"/>
              <w:r>
                <w:rPr>
                  <w:color w:val="000000"/>
                  <w:szCs w:val="24"/>
                </w:rPr>
                <w:t xml:space="preserve"> </w:t>
              </w:r>
            </w:p>
            <w:bookmarkEnd w:id="0" w:displacedByCustomXml="next"/>
          </w:sdtContent>
        </w:sdt>
      </w:sdtContent>
    </w:sdt>
    <w:p w:rsidR="00DE1550" w:rsidRDefault="00DE1550" w:rsidP="00DE1550">
      <w:pPr>
        <w:widowControl w:val="0"/>
        <w:tabs>
          <w:tab w:val="left" w:pos="7797"/>
        </w:tabs>
      </w:pPr>
    </w:p>
    <w:sectPr w:rsidR="00DE1550" w:rsidSect="00DE155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851" w:bottom="1134" w:left="1701" w:header="709" w:footer="709" w:gutter="0"/>
      <w:pgNumType w:start="1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561E" w:rsidRDefault="00DE1550">
      <w:r>
        <w:separator/>
      </w:r>
    </w:p>
  </w:endnote>
  <w:endnote w:type="continuationSeparator" w:id="0">
    <w:p w:rsidR="0015561E" w:rsidRDefault="00DE1550">
      <w:r>
        <w:continuationSeparator/>
      </w:r>
    </w:p>
  </w:endnote>
  <w:endnote w:type="continuationNotice" w:id="1">
    <w:p w:rsidR="0015561E" w:rsidRDefault="0015561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561E" w:rsidRDefault="0015561E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561E" w:rsidRDefault="0015561E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561E" w:rsidRDefault="0015561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561E" w:rsidRDefault="00DE1550">
      <w:r>
        <w:separator/>
      </w:r>
    </w:p>
  </w:footnote>
  <w:footnote w:type="continuationSeparator" w:id="0">
    <w:p w:rsidR="0015561E" w:rsidRDefault="00DE1550">
      <w:r>
        <w:continuationSeparator/>
      </w:r>
    </w:p>
  </w:footnote>
  <w:footnote w:type="continuationNotice" w:id="1">
    <w:p w:rsidR="0015561E" w:rsidRDefault="0015561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561E" w:rsidRDefault="00DE1550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:rsidR="0015561E" w:rsidRDefault="0015561E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561E" w:rsidRDefault="00DE155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561E" w:rsidRDefault="0015561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AAA"/>
    <w:rsid w:val="0015561E"/>
    <w:rsid w:val="00306AAA"/>
    <w:rsid w:val="00DE1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66FB2"/>
  <w15:docId w15:val="{0D62B7E0-3DC9-4637-80F2-8C316E3AA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16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17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25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9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0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1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77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8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16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0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7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58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60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54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45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55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89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494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34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858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36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773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048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2084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9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6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01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87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0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3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15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55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73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2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734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55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8511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13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640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057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010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82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36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9691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051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2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9bddeb15cec4acabd718e7ee13a0171" PartId="9df7b7a0cbfd4027bdbfaf2e202c3353">
    <Part Type="punktas" Nr="1" Abbr="1 p." DocPartId="113b590c77044a76a6cc3103bf4d5aba" PartId="722a5c0c4382403da6ce8b009c7154fb">
      <Part Type="papunktis" Nr="1.1" Abbr="1.1 pp." DocPartId="4aed6435277e4b4191c32b78a8ac8aac" PartId="f44275e900b240248a5fd586dbf75fc6">
        <Part Type="citata" DocPartId="8668822b1b044dbaa89f5f38acc50385" PartId="9dd2acd0c5d1401384550daee55ef474">
          <Part Type="papunktis" Nr="20-1.2" Abbr="20-1.2 pp." DocPartId="d32240052a3f4f278ac02bc65e2a5dc0" PartId="29eff1117f8943b7be358030b80a084f"/>
        </Part>
      </Part>
      <Part Type="papunktis" Nr="1.2" Abbr="1.2 pp." DocPartId="f65e41ab505a47d29f9ed3cf7ca7ea60" PartId="f66a073abea9466bb9da11c1995da6d7">
        <Part Type="citata" DocPartId="08c1898b667e4665b5ff67f5a9d0b008" PartId="baaf86e569f74809aae40ded26f277d1">
          <Part Type="punktas" Nr="21-1" Abbr="21-1 p." DocPartId="5ddd1a3a70674c77a4adb705c2304b5d" PartId="3fa8871caa0d48cf9cf9f86c9bc2b15b"/>
        </Part>
      </Part>
    </Part>
    <Part Type="punktas" Nr="2" Abbr="2 p." DocPartId="c91f5645f7c64e7baab43d0e34d23594" PartId="d42fe1bdb8a94f63bfd5b0fdb3243548"/>
    <Part Type="signatura" DocPartId="ae418135228d4a03a1bb9f791c29a9d3" PartId="5c8124574aac4a9299bc7566ede56e7c"/>
  </Part>
</Parts>
</file>

<file path=customXml/item2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B4C4A4-514F-4A17-9165-F53614DE0F0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7A0535C-9550-48B6-B8B1-392F68E8A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2143</Words>
  <Characters>1223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SPECIALIŲJŲ TYRIMŲ TARNYBOS DIREKTORIAUS</vt:lpstr>
      <vt:lpstr>LIETUVOS RESPUBLIKOS SPECIALIŲJŲ TYRIMŲ TARNYBOS DIREKTORIAUS</vt:lpstr>
    </vt:vector>
  </TitlesOfParts>
  <Company>Teisines informacijos centras</Company>
  <LinksUpToDate>false</LinksUpToDate>
  <CharactersWithSpaces>3360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SPECIALIŲJŲ TYRIMŲ TARNYBOS DIREKTORIAUS</dc:title>
  <dc:creator>STT</dc:creator>
  <cp:lastModifiedBy>JŪRĖNIENĖ Jolanta</cp:lastModifiedBy>
  <cp:revision>3</cp:revision>
  <dcterms:created xsi:type="dcterms:W3CDTF">2023-10-11T06:23:00Z</dcterms:created>
  <dcterms:modified xsi:type="dcterms:W3CDTF">2023-10-11T06:53:00Z</dcterms:modified>
</cp:coreProperties>
</file>