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248b3b06f1d24cda9721f75e411107c6"/>
        <w:id w:val="1975868259"/>
        <w:lock w:val="sdtLocked"/>
      </w:sdtPr>
      <w:sdtEndPr/>
      <w:sdtContent>
        <w:p w:rsidR="00204845" w:rsidRDefault="00CC2F26" w:rsidP="00CC2F26">
          <w:pPr>
            <w:tabs>
              <w:tab w:val="center" w:pos="4153"/>
              <w:tab w:val="right" w:pos="8306"/>
            </w:tabs>
            <w:ind w:right="120"/>
            <w:jc w:val="center"/>
            <w:rPr>
              <w:b/>
              <w:bCs/>
            </w:rPr>
          </w:pPr>
          <w:r>
            <w:rPr>
              <w:noProof/>
              <w:lang w:eastAsia="lt-LT"/>
            </w:rPr>
            <w:drawing>
              <wp:inline distT="0" distB="0" distL="0" distR="0" wp14:anchorId="039F646F">
                <wp:extent cx="542290" cy="59753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rsidR="00204845" w:rsidRDefault="00204845">
          <w:pPr>
            <w:rPr>
              <w:sz w:val="14"/>
              <w:szCs w:val="14"/>
            </w:rPr>
          </w:pPr>
        </w:p>
        <w:p w:rsidR="00204845" w:rsidRDefault="00CC2F26">
          <w:pPr>
            <w:jc w:val="center"/>
            <w:rPr>
              <w:b/>
              <w:caps/>
              <w:szCs w:val="24"/>
            </w:rPr>
          </w:pPr>
          <w:r>
            <w:rPr>
              <w:b/>
              <w:caps/>
              <w:szCs w:val="24"/>
            </w:rPr>
            <w:t>LIETUVOS RESPUBLIKOS Ekonomikos ir inovacijų MINISTRAS</w:t>
          </w:r>
        </w:p>
        <w:p w:rsidR="00204845" w:rsidRDefault="00204845">
          <w:pPr>
            <w:jc w:val="center"/>
            <w:rPr>
              <w:b/>
              <w:caps/>
              <w:szCs w:val="24"/>
              <w:lang w:eastAsia="ko-KR"/>
            </w:rPr>
          </w:pPr>
        </w:p>
        <w:p w:rsidR="00204845" w:rsidRDefault="00CC2F26">
          <w:pPr>
            <w:tabs>
              <w:tab w:val="left" w:pos="3402"/>
              <w:tab w:val="left" w:pos="4110"/>
              <w:tab w:val="left" w:pos="4678"/>
              <w:tab w:val="center" w:pos="5179"/>
            </w:tabs>
            <w:jc w:val="center"/>
            <w:rPr>
              <w:b/>
              <w:caps/>
              <w:szCs w:val="24"/>
              <w:lang w:eastAsia="ko-KR"/>
            </w:rPr>
          </w:pPr>
          <w:r>
            <w:rPr>
              <w:b/>
              <w:caps/>
              <w:szCs w:val="24"/>
              <w:lang w:eastAsia="ko-KR"/>
            </w:rPr>
            <w:t>įsakymas</w:t>
          </w:r>
        </w:p>
        <w:p w:rsidR="00204845" w:rsidRDefault="00CC2F26">
          <w:pPr>
            <w:jc w:val="center"/>
            <w:rPr>
              <w:b/>
              <w:szCs w:val="24"/>
              <w:lang w:eastAsia="ko-KR"/>
            </w:rPr>
          </w:pPr>
          <w:r>
            <w:rPr>
              <w:b/>
              <w:szCs w:val="24"/>
              <w:lang w:eastAsia="ko-KR"/>
            </w:rPr>
            <w:t xml:space="preserve">DĖL </w:t>
          </w:r>
          <w:r>
            <w:rPr>
              <w:b/>
              <w:bCs/>
              <w:caps/>
              <w:color w:val="000000"/>
              <w:szCs w:val="24"/>
              <w:lang w:eastAsia="ko-KR"/>
            </w:rPr>
            <w:t xml:space="preserve">EKONOMIKOS IR INOVACIJŲ MINISTRO </w:t>
          </w:r>
          <w:r>
            <w:rPr>
              <w:b/>
              <w:szCs w:val="24"/>
              <w:lang w:eastAsia="ko-KR"/>
            </w:rPr>
            <w:t>2024 M. BALANDŽIO 26 D. ĮSAKYMO NR. 4-233</w:t>
          </w:r>
          <w:r>
            <w:rPr>
              <w:szCs w:val="24"/>
              <w:lang w:eastAsia="ko-KR"/>
            </w:rPr>
            <w:t xml:space="preserve"> </w:t>
          </w:r>
          <w:r>
            <w:rPr>
              <w:b/>
              <w:szCs w:val="24"/>
              <w:lang w:eastAsia="ko-KR"/>
            </w:rPr>
            <w:t xml:space="preserve">„DĖL SKATINAMOSIOS FINANSINĖS </w:t>
          </w:r>
          <w:r>
            <w:rPr>
              <w:b/>
              <w:szCs w:val="24"/>
              <w:lang w:eastAsia="ko-KR"/>
            </w:rPr>
            <w:t>PRIEMONĖS „MILIJARDAS VERSLUI“ SCHEMOS PATVIRTINIMO“ PAKEITIMO</w:t>
          </w:r>
        </w:p>
        <w:p w:rsidR="00204845" w:rsidRDefault="00204845">
          <w:pPr>
            <w:jc w:val="center"/>
            <w:rPr>
              <w:szCs w:val="24"/>
              <w:lang w:eastAsia="ko-KR"/>
            </w:rPr>
          </w:pPr>
        </w:p>
        <w:p w:rsidR="00204845" w:rsidRDefault="00CC2F26">
          <w:pPr>
            <w:jc w:val="center"/>
            <w:rPr>
              <w:szCs w:val="24"/>
              <w:lang w:eastAsia="ko-KR"/>
            </w:rPr>
          </w:pPr>
          <w:r>
            <w:rPr>
              <w:szCs w:val="24"/>
              <w:lang w:eastAsia="ko-KR"/>
            </w:rPr>
            <w:t xml:space="preserve">2025 m. liepos 15 </w:t>
          </w:r>
          <w:r>
            <w:rPr>
              <w:szCs w:val="24"/>
              <w:lang w:eastAsia="ko-KR"/>
            </w:rPr>
            <w:t>d. Nr. 4-334</w:t>
          </w:r>
        </w:p>
        <w:p w:rsidR="00204845" w:rsidRDefault="00CC2F26">
          <w:pPr>
            <w:jc w:val="center"/>
            <w:rPr>
              <w:szCs w:val="24"/>
              <w:lang w:eastAsia="ko-KR"/>
            </w:rPr>
          </w:pPr>
          <w:r>
            <w:rPr>
              <w:szCs w:val="24"/>
              <w:lang w:eastAsia="ko-KR"/>
            </w:rPr>
            <w:t>Vilnius</w:t>
          </w:r>
        </w:p>
        <w:p w:rsidR="00CC2F26" w:rsidRDefault="00CC2F26">
          <w:pPr>
            <w:jc w:val="center"/>
            <w:rPr>
              <w:szCs w:val="24"/>
              <w:lang w:eastAsia="ko-KR"/>
            </w:rPr>
          </w:pPr>
        </w:p>
        <w:p w:rsidR="00204845" w:rsidRDefault="00204845">
          <w:pPr>
            <w:jc w:val="center"/>
            <w:rPr>
              <w:szCs w:val="24"/>
              <w:lang w:eastAsia="ko-KR"/>
            </w:rPr>
          </w:pPr>
        </w:p>
        <w:sdt>
          <w:sdtPr>
            <w:alias w:val="1 p."/>
            <w:tag w:val="part_df4282dcb6874f3fa3bee22fbaa3ceb7"/>
            <w:id w:val="143169790"/>
            <w:lock w:val="sdtLocked"/>
          </w:sdtPr>
          <w:sdtEndPr/>
          <w:sdtContent>
            <w:p w:rsidR="00204845" w:rsidRDefault="00CC2F26">
              <w:pPr>
                <w:tabs>
                  <w:tab w:val="left" w:pos="709"/>
                </w:tabs>
                <w:ind w:right="142" w:firstLine="709"/>
                <w:jc w:val="both"/>
                <w:rPr>
                  <w:rFonts w:eastAsia="Calibri"/>
                  <w:szCs w:val="24"/>
                  <w:lang w:eastAsia="ko-KR"/>
                </w:rPr>
              </w:pPr>
              <w:sdt>
                <w:sdtPr>
                  <w:alias w:val="Numeris"/>
                  <w:tag w:val="nr_df4282dcb6874f3fa3bee22fbaa3ceb7"/>
                  <w:id w:val="-769158360"/>
                  <w:lock w:val="sdtLocked"/>
                </w:sdtPr>
                <w:sdtEndPr/>
                <w:sdtContent>
                  <w:r>
                    <w:rPr>
                      <w:rFonts w:eastAsia="Calibri"/>
                      <w:szCs w:val="24"/>
                      <w:lang w:eastAsia="ko-KR"/>
                    </w:rPr>
                    <w:t>1</w:t>
                  </w:r>
                </w:sdtContent>
              </w:sdt>
              <w:r>
                <w:rPr>
                  <w:rFonts w:eastAsia="Calibri"/>
                  <w:szCs w:val="24"/>
                  <w:lang w:eastAsia="ko-KR"/>
                </w:rPr>
                <w:t xml:space="preserve">. P a k e i č i u  </w:t>
              </w:r>
              <w:r>
                <w:rPr>
                  <w:szCs w:val="24"/>
                  <w:lang w:eastAsia="ko-KR"/>
                </w:rPr>
                <w:t>Skatinamosios finansinės priemonės „Milijardas verslui“ schemą</w:t>
              </w:r>
              <w:r>
                <w:rPr>
                  <w:rFonts w:eastAsia="Calibri"/>
                  <w:szCs w:val="24"/>
                  <w:lang w:eastAsia="ko-KR"/>
                </w:rPr>
                <w:t>, patvirtintą Lietuvos Respublikos ekonomikos ir inovacijų ministr</w:t>
              </w:r>
              <w:r>
                <w:rPr>
                  <w:rFonts w:eastAsia="Calibri"/>
                  <w:szCs w:val="24"/>
                  <w:lang w:eastAsia="ko-KR"/>
                </w:rPr>
                <w:t>o 2024 m. balandžio 26 d. įsakymu Nr. 4-233 „Dėl Skatinamosios finansinės priemonės „Milijardas verslui“ schemos patvirtinimo“:</w:t>
              </w:r>
            </w:p>
            <w:sdt>
              <w:sdtPr>
                <w:alias w:val="1.1 pp."/>
                <w:tag w:val="part_42997ef690af430fbf2639b74b1a5131"/>
                <w:id w:val="348918122"/>
                <w:lock w:val="sdtLocked"/>
              </w:sdtPr>
              <w:sdtEndPr/>
              <w:sdtContent>
                <w:p w:rsidR="00204845" w:rsidRDefault="00CC2F26">
                  <w:pPr>
                    <w:tabs>
                      <w:tab w:val="left" w:pos="567"/>
                    </w:tabs>
                    <w:ind w:right="142" w:firstLine="709"/>
                    <w:jc w:val="both"/>
                    <w:rPr>
                      <w:rFonts w:eastAsia="Calibri"/>
                      <w:szCs w:val="24"/>
                      <w:lang w:eastAsia="ko-KR"/>
                    </w:rPr>
                  </w:pPr>
                  <w:sdt>
                    <w:sdtPr>
                      <w:alias w:val="Numeris"/>
                      <w:tag w:val="nr_42997ef690af430fbf2639b74b1a5131"/>
                      <w:id w:val="-872921605"/>
                      <w:lock w:val="sdtLocked"/>
                    </w:sdtPr>
                    <w:sdtEndPr/>
                    <w:sdtContent>
                      <w:r>
                        <w:rPr>
                          <w:rFonts w:eastAsia="Calibri"/>
                          <w:szCs w:val="24"/>
                          <w:lang w:eastAsia="ko-KR"/>
                        </w:rPr>
                        <w:t>1.1</w:t>
                      </w:r>
                    </w:sdtContent>
                  </w:sdt>
                  <w:r>
                    <w:rPr>
                      <w:rFonts w:eastAsia="Calibri"/>
                      <w:szCs w:val="24"/>
                      <w:lang w:eastAsia="ko-KR"/>
                    </w:rPr>
                    <w:t>. Pakeičiu 1 punktą ir jį išdėstau taip:</w:t>
                  </w:r>
                </w:p>
                <w:tbl>
                  <w:tblPr>
                    <w:tblW w:w="9615" w:type="dxa"/>
                    <w:tblInd w:w="-5" w:type="dxa"/>
                    <w:tblLayout w:type="fixed"/>
                    <w:tblCellMar>
                      <w:left w:w="0" w:type="dxa"/>
                      <w:right w:w="0" w:type="dxa"/>
                    </w:tblCellMar>
                    <w:tblLook w:val="0000" w:firstRow="0" w:lastRow="0" w:firstColumn="0" w:lastColumn="0" w:noHBand="0" w:noVBand="0"/>
                  </w:tblPr>
                  <w:tblGrid>
                    <w:gridCol w:w="709"/>
                    <w:gridCol w:w="1985"/>
                    <w:gridCol w:w="6921"/>
                  </w:tblGrid>
                  <w:tr w:rsidR="00204845">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CC2F26">
                        <w:pPr>
                          <w:suppressAutoHyphens/>
                          <w:jc w:val="both"/>
                          <w:textAlignment w:val="center"/>
                          <w:rPr>
                            <w:color w:val="000000"/>
                            <w:szCs w:val="24"/>
                            <w:lang w:eastAsia="lt-LT"/>
                          </w:rPr>
                        </w:pPr>
                        <w:r>
                          <w:rPr>
                            <w:color w:val="000000"/>
                            <w:szCs w:val="24"/>
                            <w:lang w:eastAsia="lt-LT"/>
                          </w:rPr>
                          <w:t>„1.</w:t>
                        </w:r>
                      </w:p>
                      <w:p w:rsidR="00204845" w:rsidRDefault="00204845">
                        <w:pPr>
                          <w:suppressAutoHyphens/>
                          <w:jc w:val="both"/>
                          <w:textAlignment w:val="center"/>
                          <w:rPr>
                            <w:color w:val="000000"/>
                            <w:szCs w:val="24"/>
                            <w:lang w:eastAsia="lt-LT"/>
                          </w:rPr>
                        </w:pP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CC2F26">
                        <w:pPr>
                          <w:suppressAutoHyphens/>
                          <w:jc w:val="both"/>
                          <w:textAlignment w:val="center"/>
                          <w:rPr>
                            <w:color w:val="000000"/>
                            <w:szCs w:val="24"/>
                            <w:lang w:eastAsia="lt-LT"/>
                          </w:rPr>
                        </w:pPr>
                        <w:r>
                          <w:rPr>
                            <w:color w:val="000000"/>
                            <w:szCs w:val="24"/>
                            <w:lang w:eastAsia="lt-LT"/>
                          </w:rPr>
                          <w:t>Teisinis pagrindas</w:t>
                        </w:r>
                      </w:p>
                      <w:p w:rsidR="00204845" w:rsidRDefault="00204845">
                        <w:pPr>
                          <w:suppressAutoHyphens/>
                          <w:jc w:val="both"/>
                          <w:textAlignment w:val="center"/>
                          <w:rPr>
                            <w:color w:val="000000"/>
                            <w:szCs w:val="24"/>
                            <w:lang w:eastAsia="lt-LT"/>
                          </w:rPr>
                        </w:pPr>
                      </w:p>
                    </w:tc>
                    <w:tc>
                      <w:tcPr>
                        <w:tcW w:w="692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CC2F26">
                        <w:pPr>
                          <w:suppressAutoHyphens/>
                          <w:jc w:val="both"/>
                          <w:textAlignment w:val="center"/>
                          <w:rPr>
                            <w:color w:val="000000"/>
                            <w:lang w:eastAsia="lt-LT"/>
                          </w:rPr>
                        </w:pPr>
                        <w:r>
                          <w:rPr>
                            <w:color w:val="000000"/>
                            <w:lang w:eastAsia="lt-LT"/>
                          </w:rPr>
                          <w:t xml:space="preserve">1.1. 2009 m. balandžio 7 d. finansavimo sutartis Nr. </w:t>
                        </w:r>
                        <w:r>
                          <w:rPr>
                            <w:color w:val="000000"/>
                            <w:lang w:eastAsia="lt-LT"/>
                          </w:rPr>
                          <w:t>11K-015/8-175, sudaryta tarp Lietuvos Respublikos ekonomikos ir inovacijų ministerijos, Lietuvos Respublikos finansų ministerijos ir uždarosios akcinės bendrovės ILTE (toliau – Paskolos davėjas arba ILTE) dėl kontroliuojančiojo fondo „INVEGOS fondas“ (toli</w:t>
                        </w:r>
                        <w:r>
                          <w:rPr>
                            <w:color w:val="000000"/>
                            <w:lang w:eastAsia="lt-LT"/>
                          </w:rPr>
                          <w:t>au – INVEGOS fondas) steigimo (toliau – IF sutartis);</w:t>
                        </w:r>
                      </w:p>
                      <w:p w:rsidR="00204845" w:rsidRDefault="00CC2F26">
                        <w:pPr>
                          <w:suppressAutoHyphens/>
                          <w:jc w:val="both"/>
                          <w:textAlignment w:val="center"/>
                          <w:rPr>
                            <w:color w:val="000000"/>
                            <w:lang w:eastAsia="lt-LT"/>
                          </w:rPr>
                        </w:pPr>
                        <w:r>
                          <w:rPr>
                            <w:color w:val="000000"/>
                            <w:lang w:eastAsia="lt-LT"/>
                          </w:rPr>
                          <w:t xml:space="preserve">1.2. 2020 m. gruodžio 30 d. Fondų fondo „Inovacijų skatinimo fondas“ steigimo ir finansavimo sutartis Nr. 8-360, sudaryta tarp Ekonomikos ir inovacijų ministerijos, Finansų ministerijos ir ILTE (toliau </w:t>
                        </w:r>
                        <w:r>
                          <w:rPr>
                            <w:color w:val="000000"/>
                            <w:lang w:eastAsia="lt-LT"/>
                          </w:rPr>
                          <w:t>– Sutartis);</w:t>
                        </w:r>
                      </w:p>
                      <w:p w:rsidR="00204845" w:rsidRDefault="00CC2F26">
                        <w:pPr>
                          <w:suppressAutoHyphens/>
                          <w:jc w:val="both"/>
                          <w:textAlignment w:val="center"/>
                          <w:rPr>
                            <w:color w:val="000000"/>
                            <w:lang w:eastAsia="lt-LT"/>
                          </w:rPr>
                        </w:pPr>
                        <w:r>
                          <w:rPr>
                            <w:color w:val="000000"/>
                            <w:lang w:eastAsia="lt-LT"/>
                          </w:rPr>
                          <w:t xml:space="preserve">1.3. 2022–2030 metų ekonomikos transformacijos ir konkurencingumo plėtros programa, patvirtinta Lietuvos Respublikos Vyriausybės 2022 m. kovo 16 d. nutarimu Nr. 247 „Dėl </w:t>
                        </w:r>
                        <w:r>
                          <w:rPr>
                            <w:color w:val="000000"/>
                            <w:lang w:eastAsia="lt-LT"/>
                          </w:rPr>
                          <w:br/>
                          <w:t>2022–2030 metų ekonomikos transformacijos ir konkurencingumo plėtros pro</w:t>
                        </w:r>
                        <w:r>
                          <w:rPr>
                            <w:color w:val="000000"/>
                            <w:lang w:eastAsia="lt-LT"/>
                          </w:rPr>
                          <w:t>gramos patvirtinimo“ (toliau – 2022–2030 metų ekonomikos transformacijos ir konkurencingumo plėtros programa);</w:t>
                        </w:r>
                      </w:p>
                      <w:p w:rsidR="00204845" w:rsidRDefault="00CC2F26">
                        <w:pPr>
                          <w:suppressAutoHyphens/>
                          <w:jc w:val="both"/>
                          <w:textAlignment w:val="center"/>
                          <w:rPr>
                            <w:color w:val="000000"/>
                            <w:lang w:eastAsia="lt-LT"/>
                          </w:rPr>
                        </w:pPr>
                        <w:r>
                          <w:rPr>
                            <w:color w:val="000000"/>
                            <w:lang w:eastAsia="lt-LT"/>
                          </w:rPr>
                          <w:t xml:space="preserve">1.4. 2022–2030  metų ekonomikos transformacijos ir konkurencingumo plėtros programos pažangos priemonės </w:t>
                        </w:r>
                        <w:r>
                          <w:rPr>
                            <w:color w:val="000000"/>
                            <w:lang w:eastAsia="lt-LT"/>
                          </w:rPr>
                          <w:br/>
                          <w:t>Nr. 05-001-01-04-02 „Skatinti įmones per</w:t>
                        </w:r>
                        <w:r>
                          <w:rPr>
                            <w:color w:val="000000"/>
                            <w:lang w:eastAsia="lt-LT"/>
                          </w:rPr>
                          <w:t>eiti link neutralios klimatui ekonomikos“ aprašas, patvirtintas Lietuvos Respublikos ekonomikos ir inovacijų ministro 2022 m. liepos 11 d. įsakymu Nr. 4-861 „Dėl 2022–2030 metų ekonomikos transformacijos ir konkurencingumo plėtros programos pažangos priemo</w:t>
                        </w:r>
                        <w:r>
                          <w:rPr>
                            <w:color w:val="000000"/>
                            <w:lang w:eastAsia="lt-LT"/>
                          </w:rPr>
                          <w:t>nės Nr. 05-001-01-04-02 „Skatinti įmones pereiti link neutralios klimatui ekonomikos“ aprašo patvirtinimo“;</w:t>
                        </w:r>
                      </w:p>
                      <w:p w:rsidR="00204845" w:rsidRDefault="00CC2F26">
                        <w:pPr>
                          <w:suppressAutoHyphens/>
                          <w:jc w:val="both"/>
                          <w:textAlignment w:val="center"/>
                          <w:rPr>
                            <w:color w:val="000000"/>
                            <w:lang w:eastAsia="lt-LT"/>
                          </w:rPr>
                        </w:pPr>
                        <w:r>
                          <w:rPr>
                            <w:color w:val="000000"/>
                            <w:lang w:eastAsia="lt-LT"/>
                          </w:rPr>
                          <w:t>1.5. 2023 m. spalio 27 d. Tarybos generalinio sekretoriato patvirtintas priedas Nr. 14637/23 prie Tarybos įgyvendinimo sprendimo, kuriuo iš dalies k</w:t>
                        </w:r>
                        <w:r>
                          <w:rPr>
                            <w:color w:val="000000"/>
                            <w:lang w:eastAsia="lt-LT"/>
                          </w:rPr>
                          <w:t>eičiamas 2021 m. liepos 20 d. Įgyvendinimo sprendimas dėl Lietuvos ekonomikos gaivinimo ir atsparumo didinimo plano įvertinimo patvirtinimo.“</w:t>
                        </w:r>
                      </w:p>
                    </w:tc>
                  </w:tr>
                </w:tbl>
                <w:p w:rsidR="00204845" w:rsidRDefault="00CC2F26">
                  <w:pPr>
                    <w:tabs>
                      <w:tab w:val="left" w:pos="567"/>
                    </w:tabs>
                    <w:ind w:right="142"/>
                    <w:jc w:val="both"/>
                    <w:rPr>
                      <w:rFonts w:eastAsia="Calibri"/>
                      <w:szCs w:val="24"/>
                      <w:lang w:eastAsia="ko-KR"/>
                    </w:rPr>
                  </w:pPr>
                </w:p>
              </w:sdtContent>
            </w:sdt>
            <w:sdt>
              <w:sdtPr>
                <w:alias w:val="1.2 pp."/>
                <w:tag w:val="part_fb313f4b08264c90be024dd27cdac0f0"/>
                <w:id w:val="874278967"/>
                <w:lock w:val="sdtLocked"/>
              </w:sdtPr>
              <w:sdtEndPr/>
              <w:sdtContent>
                <w:p w:rsidR="00204845" w:rsidRDefault="00CC2F26">
                  <w:pPr>
                    <w:tabs>
                      <w:tab w:val="left" w:pos="567"/>
                    </w:tabs>
                    <w:ind w:right="142" w:firstLine="709"/>
                    <w:jc w:val="both"/>
                    <w:rPr>
                      <w:rFonts w:eastAsia="Calibri"/>
                      <w:szCs w:val="24"/>
                      <w:lang w:eastAsia="ko-KR"/>
                    </w:rPr>
                  </w:pPr>
                  <w:sdt>
                    <w:sdtPr>
                      <w:alias w:val="Numeris"/>
                      <w:tag w:val="nr_fb313f4b08264c90be024dd27cdac0f0"/>
                      <w:id w:val="1557671132"/>
                      <w:lock w:val="sdtLocked"/>
                    </w:sdtPr>
                    <w:sdtEndPr/>
                    <w:sdtContent>
                      <w:r>
                        <w:rPr>
                          <w:rFonts w:eastAsia="Calibri"/>
                          <w:szCs w:val="24"/>
                          <w:lang w:eastAsia="ko-KR"/>
                        </w:rPr>
                        <w:t>1.2</w:t>
                      </w:r>
                    </w:sdtContent>
                  </w:sdt>
                  <w:r>
                    <w:rPr>
                      <w:rFonts w:eastAsia="Calibri"/>
                      <w:szCs w:val="24"/>
                      <w:lang w:eastAsia="ko-KR"/>
                    </w:rPr>
                    <w:t>. Pakeičiu 2 punktą ir jį išdėstau taip:</w:t>
                  </w:r>
                </w:p>
                <w:tbl>
                  <w:tblPr>
                    <w:tblW w:w="9615" w:type="dxa"/>
                    <w:tblInd w:w="-5" w:type="dxa"/>
                    <w:tblLayout w:type="fixed"/>
                    <w:tblCellMar>
                      <w:left w:w="0" w:type="dxa"/>
                      <w:right w:w="0" w:type="dxa"/>
                    </w:tblCellMar>
                    <w:tblLook w:val="0000" w:firstRow="0" w:lastRow="0" w:firstColumn="0" w:lastColumn="0" w:noHBand="0" w:noVBand="0"/>
                  </w:tblPr>
                  <w:tblGrid>
                    <w:gridCol w:w="709"/>
                    <w:gridCol w:w="1985"/>
                    <w:gridCol w:w="6921"/>
                  </w:tblGrid>
                  <w:tr w:rsidR="00204845">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CC2F26">
                        <w:pPr>
                          <w:suppressAutoHyphens/>
                          <w:jc w:val="both"/>
                          <w:textAlignment w:val="center"/>
                          <w:rPr>
                            <w:color w:val="000000"/>
                            <w:szCs w:val="24"/>
                            <w:lang w:eastAsia="lt-LT"/>
                          </w:rPr>
                        </w:pPr>
                        <w:r>
                          <w:rPr>
                            <w:color w:val="000000"/>
                            <w:szCs w:val="24"/>
                            <w:lang w:eastAsia="lt-LT"/>
                          </w:rPr>
                          <w:lastRenderedPageBreak/>
                          <w:t>„</w:t>
                        </w:r>
                        <w:r>
                          <w:rPr>
                            <w:color w:val="000000"/>
                            <w:szCs w:val="24"/>
                            <w:lang w:val="en-US" w:eastAsia="lt-LT"/>
                          </w:rPr>
                          <w:t>2</w:t>
                        </w:r>
                        <w:r>
                          <w:rPr>
                            <w:color w:val="000000"/>
                            <w:szCs w:val="24"/>
                            <w:lang w:eastAsia="lt-LT"/>
                          </w:rPr>
                          <w:t>.</w:t>
                        </w:r>
                      </w:p>
                      <w:p w:rsidR="00204845" w:rsidRDefault="00204845">
                        <w:pPr>
                          <w:suppressAutoHyphens/>
                          <w:jc w:val="both"/>
                          <w:textAlignment w:val="center"/>
                          <w:rPr>
                            <w:color w:val="000000"/>
                            <w:szCs w:val="24"/>
                            <w:lang w:eastAsia="lt-LT"/>
                          </w:rPr>
                        </w:pP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CC2F26">
                        <w:pPr>
                          <w:suppressAutoHyphens/>
                          <w:jc w:val="both"/>
                          <w:textAlignment w:val="center"/>
                          <w:rPr>
                            <w:color w:val="000000"/>
                            <w:szCs w:val="24"/>
                            <w:lang w:eastAsia="lt-LT"/>
                          </w:rPr>
                        </w:pPr>
                        <w:r>
                          <w:rPr>
                            <w:color w:val="000000"/>
                            <w:szCs w:val="24"/>
                            <w:lang w:eastAsia="lt-LT"/>
                          </w:rPr>
                          <w:t>Skatinamajai finansinei priemonei „Milijardas verslui“ (tol</w:t>
                        </w:r>
                        <w:r>
                          <w:rPr>
                            <w:color w:val="000000"/>
                            <w:szCs w:val="24"/>
                            <w:lang w:eastAsia="lt-LT"/>
                          </w:rPr>
                          <w:t>iau – Priemonė) skiriama finansavimo suma</w:t>
                        </w:r>
                      </w:p>
                    </w:tc>
                    <w:tc>
                      <w:tcPr>
                        <w:tcW w:w="692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CC2F26">
                        <w:pPr>
                          <w:jc w:val="both"/>
                          <w:rPr>
                            <w:bCs/>
                            <w:color w:val="000000"/>
                          </w:rPr>
                        </w:pPr>
                        <w:r>
                          <w:rPr>
                            <w:color w:val="000000"/>
                            <w:szCs w:val="24"/>
                            <w:lang w:eastAsia="lt-LT"/>
                          </w:rPr>
                          <w:t>1 100 000 000 (vienas milijardas vienas šimtas milijonų) eurų (įskaitant valdymo mokestį ILTE), iš kurių 850 000 000 (aštuoni šimtai penkiasdešimt milijonų) eurų Ekonomikos gaivinimo ir atsparumo didinimo priemonės</w:t>
                        </w:r>
                        <w:r>
                          <w:rPr>
                            <w:color w:val="000000"/>
                            <w:szCs w:val="24"/>
                            <w:lang w:eastAsia="lt-LT"/>
                          </w:rPr>
                          <w:t xml:space="preserve"> paskolos lėšų ir 250 000 000 (du šimtai penkiasdešimt milijonų) eurų INVEGOS fondo lėšų.“</w:t>
                        </w:r>
                      </w:p>
                    </w:tc>
                  </w:tr>
                </w:tbl>
                <w:p w:rsidR="00204845" w:rsidRDefault="00CC2F26">
                  <w:pPr>
                    <w:tabs>
                      <w:tab w:val="left" w:pos="567"/>
                    </w:tabs>
                    <w:ind w:right="142" w:firstLine="709"/>
                    <w:jc w:val="both"/>
                    <w:rPr>
                      <w:rFonts w:eastAsia="Calibri"/>
                      <w:szCs w:val="24"/>
                      <w:lang w:eastAsia="ko-KR"/>
                    </w:rPr>
                  </w:pPr>
                </w:p>
              </w:sdtContent>
            </w:sdt>
            <w:sdt>
              <w:sdtPr>
                <w:alias w:val="1.3 pp."/>
                <w:tag w:val="part_ad33cfc05947402c962f48e5285e8831"/>
                <w:id w:val="-271239932"/>
                <w:lock w:val="sdtLocked"/>
              </w:sdtPr>
              <w:sdtEndPr/>
              <w:sdtContent>
                <w:p w:rsidR="00204845" w:rsidRDefault="00CC2F26">
                  <w:pPr>
                    <w:tabs>
                      <w:tab w:val="left" w:pos="567"/>
                    </w:tabs>
                    <w:ind w:right="142" w:firstLine="709"/>
                    <w:jc w:val="both"/>
                    <w:rPr>
                      <w:rFonts w:eastAsia="Calibri"/>
                      <w:szCs w:val="24"/>
                      <w:lang w:eastAsia="ko-KR"/>
                    </w:rPr>
                  </w:pPr>
                  <w:sdt>
                    <w:sdtPr>
                      <w:alias w:val="Numeris"/>
                      <w:tag w:val="nr_ad33cfc05947402c962f48e5285e8831"/>
                      <w:id w:val="1145162254"/>
                      <w:lock w:val="sdtLocked"/>
                    </w:sdtPr>
                    <w:sdtEndPr/>
                    <w:sdtContent>
                      <w:r>
                        <w:rPr>
                          <w:rFonts w:eastAsia="Calibri"/>
                          <w:szCs w:val="24"/>
                          <w:lang w:eastAsia="ko-KR"/>
                        </w:rPr>
                        <w:t>1.3</w:t>
                      </w:r>
                    </w:sdtContent>
                  </w:sdt>
                  <w:r>
                    <w:rPr>
                      <w:rFonts w:eastAsia="Calibri"/>
                      <w:szCs w:val="24"/>
                      <w:lang w:eastAsia="ko-KR"/>
                    </w:rPr>
                    <w:t>. Pakeičiu 3 punktą ir jį išdėstau taip:</w:t>
                  </w:r>
                </w:p>
                <w:tbl>
                  <w:tblPr>
                    <w:tblW w:w="9615" w:type="dxa"/>
                    <w:tblInd w:w="-5" w:type="dxa"/>
                    <w:tblLayout w:type="fixed"/>
                    <w:tblCellMar>
                      <w:left w:w="0" w:type="dxa"/>
                      <w:right w:w="0" w:type="dxa"/>
                    </w:tblCellMar>
                    <w:tblLook w:val="0000" w:firstRow="0" w:lastRow="0" w:firstColumn="0" w:lastColumn="0" w:noHBand="0" w:noVBand="0"/>
                  </w:tblPr>
                  <w:tblGrid>
                    <w:gridCol w:w="709"/>
                    <w:gridCol w:w="1985"/>
                    <w:gridCol w:w="6921"/>
                  </w:tblGrid>
                  <w:tr w:rsidR="00204845">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CC2F26">
                        <w:pPr>
                          <w:suppressAutoHyphens/>
                          <w:jc w:val="both"/>
                          <w:textAlignment w:val="center"/>
                          <w:rPr>
                            <w:color w:val="000000"/>
                            <w:szCs w:val="24"/>
                            <w:lang w:eastAsia="lt-LT"/>
                          </w:rPr>
                        </w:pPr>
                        <w:r>
                          <w:rPr>
                            <w:color w:val="000000"/>
                            <w:szCs w:val="24"/>
                            <w:lang w:eastAsia="lt-LT"/>
                          </w:rPr>
                          <w:t>„3.</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CC2F26">
                        <w:pPr>
                          <w:suppressAutoHyphens/>
                          <w:jc w:val="both"/>
                          <w:textAlignment w:val="center"/>
                          <w:rPr>
                            <w:color w:val="000000"/>
                            <w:szCs w:val="24"/>
                            <w:lang w:eastAsia="lt-LT"/>
                          </w:rPr>
                        </w:pPr>
                        <w:r>
                          <w:rPr>
                            <w:color w:val="000000"/>
                            <w:szCs w:val="24"/>
                            <w:lang w:eastAsia="lt-LT"/>
                          </w:rPr>
                          <w:t>Priemonės „Milijardas verslui“ schemos (toliau – Schema) galiojimo trukmė</w:t>
                        </w:r>
                      </w:p>
                    </w:tc>
                    <w:tc>
                      <w:tcPr>
                        <w:tcW w:w="692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CC2F26">
                        <w:pPr>
                          <w:suppressAutoHyphens/>
                          <w:jc w:val="both"/>
                          <w:textAlignment w:val="center"/>
                          <w:rPr>
                            <w:color w:val="000000"/>
                            <w:szCs w:val="24"/>
                            <w:lang w:eastAsia="ko-KR"/>
                          </w:rPr>
                        </w:pPr>
                        <w:r>
                          <w:rPr>
                            <w:color w:val="000000"/>
                            <w:szCs w:val="24"/>
                            <w:lang w:eastAsia="ko-KR"/>
                          </w:rPr>
                          <w:t>3.1. Iš Priemonės lėšų teikiamų pasko</w:t>
                        </w:r>
                        <w:r>
                          <w:rPr>
                            <w:color w:val="000000"/>
                            <w:szCs w:val="24"/>
                            <w:lang w:eastAsia="ko-KR"/>
                          </w:rPr>
                          <w:t xml:space="preserve">lų sutartys pasirašomos iki 2026 m. birželio 30 dienos. </w:t>
                        </w:r>
                      </w:p>
                      <w:p w:rsidR="00204845" w:rsidRDefault="00CC2F26">
                        <w:pPr>
                          <w:tabs>
                            <w:tab w:val="left" w:pos="460"/>
                          </w:tabs>
                          <w:ind w:left="2" w:hanging="2"/>
                          <w:jc w:val="both"/>
                          <w:rPr>
                            <w:rFonts w:eastAsia="Calibri"/>
                            <w:szCs w:val="24"/>
                          </w:rPr>
                        </w:pPr>
                        <w:r>
                          <w:rPr>
                            <w:color w:val="000000"/>
                            <w:szCs w:val="24"/>
                            <w:lang w:eastAsia="ko-KR"/>
                          </w:rPr>
                          <w:t>3.2. Finansavimas pagal Priemonę gali būti suteikiamas subordinuotos paskolos, sindikuotos paskolos arba tiesiogiai ILTE teikiamos paskolos forma (toliau kartu ar bet kuri iš jų – Paskola).“</w:t>
                        </w:r>
                      </w:p>
                    </w:tc>
                  </w:tr>
                </w:tbl>
                <w:p w:rsidR="00204845" w:rsidRDefault="00CC2F26">
                  <w:pPr>
                    <w:tabs>
                      <w:tab w:val="left" w:pos="567"/>
                    </w:tabs>
                    <w:ind w:right="142" w:firstLine="709"/>
                    <w:jc w:val="both"/>
                    <w:rPr>
                      <w:rFonts w:eastAsia="Calibri"/>
                      <w:szCs w:val="24"/>
                      <w:lang w:eastAsia="ko-KR"/>
                    </w:rPr>
                  </w:pPr>
                </w:p>
              </w:sdtContent>
            </w:sdt>
            <w:sdt>
              <w:sdtPr>
                <w:alias w:val="1.4 pp."/>
                <w:tag w:val="part_69ae7699898347fbbbca8d8e88ba43fc"/>
                <w:id w:val="-1408377681"/>
                <w:lock w:val="sdtLocked"/>
              </w:sdtPr>
              <w:sdtEndPr/>
              <w:sdtContent>
                <w:p w:rsidR="00204845" w:rsidRDefault="00CC2F26">
                  <w:pPr>
                    <w:tabs>
                      <w:tab w:val="left" w:pos="567"/>
                    </w:tabs>
                    <w:ind w:right="142" w:firstLine="709"/>
                    <w:jc w:val="both"/>
                    <w:rPr>
                      <w:rFonts w:eastAsia="Calibri"/>
                      <w:szCs w:val="24"/>
                      <w:lang w:eastAsia="ko-KR"/>
                    </w:rPr>
                  </w:pPr>
                  <w:sdt>
                    <w:sdtPr>
                      <w:alias w:val="Numeris"/>
                      <w:tag w:val="nr_69ae7699898347fbbbca8d8e88ba43fc"/>
                      <w:id w:val="461392200"/>
                      <w:lock w:val="sdtLocked"/>
                    </w:sdtPr>
                    <w:sdtEndPr/>
                    <w:sdtContent>
                      <w:r>
                        <w:rPr>
                          <w:rFonts w:eastAsia="Calibri"/>
                          <w:szCs w:val="24"/>
                          <w:lang w:eastAsia="ko-KR"/>
                        </w:rPr>
                        <w:t>1.4</w:t>
                      </w:r>
                    </w:sdtContent>
                  </w:sdt>
                  <w:r>
                    <w:rPr>
                      <w:rFonts w:eastAsia="Calibri"/>
                      <w:szCs w:val="24"/>
                      <w:lang w:eastAsia="ko-KR"/>
                    </w:rPr>
                    <w:t>. Pakeičiu 4 punktą ir jį išdėstau taip:</w:t>
                  </w:r>
                </w:p>
                <w:tbl>
                  <w:tblPr>
                    <w:tblW w:w="9615" w:type="dxa"/>
                    <w:tblInd w:w="-5" w:type="dxa"/>
                    <w:tblLayout w:type="fixed"/>
                    <w:tblCellMar>
                      <w:left w:w="0" w:type="dxa"/>
                      <w:right w:w="0" w:type="dxa"/>
                    </w:tblCellMar>
                    <w:tblLook w:val="0000" w:firstRow="0" w:lastRow="0" w:firstColumn="0" w:lastColumn="0" w:noHBand="0" w:noVBand="0"/>
                  </w:tblPr>
                  <w:tblGrid>
                    <w:gridCol w:w="709"/>
                    <w:gridCol w:w="1985"/>
                    <w:gridCol w:w="6921"/>
                  </w:tblGrid>
                  <w:tr w:rsidR="00204845">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CC2F26">
                        <w:pPr>
                          <w:suppressAutoHyphens/>
                          <w:jc w:val="both"/>
                          <w:textAlignment w:val="center"/>
                          <w:rPr>
                            <w:color w:val="000000"/>
                            <w:szCs w:val="24"/>
                            <w:lang w:eastAsia="lt-LT"/>
                          </w:rPr>
                        </w:pPr>
                        <w:r>
                          <w:rPr>
                            <w:color w:val="000000"/>
                            <w:szCs w:val="24"/>
                            <w:lang w:eastAsia="lt-LT"/>
                          </w:rPr>
                          <w:t>„4.</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CC2F26">
                        <w:pPr>
                          <w:suppressAutoHyphens/>
                          <w:jc w:val="both"/>
                          <w:textAlignment w:val="center"/>
                          <w:rPr>
                            <w:color w:val="000000"/>
                            <w:szCs w:val="24"/>
                            <w:lang w:eastAsia="lt-LT"/>
                          </w:rPr>
                        </w:pPr>
                        <w:r>
                          <w:rPr>
                            <w:color w:val="000000"/>
                            <w:szCs w:val="24"/>
                            <w:lang w:eastAsia="lt-LT"/>
                          </w:rPr>
                          <w:t>Paskolos davėjas</w:t>
                        </w:r>
                      </w:p>
                    </w:tc>
                    <w:tc>
                      <w:tcPr>
                        <w:tcW w:w="692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CC2F26">
                        <w:pPr>
                          <w:tabs>
                            <w:tab w:val="left" w:pos="460"/>
                          </w:tabs>
                          <w:ind w:left="2" w:hanging="2"/>
                          <w:jc w:val="both"/>
                          <w:rPr>
                            <w:rFonts w:eastAsia="Calibri"/>
                            <w:szCs w:val="24"/>
                          </w:rPr>
                        </w:pPr>
                        <w:r>
                          <w:rPr>
                            <w:szCs w:val="24"/>
                            <w:lang w:eastAsia="ko-KR"/>
                          </w:rPr>
                          <w:t xml:space="preserve">Priemonę įgyvendina ir Paskolas teikia ILTE, veikdama kaip Inovacijų skatinimo fondo ir INVEGOS fondo valdytoja, paskirta vadovaujantis Sutartimi ir IF sutartimi.“ </w:t>
                        </w:r>
                      </w:p>
                    </w:tc>
                  </w:tr>
                </w:tbl>
                <w:p w:rsidR="00204845" w:rsidRDefault="00CC2F26">
                  <w:pPr>
                    <w:tabs>
                      <w:tab w:val="left" w:pos="567"/>
                    </w:tabs>
                    <w:ind w:right="142"/>
                    <w:jc w:val="both"/>
                    <w:rPr>
                      <w:rFonts w:eastAsia="Calibri"/>
                      <w:szCs w:val="24"/>
                      <w:lang w:eastAsia="ko-KR"/>
                    </w:rPr>
                  </w:pPr>
                </w:p>
              </w:sdtContent>
            </w:sdt>
            <w:sdt>
              <w:sdtPr>
                <w:alias w:val="1.5 pp."/>
                <w:tag w:val="part_7b84f6737e3c4806ad78a739fa9f3ff1"/>
                <w:id w:val="-796066659"/>
                <w:lock w:val="sdtLocked"/>
              </w:sdtPr>
              <w:sdtEndPr/>
              <w:sdtContent>
                <w:p w:rsidR="00204845" w:rsidRDefault="00CC2F26">
                  <w:pPr>
                    <w:tabs>
                      <w:tab w:val="left" w:pos="567"/>
                    </w:tabs>
                    <w:ind w:right="142" w:firstLine="709"/>
                    <w:jc w:val="both"/>
                    <w:rPr>
                      <w:rFonts w:eastAsia="Calibri"/>
                      <w:szCs w:val="24"/>
                      <w:lang w:eastAsia="ko-KR"/>
                    </w:rPr>
                  </w:pPr>
                  <w:sdt>
                    <w:sdtPr>
                      <w:alias w:val="Numeris"/>
                      <w:tag w:val="nr_7b84f6737e3c4806ad78a739fa9f3ff1"/>
                      <w:id w:val="-1886170286"/>
                      <w:lock w:val="sdtLocked"/>
                    </w:sdtPr>
                    <w:sdtEndPr/>
                    <w:sdtContent>
                      <w:r>
                        <w:rPr>
                          <w:rFonts w:eastAsia="Calibri"/>
                          <w:szCs w:val="24"/>
                          <w:lang w:eastAsia="ko-KR"/>
                        </w:rPr>
                        <w:t>1.5</w:t>
                      </w:r>
                    </w:sdtContent>
                  </w:sdt>
                  <w:r>
                    <w:rPr>
                      <w:rFonts w:eastAsia="Calibri"/>
                      <w:szCs w:val="24"/>
                      <w:lang w:eastAsia="ko-KR"/>
                    </w:rPr>
                    <w:t xml:space="preserve">. Pakeičiu 5 punktą ir jį išdėstau taip: </w:t>
                  </w:r>
                </w:p>
                <w:tbl>
                  <w:tblPr>
                    <w:tblW w:w="9615" w:type="dxa"/>
                    <w:tblInd w:w="-5" w:type="dxa"/>
                    <w:tblLayout w:type="fixed"/>
                    <w:tblCellMar>
                      <w:left w:w="0" w:type="dxa"/>
                      <w:right w:w="0" w:type="dxa"/>
                    </w:tblCellMar>
                    <w:tblLook w:val="0000" w:firstRow="0" w:lastRow="0" w:firstColumn="0" w:lastColumn="0" w:noHBand="0" w:noVBand="0"/>
                  </w:tblPr>
                  <w:tblGrid>
                    <w:gridCol w:w="709"/>
                    <w:gridCol w:w="1985"/>
                    <w:gridCol w:w="6921"/>
                  </w:tblGrid>
                  <w:tr w:rsidR="00204845">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CC2F26">
                        <w:pPr>
                          <w:suppressAutoHyphens/>
                          <w:jc w:val="both"/>
                          <w:textAlignment w:val="center"/>
                          <w:rPr>
                            <w:color w:val="000000"/>
                            <w:szCs w:val="24"/>
                            <w:lang w:eastAsia="lt-LT"/>
                          </w:rPr>
                        </w:pPr>
                        <w:r>
                          <w:rPr>
                            <w:color w:val="000000"/>
                            <w:szCs w:val="24"/>
                            <w:lang w:eastAsia="lt-LT"/>
                          </w:rPr>
                          <w:t>„5.</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CC2F26">
                        <w:pPr>
                          <w:suppressAutoHyphens/>
                          <w:jc w:val="both"/>
                          <w:textAlignment w:val="center"/>
                          <w:rPr>
                            <w:color w:val="000000"/>
                            <w:szCs w:val="24"/>
                            <w:lang w:eastAsia="lt-LT"/>
                          </w:rPr>
                        </w:pPr>
                        <w:r>
                          <w:rPr>
                            <w:color w:val="000000"/>
                            <w:szCs w:val="24"/>
                            <w:lang w:eastAsia="lt-LT"/>
                          </w:rPr>
                          <w:t>Sąvokos</w:t>
                        </w:r>
                      </w:p>
                    </w:tc>
                    <w:tc>
                      <w:tcPr>
                        <w:tcW w:w="692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CC2F26">
                        <w:pPr>
                          <w:jc w:val="both"/>
                          <w:rPr>
                            <w:szCs w:val="24"/>
                          </w:rPr>
                        </w:pPr>
                        <w:r>
                          <w:rPr>
                            <w:rFonts w:eastAsia="Calibri"/>
                            <w:szCs w:val="24"/>
                            <w:lang w:eastAsia="ko-KR"/>
                          </w:rPr>
                          <w:t>Schemoje vartojamos sąvokos suprantamos taip, kaip jos apibrėžtos Lietuvos Respublikos finansų įstaigų įstatyme, Lietuvos Respublikos įmonių ir įmonių grupių atskaitomybės įstatyme, Lietuvos Respublikos</w:t>
                        </w:r>
                        <w:r>
                          <w:rPr>
                            <w:rFonts w:eastAsia="Calibri"/>
                            <w:szCs w:val="24"/>
                            <w:lang w:eastAsia="ko-KR"/>
                          </w:rPr>
                          <w:t xml:space="preserve"> nacionalinio plėtros banko įstatyme, Lietuvos Respublikos smulkiojo ir vidutinio verslo plėtros įstatyme.“</w:t>
                        </w:r>
                      </w:p>
                    </w:tc>
                  </w:tr>
                </w:tbl>
                <w:p w:rsidR="00204845" w:rsidRDefault="00CC2F26">
                  <w:pPr>
                    <w:tabs>
                      <w:tab w:val="left" w:pos="567"/>
                    </w:tabs>
                    <w:ind w:right="142"/>
                    <w:jc w:val="both"/>
                    <w:rPr>
                      <w:rFonts w:eastAsia="Calibri"/>
                      <w:szCs w:val="24"/>
                      <w:lang w:eastAsia="ko-KR"/>
                    </w:rPr>
                  </w:pPr>
                </w:p>
              </w:sdtContent>
            </w:sdt>
            <w:sdt>
              <w:sdtPr>
                <w:alias w:val="1.6 pp."/>
                <w:tag w:val="part_4f12c9ff25484f4693953a709e06c581"/>
                <w:id w:val="-1473439508"/>
                <w:lock w:val="sdtLocked"/>
              </w:sdtPr>
              <w:sdtEndPr/>
              <w:sdtContent>
                <w:p w:rsidR="00204845" w:rsidRDefault="00CC2F26">
                  <w:pPr>
                    <w:tabs>
                      <w:tab w:val="left" w:pos="567"/>
                    </w:tabs>
                    <w:ind w:right="142" w:firstLine="709"/>
                    <w:jc w:val="both"/>
                    <w:rPr>
                      <w:rFonts w:eastAsia="Calibri"/>
                      <w:szCs w:val="24"/>
                      <w:lang w:eastAsia="ko-KR"/>
                    </w:rPr>
                  </w:pPr>
                  <w:sdt>
                    <w:sdtPr>
                      <w:alias w:val="Numeris"/>
                      <w:tag w:val="nr_4f12c9ff25484f4693953a709e06c581"/>
                      <w:id w:val="-1923863723"/>
                      <w:lock w:val="sdtLocked"/>
                    </w:sdtPr>
                    <w:sdtEndPr/>
                    <w:sdtContent>
                      <w:r>
                        <w:rPr>
                          <w:rFonts w:eastAsia="Calibri"/>
                          <w:szCs w:val="24"/>
                          <w:lang w:eastAsia="ko-KR"/>
                        </w:rPr>
                        <w:t>1.6</w:t>
                      </w:r>
                    </w:sdtContent>
                  </w:sdt>
                  <w:r>
                    <w:rPr>
                      <w:rFonts w:eastAsia="Calibri"/>
                      <w:szCs w:val="24"/>
                      <w:lang w:eastAsia="ko-KR"/>
                    </w:rPr>
                    <w:t>. Pakeičiu 6 punktą ir jį išdėstau taip:</w:t>
                  </w:r>
                </w:p>
                <w:tbl>
                  <w:tblPr>
                    <w:tblW w:w="9615" w:type="dxa"/>
                    <w:tblInd w:w="-5" w:type="dxa"/>
                    <w:tblLayout w:type="fixed"/>
                    <w:tblCellMar>
                      <w:left w:w="0" w:type="dxa"/>
                      <w:right w:w="0" w:type="dxa"/>
                    </w:tblCellMar>
                    <w:tblLook w:val="0000" w:firstRow="0" w:lastRow="0" w:firstColumn="0" w:lastColumn="0" w:noHBand="0" w:noVBand="0"/>
                  </w:tblPr>
                  <w:tblGrid>
                    <w:gridCol w:w="709"/>
                    <w:gridCol w:w="2126"/>
                    <w:gridCol w:w="6780"/>
                  </w:tblGrid>
                  <w:tr w:rsidR="00204845">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CC2F26">
                        <w:pPr>
                          <w:suppressAutoHyphens/>
                          <w:jc w:val="both"/>
                          <w:textAlignment w:val="center"/>
                          <w:rPr>
                            <w:color w:val="000000"/>
                            <w:szCs w:val="24"/>
                            <w:lang w:eastAsia="lt-LT"/>
                          </w:rPr>
                        </w:pPr>
                        <w:r>
                          <w:rPr>
                            <w:color w:val="000000"/>
                            <w:szCs w:val="24"/>
                            <w:lang w:val="en-US" w:eastAsia="lt-LT"/>
                          </w:rPr>
                          <w:t>„6</w:t>
                        </w:r>
                        <w:r>
                          <w:rPr>
                            <w:color w:val="000000"/>
                            <w:szCs w:val="24"/>
                            <w:lang w:eastAsia="lt-LT"/>
                          </w:rPr>
                          <w:t>.</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CC2F26">
                        <w:pPr>
                          <w:suppressAutoHyphens/>
                          <w:jc w:val="both"/>
                          <w:textAlignment w:val="center"/>
                          <w:rPr>
                            <w:color w:val="000000"/>
                            <w:szCs w:val="24"/>
                            <w:lang w:eastAsia="lt-LT"/>
                          </w:rPr>
                        </w:pPr>
                        <w:r>
                          <w:rPr>
                            <w:color w:val="000000"/>
                            <w:szCs w:val="24"/>
                            <w:lang w:eastAsia="lt-LT"/>
                          </w:rPr>
                          <w:t>Remiama veikla</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CC2F26">
                        <w:pPr>
                          <w:jc w:val="both"/>
                          <w:rPr>
                            <w:color w:val="000000"/>
                            <w:szCs w:val="24"/>
                            <w:lang w:eastAsia="ko-KR"/>
                          </w:rPr>
                        </w:pPr>
                        <w:r>
                          <w:rPr>
                            <w:color w:val="000000"/>
                            <w:szCs w:val="24"/>
                            <w:lang w:eastAsia="ko-KR"/>
                          </w:rPr>
                          <w:t xml:space="preserve">Paskola teikiama Paskolos gavėjui, kuris kreipsis dėl finansavimo skyrimo projektui, kuriuo siekiama investuoti į aplinkai palankias technologijas, </w:t>
                        </w:r>
                        <w:proofErr w:type="spellStart"/>
                        <w:r>
                          <w:rPr>
                            <w:color w:val="000000"/>
                            <w:szCs w:val="24"/>
                            <w:lang w:eastAsia="ko-KR"/>
                          </w:rPr>
                          <w:t>žiediškumo</w:t>
                        </w:r>
                        <w:proofErr w:type="spellEnd"/>
                        <w:r>
                          <w:rPr>
                            <w:color w:val="000000"/>
                            <w:szCs w:val="24"/>
                            <w:lang w:eastAsia="ko-KR"/>
                          </w:rPr>
                          <w:t xml:space="preserve"> didinimą, </w:t>
                        </w:r>
                        <w:proofErr w:type="spellStart"/>
                        <w:r>
                          <w:rPr>
                            <w:color w:val="000000"/>
                            <w:szCs w:val="24"/>
                            <w:lang w:eastAsia="ko-KR"/>
                          </w:rPr>
                          <w:t>dekarbonizaciją</w:t>
                        </w:r>
                        <w:proofErr w:type="spellEnd"/>
                        <w:r>
                          <w:rPr>
                            <w:color w:val="000000"/>
                            <w:szCs w:val="24"/>
                            <w:lang w:eastAsia="ko-KR"/>
                          </w:rPr>
                          <w:t>, energijos vartojimo efektyvumą, mažai atliekų sukeliančių, pažangių, n</w:t>
                        </w:r>
                        <w:r>
                          <w:rPr>
                            <w:color w:val="000000"/>
                            <w:szCs w:val="24"/>
                            <w:lang w:eastAsia="ko-KR"/>
                          </w:rPr>
                          <w:t xml:space="preserve">ovatoriškų, skaitmeninių technologijų diegimą, aukštos pridėtinės vertės produktų gamybos </w:t>
                        </w:r>
                        <w:proofErr w:type="spellStart"/>
                        <w:r>
                          <w:rPr>
                            <w:color w:val="000000"/>
                            <w:szCs w:val="24"/>
                            <w:lang w:eastAsia="ko-KR"/>
                          </w:rPr>
                          <w:t>pajėgumų</w:t>
                        </w:r>
                        <w:proofErr w:type="spellEnd"/>
                        <w:r>
                          <w:rPr>
                            <w:color w:val="000000"/>
                            <w:szCs w:val="24"/>
                            <w:lang w:eastAsia="ko-KR"/>
                          </w:rPr>
                          <w:t xml:space="preserve"> (įskaitant biotechnologijas) plėtrą bei gynybos ir saugumo pramonę (toliau – Projektas). </w:t>
                        </w:r>
                        <w:r>
                          <w:rPr>
                            <w:szCs w:val="24"/>
                            <w:lang w:eastAsia="ko-KR"/>
                          </w:rPr>
                          <w:t>Finansuojant gynybos ir saugumo sektoriaus projektus, tinkamomis lai</w:t>
                        </w:r>
                        <w:r>
                          <w:rPr>
                            <w:szCs w:val="24"/>
                            <w:lang w:eastAsia="ko-KR"/>
                          </w:rPr>
                          <w:t>komos investicijos į Paskolos gavėjo susijusių ir (ar) partnerinių įmonių, kurios įgyvendins Projektą, nuosavą kapitalą.“</w:t>
                        </w:r>
                      </w:p>
                    </w:tc>
                  </w:tr>
                </w:tbl>
                <w:p w:rsidR="00204845" w:rsidRDefault="00CC2F26">
                  <w:pPr>
                    <w:tabs>
                      <w:tab w:val="left" w:pos="567"/>
                    </w:tabs>
                    <w:ind w:right="142"/>
                    <w:jc w:val="both"/>
                    <w:rPr>
                      <w:rFonts w:eastAsia="Calibri"/>
                      <w:szCs w:val="24"/>
                      <w:lang w:eastAsia="ko-KR"/>
                    </w:rPr>
                  </w:pPr>
                </w:p>
              </w:sdtContent>
            </w:sdt>
            <w:sdt>
              <w:sdtPr>
                <w:alias w:val="1.7 pp."/>
                <w:tag w:val="part_04d62af9c6864ee1a529479418f0e62b"/>
                <w:id w:val="-1919781536"/>
                <w:lock w:val="sdtLocked"/>
              </w:sdtPr>
              <w:sdtEndPr/>
              <w:sdtContent>
                <w:p w:rsidR="00204845" w:rsidRDefault="00CC2F26">
                  <w:pPr>
                    <w:tabs>
                      <w:tab w:val="left" w:pos="567"/>
                    </w:tabs>
                    <w:ind w:right="142" w:firstLine="709"/>
                    <w:jc w:val="both"/>
                    <w:rPr>
                      <w:rFonts w:eastAsia="Calibri"/>
                      <w:szCs w:val="24"/>
                      <w:lang w:eastAsia="ko-KR"/>
                    </w:rPr>
                  </w:pPr>
                  <w:sdt>
                    <w:sdtPr>
                      <w:alias w:val="Numeris"/>
                      <w:tag w:val="nr_04d62af9c6864ee1a529479418f0e62b"/>
                      <w:id w:val="1973325156"/>
                      <w:lock w:val="sdtLocked"/>
                    </w:sdtPr>
                    <w:sdtEndPr/>
                    <w:sdtContent>
                      <w:r>
                        <w:rPr>
                          <w:rFonts w:eastAsia="Calibri"/>
                          <w:szCs w:val="24"/>
                          <w:lang w:eastAsia="ko-KR"/>
                        </w:rPr>
                        <w:t>1.7</w:t>
                      </w:r>
                    </w:sdtContent>
                  </w:sdt>
                  <w:r>
                    <w:rPr>
                      <w:rFonts w:eastAsia="Calibri"/>
                      <w:szCs w:val="24"/>
                      <w:lang w:eastAsia="ko-KR"/>
                    </w:rPr>
                    <w:t xml:space="preserve">. Pakeičiu 7.2.7 papunktį ir jį išdėstau taip: </w:t>
                  </w:r>
                </w:p>
                <w:tbl>
                  <w:tblPr>
                    <w:tblW w:w="9615" w:type="dxa"/>
                    <w:tblInd w:w="-5" w:type="dxa"/>
                    <w:tblLayout w:type="fixed"/>
                    <w:tblCellMar>
                      <w:left w:w="0" w:type="dxa"/>
                      <w:right w:w="0" w:type="dxa"/>
                    </w:tblCellMar>
                    <w:tblLook w:val="0000" w:firstRow="0" w:lastRow="0" w:firstColumn="0" w:lastColumn="0" w:noHBand="0" w:noVBand="0"/>
                  </w:tblPr>
                  <w:tblGrid>
                    <w:gridCol w:w="709"/>
                    <w:gridCol w:w="1985"/>
                    <w:gridCol w:w="6921"/>
                  </w:tblGrid>
                  <w:tr w:rsidR="00204845">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204845">
                        <w:pPr>
                          <w:suppressAutoHyphens/>
                          <w:jc w:val="both"/>
                          <w:textAlignment w:val="center"/>
                          <w:rPr>
                            <w:color w:val="000000"/>
                            <w:szCs w:val="24"/>
                            <w:lang w:eastAsia="lt-LT"/>
                          </w:rPr>
                        </w:pPr>
                      </w:p>
                      <w:p w:rsidR="00204845" w:rsidRDefault="00204845">
                        <w:pPr>
                          <w:suppressAutoHyphens/>
                          <w:jc w:val="both"/>
                          <w:textAlignment w:val="center"/>
                          <w:rPr>
                            <w:color w:val="000000"/>
                            <w:szCs w:val="24"/>
                            <w:lang w:eastAsia="lt-LT"/>
                          </w:rPr>
                        </w:pP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204845">
                        <w:pPr>
                          <w:suppressAutoHyphens/>
                          <w:jc w:val="both"/>
                          <w:textAlignment w:val="center"/>
                          <w:rPr>
                            <w:color w:val="000000"/>
                            <w:szCs w:val="24"/>
                            <w:lang w:eastAsia="lt-LT"/>
                          </w:rPr>
                        </w:pPr>
                      </w:p>
                    </w:tc>
                    <w:tc>
                      <w:tcPr>
                        <w:tcW w:w="692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CC2F26">
                        <w:pPr>
                          <w:jc w:val="both"/>
                          <w:rPr>
                            <w:szCs w:val="24"/>
                            <w:lang w:eastAsia="lt-LT"/>
                          </w:rPr>
                        </w:pPr>
                        <w:r>
                          <w:rPr>
                            <w:lang w:eastAsia="lt-LT"/>
                          </w:rPr>
                          <w:t>„</w:t>
                        </w:r>
                        <w:r>
                          <w:rPr>
                            <w:szCs w:val="24"/>
                            <w:lang w:eastAsia="lt-LT"/>
                          </w:rPr>
                          <w:t>7.2.7. Paskolos gavėjui, jo vadovui, atstovui, Paskolos gavėjo nuosavybės</w:t>
                        </w:r>
                        <w:r>
                          <w:rPr>
                            <w:szCs w:val="24"/>
                            <w:lang w:eastAsia="lt-LT"/>
                          </w:rPr>
                          <w:t xml:space="preserve"> ir valdymo struktūrai priklausantiems asmenims, naudos gavėjui, kaip jis apibrėžtas Lietuvos Respublikos pinigų plovimo ir teroristų finansavimo prevencijos įstatymo 2 straipsnio 14 dalyje, arba fiziniams ir juridiniams asmenims, kurių naudai bus naudojam</w:t>
                        </w:r>
                        <w:r>
                          <w:rPr>
                            <w:szCs w:val="24"/>
                            <w:lang w:eastAsia="lt-LT"/>
                          </w:rPr>
                          <w:t xml:space="preserve">a Paskola, sandorio ir (arba) mokėjimo bei tiekimo grandinėje dalyvaujantiems subjektams nėra taikomos tarptautinės sankcijos ir (ar) ribojamosios priemonės, kaip šios sąvokos apibrėžtos Lietuvos </w:t>
                        </w:r>
                        <w:r>
                          <w:rPr>
                            <w:szCs w:val="24"/>
                            <w:lang w:eastAsia="lt-LT"/>
                          </w:rPr>
                          <w:lastRenderedPageBreak/>
                          <w:t>Respublikos tarptautinių sankcijų įstatyme, taip pat sankcij</w:t>
                        </w:r>
                        <w:r>
                          <w:rPr>
                            <w:szCs w:val="24"/>
                            <w:lang w:eastAsia="lt-LT"/>
                          </w:rPr>
                          <w:t xml:space="preserve">os, kurias nustato, taiko ar administruoja Jungtinių Amerikos Valstijų Vyriausybė (įskaitant Jungtinių Amerikos Valstijų Iždo departamento Užsienio lėšų kontrolės biurą (angl. </w:t>
                        </w:r>
                        <w:proofErr w:type="spellStart"/>
                        <w:r>
                          <w:rPr>
                            <w:i/>
                            <w:iCs/>
                            <w:szCs w:val="24"/>
                            <w:lang w:eastAsia="lt-LT"/>
                          </w:rPr>
                          <w:t>The</w:t>
                        </w:r>
                        <w:proofErr w:type="spellEnd"/>
                        <w:r>
                          <w:rPr>
                            <w:i/>
                            <w:iCs/>
                            <w:szCs w:val="24"/>
                            <w:lang w:eastAsia="lt-LT"/>
                          </w:rPr>
                          <w:t xml:space="preserve"> Office </w:t>
                        </w:r>
                        <w:proofErr w:type="spellStart"/>
                        <w:r>
                          <w:rPr>
                            <w:i/>
                            <w:iCs/>
                            <w:szCs w:val="24"/>
                            <w:lang w:eastAsia="lt-LT"/>
                          </w:rPr>
                          <w:t>of</w:t>
                        </w:r>
                        <w:proofErr w:type="spellEnd"/>
                        <w:r>
                          <w:rPr>
                            <w:i/>
                            <w:iCs/>
                            <w:szCs w:val="24"/>
                            <w:lang w:eastAsia="lt-LT"/>
                          </w:rPr>
                          <w:t xml:space="preserve"> </w:t>
                        </w:r>
                        <w:proofErr w:type="spellStart"/>
                        <w:r>
                          <w:rPr>
                            <w:i/>
                            <w:iCs/>
                            <w:szCs w:val="24"/>
                            <w:lang w:eastAsia="lt-LT"/>
                          </w:rPr>
                          <w:t>Foreign</w:t>
                        </w:r>
                        <w:proofErr w:type="spellEnd"/>
                        <w:r>
                          <w:rPr>
                            <w:i/>
                            <w:iCs/>
                            <w:szCs w:val="24"/>
                            <w:lang w:eastAsia="lt-LT"/>
                          </w:rPr>
                          <w:t xml:space="preserve"> </w:t>
                        </w:r>
                        <w:proofErr w:type="spellStart"/>
                        <w:r>
                          <w:rPr>
                            <w:i/>
                            <w:iCs/>
                            <w:szCs w:val="24"/>
                            <w:lang w:eastAsia="lt-LT"/>
                          </w:rPr>
                          <w:t>Assets</w:t>
                        </w:r>
                        <w:proofErr w:type="spellEnd"/>
                        <w:r>
                          <w:rPr>
                            <w:i/>
                            <w:iCs/>
                            <w:szCs w:val="24"/>
                            <w:lang w:eastAsia="lt-LT"/>
                          </w:rPr>
                          <w:t xml:space="preserve"> </w:t>
                        </w:r>
                        <w:proofErr w:type="spellStart"/>
                        <w:r>
                          <w:rPr>
                            <w:i/>
                            <w:iCs/>
                            <w:szCs w:val="24"/>
                            <w:lang w:eastAsia="lt-LT"/>
                          </w:rPr>
                          <w:t>Control</w:t>
                        </w:r>
                        <w:proofErr w:type="spellEnd"/>
                        <w:r>
                          <w:rPr>
                            <w:i/>
                            <w:iCs/>
                            <w:szCs w:val="24"/>
                            <w:lang w:eastAsia="lt-LT"/>
                          </w:rPr>
                          <w:t xml:space="preserve"> </w:t>
                        </w:r>
                        <w:proofErr w:type="spellStart"/>
                        <w:r>
                          <w:rPr>
                            <w:i/>
                            <w:iCs/>
                            <w:szCs w:val="24"/>
                            <w:lang w:eastAsia="lt-LT"/>
                          </w:rPr>
                          <w:t>of</w:t>
                        </w:r>
                        <w:proofErr w:type="spellEnd"/>
                        <w:r>
                          <w:rPr>
                            <w:i/>
                            <w:iCs/>
                            <w:szCs w:val="24"/>
                            <w:lang w:eastAsia="lt-LT"/>
                          </w:rPr>
                          <w:t xml:space="preserve"> </w:t>
                        </w:r>
                        <w:proofErr w:type="spellStart"/>
                        <w:r>
                          <w:rPr>
                            <w:i/>
                            <w:iCs/>
                            <w:szCs w:val="24"/>
                            <w:lang w:eastAsia="lt-LT"/>
                          </w:rPr>
                          <w:t>the</w:t>
                        </w:r>
                        <w:proofErr w:type="spellEnd"/>
                        <w:r>
                          <w:rPr>
                            <w:i/>
                            <w:iCs/>
                            <w:szCs w:val="24"/>
                            <w:lang w:eastAsia="lt-LT"/>
                          </w:rPr>
                          <w:t xml:space="preserve"> U.S. </w:t>
                        </w:r>
                        <w:proofErr w:type="spellStart"/>
                        <w:r>
                          <w:rPr>
                            <w:i/>
                            <w:iCs/>
                            <w:szCs w:val="24"/>
                            <w:lang w:eastAsia="lt-LT"/>
                          </w:rPr>
                          <w:t>Department</w:t>
                        </w:r>
                        <w:proofErr w:type="spellEnd"/>
                        <w:r>
                          <w:rPr>
                            <w:i/>
                            <w:iCs/>
                            <w:szCs w:val="24"/>
                            <w:lang w:eastAsia="lt-LT"/>
                          </w:rPr>
                          <w:t xml:space="preserve"> </w:t>
                        </w:r>
                        <w:proofErr w:type="spellStart"/>
                        <w:r>
                          <w:rPr>
                            <w:i/>
                            <w:iCs/>
                            <w:szCs w:val="24"/>
                            <w:lang w:eastAsia="lt-LT"/>
                          </w:rPr>
                          <w:t>of</w:t>
                        </w:r>
                        <w:proofErr w:type="spellEnd"/>
                        <w:r>
                          <w:rPr>
                            <w:i/>
                            <w:iCs/>
                            <w:szCs w:val="24"/>
                            <w:lang w:eastAsia="lt-LT"/>
                          </w:rPr>
                          <w:t xml:space="preserve"> </w:t>
                        </w:r>
                        <w:proofErr w:type="spellStart"/>
                        <w:r>
                          <w:rPr>
                            <w:i/>
                            <w:iCs/>
                            <w:szCs w:val="24"/>
                            <w:lang w:eastAsia="lt-LT"/>
                          </w:rPr>
                          <w:t>the</w:t>
                        </w:r>
                        <w:proofErr w:type="spellEnd"/>
                        <w:r>
                          <w:rPr>
                            <w:i/>
                            <w:iCs/>
                            <w:szCs w:val="24"/>
                            <w:lang w:eastAsia="lt-LT"/>
                          </w:rPr>
                          <w:t xml:space="preserve"> </w:t>
                        </w:r>
                        <w:proofErr w:type="spellStart"/>
                        <w:r>
                          <w:rPr>
                            <w:i/>
                            <w:iCs/>
                            <w:szCs w:val="24"/>
                            <w:lang w:eastAsia="lt-LT"/>
                          </w:rPr>
                          <w:t>Treasury</w:t>
                        </w:r>
                        <w:proofErr w:type="spellEnd"/>
                        <w:r>
                          <w:rPr>
                            <w:szCs w:val="24"/>
                            <w:lang w:eastAsia="lt-LT"/>
                          </w:rPr>
                          <w:t>).“ </w:t>
                        </w:r>
                      </w:p>
                    </w:tc>
                  </w:tr>
                </w:tbl>
                <w:p w:rsidR="00204845" w:rsidRDefault="00CC2F26">
                  <w:pPr>
                    <w:tabs>
                      <w:tab w:val="left" w:pos="567"/>
                    </w:tabs>
                    <w:ind w:right="142"/>
                    <w:jc w:val="both"/>
                    <w:rPr>
                      <w:rFonts w:eastAsia="Calibri"/>
                      <w:szCs w:val="24"/>
                      <w:lang w:eastAsia="ko-KR"/>
                    </w:rPr>
                  </w:pPr>
                </w:p>
              </w:sdtContent>
            </w:sdt>
            <w:sdt>
              <w:sdtPr>
                <w:alias w:val="1.8 pp."/>
                <w:tag w:val="part_f3ced76af5554627be89a1aa4ac40507"/>
                <w:id w:val="-1948612732"/>
                <w:lock w:val="sdtLocked"/>
              </w:sdtPr>
              <w:sdtEndPr/>
              <w:sdtContent>
                <w:p w:rsidR="00204845" w:rsidRDefault="00CC2F26">
                  <w:pPr>
                    <w:tabs>
                      <w:tab w:val="left" w:pos="567"/>
                    </w:tabs>
                    <w:ind w:right="142" w:firstLine="709"/>
                    <w:jc w:val="both"/>
                    <w:rPr>
                      <w:rFonts w:eastAsia="Calibri"/>
                      <w:szCs w:val="24"/>
                      <w:lang w:eastAsia="ko-KR"/>
                    </w:rPr>
                  </w:pPr>
                  <w:sdt>
                    <w:sdtPr>
                      <w:alias w:val="Numeris"/>
                      <w:tag w:val="nr_f3ced76af5554627be89a1aa4ac40507"/>
                      <w:id w:val="822928039"/>
                      <w:lock w:val="sdtLocked"/>
                    </w:sdtPr>
                    <w:sdtEndPr/>
                    <w:sdtContent>
                      <w:r>
                        <w:rPr>
                          <w:rFonts w:eastAsia="Calibri"/>
                          <w:szCs w:val="24"/>
                          <w:lang w:eastAsia="ko-KR"/>
                        </w:rPr>
                        <w:t>1.8</w:t>
                      </w:r>
                    </w:sdtContent>
                  </w:sdt>
                  <w:r>
                    <w:rPr>
                      <w:rFonts w:eastAsia="Calibri"/>
                      <w:szCs w:val="24"/>
                      <w:lang w:eastAsia="ko-KR"/>
                    </w:rPr>
                    <w:t>. Pakeičiu 7.2.10 papunktį ir jį išdėstau taip:</w:t>
                  </w:r>
                </w:p>
                <w:tbl>
                  <w:tblPr>
                    <w:tblW w:w="9615" w:type="dxa"/>
                    <w:tblInd w:w="-5" w:type="dxa"/>
                    <w:tblLayout w:type="fixed"/>
                    <w:tblCellMar>
                      <w:left w:w="0" w:type="dxa"/>
                      <w:right w:w="0" w:type="dxa"/>
                    </w:tblCellMar>
                    <w:tblLook w:val="0000" w:firstRow="0" w:lastRow="0" w:firstColumn="0" w:lastColumn="0" w:noHBand="0" w:noVBand="0"/>
                  </w:tblPr>
                  <w:tblGrid>
                    <w:gridCol w:w="709"/>
                    <w:gridCol w:w="1985"/>
                    <w:gridCol w:w="6921"/>
                  </w:tblGrid>
                  <w:tr w:rsidR="00204845">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204845">
                        <w:pPr>
                          <w:suppressAutoHyphens/>
                          <w:jc w:val="both"/>
                          <w:textAlignment w:val="center"/>
                          <w:rPr>
                            <w:color w:val="000000"/>
                            <w:szCs w:val="24"/>
                            <w:lang w:eastAsia="lt-LT"/>
                          </w:rPr>
                        </w:pPr>
                      </w:p>
                      <w:p w:rsidR="00204845" w:rsidRDefault="00204845">
                        <w:pPr>
                          <w:suppressAutoHyphens/>
                          <w:jc w:val="both"/>
                          <w:textAlignment w:val="center"/>
                          <w:rPr>
                            <w:color w:val="000000"/>
                            <w:szCs w:val="24"/>
                            <w:lang w:eastAsia="lt-LT"/>
                          </w:rPr>
                        </w:pP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204845">
                        <w:pPr>
                          <w:suppressAutoHyphens/>
                          <w:jc w:val="both"/>
                          <w:textAlignment w:val="center"/>
                          <w:rPr>
                            <w:color w:val="000000"/>
                            <w:szCs w:val="24"/>
                            <w:lang w:eastAsia="lt-LT"/>
                          </w:rPr>
                        </w:pPr>
                      </w:p>
                    </w:tc>
                    <w:tc>
                      <w:tcPr>
                        <w:tcW w:w="692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CC2F26">
                        <w:pPr>
                          <w:jc w:val="both"/>
                          <w:textAlignment w:val="baseline"/>
                          <w:rPr>
                            <w:szCs w:val="24"/>
                            <w:lang w:eastAsia="lt-LT"/>
                          </w:rPr>
                        </w:pPr>
                        <w:r>
                          <w:rPr>
                            <w:lang w:eastAsia="lt-LT"/>
                          </w:rPr>
                          <w:t>„</w:t>
                        </w:r>
                        <w:r>
                          <w:rPr>
                            <w:szCs w:val="24"/>
                            <w:lang w:eastAsia="lt-LT"/>
                          </w:rPr>
                          <w:t>7.2.10. Paskolos gavėjas, jo vadovas, atstovas, Paskolos gavėjo nuosavybės ir valdymo struktūrai priklausantys asmenys, naudos gavėjai</w:t>
                        </w:r>
                        <w:r>
                          <w:t xml:space="preserve"> </w:t>
                        </w:r>
                        <w:r>
                          <w:rPr>
                            <w:szCs w:val="24"/>
                            <w:lang w:eastAsia="lt-LT"/>
                          </w:rPr>
                          <w:t>nėra susiję su pinigų plovimu, teroristų finansavimu, mokesč</w:t>
                        </w:r>
                        <w:r>
                          <w:rPr>
                            <w:szCs w:val="24"/>
                            <w:lang w:eastAsia="lt-LT"/>
                          </w:rPr>
                          <w:t>ių vengimu ir (arba) kita nusikalstama veikla (pvz., Paskolos gavėjas veikia ar veikė didelės pinigų plovimo ir (arba) teroristų finansavimo rizikos srityje ir nėra dokumentų ar kitų įrodymų apie Paskolos gavėjo nuosavybės ir valdymo struktūrą, lėšų sandor</w:t>
                        </w:r>
                        <w:r>
                          <w:rPr>
                            <w:szCs w:val="24"/>
                            <w:lang w:eastAsia="lt-LT"/>
                          </w:rPr>
                          <w:t>iams vykdyti šaltinį, verslo santykius ar kitos informacijos ir dokumentų, kurie yra reikalingi laikantis teisės aktų, reguliuojančių pinigų plovimo ir teroristų finansavimo prevenciją bei mokesčių vengimo prevenciją). Atitiktis šiam reikalavimui vertinama</w:t>
                        </w:r>
                        <w:r>
                          <w:rPr>
                            <w:szCs w:val="24"/>
                            <w:lang w:eastAsia="lt-LT"/>
                          </w:rPr>
                          <w:t xml:space="preserve"> ILTE vidaus procedūrų nustatyta tvarka.“</w:t>
                        </w:r>
                      </w:p>
                    </w:tc>
                  </w:tr>
                </w:tbl>
                <w:p w:rsidR="00204845" w:rsidRDefault="00CC2F26">
                  <w:pPr>
                    <w:tabs>
                      <w:tab w:val="left" w:pos="567"/>
                    </w:tabs>
                    <w:ind w:right="142"/>
                    <w:jc w:val="both"/>
                    <w:rPr>
                      <w:rFonts w:eastAsia="Calibri"/>
                      <w:szCs w:val="24"/>
                      <w:lang w:eastAsia="ko-KR"/>
                    </w:rPr>
                  </w:pPr>
                </w:p>
              </w:sdtContent>
            </w:sdt>
            <w:sdt>
              <w:sdtPr>
                <w:alias w:val="1.9 pp."/>
                <w:tag w:val="part_4d8d3974f09245b0b4b7fd189fe40e5c"/>
                <w:id w:val="1234892217"/>
                <w:lock w:val="sdtLocked"/>
              </w:sdtPr>
              <w:sdtEndPr/>
              <w:sdtContent>
                <w:p w:rsidR="00204845" w:rsidRDefault="00CC2F26">
                  <w:pPr>
                    <w:tabs>
                      <w:tab w:val="left" w:pos="567"/>
                    </w:tabs>
                    <w:ind w:right="142" w:firstLine="709"/>
                    <w:jc w:val="both"/>
                    <w:rPr>
                      <w:rFonts w:eastAsia="Calibri"/>
                      <w:szCs w:val="24"/>
                      <w:lang w:eastAsia="ko-KR"/>
                    </w:rPr>
                  </w:pPr>
                  <w:sdt>
                    <w:sdtPr>
                      <w:alias w:val="Numeris"/>
                      <w:tag w:val="nr_4d8d3974f09245b0b4b7fd189fe40e5c"/>
                      <w:id w:val="899784783"/>
                      <w:lock w:val="sdtLocked"/>
                    </w:sdtPr>
                    <w:sdtEndPr/>
                    <w:sdtContent>
                      <w:r>
                        <w:rPr>
                          <w:rFonts w:eastAsia="Calibri"/>
                          <w:szCs w:val="24"/>
                          <w:lang w:eastAsia="ko-KR"/>
                        </w:rPr>
                        <w:t>1.9</w:t>
                      </w:r>
                    </w:sdtContent>
                  </w:sdt>
                  <w:r>
                    <w:rPr>
                      <w:rFonts w:eastAsia="Calibri"/>
                      <w:szCs w:val="24"/>
                      <w:lang w:eastAsia="ko-KR"/>
                    </w:rPr>
                    <w:t>. Pakeičiu 7.2.11 papunktį ir jį išdėstau taip:</w:t>
                  </w:r>
                </w:p>
                <w:tbl>
                  <w:tblPr>
                    <w:tblW w:w="9615" w:type="dxa"/>
                    <w:tblInd w:w="-5" w:type="dxa"/>
                    <w:tblLayout w:type="fixed"/>
                    <w:tblCellMar>
                      <w:left w:w="0" w:type="dxa"/>
                      <w:right w:w="0" w:type="dxa"/>
                    </w:tblCellMar>
                    <w:tblLook w:val="0000" w:firstRow="0" w:lastRow="0" w:firstColumn="0" w:lastColumn="0" w:noHBand="0" w:noVBand="0"/>
                  </w:tblPr>
                  <w:tblGrid>
                    <w:gridCol w:w="709"/>
                    <w:gridCol w:w="1985"/>
                    <w:gridCol w:w="6921"/>
                  </w:tblGrid>
                  <w:tr w:rsidR="00204845">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204845">
                        <w:pPr>
                          <w:suppressAutoHyphens/>
                          <w:jc w:val="both"/>
                          <w:textAlignment w:val="center"/>
                          <w:rPr>
                            <w:color w:val="000000"/>
                            <w:szCs w:val="24"/>
                            <w:lang w:eastAsia="lt-LT"/>
                          </w:rPr>
                        </w:pPr>
                      </w:p>
                      <w:p w:rsidR="00204845" w:rsidRDefault="00204845">
                        <w:pPr>
                          <w:suppressAutoHyphens/>
                          <w:jc w:val="both"/>
                          <w:textAlignment w:val="center"/>
                          <w:rPr>
                            <w:color w:val="000000"/>
                            <w:szCs w:val="24"/>
                            <w:lang w:eastAsia="lt-LT"/>
                          </w:rPr>
                        </w:pP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204845">
                        <w:pPr>
                          <w:suppressAutoHyphens/>
                          <w:jc w:val="both"/>
                          <w:textAlignment w:val="center"/>
                          <w:rPr>
                            <w:color w:val="000000"/>
                            <w:szCs w:val="24"/>
                            <w:lang w:eastAsia="lt-LT"/>
                          </w:rPr>
                        </w:pPr>
                      </w:p>
                    </w:tc>
                    <w:tc>
                      <w:tcPr>
                        <w:tcW w:w="692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CC2F26">
                        <w:pPr>
                          <w:jc w:val="both"/>
                          <w:textAlignment w:val="baseline"/>
                          <w:rPr>
                            <w:lang w:eastAsia="lt-LT"/>
                          </w:rPr>
                        </w:pPr>
                        <w:r>
                          <w:rPr>
                            <w:lang w:eastAsia="lt-LT"/>
                          </w:rPr>
                          <w:t>„7.2.11. Paskolos gavėjo ir (ar) Paskolos negrąžinimo rizika yra priimtino rizikingumo lygio, įskaitant riziką, susijusią su Paskolos gavėjo, jo vadovo, s</w:t>
                        </w:r>
                        <w:r>
                          <w:rPr>
                            <w:lang w:eastAsia="lt-LT"/>
                          </w:rPr>
                          <w:t>avininko, naudos gavėjo reputacija ir Projektą įgyvendinančiu rangovu, o Projektas Paskolos davėjo yra pripažintas ekonomiškai pagrįstu ir finansiškai gyvybingu. Rizikingumo lygio bei Projekto ekonominio pagrįstumo ir finansinio gyvybingumo vertinimas atli</w:t>
                        </w:r>
                        <w:r>
                          <w:rPr>
                            <w:lang w:eastAsia="lt-LT"/>
                          </w:rPr>
                          <w:t>ekamas Paskolos davėjo vidaus procedūrų tvarka, o reikalavimai Projektą įgyvendinančiam rangovui skelbiami ILTE interneto svetainėje https://ilte.lt.“</w:t>
                        </w:r>
                      </w:p>
                    </w:tc>
                  </w:tr>
                </w:tbl>
                <w:p w:rsidR="00204845" w:rsidRDefault="00CC2F26">
                  <w:pPr>
                    <w:tabs>
                      <w:tab w:val="left" w:pos="567"/>
                    </w:tabs>
                    <w:jc w:val="both"/>
                    <w:rPr>
                      <w:szCs w:val="24"/>
                      <w:lang w:eastAsia="ko-KR"/>
                    </w:rPr>
                  </w:pPr>
                </w:p>
              </w:sdtContent>
            </w:sdt>
            <w:sdt>
              <w:sdtPr>
                <w:alias w:val="1.10 pp."/>
                <w:tag w:val="part_3e60aee1936547708188a1b154c861a0"/>
                <w:id w:val="-975136414"/>
                <w:lock w:val="sdtLocked"/>
              </w:sdtPr>
              <w:sdtEndPr/>
              <w:sdtContent>
                <w:p w:rsidR="00204845" w:rsidRDefault="00CC2F26">
                  <w:pPr>
                    <w:tabs>
                      <w:tab w:val="left" w:pos="567"/>
                    </w:tabs>
                    <w:ind w:firstLine="709"/>
                    <w:jc w:val="both"/>
                    <w:rPr>
                      <w:szCs w:val="24"/>
                      <w:lang w:eastAsia="ko-KR"/>
                    </w:rPr>
                  </w:pPr>
                  <w:sdt>
                    <w:sdtPr>
                      <w:alias w:val="Numeris"/>
                      <w:tag w:val="nr_3e60aee1936547708188a1b154c861a0"/>
                      <w:id w:val="684173214"/>
                      <w:lock w:val="sdtLocked"/>
                    </w:sdtPr>
                    <w:sdtEndPr/>
                    <w:sdtContent>
                      <w:r>
                        <w:rPr>
                          <w:szCs w:val="24"/>
                          <w:lang w:eastAsia="ko-KR"/>
                        </w:rPr>
                        <w:t>1.10</w:t>
                      </w:r>
                    </w:sdtContent>
                  </w:sdt>
                  <w:r>
                    <w:rPr>
                      <w:szCs w:val="24"/>
                      <w:lang w:eastAsia="ko-KR"/>
                    </w:rPr>
                    <w:t xml:space="preserve">. Pakeičiu 7.2.13 papunktį ir jį išdėstau taip: </w:t>
                  </w:r>
                </w:p>
                <w:tbl>
                  <w:tblPr>
                    <w:tblW w:w="9615" w:type="dxa"/>
                    <w:tblInd w:w="-5" w:type="dxa"/>
                    <w:tblLayout w:type="fixed"/>
                    <w:tblCellMar>
                      <w:left w:w="0" w:type="dxa"/>
                      <w:right w:w="0" w:type="dxa"/>
                    </w:tblCellMar>
                    <w:tblLook w:val="0000" w:firstRow="0" w:lastRow="0" w:firstColumn="0" w:lastColumn="0" w:noHBand="0" w:noVBand="0"/>
                  </w:tblPr>
                  <w:tblGrid>
                    <w:gridCol w:w="709"/>
                    <w:gridCol w:w="2126"/>
                    <w:gridCol w:w="6780"/>
                  </w:tblGrid>
                  <w:tr w:rsidR="00204845">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204845">
                        <w:pPr>
                          <w:suppressAutoHyphens/>
                          <w:jc w:val="both"/>
                          <w:textAlignment w:val="center"/>
                          <w:rPr>
                            <w:color w:val="000000"/>
                            <w:szCs w:val="24"/>
                            <w:lang w:eastAsia="lt-LT"/>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204845">
                        <w:pPr>
                          <w:suppressAutoHyphens/>
                          <w:jc w:val="both"/>
                          <w:textAlignment w:val="center"/>
                          <w:rPr>
                            <w:color w:val="000000"/>
                            <w:szCs w:val="24"/>
                            <w:lang w:eastAsia="lt-LT"/>
                          </w:rPr>
                        </w:pP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CC2F26">
                        <w:pPr>
                          <w:jc w:val="both"/>
                          <w:textAlignment w:val="baseline"/>
                          <w:rPr>
                            <w:lang w:eastAsia="lt-LT"/>
                          </w:rPr>
                        </w:pPr>
                        <w:r>
                          <w:rPr>
                            <w:color w:val="000000"/>
                            <w:szCs w:val="24"/>
                            <w:lang w:eastAsia="lt-LT"/>
                          </w:rPr>
                          <w:t>„</w:t>
                        </w:r>
                        <w:r>
                          <w:t>7.2.13.</w:t>
                        </w:r>
                        <w:r>
                          <w:rPr>
                            <w:lang w:eastAsia="lt-LT"/>
                          </w:rPr>
                          <w:t xml:space="preserve"> </w:t>
                        </w:r>
                        <w:r>
                          <w:rPr>
                            <w:szCs w:val="24"/>
                          </w:rPr>
                          <w:t>Paskolos gavėjo nuosavybės rodiklis</w:t>
                        </w:r>
                        <w:r>
                          <w:rPr>
                            <w:szCs w:val="24"/>
                          </w:rPr>
                          <w:t xml:space="preserve"> (nuosavo kapitalo ir viso turto santykis) po Paskolos suteikimo nėra mažesnis kaip 0,1 arba 0,15, į nuosavą kapitalą įtraukus akcininkų, susijusių ir (ar) kitų trečiųjų asmenų Paskolos gavėjui suteiktas paskolas, subordinuotas ILTE paskolos (-ų) atžvilgiu</w:t>
                        </w:r>
                        <w:r>
                          <w:rPr>
                            <w:szCs w:val="24"/>
                          </w:rPr>
                          <w:t xml:space="preserve"> (toliau – trečiųjų asmenų subordinuotos paskolos) (be trečiųjų asmenų subordinuotų paskolų nuosavas kapitalas turi būti teigiamas), skaičiuojant pagal paskutinių finansinių metų metinių finansinių ataskaitų rinkinį ar paskutinę tarpinę finansinę ataskaitą</w:t>
                        </w:r>
                        <w:r>
                          <w:rPr>
                            <w:szCs w:val="24"/>
                          </w:rPr>
                          <w:t>. Jeigu pagal paskutinių finansinių metų metinių finansinių ataskaitų rinkinį nuosavybės rodiklis po Paskolos suteikimo yra mažesnis kaip 0,1 arba 0,15, įtraukus trečiųjų asmenų subordinuotas paskolas, o pagal paskutinę tarpinę finansinę ataskaitą yra dide</w:t>
                        </w:r>
                        <w:r>
                          <w:rPr>
                            <w:szCs w:val="24"/>
                          </w:rPr>
                          <w:t>snis kaip 0,1 arba 0,15, įtraukus trečiųjų asmenų subordinuotas paskolas, Paskolos gavėjas privalo pateikti ILTE nuosavybės struktūros pokyčius pagrindžiančius dokumentus (sukauptų nuostolių padengimo, kapitalo padidinimo apmokėjimo, turto vertinimo ir (ar</w:t>
                        </w:r>
                        <w:r>
                          <w:rPr>
                            <w:szCs w:val="24"/>
                          </w:rPr>
                          <w:t>ba) kitus nuosavybės struktūros pokyčius įrodančius dokumentus).</w:t>
                        </w:r>
                        <w:r>
                          <w:rPr>
                            <w:szCs w:val="24"/>
                            <w:lang w:eastAsia="ko-KR"/>
                          </w:rPr>
                          <w:t xml:space="preserve"> </w:t>
                        </w:r>
                        <w:r>
                          <w:rPr>
                            <w:szCs w:val="24"/>
                          </w:rPr>
                          <w:t>Paskolos gavėjo nuosavybės rodiklis turi būti pasiektas ne vėliau kaip iki Paskolos lėšų išmokėjimo Paskolos gavėjui dienos.</w:t>
                        </w:r>
                        <w:r>
                          <w:rPr>
                            <w:lang w:eastAsia="lt-LT"/>
                          </w:rPr>
                          <w:t>“</w:t>
                        </w:r>
                      </w:p>
                    </w:tc>
                  </w:tr>
                </w:tbl>
                <w:p w:rsidR="00204845" w:rsidRDefault="00CC2F26">
                  <w:pPr>
                    <w:rPr>
                      <w:szCs w:val="24"/>
                      <w:lang w:eastAsia="ko-KR"/>
                    </w:rPr>
                  </w:pPr>
                </w:p>
              </w:sdtContent>
            </w:sdt>
            <w:sdt>
              <w:sdtPr>
                <w:alias w:val="1.11 pp."/>
                <w:tag w:val="part_3bd9382cb2654d6fa86bb6d87e58f374"/>
                <w:id w:val="1046185143"/>
                <w:lock w:val="sdtLocked"/>
              </w:sdtPr>
              <w:sdtEndPr/>
              <w:sdtContent>
                <w:p w:rsidR="00204845" w:rsidRDefault="00CC2F26">
                  <w:pPr>
                    <w:tabs>
                      <w:tab w:val="left" w:pos="567"/>
                    </w:tabs>
                    <w:ind w:firstLine="709"/>
                    <w:jc w:val="both"/>
                    <w:rPr>
                      <w:szCs w:val="24"/>
                      <w:lang w:eastAsia="ko-KR"/>
                    </w:rPr>
                  </w:pPr>
                  <w:sdt>
                    <w:sdtPr>
                      <w:alias w:val="Numeris"/>
                      <w:tag w:val="nr_3bd9382cb2654d6fa86bb6d87e58f374"/>
                      <w:id w:val="-1691983318"/>
                      <w:lock w:val="sdtLocked"/>
                    </w:sdtPr>
                    <w:sdtEndPr/>
                    <w:sdtContent>
                      <w:r>
                        <w:rPr>
                          <w:szCs w:val="24"/>
                          <w:lang w:eastAsia="ko-KR"/>
                        </w:rPr>
                        <w:t>1.11</w:t>
                      </w:r>
                    </w:sdtContent>
                  </w:sdt>
                  <w:r>
                    <w:rPr>
                      <w:szCs w:val="24"/>
                      <w:lang w:eastAsia="ko-KR"/>
                    </w:rPr>
                    <w:t xml:space="preserve">. Pakeičiu 7.2.14 papunktį ir jį išdėstau taip: </w:t>
                  </w:r>
                </w:p>
                <w:tbl>
                  <w:tblPr>
                    <w:tblW w:w="9615" w:type="dxa"/>
                    <w:tblInd w:w="-5" w:type="dxa"/>
                    <w:tblLayout w:type="fixed"/>
                    <w:tblCellMar>
                      <w:left w:w="0" w:type="dxa"/>
                      <w:right w:w="0" w:type="dxa"/>
                    </w:tblCellMar>
                    <w:tblLook w:val="0000" w:firstRow="0" w:lastRow="0" w:firstColumn="0" w:lastColumn="0" w:noHBand="0" w:noVBand="0"/>
                  </w:tblPr>
                  <w:tblGrid>
                    <w:gridCol w:w="709"/>
                    <w:gridCol w:w="2126"/>
                    <w:gridCol w:w="6780"/>
                  </w:tblGrid>
                  <w:tr w:rsidR="00204845">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204845">
                        <w:pPr>
                          <w:suppressAutoHyphens/>
                          <w:jc w:val="both"/>
                          <w:textAlignment w:val="center"/>
                          <w:rPr>
                            <w:color w:val="000000"/>
                            <w:szCs w:val="24"/>
                            <w:lang w:eastAsia="lt-LT"/>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204845">
                        <w:pPr>
                          <w:suppressAutoHyphens/>
                          <w:jc w:val="both"/>
                          <w:textAlignment w:val="center"/>
                          <w:rPr>
                            <w:color w:val="000000"/>
                            <w:szCs w:val="24"/>
                            <w:lang w:eastAsia="lt-LT"/>
                          </w:rPr>
                        </w:pP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CC2F26">
                        <w:pPr>
                          <w:jc w:val="both"/>
                          <w:textAlignment w:val="baseline"/>
                          <w:rPr>
                            <w:color w:val="000000"/>
                            <w:szCs w:val="24"/>
                            <w:lang w:eastAsia="lt-LT"/>
                          </w:rPr>
                        </w:pPr>
                        <w:r>
                          <w:rPr>
                            <w:color w:val="000000"/>
                            <w:szCs w:val="24"/>
                            <w:lang w:eastAsia="lt-LT"/>
                          </w:rPr>
                          <w:t>„</w:t>
                        </w:r>
                        <w:r>
                          <w:rPr>
                            <w:szCs w:val="24"/>
                            <w:lang w:eastAsia="lt-LT"/>
                          </w:rPr>
                          <w:t xml:space="preserve">7.2.14. Paskolos gavėjas pateikia </w:t>
                        </w:r>
                        <w:proofErr w:type="spellStart"/>
                        <w:r>
                          <w:rPr>
                            <w:szCs w:val="24"/>
                            <w:lang w:eastAsia="lt-LT"/>
                          </w:rPr>
                          <w:t>įrodymus</w:t>
                        </w:r>
                        <w:proofErr w:type="spellEnd"/>
                        <w:r>
                          <w:rPr>
                            <w:szCs w:val="24"/>
                            <w:lang w:eastAsia="lt-LT"/>
                          </w:rPr>
                          <w:t xml:space="preserve">, kad prašomai suteikti Paskolai neturi galimybės gauti finansavimo rinkoje iš Lietuvos Respublikoje veikiančių finansų įstaigų </w:t>
                        </w:r>
                        <w:r>
                          <w:rPr>
                            <w:color w:val="000000"/>
                            <w:szCs w:val="24"/>
                            <w:lang w:eastAsia="lt-LT"/>
                          </w:rPr>
                          <w:t xml:space="preserve">(taikoma tuo atveju, kai prašoma suteikti tiesioginę ILTE paskolą ir Paskolos gavėjas </w:t>
                        </w:r>
                        <w:r>
                          <w:rPr>
                            <w:color w:val="000000"/>
                            <w:szCs w:val="24"/>
                            <w:lang w:eastAsia="lt-LT"/>
                          </w:rPr>
                          <w:t xml:space="preserve">vykdo veiklą ne gynybos ar saugumo sektoriuje).“ </w:t>
                        </w:r>
                      </w:p>
                    </w:tc>
                  </w:tr>
                </w:tbl>
                <w:p w:rsidR="00204845" w:rsidRDefault="00CC2F26">
                  <w:pPr>
                    <w:rPr>
                      <w:szCs w:val="24"/>
                      <w:lang w:eastAsia="ko-KR"/>
                    </w:rPr>
                  </w:pPr>
                </w:p>
              </w:sdtContent>
            </w:sdt>
            <w:sdt>
              <w:sdtPr>
                <w:alias w:val="1.12 pp."/>
                <w:tag w:val="part_d4f15b34b1eb4361a653bc2c6aaeef48"/>
                <w:id w:val="-886635724"/>
                <w:lock w:val="sdtLocked"/>
              </w:sdtPr>
              <w:sdtEndPr/>
              <w:sdtContent>
                <w:p w:rsidR="00204845" w:rsidRDefault="00CC2F26">
                  <w:pPr>
                    <w:tabs>
                      <w:tab w:val="left" w:pos="567"/>
                    </w:tabs>
                    <w:ind w:firstLine="709"/>
                    <w:jc w:val="both"/>
                    <w:rPr>
                      <w:szCs w:val="24"/>
                      <w:lang w:eastAsia="ko-KR"/>
                    </w:rPr>
                  </w:pPr>
                  <w:sdt>
                    <w:sdtPr>
                      <w:alias w:val="Numeris"/>
                      <w:tag w:val="nr_d4f15b34b1eb4361a653bc2c6aaeef48"/>
                      <w:id w:val="-1386329369"/>
                      <w:lock w:val="sdtLocked"/>
                    </w:sdtPr>
                    <w:sdtEndPr/>
                    <w:sdtContent>
                      <w:r>
                        <w:rPr>
                          <w:szCs w:val="24"/>
                          <w:lang w:eastAsia="ko-KR"/>
                        </w:rPr>
                        <w:t>1.12</w:t>
                      </w:r>
                    </w:sdtContent>
                  </w:sdt>
                  <w:r>
                    <w:rPr>
                      <w:szCs w:val="24"/>
                      <w:lang w:eastAsia="ko-KR"/>
                    </w:rPr>
                    <w:t>. Papildau 7.2.14</w:t>
                  </w:r>
                  <w:r>
                    <w:rPr>
                      <w:szCs w:val="24"/>
                      <w:vertAlign w:val="superscript"/>
                      <w:lang w:eastAsia="ko-KR"/>
                    </w:rPr>
                    <w:t>1</w:t>
                  </w:r>
                  <w:r>
                    <w:rPr>
                      <w:szCs w:val="24"/>
                      <w:lang w:eastAsia="ko-KR"/>
                    </w:rPr>
                    <w:t xml:space="preserve"> papunkčiu:</w:t>
                  </w:r>
                </w:p>
                <w:tbl>
                  <w:tblPr>
                    <w:tblW w:w="9615" w:type="dxa"/>
                    <w:tblInd w:w="-5" w:type="dxa"/>
                    <w:tblLayout w:type="fixed"/>
                    <w:tblCellMar>
                      <w:left w:w="0" w:type="dxa"/>
                      <w:right w:w="0" w:type="dxa"/>
                    </w:tblCellMar>
                    <w:tblLook w:val="0000" w:firstRow="0" w:lastRow="0" w:firstColumn="0" w:lastColumn="0" w:noHBand="0" w:noVBand="0"/>
                  </w:tblPr>
                  <w:tblGrid>
                    <w:gridCol w:w="709"/>
                    <w:gridCol w:w="2126"/>
                    <w:gridCol w:w="6780"/>
                  </w:tblGrid>
                  <w:tr w:rsidR="00204845">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204845">
                        <w:pPr>
                          <w:suppressAutoHyphens/>
                          <w:jc w:val="both"/>
                          <w:textAlignment w:val="center"/>
                          <w:rPr>
                            <w:color w:val="000000"/>
                            <w:szCs w:val="24"/>
                            <w:lang w:eastAsia="lt-LT"/>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204845">
                        <w:pPr>
                          <w:suppressAutoHyphens/>
                          <w:jc w:val="both"/>
                          <w:textAlignment w:val="center"/>
                          <w:rPr>
                            <w:color w:val="000000"/>
                            <w:szCs w:val="24"/>
                            <w:lang w:eastAsia="lt-LT"/>
                          </w:rPr>
                        </w:pP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CC2F26">
                        <w:pPr>
                          <w:jc w:val="both"/>
                          <w:textAlignment w:val="baseline"/>
                          <w:rPr>
                            <w:color w:val="000000"/>
                            <w:szCs w:val="24"/>
                            <w:lang w:eastAsia="lt-LT"/>
                          </w:rPr>
                        </w:pPr>
                        <w:r>
                          <w:rPr>
                            <w:color w:val="000000"/>
                            <w:szCs w:val="24"/>
                            <w:lang w:eastAsia="lt-LT"/>
                          </w:rPr>
                          <w:t>„</w:t>
                        </w:r>
                        <w:r>
                          <w:rPr>
                            <w:color w:val="000000"/>
                            <w:szCs w:val="24"/>
                            <w:lang w:val="en-US" w:eastAsia="lt-LT"/>
                          </w:rPr>
                          <w:t>7.2.14</w:t>
                        </w:r>
                        <w:r>
                          <w:rPr>
                            <w:color w:val="000000"/>
                            <w:szCs w:val="24"/>
                            <w:vertAlign w:val="superscript"/>
                            <w:lang w:val="en-US" w:eastAsia="lt-LT"/>
                          </w:rPr>
                          <w:t>1</w:t>
                        </w:r>
                        <w:r>
                          <w:rPr>
                            <w:color w:val="000000"/>
                            <w:szCs w:val="24"/>
                            <w:lang w:val="en-US" w:eastAsia="lt-LT"/>
                          </w:rPr>
                          <w:t xml:space="preserve">. </w:t>
                        </w:r>
                        <w:r>
                          <w:rPr>
                            <w:color w:val="000000"/>
                            <w:szCs w:val="24"/>
                            <w:lang w:eastAsia="lt-LT"/>
                          </w:rPr>
                          <w:t xml:space="preserve">Tuo atveju, kai Paskolos gavėjas prašo </w:t>
                        </w:r>
                        <w:proofErr w:type="spellStart"/>
                        <w:r>
                          <w:rPr>
                            <w:color w:val="000000"/>
                            <w:szCs w:val="24"/>
                            <w:lang w:eastAsia="lt-LT"/>
                          </w:rPr>
                          <w:t>refinansuoti</w:t>
                        </w:r>
                        <w:proofErr w:type="spellEnd"/>
                        <w:r>
                          <w:rPr>
                            <w:color w:val="000000"/>
                            <w:szCs w:val="24"/>
                            <w:lang w:eastAsia="lt-LT"/>
                          </w:rPr>
                          <w:t xml:space="preserve"> su Projekto įgyvendinimu susijusį tarpinį finansavimą (angl. </w:t>
                        </w:r>
                        <w:proofErr w:type="spellStart"/>
                        <w:r>
                          <w:rPr>
                            <w:rFonts w:eastAsia="Calibri"/>
                            <w:i/>
                            <w:iCs/>
                            <w:szCs w:val="24"/>
                          </w:rPr>
                          <w:t>bridge</w:t>
                        </w:r>
                        <w:proofErr w:type="spellEnd"/>
                        <w:r>
                          <w:rPr>
                            <w:rFonts w:eastAsia="Calibri"/>
                            <w:i/>
                            <w:iCs/>
                            <w:szCs w:val="24"/>
                          </w:rPr>
                          <w:t xml:space="preserve"> </w:t>
                        </w:r>
                        <w:proofErr w:type="spellStart"/>
                        <w:r>
                          <w:rPr>
                            <w:rFonts w:eastAsia="Calibri"/>
                            <w:i/>
                            <w:iCs/>
                            <w:szCs w:val="24"/>
                          </w:rPr>
                          <w:t>financing</w:t>
                        </w:r>
                        <w:proofErr w:type="spellEnd"/>
                        <w:r>
                          <w:rPr>
                            <w:rFonts w:eastAsia="Calibri"/>
                            <w:szCs w:val="24"/>
                          </w:rPr>
                          <w:t>), kuris suprantamas kaip</w:t>
                        </w:r>
                        <w:r>
                          <w:rPr>
                            <w:rFonts w:eastAsia="Calibri"/>
                            <w:szCs w:val="24"/>
                          </w:rPr>
                          <w:t xml:space="preserve"> trumpalaikis finansavimo būdas, suteiktas ne ilgesniam nei 4 metų terminui, kurį įmonės naudoja, siekdamos padengti išlaidas ir (ar) finansuoti Projektą, kol tikimasi gauti pajamų arba finansavimo (toliau – Tarpinis finansavimas)</w:t>
                        </w:r>
                        <w:r>
                          <w:rPr>
                            <w:color w:val="000000"/>
                            <w:szCs w:val="24"/>
                            <w:lang w:eastAsia="lt-LT"/>
                          </w:rPr>
                          <w:t>, Paskolos gavėjas kartu s</w:t>
                        </w:r>
                        <w:r>
                          <w:rPr>
                            <w:color w:val="000000"/>
                            <w:szCs w:val="24"/>
                            <w:lang w:eastAsia="lt-LT"/>
                          </w:rPr>
                          <w:t xml:space="preserve">u Schemos 7.2.14 papunktyje pateiktais </w:t>
                        </w:r>
                        <w:proofErr w:type="spellStart"/>
                        <w:r>
                          <w:rPr>
                            <w:color w:val="000000"/>
                            <w:szCs w:val="24"/>
                            <w:lang w:eastAsia="lt-LT"/>
                          </w:rPr>
                          <w:t>įrodymais</w:t>
                        </w:r>
                        <w:proofErr w:type="spellEnd"/>
                        <w:r>
                          <w:rPr>
                            <w:color w:val="000000"/>
                            <w:szCs w:val="24"/>
                            <w:lang w:eastAsia="lt-LT"/>
                          </w:rPr>
                          <w:t xml:space="preserve"> pateikia iš Lietuvos Respublikoje veikiančios finansų įstaigos, kuri yra suteikusi Paskolos gavėjui paskolą, sutikimą dėl minėtos paskolos </w:t>
                        </w:r>
                        <w:proofErr w:type="spellStart"/>
                        <w:r>
                          <w:rPr>
                            <w:color w:val="000000"/>
                            <w:szCs w:val="24"/>
                            <w:lang w:eastAsia="lt-LT"/>
                          </w:rPr>
                          <w:t>refinansavimo</w:t>
                        </w:r>
                        <w:proofErr w:type="spellEnd"/>
                        <w:r>
                          <w:rPr>
                            <w:color w:val="000000"/>
                            <w:szCs w:val="24"/>
                            <w:lang w:eastAsia="lt-LT"/>
                          </w:rPr>
                          <w:t xml:space="preserve"> (taikoma tuo atveju, kai prašoma suteikti tiesioginę I</w:t>
                        </w:r>
                        <w:r>
                          <w:rPr>
                            <w:color w:val="000000"/>
                            <w:szCs w:val="24"/>
                            <w:lang w:eastAsia="lt-LT"/>
                          </w:rPr>
                          <w:t>LTE paskolą ir Paskolos gavėjas vykdo veiklą ne gynybos ar saugumo sektoriuje).“</w:t>
                        </w:r>
                      </w:p>
                    </w:tc>
                  </w:tr>
                </w:tbl>
                <w:p w:rsidR="00204845" w:rsidRDefault="00204845">
                  <w:pPr>
                    <w:rPr>
                      <w:szCs w:val="24"/>
                      <w:lang w:eastAsia="ko-KR"/>
                    </w:rPr>
                  </w:pPr>
                </w:p>
                <w:p w:rsidR="00204845" w:rsidRDefault="00CC2F26">
                  <w:pPr>
                    <w:rPr>
                      <w:szCs w:val="24"/>
                      <w:lang w:eastAsia="ko-KR"/>
                    </w:rPr>
                  </w:pPr>
                </w:p>
              </w:sdtContent>
            </w:sdt>
            <w:sdt>
              <w:sdtPr>
                <w:alias w:val="1.13 pp."/>
                <w:tag w:val="part_3149a4b5bba5409cbde3661816c30dd5"/>
                <w:id w:val="473260277"/>
                <w:lock w:val="sdtLocked"/>
              </w:sdtPr>
              <w:sdtEndPr/>
              <w:sdtContent>
                <w:p w:rsidR="00204845" w:rsidRDefault="00CC2F26">
                  <w:pPr>
                    <w:tabs>
                      <w:tab w:val="left" w:pos="567"/>
                    </w:tabs>
                    <w:ind w:firstLine="709"/>
                    <w:jc w:val="both"/>
                    <w:rPr>
                      <w:szCs w:val="24"/>
                      <w:lang w:eastAsia="ko-KR"/>
                    </w:rPr>
                  </w:pPr>
                  <w:sdt>
                    <w:sdtPr>
                      <w:alias w:val="Numeris"/>
                      <w:tag w:val="nr_3149a4b5bba5409cbde3661816c30dd5"/>
                      <w:id w:val="669366705"/>
                      <w:lock w:val="sdtLocked"/>
                    </w:sdtPr>
                    <w:sdtEndPr/>
                    <w:sdtContent>
                      <w:r>
                        <w:rPr>
                          <w:szCs w:val="24"/>
                          <w:lang w:eastAsia="ko-KR"/>
                        </w:rPr>
                        <w:t>1.13</w:t>
                      </w:r>
                    </w:sdtContent>
                  </w:sdt>
                  <w:r>
                    <w:rPr>
                      <w:szCs w:val="24"/>
                      <w:lang w:eastAsia="ko-KR"/>
                    </w:rPr>
                    <w:t xml:space="preserve">. Pakeičiu 7.2.16 papunktį ir jį išdėstau taip: </w:t>
                  </w:r>
                </w:p>
                <w:tbl>
                  <w:tblPr>
                    <w:tblW w:w="9615" w:type="dxa"/>
                    <w:tblInd w:w="-5" w:type="dxa"/>
                    <w:tblLayout w:type="fixed"/>
                    <w:tblCellMar>
                      <w:left w:w="0" w:type="dxa"/>
                      <w:right w:w="0" w:type="dxa"/>
                    </w:tblCellMar>
                    <w:tblLook w:val="0000" w:firstRow="0" w:lastRow="0" w:firstColumn="0" w:lastColumn="0" w:noHBand="0" w:noVBand="0"/>
                  </w:tblPr>
                  <w:tblGrid>
                    <w:gridCol w:w="709"/>
                    <w:gridCol w:w="2126"/>
                    <w:gridCol w:w="6780"/>
                  </w:tblGrid>
                  <w:tr w:rsidR="00204845">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204845">
                        <w:pPr>
                          <w:suppressAutoHyphens/>
                          <w:jc w:val="both"/>
                          <w:textAlignment w:val="center"/>
                          <w:rPr>
                            <w:color w:val="000000"/>
                            <w:szCs w:val="24"/>
                            <w:lang w:eastAsia="lt-LT"/>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204845">
                        <w:pPr>
                          <w:suppressAutoHyphens/>
                          <w:jc w:val="both"/>
                          <w:textAlignment w:val="center"/>
                          <w:rPr>
                            <w:color w:val="000000"/>
                            <w:szCs w:val="24"/>
                            <w:lang w:eastAsia="lt-LT"/>
                          </w:rPr>
                        </w:pP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CC2F26">
                        <w:pPr>
                          <w:jc w:val="both"/>
                          <w:rPr>
                            <w:rFonts w:eastAsia="Calibri"/>
                          </w:rPr>
                        </w:pPr>
                        <w:r>
                          <w:rPr>
                            <w:color w:val="000000"/>
                            <w:szCs w:val="24"/>
                            <w:lang w:eastAsia="lt-LT"/>
                          </w:rPr>
                          <w:t>„</w:t>
                        </w:r>
                        <w:r>
                          <w:rPr>
                            <w:color w:val="000000"/>
                            <w:spacing w:val="2"/>
                          </w:rPr>
                          <w:t>7.2.</w:t>
                        </w:r>
                        <w:r>
                          <w:rPr>
                            <w:color w:val="000000"/>
                          </w:rPr>
                          <w:t>16</w:t>
                        </w:r>
                        <w:r>
                          <w:rPr>
                            <w:color w:val="000000"/>
                            <w:spacing w:val="2"/>
                          </w:rPr>
                          <w:t xml:space="preserve">. </w:t>
                        </w:r>
                        <w:r>
                          <w:rPr>
                            <w:color w:val="000000"/>
                          </w:rPr>
                          <w:t xml:space="preserve">Paskolos gavėjas nėra kontroliuojamas, kaip nustatyta Konkurencijos įstatyme, trečiųjų šalių (ne ES </w:t>
                        </w:r>
                        <w:r>
                          <w:rPr>
                            <w:color w:val="000000"/>
                          </w:rPr>
                          <w:t>valstybių narių) subjektų, o jo valdymo organas (-ai) yra veikiantis (-</w:t>
                        </w:r>
                        <w:proofErr w:type="spellStart"/>
                        <w:r>
                          <w:rPr>
                            <w:color w:val="000000"/>
                          </w:rPr>
                          <w:t>ys</w:t>
                        </w:r>
                        <w:proofErr w:type="spellEnd"/>
                        <w:r>
                          <w:rPr>
                            <w:color w:val="000000"/>
                          </w:rPr>
                          <w:t>) ES (taikoma strateginių investicijų, kurios suprantamos kaip investicijos į gynybos technologijas, į kosmoso atominius laikrodžius, strateginius paleidimo įrenginius, kosmoso produk</w:t>
                        </w:r>
                        <w:r>
                          <w:rPr>
                            <w:color w:val="000000"/>
                          </w:rPr>
                          <w:t>tus, taip pat investicijos, skirtos kibernetinio saugumo priemonėms ir sprendimams plėtoti ir diegti, įskaitant atvejus, kai šios priemonės ir sprendimai yra skaitmeninių tinklų ir duomenų infrastruktūros diegimo ar atnaujinimo dalis (toliau – Strateginė i</w:t>
                        </w:r>
                        <w:r>
                          <w:rPr>
                            <w:color w:val="000000"/>
                          </w:rPr>
                          <w:t>nvesticija), Projektams, kurių vertė yra didesnė nei 10 000 000 (dešimt milijonų) eurų, išskyrus išimtį, nustatytą Schemos 7.2.19 papunktyje). Trečiųjų šalių subjektų kontrolė suprantama kaip galimybė daryti tiesioginę ar netiesioginę lemiamą įtaką per vie</w:t>
                        </w:r>
                        <w:r>
                          <w:rPr>
                            <w:color w:val="000000"/>
                          </w:rPr>
                          <w:t xml:space="preserve">ną ar daugiau kitų įmonių ir (ar) Paskolos gavėjo akcininkų ar dalyvių, t. y. teisė skirti (atšaukti) Paskolos gavėjo valdymo organų narius, įpareigoti valdymo organus priimti Paskolos gavėjui svarbius sprendimus arba turima veto teisė dėl Paskolos gavėjo </w:t>
                        </w:r>
                        <w:r>
                          <w:rPr>
                            <w:color w:val="000000"/>
                          </w:rPr>
                          <w:t>priimamų sprendimų ir (ar) kiti veiksmai, galintys iš esmės pakeisti Paskolos gavėjo valdymą ir veiklą, realizuojama neturint Paskolos gavėjo akcininkų ar narių balsų daugumos ir be susitarimų su kitais įmonės akcininkais ar dalyviais (šis Schemos papunkti</w:t>
                        </w:r>
                        <w:r>
                          <w:rPr>
                            <w:color w:val="000000"/>
                          </w:rPr>
                          <w:t>s netaikomas, kai Projektai finansuojami INVEGOS fondo lėšomis).</w:t>
                        </w:r>
                        <w:r>
                          <w:rPr>
                            <w:rFonts w:eastAsia="Calibri"/>
                          </w:rPr>
                          <w:t>“</w:t>
                        </w:r>
                      </w:p>
                    </w:tc>
                  </w:tr>
                </w:tbl>
                <w:p w:rsidR="00204845" w:rsidRDefault="00204845">
                  <w:pPr>
                    <w:rPr>
                      <w:szCs w:val="24"/>
                      <w:lang w:eastAsia="ko-KR"/>
                    </w:rPr>
                  </w:pPr>
                </w:p>
                <w:p w:rsidR="00204845" w:rsidRDefault="00204845">
                  <w:pPr>
                    <w:rPr>
                      <w:szCs w:val="24"/>
                      <w:lang w:eastAsia="ko-KR"/>
                    </w:rPr>
                  </w:pPr>
                </w:p>
                <w:p w:rsidR="00204845" w:rsidRDefault="00CC2F26">
                  <w:pPr>
                    <w:rPr>
                      <w:szCs w:val="24"/>
                      <w:lang w:eastAsia="ko-KR"/>
                    </w:rPr>
                  </w:pPr>
                </w:p>
              </w:sdtContent>
            </w:sdt>
            <w:sdt>
              <w:sdtPr>
                <w:alias w:val="1.14 pp."/>
                <w:tag w:val="part_275aaca4f3394ad1a791e6f097d4a83c"/>
                <w:id w:val="1027134316"/>
                <w:lock w:val="sdtLocked"/>
              </w:sdtPr>
              <w:sdtEndPr/>
              <w:sdtContent>
                <w:p w:rsidR="00204845" w:rsidRDefault="00CC2F26">
                  <w:pPr>
                    <w:tabs>
                      <w:tab w:val="left" w:pos="567"/>
                    </w:tabs>
                    <w:ind w:firstLine="709"/>
                    <w:jc w:val="both"/>
                    <w:rPr>
                      <w:szCs w:val="24"/>
                      <w:lang w:eastAsia="ko-KR"/>
                    </w:rPr>
                  </w:pPr>
                  <w:sdt>
                    <w:sdtPr>
                      <w:alias w:val="Numeris"/>
                      <w:tag w:val="nr_275aaca4f3394ad1a791e6f097d4a83c"/>
                      <w:id w:val="-189915548"/>
                      <w:lock w:val="sdtLocked"/>
                    </w:sdtPr>
                    <w:sdtEndPr/>
                    <w:sdtContent>
                      <w:r>
                        <w:rPr>
                          <w:szCs w:val="24"/>
                          <w:lang w:eastAsia="ko-KR"/>
                        </w:rPr>
                        <w:t>1.14</w:t>
                      </w:r>
                    </w:sdtContent>
                  </w:sdt>
                  <w:r>
                    <w:rPr>
                      <w:szCs w:val="24"/>
                      <w:lang w:eastAsia="ko-KR"/>
                    </w:rPr>
                    <w:t>. Pakeičiu 7.2.19 papunktį ir jį išdėstau taip:</w:t>
                  </w:r>
                </w:p>
                <w:tbl>
                  <w:tblPr>
                    <w:tblW w:w="9615" w:type="dxa"/>
                    <w:tblInd w:w="-5" w:type="dxa"/>
                    <w:tblLayout w:type="fixed"/>
                    <w:tblCellMar>
                      <w:left w:w="0" w:type="dxa"/>
                      <w:right w:w="0" w:type="dxa"/>
                    </w:tblCellMar>
                    <w:tblLook w:val="0000" w:firstRow="0" w:lastRow="0" w:firstColumn="0" w:lastColumn="0" w:noHBand="0" w:noVBand="0"/>
                  </w:tblPr>
                  <w:tblGrid>
                    <w:gridCol w:w="709"/>
                    <w:gridCol w:w="2126"/>
                    <w:gridCol w:w="6780"/>
                  </w:tblGrid>
                  <w:tr w:rsidR="00204845">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204845">
                        <w:pPr>
                          <w:suppressAutoHyphens/>
                          <w:jc w:val="both"/>
                          <w:textAlignment w:val="center"/>
                          <w:rPr>
                            <w:color w:val="000000"/>
                            <w:szCs w:val="24"/>
                            <w:lang w:eastAsia="lt-LT"/>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204845">
                        <w:pPr>
                          <w:suppressAutoHyphens/>
                          <w:jc w:val="both"/>
                          <w:textAlignment w:val="center"/>
                          <w:rPr>
                            <w:color w:val="000000"/>
                            <w:szCs w:val="24"/>
                            <w:lang w:eastAsia="lt-LT"/>
                          </w:rPr>
                        </w:pP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CC2F26">
                        <w:pPr>
                          <w:tabs>
                            <w:tab w:val="left" w:pos="460"/>
                          </w:tabs>
                          <w:ind w:left="2" w:hanging="2"/>
                          <w:jc w:val="both"/>
                          <w:rPr>
                            <w:rFonts w:eastAsia="Calibri"/>
                            <w:szCs w:val="24"/>
                          </w:rPr>
                        </w:pPr>
                        <w:r>
                          <w:rPr>
                            <w:color w:val="000000"/>
                            <w:szCs w:val="24"/>
                            <w:lang w:eastAsia="lt-LT"/>
                          </w:rPr>
                          <w:t>„</w:t>
                        </w:r>
                        <w:r>
                          <w:rPr>
                            <w:rFonts w:eastAsia="Calibri"/>
                            <w:szCs w:val="24"/>
                          </w:rPr>
                          <w:t>7.2.19. Schemos 7.2.16–7.2.18 papunkčiuose nustatyti reikalavimai netaikomi Strateginių investicijų Projektams, kai Paskolos ga</w:t>
                        </w:r>
                        <w:r>
                          <w:rPr>
                            <w:rFonts w:eastAsia="Calibri"/>
                            <w:szCs w:val="24"/>
                          </w:rPr>
                          <w:t>vėjas gali įrodyti, kad jis yra juridinis asmuo, kuriam valstybė narė, kurioje jis yra įsisteigęs, patvirtino garantiją</w:t>
                        </w:r>
                        <w:r>
                          <w:rPr>
                            <w:rFonts w:eastAsia="Calibri"/>
                            <w:b/>
                            <w:bCs/>
                            <w:szCs w:val="24"/>
                          </w:rPr>
                          <w:t xml:space="preserve"> </w:t>
                        </w:r>
                        <w:r>
                          <w:rPr>
                            <w:rFonts w:eastAsia="Calibri"/>
                            <w:szCs w:val="24"/>
                          </w:rPr>
                          <w:t xml:space="preserve">pagal 2021 m. balandžio 29 d. Europos Parlamento ir Tarybos reglamentą </w:t>
                        </w:r>
                        <w:hyperlink r:id="rId12" w:tgtFrame="_blank" w:history="1">
                          <w:r>
                            <w:rPr>
                              <w:rFonts w:eastAsia="Calibri"/>
                              <w:color w:val="0000FF" w:themeColor="hyperlink"/>
                              <w:szCs w:val="24"/>
                              <w:u w:val="single"/>
                            </w:rPr>
                            <w:t>(ES) 2021/697</w:t>
                          </w:r>
                        </w:hyperlink>
                        <w:r>
                          <w:rPr>
                            <w:rFonts w:eastAsia="Calibri"/>
                            <w:szCs w:val="24"/>
                          </w:rPr>
                          <w:t xml:space="preserve">, kuriuo įsteigiamas Europos gynybos fondas ir panaikinamas Reglamentas </w:t>
                        </w:r>
                        <w:hyperlink r:id="rId13" w:tgtFrame="_blank" w:history="1">
                          <w:r>
                            <w:rPr>
                              <w:rFonts w:eastAsia="Calibri"/>
                              <w:color w:val="0000FF" w:themeColor="hyperlink"/>
                              <w:szCs w:val="24"/>
                              <w:u w:val="single"/>
                            </w:rPr>
                            <w:t>(ES) 2018/1092</w:t>
                          </w:r>
                        </w:hyperlink>
                        <w:r>
                          <w:rPr>
                            <w:rFonts w:eastAsia="Calibri"/>
                            <w:szCs w:val="24"/>
                          </w:rPr>
                          <w:t>, su visais pakeitim</w:t>
                        </w:r>
                        <w:r>
                          <w:rPr>
                            <w:rFonts w:eastAsia="Calibri"/>
                            <w:szCs w:val="24"/>
                          </w:rPr>
                          <w:t xml:space="preserve">ais arba Europos Komisijos patvirtintą atleidimą nuo prievolės, suteiktą pagal 2021 m. balandžio 28 d. Europos Parlamento ir Tarybos reglamento </w:t>
                        </w:r>
                        <w:hyperlink r:id="rId14" w:tgtFrame="_blank" w:history="1">
                          <w:r>
                            <w:rPr>
                              <w:rFonts w:eastAsia="Calibri"/>
                              <w:color w:val="0000FF" w:themeColor="hyperlink"/>
                              <w:szCs w:val="24"/>
                              <w:u w:val="single"/>
                            </w:rPr>
                            <w:t xml:space="preserve">(ES) </w:t>
                          </w:r>
                          <w:r>
                            <w:rPr>
                              <w:rFonts w:eastAsia="Calibri"/>
                              <w:color w:val="0000FF" w:themeColor="hyperlink"/>
                              <w:szCs w:val="24"/>
                              <w:u w:val="single"/>
                            </w:rPr>
                            <w:t>2021/696</w:t>
                          </w:r>
                        </w:hyperlink>
                        <w:r>
                          <w:rPr>
                            <w:rFonts w:eastAsia="Calibri"/>
                            <w:szCs w:val="24"/>
                          </w:rPr>
                          <w:t xml:space="preserve">, kuriuo sudaroma Sąjungos kosmoso programa, įsteigiama Europos Sąjungos kosmoso programos agentūra ir panaikinami reglamentai </w:t>
                        </w:r>
                        <w:hyperlink r:id="rId15" w:tgtFrame="_blank" w:history="1">
                          <w:r>
                            <w:rPr>
                              <w:rFonts w:eastAsia="Calibri"/>
                              <w:color w:val="0000FF" w:themeColor="hyperlink"/>
                              <w:szCs w:val="24"/>
                              <w:u w:val="single"/>
                            </w:rPr>
                            <w:t>(ES) Nr. 912/2010</w:t>
                          </w:r>
                        </w:hyperlink>
                        <w:r>
                          <w:rPr>
                            <w:rFonts w:eastAsia="Calibri"/>
                            <w:szCs w:val="24"/>
                          </w:rPr>
                          <w:t xml:space="preserve">, </w:t>
                        </w:r>
                        <w:hyperlink r:id="rId16" w:tgtFrame="_blank" w:history="1">
                          <w:r>
                            <w:rPr>
                              <w:rFonts w:eastAsia="Calibri"/>
                              <w:color w:val="0000FF" w:themeColor="hyperlink"/>
                              <w:szCs w:val="24"/>
                              <w:u w:val="single"/>
                            </w:rPr>
                            <w:t>(ES) Nr. 1285/2013</w:t>
                          </w:r>
                        </w:hyperlink>
                        <w:r>
                          <w:rPr>
                            <w:rFonts w:eastAsia="Calibri"/>
                            <w:szCs w:val="24"/>
                          </w:rPr>
                          <w:t xml:space="preserve"> bei </w:t>
                        </w:r>
                        <w:hyperlink r:id="rId17" w:tgtFrame="_blank" w:history="1">
                          <w:r>
                            <w:rPr>
                              <w:rFonts w:eastAsia="Calibri"/>
                              <w:color w:val="0000FF" w:themeColor="hyperlink"/>
                              <w:szCs w:val="24"/>
                              <w:u w:val="single"/>
                            </w:rPr>
                            <w:t>(ES) Nr. 377/2014</w:t>
                          </w:r>
                        </w:hyperlink>
                        <w:r>
                          <w:rPr>
                            <w:rFonts w:eastAsia="Calibri"/>
                            <w:szCs w:val="24"/>
                          </w:rPr>
                          <w:t xml:space="preserve"> ir Sprendimas </w:t>
                        </w:r>
                        <w:hyperlink r:id="rId18" w:tgtFrame="_blank" w:history="1">
                          <w:r>
                            <w:rPr>
                              <w:rFonts w:eastAsia="Calibri"/>
                              <w:color w:val="0000FF" w:themeColor="hyperlink"/>
                              <w:szCs w:val="24"/>
                              <w:u w:val="single"/>
                            </w:rPr>
                            <w:t>Nr. 541/2014/ES</w:t>
                          </w:r>
                        </w:hyperlink>
                        <w:r>
                          <w:rPr>
                            <w:rFonts w:eastAsia="Calibri"/>
                            <w:szCs w:val="24"/>
                          </w:rPr>
                          <w:t xml:space="preserve"> (šis Schemos papunktis netaikomas, kai Projektai finansuojami INVEGOS fondo lėšomis).“</w:t>
                        </w:r>
                      </w:p>
                    </w:tc>
                  </w:tr>
                </w:tbl>
                <w:p w:rsidR="00204845" w:rsidRDefault="00CC2F26">
                  <w:pPr>
                    <w:rPr>
                      <w:szCs w:val="24"/>
                      <w:lang w:eastAsia="ko-KR"/>
                    </w:rPr>
                  </w:pPr>
                </w:p>
              </w:sdtContent>
            </w:sdt>
            <w:sdt>
              <w:sdtPr>
                <w:alias w:val="1.15 pp."/>
                <w:tag w:val="part_f6e8f853135d48179f73cfdae0865f94"/>
                <w:id w:val="-731849786"/>
                <w:lock w:val="sdtLocked"/>
              </w:sdtPr>
              <w:sdtEndPr/>
              <w:sdtContent>
                <w:p w:rsidR="00204845" w:rsidRDefault="00CC2F26">
                  <w:pPr>
                    <w:tabs>
                      <w:tab w:val="left" w:pos="567"/>
                    </w:tabs>
                    <w:ind w:firstLine="709"/>
                    <w:jc w:val="both"/>
                    <w:rPr>
                      <w:szCs w:val="24"/>
                      <w:lang w:eastAsia="ko-KR"/>
                    </w:rPr>
                  </w:pPr>
                  <w:sdt>
                    <w:sdtPr>
                      <w:alias w:val="Numeris"/>
                      <w:tag w:val="nr_f6e8f853135d48179f73cfdae0865f94"/>
                      <w:id w:val="903952846"/>
                      <w:lock w:val="sdtLocked"/>
                    </w:sdtPr>
                    <w:sdtEndPr/>
                    <w:sdtContent>
                      <w:r>
                        <w:rPr>
                          <w:szCs w:val="24"/>
                          <w:lang w:eastAsia="ko-KR"/>
                        </w:rPr>
                        <w:t>1.15</w:t>
                      </w:r>
                    </w:sdtContent>
                  </w:sdt>
                  <w:r>
                    <w:rPr>
                      <w:szCs w:val="24"/>
                      <w:lang w:eastAsia="ko-KR"/>
                    </w:rPr>
                    <w:t xml:space="preserve">. Pakeičiu 7.2.21 papunktį ir jį išdėstau </w:t>
                  </w:r>
                  <w:r>
                    <w:rPr>
                      <w:szCs w:val="24"/>
                      <w:lang w:eastAsia="ko-KR"/>
                    </w:rPr>
                    <w:t>taip:</w:t>
                  </w:r>
                </w:p>
                <w:tbl>
                  <w:tblPr>
                    <w:tblW w:w="9615" w:type="dxa"/>
                    <w:tblInd w:w="-5" w:type="dxa"/>
                    <w:tblLayout w:type="fixed"/>
                    <w:tblCellMar>
                      <w:left w:w="0" w:type="dxa"/>
                      <w:right w:w="0" w:type="dxa"/>
                    </w:tblCellMar>
                    <w:tblLook w:val="0000" w:firstRow="0" w:lastRow="0" w:firstColumn="0" w:lastColumn="0" w:noHBand="0" w:noVBand="0"/>
                  </w:tblPr>
                  <w:tblGrid>
                    <w:gridCol w:w="709"/>
                    <w:gridCol w:w="2126"/>
                    <w:gridCol w:w="6780"/>
                  </w:tblGrid>
                  <w:tr w:rsidR="00204845">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204845">
                        <w:pPr>
                          <w:suppressAutoHyphens/>
                          <w:jc w:val="both"/>
                          <w:textAlignment w:val="center"/>
                          <w:rPr>
                            <w:color w:val="000000"/>
                            <w:szCs w:val="24"/>
                            <w:lang w:eastAsia="lt-LT"/>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204845">
                        <w:pPr>
                          <w:suppressAutoHyphens/>
                          <w:jc w:val="both"/>
                          <w:textAlignment w:val="center"/>
                          <w:rPr>
                            <w:color w:val="000000"/>
                            <w:szCs w:val="24"/>
                            <w:lang w:eastAsia="lt-LT"/>
                          </w:rPr>
                        </w:pP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CC2F26">
                        <w:pPr>
                          <w:jc w:val="both"/>
                          <w:rPr>
                            <w:rFonts w:eastAsia="Calibri"/>
                            <w:szCs w:val="24"/>
                          </w:rPr>
                        </w:pPr>
                        <w:r>
                          <w:rPr>
                            <w:color w:val="000000"/>
                            <w:szCs w:val="24"/>
                            <w:lang w:eastAsia="lt-LT"/>
                          </w:rPr>
                          <w:t>„</w:t>
                        </w:r>
                        <w:r>
                          <w:rPr>
                            <w:rFonts w:eastAsia="Calibri"/>
                            <w:szCs w:val="24"/>
                          </w:rPr>
                          <w:t>7.2.21. Paskolos gavėjas, siekiantis gauti Paskolą apyvartinėms lėšoms, privalo atitikti bent vieną iš šių kriterijų:</w:t>
                        </w:r>
                      </w:p>
                      <w:p w:rsidR="00204845" w:rsidRDefault="00CC2F26">
                        <w:pPr>
                          <w:jc w:val="both"/>
                          <w:rPr>
                            <w:rFonts w:eastAsia="Calibri"/>
                            <w:szCs w:val="24"/>
                          </w:rPr>
                        </w:pPr>
                        <w:r>
                          <w:rPr>
                            <w:rFonts w:eastAsia="Calibri"/>
                            <w:szCs w:val="24"/>
                          </w:rPr>
                          <w:t>7.2.21.1. turi Policijos departamento prie Lietuvos Respublikos vidaus reikalų ministerijos Viešosios tvarkos biuro Licencijavimo</w:t>
                        </w:r>
                        <w:r>
                          <w:rPr>
                            <w:rFonts w:eastAsia="Calibri"/>
                            <w:szCs w:val="24"/>
                          </w:rPr>
                          <w:t xml:space="preserve"> valdybos licenciją gaminti ginklus ar licenciją gaminti ginklų dalis, ar licenciją gaminti šaudmenis ir (ar) jų dalis, ar licenciją gaminti A kategorijos ginklų priedėlius (toliau –  VRM licencija) arba yra užpildęs paraišką ir pateikęs dokumentus VRM lic</w:t>
                        </w:r>
                        <w:r>
                          <w:rPr>
                            <w:rFonts w:eastAsia="Calibri"/>
                            <w:szCs w:val="24"/>
                          </w:rPr>
                          <w:t>encijai gauti ir privalo ją pateikti ILTE ne vėliau kaip per 12 mėnesių po Paskolos išmokėjimo (esant objektyvioms aplinkybėms, VRM licencijos pateikimo terminas gali būti pratęstas);</w:t>
                        </w:r>
                      </w:p>
                      <w:p w:rsidR="00204845" w:rsidRDefault="00CC2F26">
                        <w:pPr>
                          <w:jc w:val="both"/>
                          <w:rPr>
                            <w:rFonts w:eastAsia="Calibri"/>
                            <w:szCs w:val="24"/>
                          </w:rPr>
                        </w:pPr>
                        <w:r>
                          <w:rPr>
                            <w:rFonts w:eastAsia="Calibri"/>
                            <w:szCs w:val="24"/>
                          </w:rPr>
                          <w:t>7.2.21.2. turi Ekonomikos ir inovacijų ministerijos išduotą individualią</w:t>
                        </w:r>
                        <w:r>
                          <w:rPr>
                            <w:rFonts w:eastAsia="Calibri"/>
                            <w:szCs w:val="24"/>
                          </w:rPr>
                          <w:t>ją eksporto licenciją ar individualiąją eksporto licenciją laikinai išvežti ar visuotinę eksporto licenciją karinei įrangai (toliau – EIM licencija) arba neturi EIM licencijos, bet privalo ją pateikti ILTE ne vėliau kaip per 12 mėnesių po Paskolos išmokėji</w:t>
                        </w:r>
                        <w:r>
                          <w:rPr>
                            <w:rFonts w:eastAsia="Calibri"/>
                            <w:szCs w:val="24"/>
                          </w:rPr>
                          <w:t>mo (esant objektyvioms aplinkybėms, EIM licencijos pateikimo terminas gali būti pratęstas);</w:t>
                        </w:r>
                      </w:p>
                      <w:p w:rsidR="00204845" w:rsidRDefault="00CC2F26">
                        <w:pPr>
                          <w:jc w:val="both"/>
                          <w:rPr>
                            <w:rFonts w:eastAsia="Calibri"/>
                            <w:szCs w:val="24"/>
                          </w:rPr>
                        </w:pPr>
                        <w:r>
                          <w:rPr>
                            <w:rFonts w:eastAsia="Calibri"/>
                            <w:szCs w:val="24"/>
                          </w:rPr>
                          <w:t>7.2.21.3. Paskolos gavėjo veikla, kuriai prašoma finansavimo, yra susijusi su gaminiais, produktais ar paslaugomis, kurie patenka į Bendrąjį karinės įrangos sąrašą,</w:t>
                        </w:r>
                        <w:r>
                          <w:rPr>
                            <w:rFonts w:eastAsia="Calibri"/>
                            <w:szCs w:val="24"/>
                          </w:rPr>
                          <w:t xml:space="preserve"> patvirtintą Lietuvos Respublikos krašto apsaugos ministro 2009 m. gruodžio 29 d. įsakymu </w:t>
                        </w:r>
                        <w:r>
                          <w:rPr>
                            <w:rFonts w:eastAsia="Calibri"/>
                            <w:szCs w:val="24"/>
                          </w:rPr>
                          <w:br/>
                          <w:t>Nr. V-1216 „Dėl Bendrojo karinės įrangos sąrašo patvirtinimo“.“</w:t>
                        </w:r>
                      </w:p>
                    </w:tc>
                  </w:tr>
                </w:tbl>
                <w:p w:rsidR="00204845" w:rsidRDefault="00CC2F26">
                  <w:pPr>
                    <w:rPr>
                      <w:szCs w:val="24"/>
                      <w:lang w:eastAsia="ko-KR"/>
                    </w:rPr>
                  </w:pPr>
                </w:p>
              </w:sdtContent>
            </w:sdt>
            <w:sdt>
              <w:sdtPr>
                <w:alias w:val="1.16 pp."/>
                <w:tag w:val="part_88e8222d02074cb087820bd6ade57d22"/>
                <w:id w:val="553971651"/>
                <w:lock w:val="sdtLocked"/>
              </w:sdtPr>
              <w:sdtEndPr/>
              <w:sdtContent>
                <w:p w:rsidR="00204845" w:rsidRDefault="00CC2F26">
                  <w:pPr>
                    <w:tabs>
                      <w:tab w:val="left" w:pos="567"/>
                    </w:tabs>
                    <w:ind w:firstLine="709"/>
                    <w:jc w:val="both"/>
                    <w:rPr>
                      <w:szCs w:val="24"/>
                      <w:lang w:eastAsia="ko-KR"/>
                    </w:rPr>
                  </w:pPr>
                  <w:sdt>
                    <w:sdtPr>
                      <w:alias w:val="Numeris"/>
                      <w:tag w:val="nr_88e8222d02074cb087820bd6ade57d22"/>
                      <w:id w:val="-1406989242"/>
                      <w:lock w:val="sdtLocked"/>
                    </w:sdtPr>
                    <w:sdtEndPr/>
                    <w:sdtContent>
                      <w:r>
                        <w:rPr>
                          <w:szCs w:val="24"/>
                          <w:lang w:eastAsia="ko-KR"/>
                        </w:rPr>
                        <w:t>1.1</w:t>
                      </w:r>
                      <w:r>
                        <w:rPr>
                          <w:szCs w:val="24"/>
                          <w:lang w:val="en-US" w:eastAsia="ko-KR"/>
                        </w:rPr>
                        <w:t>6</w:t>
                      </w:r>
                    </w:sdtContent>
                  </w:sdt>
                  <w:r>
                    <w:rPr>
                      <w:szCs w:val="24"/>
                      <w:lang w:eastAsia="ko-KR"/>
                    </w:rPr>
                    <w:t>. Papildau 7</w:t>
                  </w:r>
                  <w:r>
                    <w:rPr>
                      <w:szCs w:val="24"/>
                      <w:vertAlign w:val="superscript"/>
                      <w:lang w:eastAsia="ko-KR"/>
                    </w:rPr>
                    <w:t xml:space="preserve">1 </w:t>
                  </w:r>
                  <w:r>
                    <w:rPr>
                      <w:szCs w:val="24"/>
                      <w:lang w:eastAsia="ko-KR"/>
                    </w:rPr>
                    <w:t xml:space="preserve">punktu: </w:t>
                  </w:r>
                </w:p>
                <w:tbl>
                  <w:tblPr>
                    <w:tblW w:w="9615" w:type="dxa"/>
                    <w:tblInd w:w="-5" w:type="dxa"/>
                    <w:tblLayout w:type="fixed"/>
                    <w:tblCellMar>
                      <w:left w:w="0" w:type="dxa"/>
                      <w:right w:w="0" w:type="dxa"/>
                    </w:tblCellMar>
                    <w:tblLook w:val="0000" w:firstRow="0" w:lastRow="0" w:firstColumn="0" w:lastColumn="0" w:noHBand="0" w:noVBand="0"/>
                  </w:tblPr>
                  <w:tblGrid>
                    <w:gridCol w:w="709"/>
                    <w:gridCol w:w="2126"/>
                    <w:gridCol w:w="6780"/>
                  </w:tblGrid>
                  <w:tr w:rsidR="00204845">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CC2F26">
                        <w:pPr>
                          <w:suppressAutoHyphens/>
                          <w:jc w:val="both"/>
                          <w:textAlignment w:val="center"/>
                          <w:rPr>
                            <w:color w:val="000000"/>
                            <w:szCs w:val="24"/>
                            <w:lang w:eastAsia="lt-LT"/>
                          </w:rPr>
                        </w:pPr>
                        <w:r>
                          <w:rPr>
                            <w:color w:val="000000"/>
                            <w:szCs w:val="24"/>
                            <w:lang w:eastAsia="lt-LT"/>
                          </w:rPr>
                          <w:t>„7</w:t>
                        </w:r>
                        <w:r>
                          <w:rPr>
                            <w:color w:val="000000"/>
                            <w:szCs w:val="24"/>
                            <w:vertAlign w:val="superscript"/>
                            <w:lang w:eastAsia="lt-LT"/>
                          </w:rPr>
                          <w:t>1</w:t>
                        </w:r>
                        <w:r>
                          <w:rPr>
                            <w:color w:val="000000"/>
                            <w:szCs w:val="24"/>
                            <w:lang w:eastAsia="lt-LT"/>
                          </w:rPr>
                          <w:t>.</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CC2F26">
                        <w:pPr>
                          <w:suppressAutoHyphens/>
                          <w:jc w:val="both"/>
                          <w:textAlignment w:val="center"/>
                          <w:rPr>
                            <w:color w:val="000000"/>
                            <w:szCs w:val="24"/>
                            <w:lang w:eastAsia="lt-LT"/>
                          </w:rPr>
                        </w:pPr>
                        <w:r>
                          <w:rPr>
                            <w:color w:val="000000"/>
                            <w:szCs w:val="24"/>
                            <w:lang w:eastAsia="lt-LT"/>
                          </w:rPr>
                          <w:t>Tinkamos finansuoti išlaidos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57" w:type="dxa"/>
                          <w:left w:w="108" w:type="dxa"/>
                          <w:bottom w:w="57" w:type="dxa"/>
                          <w:right w:w="108" w:type="dxa"/>
                        </w:tcMar>
                      </w:tcPr>
                      <w:p w:rsidR="00204845" w:rsidRDefault="00CC2F26">
                        <w:pPr>
                          <w:jc w:val="both"/>
                          <w:rPr>
                            <w:rFonts w:eastAsia="Calibri"/>
                            <w:szCs w:val="24"/>
                            <w:lang w:eastAsia="ko-KR"/>
                          </w:rPr>
                        </w:pPr>
                        <w:r>
                          <w:rPr>
                            <w:rFonts w:eastAsia="Calibri"/>
                            <w:szCs w:val="24"/>
                            <w:lang w:eastAsia="ko-KR"/>
                          </w:rPr>
                          <w:t>7</w:t>
                        </w:r>
                        <w:r>
                          <w:rPr>
                            <w:rFonts w:eastAsia="Calibri"/>
                            <w:szCs w:val="24"/>
                            <w:vertAlign w:val="superscript"/>
                            <w:lang w:eastAsia="ko-KR"/>
                          </w:rPr>
                          <w:t>1</w:t>
                        </w:r>
                        <w:r>
                          <w:rPr>
                            <w:rFonts w:eastAsia="Calibri"/>
                            <w:szCs w:val="24"/>
                            <w:lang w:eastAsia="ko-KR"/>
                          </w:rPr>
                          <w:t xml:space="preserve">.1. Tinkamos visos įgyvendinant </w:t>
                        </w:r>
                        <w:r>
                          <w:rPr>
                            <w:rFonts w:eastAsia="Calibri"/>
                            <w:szCs w:val="24"/>
                            <w:lang w:eastAsia="ko-KR"/>
                          </w:rPr>
                          <w:t>Projektą Paskolos gavėjo su Projekto įgyvendinimu susijusios ir patirtos išlaidos, išskyrus išlaidas, nurodytas Schemos 8 punkte.</w:t>
                        </w:r>
                      </w:p>
                      <w:p w:rsidR="00204845" w:rsidRDefault="00CC2F26">
                        <w:pPr>
                          <w:tabs>
                            <w:tab w:val="left" w:pos="460"/>
                          </w:tabs>
                          <w:ind w:left="2" w:hanging="2"/>
                          <w:jc w:val="both"/>
                          <w:rPr>
                            <w:rFonts w:eastAsia="Calibri"/>
                            <w:szCs w:val="24"/>
                          </w:rPr>
                        </w:pPr>
                        <w:r>
                          <w:rPr>
                            <w:rFonts w:eastAsia="Calibri"/>
                            <w:szCs w:val="24"/>
                            <w:lang w:eastAsia="ko-KR"/>
                          </w:rPr>
                          <w:t>7</w:t>
                        </w:r>
                        <w:r>
                          <w:rPr>
                            <w:rFonts w:eastAsia="Calibri"/>
                            <w:szCs w:val="24"/>
                            <w:vertAlign w:val="superscript"/>
                            <w:lang w:eastAsia="ko-KR"/>
                          </w:rPr>
                          <w:t>1</w:t>
                        </w:r>
                        <w:r>
                          <w:rPr>
                            <w:rFonts w:eastAsia="Calibri"/>
                            <w:szCs w:val="24"/>
                            <w:lang w:eastAsia="ko-KR"/>
                          </w:rPr>
                          <w:t>.2. Paskolos lėšos gali būti naudojamos nuosavam kapitalui didinti Paskolos gavėjo susijusių ir (ar) partnerinių įmonių, kur</w:t>
                        </w:r>
                        <w:r>
                          <w:rPr>
                            <w:rFonts w:eastAsia="Calibri"/>
                            <w:szCs w:val="24"/>
                            <w:lang w:eastAsia="ko-KR"/>
                          </w:rPr>
                          <w:t>ios įgyvendins Projektą ir nukreips šias lėšas gynybos ir saugumo projektams įgyvendinti (šis Schemos papunktis taikomas, kai Projektai finansuojami INVEGOS fondo lėšomis).“</w:t>
                        </w:r>
                      </w:p>
                    </w:tc>
                  </w:tr>
                </w:tbl>
                <w:p w:rsidR="00204845" w:rsidRDefault="00CC2F26">
                  <w:pPr>
                    <w:rPr>
                      <w:szCs w:val="24"/>
                      <w:lang w:eastAsia="ko-KR"/>
                    </w:rPr>
                  </w:pPr>
                </w:p>
              </w:sdtContent>
            </w:sdt>
            <w:sdt>
              <w:sdtPr>
                <w:alias w:val="1.17 pp."/>
                <w:tag w:val="part_bda2b09433c6492cb603366858e27fe3"/>
                <w:id w:val="1986204994"/>
                <w:lock w:val="sdtLocked"/>
              </w:sdtPr>
              <w:sdtEndPr/>
              <w:sdtContent>
                <w:p w:rsidR="00204845" w:rsidRDefault="00CC2F26">
                  <w:pPr>
                    <w:tabs>
                      <w:tab w:val="left" w:pos="567"/>
                    </w:tabs>
                    <w:ind w:firstLine="709"/>
                    <w:jc w:val="both"/>
                    <w:rPr>
                      <w:szCs w:val="24"/>
                      <w:lang w:eastAsia="ko-KR"/>
                    </w:rPr>
                  </w:pPr>
                  <w:sdt>
                    <w:sdtPr>
                      <w:alias w:val="Numeris"/>
                      <w:tag w:val="nr_bda2b09433c6492cb603366858e27fe3"/>
                      <w:id w:val="-2006666302"/>
                      <w:lock w:val="sdtLocked"/>
                    </w:sdtPr>
                    <w:sdtEndPr/>
                    <w:sdtContent>
                      <w:r>
                        <w:rPr>
                          <w:szCs w:val="24"/>
                          <w:lang w:eastAsia="ko-KR"/>
                        </w:rPr>
                        <w:t>1.17</w:t>
                      </w:r>
                    </w:sdtContent>
                  </w:sdt>
                  <w:r>
                    <w:rPr>
                      <w:szCs w:val="24"/>
                      <w:lang w:eastAsia="ko-KR"/>
                    </w:rPr>
                    <w:t>. Pakeičiu 8 punktą ir jį išdėstau taip:</w:t>
                  </w:r>
                </w:p>
                <w:tbl>
                  <w:tblPr>
                    <w:tblW w:w="9615" w:type="dxa"/>
                    <w:tblInd w:w="-5" w:type="dxa"/>
                    <w:tblLayout w:type="fixed"/>
                    <w:tblCellMar>
                      <w:left w:w="0" w:type="dxa"/>
                      <w:right w:w="0" w:type="dxa"/>
                    </w:tblCellMar>
                    <w:tblLook w:val="0000" w:firstRow="0" w:lastRow="0" w:firstColumn="0" w:lastColumn="0" w:noHBand="0" w:noVBand="0"/>
                  </w:tblPr>
                  <w:tblGrid>
                    <w:gridCol w:w="709"/>
                    <w:gridCol w:w="2126"/>
                    <w:gridCol w:w="6780"/>
                  </w:tblGrid>
                  <w:tr w:rsidR="00204845">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CC2F26">
                        <w:pPr>
                          <w:suppressAutoHyphens/>
                          <w:jc w:val="both"/>
                          <w:textAlignment w:val="center"/>
                          <w:rPr>
                            <w:color w:val="000000"/>
                            <w:szCs w:val="24"/>
                            <w:lang w:eastAsia="lt-LT"/>
                          </w:rPr>
                        </w:pPr>
                        <w:r>
                          <w:rPr>
                            <w:color w:val="000000"/>
                            <w:szCs w:val="24"/>
                            <w:lang w:eastAsia="lt-LT"/>
                          </w:rPr>
                          <w:t xml:space="preserve">„8. </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CC2F26">
                        <w:pPr>
                          <w:suppressAutoHyphens/>
                          <w:jc w:val="both"/>
                          <w:textAlignment w:val="center"/>
                          <w:rPr>
                            <w:color w:val="000000"/>
                            <w:szCs w:val="24"/>
                            <w:lang w:eastAsia="lt-LT"/>
                          </w:rPr>
                        </w:pPr>
                        <w:r>
                          <w:rPr>
                            <w:color w:val="000000"/>
                            <w:szCs w:val="24"/>
                            <w:lang w:eastAsia="lt-LT"/>
                          </w:rPr>
                          <w:t xml:space="preserve">Netinkamos finansuoti </w:t>
                        </w:r>
                        <w:r>
                          <w:rPr>
                            <w:color w:val="000000"/>
                            <w:szCs w:val="24"/>
                            <w:lang w:eastAsia="lt-LT"/>
                          </w:rPr>
                          <w:t>išlaidos  </w:t>
                        </w:r>
                      </w:p>
                      <w:p w:rsidR="00204845" w:rsidRDefault="00204845">
                        <w:pPr>
                          <w:suppressAutoHyphens/>
                          <w:jc w:val="both"/>
                          <w:textAlignment w:val="center"/>
                          <w:rPr>
                            <w:color w:val="000000"/>
                            <w:szCs w:val="24"/>
                            <w:lang w:eastAsia="lt-LT"/>
                          </w:rPr>
                        </w:pP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CC2F26">
                        <w:pPr>
                          <w:jc w:val="both"/>
                          <w:rPr>
                            <w:rFonts w:eastAsia="Calibri"/>
                          </w:rPr>
                        </w:pPr>
                        <w:r>
                          <w:rPr>
                            <w:rFonts w:eastAsia="Calibri"/>
                          </w:rPr>
                          <w:t xml:space="preserve">8.1. Paskolos lėšos negali būti naudojamos: </w:t>
                        </w:r>
                        <w:r>
                          <w:rPr>
                            <w:rFonts w:eastAsia="Calibri"/>
                          </w:rPr>
                          <w:tab/>
                        </w:r>
                      </w:p>
                      <w:p w:rsidR="00204845" w:rsidRDefault="00CC2F26">
                        <w:pPr>
                          <w:jc w:val="both"/>
                          <w:rPr>
                            <w:rFonts w:eastAsia="Calibri"/>
                            <w:strike/>
                          </w:rPr>
                        </w:pPr>
                        <w:r>
                          <w:rPr>
                            <w:rFonts w:eastAsia="Calibri"/>
                          </w:rPr>
                          <w:t>8.1.1. Paskolos gavėjo išlaidoms, kurios nėra skirtos Projektui įgyvendinti;</w:t>
                        </w:r>
                      </w:p>
                      <w:p w:rsidR="00204845" w:rsidRDefault="00CC2F26">
                        <w:pPr>
                          <w:jc w:val="both"/>
                          <w:rPr>
                            <w:rFonts w:eastAsia="Calibri"/>
                            <w:strike/>
                            <w:szCs w:val="24"/>
                          </w:rPr>
                        </w:pPr>
                        <w:r>
                          <w:rPr>
                            <w:rFonts w:eastAsia="Calibri"/>
                            <w:szCs w:val="24"/>
                          </w:rPr>
                          <w:t xml:space="preserve">8.1.2. paskoloms suteikti </w:t>
                        </w:r>
                        <w:r>
                          <w:rPr>
                            <w:szCs w:val="24"/>
                          </w:rPr>
                          <w:t>(išskyrus paskolas, Paskolos gavėjo suteikiamas jo įmonių grupei priklausančiai įmonei, kuri įg</w:t>
                        </w:r>
                        <w:r>
                          <w:rPr>
                            <w:szCs w:val="24"/>
                          </w:rPr>
                          <w:t>yvendina Projektą, kaip tai nurodyta Paskolos sutartyje, ir atitinka visus Schemos 7.2 papunktyje nurodytus reikalavimus (išskyrus Schemos 7.2.11, 7.2.13, 7.2.14 papunkčių reikalavimus) bei įsipareigoja užtikrinti, kad įgyvendinant Projektą nebus patiriama</w:t>
                        </w:r>
                        <w:r>
                          <w:rPr>
                            <w:szCs w:val="24"/>
                          </w:rPr>
                          <w:t xml:space="preserve"> netinkamų finansuoti išlaidų, kurios nurodytos Schemos 8.1 papunktyje)</w:t>
                        </w:r>
                        <w:r>
                          <w:rPr>
                            <w:rFonts w:eastAsia="Calibri"/>
                            <w:szCs w:val="24"/>
                          </w:rPr>
                          <w:t>, dividendams, tantjemoms išsimokėti, Paskolos gavėjo dalyvių ir (ar) fizinių bei juridinių asmenų paskoloms grąžinti ar suteikti, Paskolos gavėjų įstatiniam kapitalui mažinti, savoms a</w:t>
                        </w:r>
                        <w:r>
                          <w:rPr>
                            <w:rFonts w:eastAsia="Calibri"/>
                            <w:szCs w:val="24"/>
                          </w:rPr>
                          <w:t xml:space="preserve">kcijoms supirkti ar kitokiems </w:t>
                        </w:r>
                        <w:proofErr w:type="spellStart"/>
                        <w:r>
                          <w:rPr>
                            <w:rFonts w:eastAsia="Calibri"/>
                            <w:szCs w:val="24"/>
                          </w:rPr>
                          <w:t>mokėjimams</w:t>
                        </w:r>
                        <w:proofErr w:type="spellEnd"/>
                        <w:r>
                          <w:rPr>
                            <w:rFonts w:eastAsia="Calibri"/>
                            <w:szCs w:val="24"/>
                          </w:rPr>
                          <w:t xml:space="preserve"> iš kapitalo Paskolos gavėjo dalyviams ir (ar) fiziniams bei juridiniams asmenims atlikti, išskyrus atvejį, kai Paskolos lėšomis bus padengiamas su Projekto įgyvendinimu susijęs Tarpinis finansavimas; </w:t>
                        </w:r>
                      </w:p>
                      <w:p w:rsidR="00204845" w:rsidRDefault="00CC2F26">
                        <w:pPr>
                          <w:jc w:val="both"/>
                          <w:rPr>
                            <w:rFonts w:eastAsia="Calibri"/>
                          </w:rPr>
                        </w:pPr>
                        <w:r>
                          <w:rPr>
                            <w:rFonts w:eastAsia="Calibri"/>
                          </w:rPr>
                          <w:t>8.1.3. Paskolo</w:t>
                        </w:r>
                        <w:r>
                          <w:rPr>
                            <w:rFonts w:eastAsia="Calibri"/>
                          </w:rPr>
                          <w:t>s gavėjo turimiems finansiniams įsipareigojimams finansų įstaigoms vykdyti ir (ar) Paskolos gavėjo turimiems finansiniams įsipareigojimams perfinansuoti, išskyrus atvejį, kai Paskolos lėšomis bus padengiamas su Projekto įgyvendinimu susijęs Tarpinis finans</w:t>
                        </w:r>
                        <w:r>
                          <w:rPr>
                            <w:rFonts w:eastAsia="Calibri"/>
                          </w:rPr>
                          <w:t>avimas;</w:t>
                        </w:r>
                      </w:p>
                      <w:p w:rsidR="00204845" w:rsidRDefault="00CC2F26">
                        <w:pPr>
                          <w:jc w:val="both"/>
                          <w:rPr>
                            <w:rFonts w:eastAsia="Calibri"/>
                          </w:rPr>
                        </w:pPr>
                        <w:r>
                          <w:rPr>
                            <w:rFonts w:eastAsia="Calibri"/>
                          </w:rPr>
                          <w:t xml:space="preserve">8.1.4. kai perfinansuojamos anksčiau nei prieš </w:t>
                        </w:r>
                        <w:r>
                          <w:rPr>
                            <w:rFonts w:eastAsia="Calibri"/>
                            <w:lang w:val="en-US"/>
                          </w:rPr>
                          <w:t xml:space="preserve">12 </w:t>
                        </w:r>
                        <w:r>
                          <w:rPr>
                            <w:rFonts w:eastAsia="Calibri"/>
                          </w:rPr>
                          <w:t>mėnesių iki paraiškos gauti Paskolą gavimo dienos Paskolos gavėjo lėšomis apmokėtos išlaidos, skirtos Projektui įgyvendinti;</w:t>
                        </w:r>
                      </w:p>
                      <w:p w:rsidR="00204845" w:rsidRDefault="00CC2F26">
                        <w:pPr>
                          <w:jc w:val="both"/>
                          <w:rPr>
                            <w:color w:val="000000"/>
                            <w:szCs w:val="24"/>
                          </w:rPr>
                        </w:pPr>
                        <w:r>
                          <w:rPr>
                            <w:rFonts w:eastAsia="Calibri"/>
                          </w:rPr>
                          <w:t>8.1.5. išlaidoms, kurios buvo finansuotos (apmokėtos) ar finansuojamos iš</w:t>
                        </w:r>
                        <w:r>
                          <w:rPr>
                            <w:rFonts w:eastAsia="Calibri"/>
                          </w:rPr>
                          <w:t xml:space="preserve"> ES fondų, kitų ES finansinės paramos priemonių ir (ar) kitos tarptautinės paramos ar nacionalinių lėšų, jei, visas lėšas kartu sudėjus su  Paskolos lėšomis, </w:t>
                        </w:r>
                        <w:r>
                          <w:rPr>
                            <w:color w:val="000000"/>
                            <w:szCs w:val="24"/>
                          </w:rPr>
                          <w:t>išlaidos būtų finansuotos daugiau nei 100 procentų tinkamų Projekto išlaidų vertės;</w:t>
                        </w:r>
                      </w:p>
                      <w:p w:rsidR="00204845" w:rsidRDefault="00CC2F26">
                        <w:pPr>
                          <w:tabs>
                            <w:tab w:val="left" w:pos="0"/>
                          </w:tabs>
                          <w:jc w:val="both"/>
                          <w:rPr>
                            <w:rFonts w:eastAsia="Calibri"/>
                            <w:szCs w:val="24"/>
                          </w:rPr>
                        </w:pPr>
                        <w:r>
                          <w:rPr>
                            <w:rFonts w:eastAsia="Calibri"/>
                            <w:szCs w:val="24"/>
                          </w:rPr>
                          <w:t>8.1.6. paraiškos Paskolai ir verslo plano parengimo išlaidoms padengti;</w:t>
                        </w:r>
                      </w:p>
                      <w:p w:rsidR="00204845" w:rsidRDefault="00CC2F26">
                        <w:pPr>
                          <w:tabs>
                            <w:tab w:val="left" w:pos="0"/>
                          </w:tabs>
                          <w:jc w:val="both"/>
                          <w:rPr>
                            <w:rFonts w:eastAsia="Calibri"/>
                          </w:rPr>
                        </w:pPr>
                        <w:r>
                          <w:rPr>
                            <w:rFonts w:eastAsia="Calibri"/>
                          </w:rPr>
                          <w:t xml:space="preserve">8.1.7. atsiskaityti su Rusijos Federacijos, Baltarusijos Respublikos, Rusijos Federacijos aneksuotame Kryme, Moldovos Respublikos Vyriausybės nekontroliuojamoje </w:t>
                        </w:r>
                        <w:proofErr w:type="spellStart"/>
                        <w:r>
                          <w:rPr>
                            <w:rFonts w:eastAsia="Calibri"/>
                          </w:rPr>
                          <w:t>Padniestrės</w:t>
                        </w:r>
                        <w:proofErr w:type="spellEnd"/>
                        <w:r>
                          <w:rPr>
                            <w:rFonts w:eastAsia="Calibri"/>
                          </w:rPr>
                          <w:t xml:space="preserve"> teritorijoj</w:t>
                        </w:r>
                        <w:r>
                          <w:rPr>
                            <w:rFonts w:eastAsia="Calibri"/>
                          </w:rPr>
                          <w:t xml:space="preserve">e bei </w:t>
                        </w:r>
                        <w:proofErr w:type="spellStart"/>
                        <w:r>
                          <w:rPr>
                            <w:rFonts w:eastAsia="Calibri"/>
                          </w:rPr>
                          <w:t>Sakartvelo</w:t>
                        </w:r>
                        <w:proofErr w:type="spellEnd"/>
                        <w:r>
                          <w:rPr>
                            <w:rFonts w:eastAsia="Calibri"/>
                          </w:rPr>
                          <w:t xml:space="preserve"> Vyriausybės nekontroliuojamose Abchazijos ir Pietų Osetijos teritorijose registruotais fiziniais ir (ar) juridiniais asmenimis;</w:t>
                        </w:r>
                      </w:p>
                      <w:p w:rsidR="00204845" w:rsidRDefault="00CC2F26">
                        <w:pPr>
                          <w:suppressAutoHyphens/>
                          <w:jc w:val="both"/>
                          <w:textAlignment w:val="center"/>
                          <w:rPr>
                            <w:color w:val="000000"/>
                          </w:rPr>
                        </w:pPr>
                        <w:r>
                          <w:rPr>
                            <w:color w:val="000000"/>
                          </w:rPr>
                          <w:t>8.1.8. nekilnojamajam turtui pirkti ir (ar) statyti, ir (ar) renovuoti, siekiant jį parduoti ar kitu būdu perle</w:t>
                        </w:r>
                        <w:r>
                          <w:rPr>
                            <w:color w:val="000000"/>
                          </w:rPr>
                          <w:t xml:space="preserve">isti kitiems asmenims, įskaitant turto nuomą ir panaudą, o ne naudoti savo veikloje, taip pat investicijoms į gyvenamosios paskirties nekilnojamąjį turtą. Nekilnojamojo turto naudojimu savo veikloje laikoma tai, kad ne mažiau kaip 60 procentų įsigyjamo ir </w:t>
                        </w:r>
                        <w:r>
                          <w:rPr>
                            <w:color w:val="000000"/>
                          </w:rPr>
                          <w:t>(ar) statomo, ir (ar) renovuojamo turto ketinama panaudoti Paskolos gavėjo ir (ar) su juo susijusių įmonių ekonominei veiklai vykdyti;</w:t>
                        </w:r>
                      </w:p>
                      <w:p w:rsidR="00204845" w:rsidRDefault="00CC2F26">
                        <w:pPr>
                          <w:suppressAutoHyphens/>
                          <w:jc w:val="both"/>
                          <w:textAlignment w:val="center"/>
                          <w:rPr>
                            <w:color w:val="000000"/>
                            <w:szCs w:val="24"/>
                          </w:rPr>
                        </w:pPr>
                        <w:r>
                          <w:rPr>
                            <w:color w:val="000000"/>
                          </w:rPr>
                          <w:t xml:space="preserve">8.1.9. </w:t>
                        </w:r>
                        <w:r>
                          <w:rPr>
                            <w:color w:val="000000"/>
                            <w:szCs w:val="24"/>
                          </w:rPr>
                          <w:t>šioms veikloms finansuoti: spiritinių alkoholinių gėrimų didmeninės prekybos (veiklos kodas pagal</w:t>
                        </w:r>
                        <w:r>
                          <w:rPr>
                            <w:szCs w:val="24"/>
                          </w:rPr>
                          <w:t xml:space="preserve"> Valstybės duomenų agentūros </w:t>
                        </w:r>
                        <w:r>
                          <w:rPr>
                            <w:szCs w:val="24"/>
                            <w:lang w:eastAsia="lt-LT"/>
                          </w:rPr>
                          <w:t>generalinio direktoriaus įsakymu tvirtinamo Ekonominės veiklos rūšių klasifikatoriaus (EVRK 2.1 red.) (toliau – EVRK 2.1 red.) 46.34.20 poklasį)</w:t>
                        </w:r>
                        <w:r>
                          <w:rPr>
                            <w:color w:val="000000"/>
                            <w:szCs w:val="24"/>
                          </w:rPr>
                          <w:t xml:space="preserve">, ginklų ir šaudmenų specializuotos mažmeninės prekybos (veiklos kodas pagal </w:t>
                        </w:r>
                        <w:r>
                          <w:rPr>
                            <w:szCs w:val="24"/>
                            <w:lang w:eastAsia="lt-LT"/>
                          </w:rPr>
                          <w:t>EVRK 2</w:t>
                        </w:r>
                        <w:r>
                          <w:rPr>
                            <w:szCs w:val="24"/>
                            <w:lang w:eastAsia="lt-LT"/>
                          </w:rPr>
                          <w:t xml:space="preserve">.1 red. </w:t>
                        </w:r>
                        <w:r>
                          <w:rPr>
                            <w:color w:val="000000"/>
                            <w:szCs w:val="24"/>
                          </w:rPr>
                          <w:t>47.63.10 poklasį), tabako gaminių gamybos ir (ar) jų didmeninės prekybos (visi veiklos kodai pagal EVRK 2.1 red. 12 skyrių ir 46.35.00 poklasį), azartinių lošimų ir lažybų organizavimo (visi veiklos kodai pagal EVRK 2.1 red. 92 skyrių);</w:t>
                        </w:r>
                      </w:p>
                      <w:p w:rsidR="00204845" w:rsidRDefault="00CC2F26">
                        <w:pPr>
                          <w:suppressAutoHyphens/>
                          <w:jc w:val="both"/>
                          <w:textAlignment w:val="center"/>
                          <w:rPr>
                            <w:color w:val="000000"/>
                          </w:rPr>
                        </w:pPr>
                        <w:r>
                          <w:rPr>
                            <w:color w:val="000000"/>
                          </w:rPr>
                          <w:t>8.1.10. pri</w:t>
                        </w:r>
                        <w:r>
                          <w:rPr>
                            <w:color w:val="000000"/>
                          </w:rPr>
                          <w:t>dėtinės vertės mokesčiui (toliau – PVM) sumokėti;</w:t>
                        </w:r>
                      </w:p>
                      <w:p w:rsidR="00204845" w:rsidRDefault="00CC2F26">
                        <w:pPr>
                          <w:suppressAutoHyphens/>
                          <w:jc w:val="both"/>
                          <w:textAlignment w:val="center"/>
                          <w:rPr>
                            <w:color w:val="000000"/>
                          </w:rPr>
                        </w:pPr>
                        <w:r>
                          <w:rPr>
                            <w:color w:val="000000"/>
                          </w:rPr>
                          <w:t>8.1.11. veiklai ir turtui, susijusiems su iškastiniu kuru, įskaitant jų naudojimą vartotojų rinkoje, veiklai ir turtui, kuriems taikoma Europos Sąjungos apyvartinių taršos leidimų prekybos sistema (ES ATLPS</w:t>
                        </w:r>
                        <w:r>
                          <w:rPr>
                            <w:color w:val="000000"/>
                          </w:rPr>
                          <w:t>) ir su kuriais susijęs prognozuojamas išmetamas šiltnamio efektą sukeliančių dujų kiekis nėra mažesnis už atitinkamus santykinius taršos rodiklius, veiklai ir turtui, susijusiems su atliekų sąvartynais, deginimo įrenginiais ir mechaninio biologinio apdoro</w:t>
                        </w:r>
                        <w:r>
                          <w:rPr>
                            <w:color w:val="000000"/>
                          </w:rPr>
                          <w:t>jimo įrenginiais (šiame Schemos papunktyje nurodytų veiklų detalizavimas pateikiamas Priemonės aprašyme, tvirtinamame ILTE generalinio direktoriaus ar jo įgalioto asmens įsakymu (toliau – Priemonės aprašymas) (šis Schemos papunktis netaikomas, kai Projekta</w:t>
                        </w:r>
                        <w:r>
                          <w:rPr>
                            <w:color w:val="000000"/>
                          </w:rPr>
                          <w:t>i finansuojami INVEGOS fondo lėšomis).“</w:t>
                        </w:r>
                      </w:p>
                    </w:tc>
                  </w:tr>
                </w:tbl>
                <w:p w:rsidR="00204845" w:rsidRDefault="00CC2F26">
                  <w:pPr>
                    <w:rPr>
                      <w:szCs w:val="24"/>
                      <w:lang w:eastAsia="ko-KR"/>
                    </w:rPr>
                  </w:pPr>
                </w:p>
              </w:sdtContent>
            </w:sdt>
            <w:sdt>
              <w:sdtPr>
                <w:alias w:val="1.18 pp."/>
                <w:tag w:val="part_017d483e826148a382f78871db8b2a41"/>
                <w:id w:val="-1662155158"/>
                <w:lock w:val="sdtLocked"/>
              </w:sdtPr>
              <w:sdtEndPr/>
              <w:sdtContent>
                <w:p w:rsidR="00204845" w:rsidRDefault="00CC2F26">
                  <w:pPr>
                    <w:ind w:firstLine="720"/>
                    <w:rPr>
                      <w:szCs w:val="24"/>
                      <w:lang w:eastAsia="ko-KR"/>
                    </w:rPr>
                  </w:pPr>
                  <w:sdt>
                    <w:sdtPr>
                      <w:alias w:val="Numeris"/>
                      <w:tag w:val="nr_017d483e826148a382f78871db8b2a41"/>
                      <w:id w:val="-661397892"/>
                      <w:lock w:val="sdtLocked"/>
                    </w:sdtPr>
                    <w:sdtEndPr/>
                    <w:sdtContent>
                      <w:r>
                        <w:rPr>
                          <w:szCs w:val="24"/>
                          <w:lang w:eastAsia="ko-KR"/>
                        </w:rPr>
                        <w:t>1.18</w:t>
                      </w:r>
                    </w:sdtContent>
                  </w:sdt>
                  <w:r>
                    <w:rPr>
                      <w:szCs w:val="24"/>
                      <w:lang w:eastAsia="ko-KR"/>
                    </w:rPr>
                    <w:t>. Pakeičiu 9.5.2 papunktį ir jį išdėstau taip:</w:t>
                  </w:r>
                </w:p>
                <w:tbl>
                  <w:tblPr>
                    <w:tblW w:w="9615" w:type="dxa"/>
                    <w:tblInd w:w="-5" w:type="dxa"/>
                    <w:tblLayout w:type="fixed"/>
                    <w:tblCellMar>
                      <w:left w:w="0" w:type="dxa"/>
                      <w:right w:w="0" w:type="dxa"/>
                    </w:tblCellMar>
                    <w:tblLook w:val="0000" w:firstRow="0" w:lastRow="0" w:firstColumn="0" w:lastColumn="0" w:noHBand="0" w:noVBand="0"/>
                  </w:tblPr>
                  <w:tblGrid>
                    <w:gridCol w:w="709"/>
                    <w:gridCol w:w="2126"/>
                    <w:gridCol w:w="6780"/>
                  </w:tblGrid>
                  <w:tr w:rsidR="00204845">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204845">
                        <w:pPr>
                          <w:rPr>
                            <w:szCs w:val="24"/>
                            <w:lang w:eastAsia="ko-KR"/>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204845">
                        <w:pPr>
                          <w:rPr>
                            <w:szCs w:val="24"/>
                            <w:lang w:eastAsia="ko-KR"/>
                          </w:rPr>
                        </w:pP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CC2F26">
                        <w:pPr>
                          <w:suppressAutoHyphens/>
                          <w:jc w:val="both"/>
                          <w:textAlignment w:val="center"/>
                          <w:rPr>
                            <w:szCs w:val="24"/>
                            <w:lang w:eastAsia="ko-KR"/>
                          </w:rPr>
                        </w:pPr>
                        <w:r>
                          <w:rPr>
                            <w:szCs w:val="24"/>
                            <w:lang w:eastAsia="ko-KR"/>
                          </w:rPr>
                          <w:t>„9.5.2. tiesioginei ILTE ir subordinuotai paskolai taikoma rinkos sąlygas atitinkanti kintamoji metinė palūkanų norma, kurią sudaro:</w:t>
                        </w:r>
                      </w:p>
                      <w:p w:rsidR="00204845" w:rsidRDefault="00CC2F26">
                        <w:pPr>
                          <w:suppressAutoHyphens/>
                          <w:jc w:val="both"/>
                          <w:textAlignment w:val="center"/>
                          <w:rPr>
                            <w:szCs w:val="24"/>
                            <w:lang w:eastAsia="ko-KR"/>
                          </w:rPr>
                        </w:pPr>
                        <w:r>
                          <w:rPr>
                            <w:szCs w:val="24"/>
                            <w:lang w:eastAsia="ko-KR"/>
                          </w:rPr>
                          <w:t>9.5.2.1. palūkanų marža,</w:t>
                        </w:r>
                        <w:r>
                          <w:rPr>
                            <w:szCs w:val="24"/>
                            <w:lang w:eastAsia="ko-KR"/>
                          </w:rPr>
                          <w:t xml:space="preserve"> kuri priklauso nuo Paskolos gavėjo kredito rizikos reitingo, Paskolos užtikrinimo priemonių dydžio ir likvidumo, Paskolos grąžinimo termino bei Paskolos grąžinimo grafiko, ir </w:t>
                        </w:r>
                      </w:p>
                      <w:p w:rsidR="00204845" w:rsidRDefault="00CC2F26">
                        <w:pPr>
                          <w:suppressAutoHyphens/>
                          <w:jc w:val="both"/>
                          <w:textAlignment w:val="center"/>
                          <w:rPr>
                            <w:color w:val="000000"/>
                            <w:szCs w:val="24"/>
                          </w:rPr>
                        </w:pPr>
                        <w:r>
                          <w:rPr>
                            <w:szCs w:val="24"/>
                            <w:lang w:eastAsia="ko-KR"/>
                          </w:rPr>
                          <w:t>9.5.2.2. kintamoji palūkanų normos dalis – 3 arba 6 mėnesių EURIBOR (kai EURIBO</w:t>
                        </w:r>
                        <w:r>
                          <w:rPr>
                            <w:szCs w:val="24"/>
                            <w:lang w:eastAsia="ko-KR"/>
                          </w:rPr>
                          <w:t>R neigiamas, jis prilyginamas nuliui) Paskolos gavėjo pasirinkimu.“</w:t>
                        </w:r>
                      </w:p>
                    </w:tc>
                  </w:tr>
                </w:tbl>
                <w:p w:rsidR="00204845" w:rsidRDefault="00CC2F26">
                  <w:pPr>
                    <w:rPr>
                      <w:szCs w:val="24"/>
                      <w:lang w:eastAsia="ko-KR"/>
                    </w:rPr>
                  </w:pPr>
                </w:p>
              </w:sdtContent>
            </w:sdt>
            <w:sdt>
              <w:sdtPr>
                <w:alias w:val="1.19 pp."/>
                <w:tag w:val="part_0b22df5b6c284a63af129ca8d28e42a3"/>
                <w:id w:val="-828672547"/>
                <w:lock w:val="sdtLocked"/>
              </w:sdtPr>
              <w:sdtEndPr/>
              <w:sdtContent>
                <w:p w:rsidR="00204845" w:rsidRDefault="00CC2F26">
                  <w:pPr>
                    <w:ind w:firstLine="720"/>
                    <w:rPr>
                      <w:szCs w:val="24"/>
                      <w:lang w:eastAsia="ko-KR"/>
                    </w:rPr>
                  </w:pPr>
                  <w:sdt>
                    <w:sdtPr>
                      <w:alias w:val="Numeris"/>
                      <w:tag w:val="nr_0b22df5b6c284a63af129ca8d28e42a3"/>
                      <w:id w:val="-610589266"/>
                      <w:lock w:val="sdtLocked"/>
                    </w:sdtPr>
                    <w:sdtEndPr/>
                    <w:sdtContent>
                      <w:r>
                        <w:rPr>
                          <w:szCs w:val="24"/>
                          <w:lang w:eastAsia="ko-KR"/>
                        </w:rPr>
                        <w:t>1.19</w:t>
                      </w:r>
                    </w:sdtContent>
                  </w:sdt>
                  <w:r>
                    <w:rPr>
                      <w:szCs w:val="24"/>
                      <w:lang w:eastAsia="ko-KR"/>
                    </w:rPr>
                    <w:t>. Pakeičiu 9.6 papunktį ir jį išdėstau taip:</w:t>
                  </w:r>
                </w:p>
                <w:tbl>
                  <w:tblPr>
                    <w:tblW w:w="9615" w:type="dxa"/>
                    <w:tblInd w:w="-5" w:type="dxa"/>
                    <w:tblLayout w:type="fixed"/>
                    <w:tblCellMar>
                      <w:left w:w="0" w:type="dxa"/>
                      <w:right w:w="0" w:type="dxa"/>
                    </w:tblCellMar>
                    <w:tblLook w:val="0000" w:firstRow="0" w:lastRow="0" w:firstColumn="0" w:lastColumn="0" w:noHBand="0" w:noVBand="0"/>
                  </w:tblPr>
                  <w:tblGrid>
                    <w:gridCol w:w="709"/>
                    <w:gridCol w:w="2126"/>
                    <w:gridCol w:w="6780"/>
                  </w:tblGrid>
                  <w:tr w:rsidR="00204845">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204845">
                        <w:pPr>
                          <w:rPr>
                            <w:szCs w:val="24"/>
                            <w:lang w:eastAsia="ko-KR"/>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204845">
                        <w:pPr>
                          <w:rPr>
                            <w:szCs w:val="24"/>
                            <w:lang w:eastAsia="ko-KR"/>
                          </w:rPr>
                        </w:pP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CC2F26">
                        <w:pPr>
                          <w:suppressAutoHyphens/>
                          <w:jc w:val="both"/>
                          <w:textAlignment w:val="center"/>
                          <w:rPr>
                            <w:color w:val="000000"/>
                            <w:szCs w:val="24"/>
                          </w:rPr>
                        </w:pPr>
                        <w:r>
                          <w:rPr>
                            <w:szCs w:val="24"/>
                            <w:lang w:eastAsia="ko-KR"/>
                          </w:rPr>
                          <w:t>„</w:t>
                        </w:r>
                        <w:r>
                          <w:rPr>
                            <w:color w:val="000000"/>
                            <w:szCs w:val="24"/>
                          </w:rPr>
                          <w:t xml:space="preserve">9.6. ILTE tiesioginei paskolai taikoma kintamoji metinė palūkanų norma Paskolos suteikimo metu negali būti mažesnė kaip </w:t>
                        </w:r>
                        <w:r>
                          <w:rPr>
                            <w:color w:val="000000"/>
                            <w:szCs w:val="24"/>
                          </w:rPr>
                          <w:t>orientacinė palūkanų norma, apskaičiuota vadovaujantis 2008 m. sausio 19 d. Europos Komisijos komunikatu dėl orientacinių ir diskonto normų nustatymo metodo pakeitimo (2008/C 14/02).“</w:t>
                        </w:r>
                      </w:p>
                    </w:tc>
                  </w:tr>
                </w:tbl>
                <w:p w:rsidR="00204845" w:rsidRDefault="00CC2F26">
                  <w:pPr>
                    <w:rPr>
                      <w:szCs w:val="24"/>
                      <w:lang w:eastAsia="ko-KR"/>
                    </w:rPr>
                  </w:pPr>
                </w:p>
              </w:sdtContent>
            </w:sdt>
            <w:sdt>
              <w:sdtPr>
                <w:alias w:val="1.20 pp."/>
                <w:tag w:val="part_8f704f7d67c24662bd8f9f0f8a5b7399"/>
                <w:id w:val="-1806926148"/>
                <w:lock w:val="sdtLocked"/>
              </w:sdtPr>
              <w:sdtEndPr/>
              <w:sdtContent>
                <w:p w:rsidR="00204845" w:rsidRDefault="00CC2F26">
                  <w:pPr>
                    <w:ind w:firstLine="720"/>
                    <w:rPr>
                      <w:szCs w:val="24"/>
                      <w:lang w:eastAsia="ko-KR"/>
                    </w:rPr>
                  </w:pPr>
                  <w:sdt>
                    <w:sdtPr>
                      <w:alias w:val="Numeris"/>
                      <w:tag w:val="nr_8f704f7d67c24662bd8f9f0f8a5b7399"/>
                      <w:id w:val="-42443003"/>
                      <w:lock w:val="sdtLocked"/>
                    </w:sdtPr>
                    <w:sdtEndPr/>
                    <w:sdtContent>
                      <w:r>
                        <w:rPr>
                          <w:szCs w:val="24"/>
                          <w:lang w:eastAsia="ko-KR"/>
                        </w:rPr>
                        <w:t>1.20</w:t>
                      </w:r>
                    </w:sdtContent>
                  </w:sdt>
                  <w:r>
                    <w:rPr>
                      <w:szCs w:val="24"/>
                      <w:lang w:eastAsia="ko-KR"/>
                    </w:rPr>
                    <w:t>. Pakeičiu 9.9 papunktį ir jį išdėstau taip:</w:t>
                  </w:r>
                </w:p>
                <w:tbl>
                  <w:tblPr>
                    <w:tblW w:w="9615" w:type="dxa"/>
                    <w:tblInd w:w="-5" w:type="dxa"/>
                    <w:tblLayout w:type="fixed"/>
                    <w:tblCellMar>
                      <w:left w:w="0" w:type="dxa"/>
                      <w:right w:w="0" w:type="dxa"/>
                    </w:tblCellMar>
                    <w:tblLook w:val="0000" w:firstRow="0" w:lastRow="0" w:firstColumn="0" w:lastColumn="0" w:noHBand="0" w:noVBand="0"/>
                  </w:tblPr>
                  <w:tblGrid>
                    <w:gridCol w:w="709"/>
                    <w:gridCol w:w="2126"/>
                    <w:gridCol w:w="6780"/>
                  </w:tblGrid>
                  <w:tr w:rsidR="00204845">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204845">
                        <w:pPr>
                          <w:rPr>
                            <w:szCs w:val="24"/>
                            <w:lang w:eastAsia="ko-KR"/>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204845">
                        <w:pPr>
                          <w:rPr>
                            <w:szCs w:val="24"/>
                            <w:lang w:eastAsia="ko-KR"/>
                          </w:rPr>
                        </w:pP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CC2F26">
                        <w:pPr>
                          <w:suppressAutoHyphens/>
                          <w:jc w:val="both"/>
                          <w:textAlignment w:val="center"/>
                        </w:pPr>
                        <w:r>
                          <w:rPr>
                            <w:szCs w:val="24"/>
                            <w:lang w:eastAsia="ko-KR"/>
                          </w:rPr>
                          <w:t>„</w:t>
                        </w:r>
                        <w:r>
                          <w:t xml:space="preserve">9.9. Paskolos </w:t>
                        </w:r>
                        <w:r>
                          <w:t xml:space="preserve">lėšomis finansuojamas ilgalaikis turtas arba kitas Paskolos davėjui priimtinas lygiavertis ilgalaikis turtas (t. y. ne mažesnės vertės nei Paskolos lėšomis finansuojamas turtas) turi būti įkeistas Paskolos davėjo naudai. Paraiškos vertinimo metu nustačius </w:t>
                        </w:r>
                        <w:r>
                          <w:t xml:space="preserve">didesnę Projekto neįgyvendinimo ir (ar) Paskolos negrąžinimo riziką, Paskolos davėjas, vadovaudamasis vidaus tvarkos aprašais, kurie tvirtinami ILTE generalinio direktoriaus, ILTE valdybos ar kitų ILTE įgaliotų asmenų įsakymais, ir individualiai įvertinęs </w:t>
                        </w:r>
                        <w:r>
                          <w:t xml:space="preserve">Paskolos gavėjo galimybes, pareikalauja papildomų Paskolos grąžinimo užtikrinimo priemonių. Prievolės įvykdymo užtikrinimas gali būti netaikomas: </w:t>
                        </w:r>
                      </w:p>
                      <w:p w:rsidR="00204845" w:rsidRDefault="00CC2F26">
                        <w:pPr>
                          <w:suppressAutoHyphens/>
                          <w:jc w:val="both"/>
                          <w:textAlignment w:val="center"/>
                          <w:rPr>
                            <w:szCs w:val="24"/>
                          </w:rPr>
                        </w:pPr>
                        <w:r>
                          <w:t>9.9.1. kai Paskolos gavėjas neturi kito ilgalaikio turto arba už Paskolos lėšas įsigyjamas ar Paskolos gavėjo</w:t>
                        </w:r>
                        <w:r>
                          <w:t xml:space="preserve"> pasiūlytas kitas ilgalaikis turtas yra netinkama Paskolos grąžinimo užtikrinimo priemonė dėl jos mažo likvidumo ar teisinių kliūčių ją įkeisti </w:t>
                        </w:r>
                        <w:r>
                          <w:rPr>
                            <w:szCs w:val="24"/>
                          </w:rPr>
                          <w:t xml:space="preserve">arba </w:t>
                        </w:r>
                      </w:p>
                      <w:p w:rsidR="00204845" w:rsidRDefault="00CC2F26">
                        <w:pPr>
                          <w:suppressAutoHyphens/>
                          <w:jc w:val="both"/>
                          <w:textAlignment w:val="center"/>
                          <w:rPr>
                            <w:szCs w:val="24"/>
                          </w:rPr>
                        </w:pPr>
                        <w:r>
                          <w:rPr>
                            <w:szCs w:val="24"/>
                          </w:rPr>
                          <w:t>9.9.2. kai finansuojamas gynybos ir saugumo sektoriaus projektas, kuris yra įtrauktas į Stambių projektų s</w:t>
                        </w:r>
                        <w:r>
                          <w:rPr>
                            <w:szCs w:val="24"/>
                          </w:rPr>
                          <w:t xml:space="preserve">ąrašą, </w:t>
                        </w:r>
                        <w:r>
                          <w:t>skelbiamą Ekonomikos ir inovacijų ministerijos interneto svetainėje</w:t>
                        </w:r>
                        <w:r>
                          <w:rPr>
                            <w:szCs w:val="24"/>
                            <w:lang w:eastAsia="ko-KR"/>
                          </w:rPr>
                          <w:t xml:space="preserve"> https://eimin.lrv.lt/lt/veiklos-sritys/investiciju-veiklos-sritis/zaliasis-koridorius </w:t>
                        </w:r>
                        <w:r>
                          <w:rPr>
                            <w:szCs w:val="24"/>
                          </w:rPr>
                          <w:t>(taikoma tik valstybės ir (ar) savivaldybės įmonėms arba įmonei, kurioje daugiau kaip 50 procen</w:t>
                        </w:r>
                        <w:r>
                          <w:rPr>
                            <w:szCs w:val="24"/>
                          </w:rPr>
                          <w:t>tų įmonės akcijų, pajų ar kitokių dalyvavimą įmonės kapitale žyminčių kapitalo dalių arba daugiau kaip 50 procentų įmonės dalyvių balsų tiesiogiai ar netiesiogiai (pagal balsavimo sutartį, balsavimo teisės perleidimo sutartį, įgaliojimą ir pan.) atskirai a</w:t>
                        </w:r>
                        <w:r>
                          <w:rPr>
                            <w:szCs w:val="24"/>
                          </w:rPr>
                          <w:t>rba kartu turi valstybė ir (ar) savivaldybė ir Projektas finansuojamas iš INVEGOS fondo lėšų).“</w:t>
                        </w:r>
                      </w:p>
                    </w:tc>
                  </w:tr>
                </w:tbl>
                <w:p w:rsidR="00204845" w:rsidRDefault="00CC2F26">
                  <w:pPr>
                    <w:rPr>
                      <w:szCs w:val="24"/>
                      <w:lang w:eastAsia="ko-KR"/>
                    </w:rPr>
                  </w:pPr>
                </w:p>
              </w:sdtContent>
            </w:sdt>
            <w:sdt>
              <w:sdtPr>
                <w:alias w:val="1.21 pp."/>
                <w:tag w:val="part_3125680ba4bf41fe9e7b01ceb2b6706d"/>
                <w:id w:val="-528877704"/>
                <w:lock w:val="sdtLocked"/>
              </w:sdtPr>
              <w:sdtEndPr/>
              <w:sdtContent>
                <w:p w:rsidR="00204845" w:rsidRDefault="00CC2F26">
                  <w:pPr>
                    <w:ind w:firstLine="720"/>
                    <w:rPr>
                      <w:szCs w:val="24"/>
                      <w:lang w:eastAsia="ko-KR"/>
                    </w:rPr>
                  </w:pPr>
                  <w:sdt>
                    <w:sdtPr>
                      <w:alias w:val="Numeris"/>
                      <w:tag w:val="nr_3125680ba4bf41fe9e7b01ceb2b6706d"/>
                      <w:id w:val="1475018695"/>
                      <w:lock w:val="sdtLocked"/>
                    </w:sdtPr>
                    <w:sdtEndPr/>
                    <w:sdtContent>
                      <w:r>
                        <w:rPr>
                          <w:szCs w:val="24"/>
                          <w:lang w:eastAsia="ko-KR"/>
                        </w:rPr>
                        <w:t>1.21</w:t>
                      </w:r>
                    </w:sdtContent>
                  </w:sdt>
                  <w:r>
                    <w:rPr>
                      <w:szCs w:val="24"/>
                      <w:lang w:eastAsia="ko-KR"/>
                    </w:rPr>
                    <w:t>. Papildau 10.6 papunkčiu:</w:t>
                  </w:r>
                </w:p>
                <w:tbl>
                  <w:tblPr>
                    <w:tblW w:w="9615" w:type="dxa"/>
                    <w:tblInd w:w="-5" w:type="dxa"/>
                    <w:tblLayout w:type="fixed"/>
                    <w:tblCellMar>
                      <w:left w:w="0" w:type="dxa"/>
                      <w:right w:w="0" w:type="dxa"/>
                    </w:tblCellMar>
                    <w:tblLook w:val="0000" w:firstRow="0" w:lastRow="0" w:firstColumn="0" w:lastColumn="0" w:noHBand="0" w:noVBand="0"/>
                  </w:tblPr>
                  <w:tblGrid>
                    <w:gridCol w:w="709"/>
                    <w:gridCol w:w="2126"/>
                    <w:gridCol w:w="6780"/>
                  </w:tblGrid>
                  <w:tr w:rsidR="00204845">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204845">
                        <w:pPr>
                          <w:rPr>
                            <w:szCs w:val="24"/>
                            <w:lang w:eastAsia="ko-KR"/>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204845">
                        <w:pPr>
                          <w:rPr>
                            <w:szCs w:val="24"/>
                            <w:lang w:eastAsia="ko-KR"/>
                          </w:rPr>
                        </w:pP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CC2F26">
                        <w:pPr>
                          <w:suppressAutoHyphens/>
                          <w:jc w:val="both"/>
                          <w:textAlignment w:val="center"/>
                          <w:rPr>
                            <w:color w:val="000000"/>
                            <w:szCs w:val="24"/>
                          </w:rPr>
                        </w:pPr>
                        <w:r>
                          <w:rPr>
                            <w:szCs w:val="24"/>
                            <w:lang w:eastAsia="ko-KR"/>
                          </w:rPr>
                          <w:t xml:space="preserve">„10.6. Anksčiau nei 2020 m. vasario 1 d. į Projektą investuotos Paskolos gavėjo nuosavos ir skolintos lėšos nelaikomos </w:t>
                        </w:r>
                        <w:r>
                          <w:rPr>
                            <w:szCs w:val="24"/>
                            <w:lang w:eastAsia="ko-KR"/>
                          </w:rPr>
                          <w:t>nuosavu dalyvavimu Projekte.“</w:t>
                        </w:r>
                      </w:p>
                    </w:tc>
                  </w:tr>
                </w:tbl>
                <w:p w:rsidR="00204845" w:rsidRDefault="00CC2F26">
                  <w:pPr>
                    <w:rPr>
                      <w:szCs w:val="24"/>
                      <w:lang w:eastAsia="ko-KR"/>
                    </w:rPr>
                  </w:pPr>
                </w:p>
              </w:sdtContent>
            </w:sdt>
            <w:sdt>
              <w:sdtPr>
                <w:alias w:val="1.22 pp."/>
                <w:tag w:val="part_447479b1286b4134a6cf0512301c18df"/>
                <w:id w:val="-380716129"/>
                <w:lock w:val="sdtLocked"/>
              </w:sdtPr>
              <w:sdtEndPr/>
              <w:sdtContent>
                <w:p w:rsidR="00204845" w:rsidRDefault="00CC2F26">
                  <w:pPr>
                    <w:ind w:firstLine="720"/>
                    <w:rPr>
                      <w:szCs w:val="24"/>
                      <w:lang w:eastAsia="ko-KR"/>
                    </w:rPr>
                  </w:pPr>
                  <w:sdt>
                    <w:sdtPr>
                      <w:alias w:val="Numeris"/>
                      <w:tag w:val="nr_447479b1286b4134a6cf0512301c18df"/>
                      <w:id w:val="672999605"/>
                      <w:lock w:val="sdtLocked"/>
                    </w:sdtPr>
                    <w:sdtEndPr/>
                    <w:sdtContent>
                      <w:r>
                        <w:rPr>
                          <w:szCs w:val="24"/>
                          <w:lang w:eastAsia="ko-KR"/>
                        </w:rPr>
                        <w:t>1.22</w:t>
                      </w:r>
                    </w:sdtContent>
                  </w:sdt>
                  <w:r>
                    <w:rPr>
                      <w:szCs w:val="24"/>
                      <w:lang w:eastAsia="ko-KR"/>
                    </w:rPr>
                    <w:t>. Papildau 10.7 papunkčiu:</w:t>
                  </w:r>
                </w:p>
                <w:tbl>
                  <w:tblPr>
                    <w:tblW w:w="9615" w:type="dxa"/>
                    <w:tblInd w:w="-5" w:type="dxa"/>
                    <w:tblLayout w:type="fixed"/>
                    <w:tblCellMar>
                      <w:left w:w="0" w:type="dxa"/>
                      <w:right w:w="0" w:type="dxa"/>
                    </w:tblCellMar>
                    <w:tblLook w:val="0000" w:firstRow="0" w:lastRow="0" w:firstColumn="0" w:lastColumn="0" w:noHBand="0" w:noVBand="0"/>
                  </w:tblPr>
                  <w:tblGrid>
                    <w:gridCol w:w="709"/>
                    <w:gridCol w:w="2126"/>
                    <w:gridCol w:w="6780"/>
                  </w:tblGrid>
                  <w:tr w:rsidR="00204845">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204845">
                        <w:pPr>
                          <w:rPr>
                            <w:szCs w:val="24"/>
                            <w:lang w:eastAsia="ko-KR"/>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204845">
                        <w:pPr>
                          <w:rPr>
                            <w:szCs w:val="24"/>
                            <w:lang w:eastAsia="ko-KR"/>
                          </w:rPr>
                        </w:pP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CC2F26">
                        <w:pPr>
                          <w:suppressAutoHyphens/>
                          <w:jc w:val="both"/>
                          <w:textAlignment w:val="center"/>
                          <w:rPr>
                            <w:szCs w:val="24"/>
                            <w:lang w:eastAsia="ko-KR"/>
                          </w:rPr>
                        </w:pPr>
                        <w:r>
                          <w:rPr>
                            <w:szCs w:val="24"/>
                            <w:lang w:eastAsia="ko-KR"/>
                          </w:rPr>
                          <w:t>„10.7. Projektas gali būti finansuojamas 100 procentų Projekto išlaidų (suma skaičiuojama be PVM), kai atitinka visas šias sąlygas:</w:t>
                        </w:r>
                      </w:p>
                      <w:p w:rsidR="00204845" w:rsidRDefault="00CC2F26">
                        <w:pPr>
                          <w:suppressAutoHyphens/>
                          <w:jc w:val="both"/>
                          <w:textAlignment w:val="center"/>
                          <w:rPr>
                            <w:szCs w:val="24"/>
                            <w:lang w:eastAsia="ko-KR"/>
                          </w:rPr>
                        </w:pPr>
                        <w:r>
                          <w:rPr>
                            <w:szCs w:val="24"/>
                            <w:lang w:eastAsia="ko-KR"/>
                          </w:rPr>
                          <w:t xml:space="preserve">10.7.1. Projektu finansuojamas gynybos ir saugumo sektoriaus projekto įgyvendinimas; </w:t>
                        </w:r>
                      </w:p>
                      <w:p w:rsidR="00204845" w:rsidRDefault="00CC2F26">
                        <w:pPr>
                          <w:suppressAutoHyphens/>
                          <w:jc w:val="both"/>
                          <w:textAlignment w:val="center"/>
                          <w:rPr>
                            <w:szCs w:val="24"/>
                            <w:lang w:eastAsia="ko-KR"/>
                          </w:rPr>
                        </w:pPr>
                        <w:r>
                          <w:rPr>
                            <w:szCs w:val="24"/>
                            <w:lang w:eastAsia="ko-KR"/>
                          </w:rPr>
                          <w:t xml:space="preserve">10.7.2. Projektu finansuojamas projekto, įtraukto į Stambių projektų sąrašą, įgyvendinimas; </w:t>
                        </w:r>
                      </w:p>
                      <w:p w:rsidR="00204845" w:rsidRDefault="00CC2F26">
                        <w:pPr>
                          <w:suppressAutoHyphens/>
                          <w:jc w:val="both"/>
                          <w:textAlignment w:val="center"/>
                          <w:rPr>
                            <w:szCs w:val="24"/>
                            <w:lang w:eastAsia="ko-KR"/>
                          </w:rPr>
                        </w:pPr>
                        <w:r>
                          <w:rPr>
                            <w:szCs w:val="24"/>
                            <w:lang w:eastAsia="ko-KR"/>
                          </w:rPr>
                          <w:t>10.7.3. Paskolos gavėjas yra valstybės ir (ar) savivaldybės įmonė arba įmonė,</w:t>
                        </w:r>
                        <w:r>
                          <w:rPr>
                            <w:szCs w:val="24"/>
                            <w:lang w:eastAsia="ko-KR"/>
                          </w:rPr>
                          <w:t xml:space="preserve"> kurioje daugiau kaip 50 procentų įmonės akcijų, pajų ar kitokių dalyvavimą įmonės kapitale žyminčių kapitalo dalių arba daugiau kaip 50 procentų ir daugiau įmonės dalyvių balsų tiesiogiai ar netiesiogiai (pagal balsavimo sutartį, balsavimo teisės perleidi</w:t>
                        </w:r>
                        <w:r>
                          <w:rPr>
                            <w:szCs w:val="24"/>
                            <w:lang w:eastAsia="ko-KR"/>
                          </w:rPr>
                          <w:t xml:space="preserve">mo sutartį, įgaliojimą ir pan.) atskirai arba kartu turi valstybė ir (ar) savivaldybė; </w:t>
                        </w:r>
                      </w:p>
                      <w:p w:rsidR="00204845" w:rsidRDefault="00CC2F26">
                        <w:pPr>
                          <w:suppressAutoHyphens/>
                          <w:jc w:val="both"/>
                          <w:textAlignment w:val="center"/>
                          <w:rPr>
                            <w:color w:val="000000"/>
                            <w:szCs w:val="24"/>
                          </w:rPr>
                        </w:pPr>
                        <w:r>
                          <w:rPr>
                            <w:szCs w:val="24"/>
                            <w:lang w:eastAsia="ko-KR"/>
                          </w:rPr>
                          <w:t>10.7.4. Projektas finansuojamas iš INVEGOS fondo lėšų.“</w:t>
                        </w:r>
                      </w:p>
                    </w:tc>
                  </w:tr>
                </w:tbl>
                <w:p w:rsidR="00204845" w:rsidRDefault="00CC2F26">
                  <w:pPr>
                    <w:rPr>
                      <w:szCs w:val="24"/>
                      <w:lang w:eastAsia="ko-KR"/>
                    </w:rPr>
                  </w:pPr>
                </w:p>
              </w:sdtContent>
            </w:sdt>
            <w:sdt>
              <w:sdtPr>
                <w:alias w:val="1.23 pp."/>
                <w:tag w:val="part_d1674ea8c62b473e9e10e5a4da6ea2c9"/>
                <w:id w:val="-1310404858"/>
                <w:lock w:val="sdtLocked"/>
              </w:sdtPr>
              <w:sdtEndPr/>
              <w:sdtContent>
                <w:p w:rsidR="00204845" w:rsidRDefault="00CC2F26">
                  <w:pPr>
                    <w:ind w:firstLine="720"/>
                    <w:rPr>
                      <w:szCs w:val="24"/>
                      <w:lang w:eastAsia="ko-KR"/>
                    </w:rPr>
                  </w:pPr>
                  <w:sdt>
                    <w:sdtPr>
                      <w:alias w:val="Numeris"/>
                      <w:tag w:val="nr_d1674ea8c62b473e9e10e5a4da6ea2c9"/>
                      <w:id w:val="791255394"/>
                      <w:lock w:val="sdtLocked"/>
                    </w:sdtPr>
                    <w:sdtEndPr/>
                    <w:sdtContent>
                      <w:r>
                        <w:rPr>
                          <w:szCs w:val="24"/>
                          <w:lang w:eastAsia="ko-KR"/>
                        </w:rPr>
                        <w:t>1.23</w:t>
                      </w:r>
                    </w:sdtContent>
                  </w:sdt>
                  <w:r>
                    <w:rPr>
                      <w:szCs w:val="24"/>
                      <w:lang w:eastAsia="ko-KR"/>
                    </w:rPr>
                    <w:t>. Pakeičiu 12.1 papunktį ir jį išdėstau taip:</w:t>
                  </w:r>
                </w:p>
                <w:tbl>
                  <w:tblPr>
                    <w:tblW w:w="9615" w:type="dxa"/>
                    <w:tblInd w:w="-5" w:type="dxa"/>
                    <w:tblLayout w:type="fixed"/>
                    <w:tblCellMar>
                      <w:left w:w="0" w:type="dxa"/>
                      <w:right w:w="0" w:type="dxa"/>
                    </w:tblCellMar>
                    <w:tblLook w:val="0000" w:firstRow="0" w:lastRow="0" w:firstColumn="0" w:lastColumn="0" w:noHBand="0" w:noVBand="0"/>
                  </w:tblPr>
                  <w:tblGrid>
                    <w:gridCol w:w="709"/>
                    <w:gridCol w:w="2126"/>
                    <w:gridCol w:w="6780"/>
                  </w:tblGrid>
                  <w:tr w:rsidR="00204845">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204845">
                        <w:pPr>
                          <w:rPr>
                            <w:szCs w:val="24"/>
                            <w:lang w:eastAsia="ko-KR"/>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204845">
                        <w:pPr>
                          <w:rPr>
                            <w:szCs w:val="24"/>
                            <w:lang w:eastAsia="ko-KR"/>
                          </w:rPr>
                        </w:pP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CC2F26">
                        <w:pPr>
                          <w:tabs>
                            <w:tab w:val="left" w:pos="321"/>
                          </w:tabs>
                          <w:jc w:val="both"/>
                          <w:rPr>
                            <w:color w:val="000000"/>
                          </w:rPr>
                        </w:pPr>
                        <w:r>
                          <w:rPr>
                            <w:szCs w:val="24"/>
                            <w:lang w:eastAsia="ko-KR"/>
                          </w:rPr>
                          <w:t>„</w:t>
                        </w:r>
                        <w:r>
                          <w:rPr>
                            <w:color w:val="000000"/>
                          </w:rPr>
                          <w:t xml:space="preserve">12.1. Vienam Paskolos gavėjui ir įmonių grupei </w:t>
                        </w:r>
                        <w:r>
                          <w:t xml:space="preserve">(jei </w:t>
                        </w:r>
                        <w:r>
                          <w:t>Paskolos gavėjas priklauso įmonių grupei)</w:t>
                        </w:r>
                        <w:r>
                          <w:rPr>
                            <w:color w:val="000000"/>
                          </w:rPr>
                          <w:t xml:space="preserve"> iš Priemonės lėšų suteikiamų Paskolų suma, įskaitant iš Priemonės lėšų turimų Paskolų likučius, subordinuotos paskolos ir tiesioginės ILTE paskolos atveju negali būti didesnė kaip 150 000 000 (šimtas penkiasdešimt </w:t>
                        </w:r>
                        <w:r>
                          <w:rPr>
                            <w:color w:val="000000"/>
                          </w:rPr>
                          <w:t>milijonų) eurų, sindikuotos paskolos atveju negali būti didesnė kaip 250 000 000 (du šimtai penkiasdešimt milijonų) eurų.“</w:t>
                        </w:r>
                      </w:p>
                    </w:tc>
                  </w:tr>
                </w:tbl>
                <w:p w:rsidR="00204845" w:rsidRDefault="00CC2F26">
                  <w:pPr>
                    <w:rPr>
                      <w:szCs w:val="24"/>
                      <w:lang w:eastAsia="ko-KR"/>
                    </w:rPr>
                  </w:pPr>
                </w:p>
              </w:sdtContent>
            </w:sdt>
            <w:sdt>
              <w:sdtPr>
                <w:alias w:val="1.24 pp."/>
                <w:tag w:val="part_def1e86910d74304ba05514d03416538"/>
                <w:id w:val="2077171509"/>
                <w:lock w:val="sdtLocked"/>
              </w:sdtPr>
              <w:sdtEndPr/>
              <w:sdtContent>
                <w:p w:rsidR="00204845" w:rsidRDefault="00CC2F26">
                  <w:pPr>
                    <w:ind w:firstLine="720"/>
                    <w:rPr>
                      <w:szCs w:val="24"/>
                      <w:lang w:eastAsia="ko-KR"/>
                    </w:rPr>
                  </w:pPr>
                  <w:sdt>
                    <w:sdtPr>
                      <w:alias w:val="Numeris"/>
                      <w:tag w:val="nr_def1e86910d74304ba05514d03416538"/>
                      <w:id w:val="1893159260"/>
                      <w:lock w:val="sdtLocked"/>
                    </w:sdtPr>
                    <w:sdtEndPr/>
                    <w:sdtContent>
                      <w:r>
                        <w:rPr>
                          <w:szCs w:val="24"/>
                          <w:lang w:eastAsia="ko-KR"/>
                        </w:rPr>
                        <w:t>1.24</w:t>
                      </w:r>
                    </w:sdtContent>
                  </w:sdt>
                  <w:r>
                    <w:rPr>
                      <w:szCs w:val="24"/>
                      <w:lang w:eastAsia="ko-KR"/>
                    </w:rPr>
                    <w:t>. Pakeičiu 13.2 papunkčio pirmąją pastraipą ir ją išdėstau taip:</w:t>
                  </w:r>
                </w:p>
                <w:tbl>
                  <w:tblPr>
                    <w:tblW w:w="9615" w:type="dxa"/>
                    <w:tblInd w:w="-5" w:type="dxa"/>
                    <w:tblLayout w:type="fixed"/>
                    <w:tblCellMar>
                      <w:left w:w="0" w:type="dxa"/>
                      <w:right w:w="0" w:type="dxa"/>
                    </w:tblCellMar>
                    <w:tblLook w:val="0000" w:firstRow="0" w:lastRow="0" w:firstColumn="0" w:lastColumn="0" w:noHBand="0" w:noVBand="0"/>
                  </w:tblPr>
                  <w:tblGrid>
                    <w:gridCol w:w="709"/>
                    <w:gridCol w:w="2126"/>
                    <w:gridCol w:w="6780"/>
                  </w:tblGrid>
                  <w:tr w:rsidR="00204845">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204845">
                        <w:pPr>
                          <w:rPr>
                            <w:szCs w:val="24"/>
                            <w:lang w:eastAsia="ko-KR"/>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204845">
                        <w:pPr>
                          <w:rPr>
                            <w:szCs w:val="24"/>
                            <w:lang w:eastAsia="ko-KR"/>
                          </w:rPr>
                        </w:pP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CC2F26">
                        <w:pPr>
                          <w:tabs>
                            <w:tab w:val="left" w:pos="346"/>
                            <w:tab w:val="left" w:pos="521"/>
                          </w:tabs>
                          <w:suppressAutoHyphens/>
                          <w:jc w:val="both"/>
                          <w:textAlignment w:val="center"/>
                        </w:pPr>
                        <w:r>
                          <w:rPr>
                            <w:szCs w:val="24"/>
                            <w:lang w:eastAsia="ko-KR"/>
                          </w:rPr>
                          <w:t>„</w:t>
                        </w:r>
                        <w:r>
                          <w:rPr>
                            <w:color w:val="000000"/>
                            <w:lang w:eastAsia="lt-LT"/>
                          </w:rPr>
                          <w:t>13.2. Duomenų valdytoja ILTE, juridinio asmens kodas 11</w:t>
                        </w:r>
                        <w:r>
                          <w:rPr>
                            <w:color w:val="000000"/>
                            <w:lang w:eastAsia="lt-LT"/>
                          </w:rPr>
                          <w:t>0084026, buveinės adresas:</w:t>
                        </w:r>
                        <w:r>
                          <w:t xml:space="preserve"> </w:t>
                        </w:r>
                        <w:r>
                          <w:rPr>
                            <w:color w:val="000000"/>
                            <w:lang w:eastAsia="lt-LT"/>
                          </w:rPr>
                          <w:t xml:space="preserve">Ukmergės g. 124, 08100 Vilnius, </w:t>
                        </w:r>
                        <w:r>
                          <w:rPr>
                            <w:color w:val="000000"/>
                            <w:lang w:eastAsia="lt-LT"/>
                          </w:rPr>
                          <w:br/>
                          <w:t xml:space="preserve">tel. (+370 5) 210 7510, el. paštas </w:t>
                        </w:r>
                        <w:proofErr w:type="spellStart"/>
                        <w:r>
                          <w:rPr>
                            <w:color w:val="000000"/>
                            <w:lang w:eastAsia="lt-LT"/>
                          </w:rPr>
                          <w:t>info@ilte.lt</w:t>
                        </w:r>
                        <w:proofErr w:type="spellEnd"/>
                        <w:r>
                          <w:rPr>
                            <w:color w:val="000000"/>
                            <w:lang w:eastAsia="lt-LT"/>
                          </w:rPr>
                          <w:t xml:space="preserve"> (duomenų apsaugos pareigūno el. paštas </w:t>
                        </w:r>
                        <w:proofErr w:type="spellStart"/>
                        <w:r>
                          <w:rPr>
                            <w:color w:val="000000"/>
                            <w:lang w:eastAsia="lt-LT"/>
                          </w:rPr>
                          <w:t>duomenu.apsauga@ilte.lt</w:t>
                        </w:r>
                        <w:proofErr w:type="spellEnd"/>
                        <w:r>
                          <w:rPr>
                            <w:color w:val="000000"/>
                            <w:lang w:eastAsia="lt-LT"/>
                          </w:rPr>
                          <w:t xml:space="preserve">), </w:t>
                        </w:r>
                        <w:r>
                          <w:t>tvarko su Priemonės įgyvendinimu susijusius paraiškoje ir jos prieduose pateiktus i</w:t>
                        </w:r>
                        <w:r>
                          <w:t>r iš kitų duomenų šaltinių surinktus, kaip nurodyta Schemoje, asmens duomenis:“.</w:t>
                        </w:r>
                      </w:p>
                    </w:tc>
                  </w:tr>
                </w:tbl>
                <w:p w:rsidR="00204845" w:rsidRDefault="00CC2F26">
                  <w:pPr>
                    <w:rPr>
                      <w:szCs w:val="24"/>
                      <w:lang w:eastAsia="ko-KR"/>
                    </w:rPr>
                  </w:pPr>
                </w:p>
              </w:sdtContent>
            </w:sdt>
            <w:sdt>
              <w:sdtPr>
                <w:alias w:val="1.25 pp."/>
                <w:tag w:val="part_e5e12fadf2d84032b9d70512c9757d0d"/>
                <w:id w:val="1817831481"/>
                <w:lock w:val="sdtLocked"/>
              </w:sdtPr>
              <w:sdtEndPr/>
              <w:sdtContent>
                <w:p w:rsidR="00204845" w:rsidRDefault="00CC2F26">
                  <w:pPr>
                    <w:ind w:firstLine="720"/>
                    <w:rPr>
                      <w:szCs w:val="24"/>
                      <w:lang w:eastAsia="ko-KR"/>
                    </w:rPr>
                  </w:pPr>
                  <w:sdt>
                    <w:sdtPr>
                      <w:alias w:val="Numeris"/>
                      <w:tag w:val="nr_e5e12fadf2d84032b9d70512c9757d0d"/>
                      <w:id w:val="-1850485306"/>
                      <w:lock w:val="sdtLocked"/>
                    </w:sdtPr>
                    <w:sdtEndPr/>
                    <w:sdtContent>
                      <w:r>
                        <w:rPr>
                          <w:szCs w:val="24"/>
                          <w:lang w:eastAsia="ko-KR"/>
                        </w:rPr>
                        <w:t>1.25</w:t>
                      </w:r>
                    </w:sdtContent>
                  </w:sdt>
                  <w:r>
                    <w:rPr>
                      <w:szCs w:val="24"/>
                      <w:lang w:eastAsia="ko-KR"/>
                    </w:rPr>
                    <w:t>. Pakeičiu 13.3 papunktį ir jį išdėstau taip:</w:t>
                  </w:r>
                </w:p>
                <w:tbl>
                  <w:tblPr>
                    <w:tblW w:w="9615" w:type="dxa"/>
                    <w:tblInd w:w="-5" w:type="dxa"/>
                    <w:tblLayout w:type="fixed"/>
                    <w:tblCellMar>
                      <w:left w:w="0" w:type="dxa"/>
                      <w:right w:w="0" w:type="dxa"/>
                    </w:tblCellMar>
                    <w:tblLook w:val="0000" w:firstRow="0" w:lastRow="0" w:firstColumn="0" w:lastColumn="0" w:noHBand="0" w:noVBand="0"/>
                  </w:tblPr>
                  <w:tblGrid>
                    <w:gridCol w:w="709"/>
                    <w:gridCol w:w="2126"/>
                    <w:gridCol w:w="6780"/>
                  </w:tblGrid>
                  <w:tr w:rsidR="00204845">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204845">
                        <w:pPr>
                          <w:rPr>
                            <w:szCs w:val="24"/>
                            <w:lang w:eastAsia="ko-KR"/>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204845">
                        <w:pPr>
                          <w:rPr>
                            <w:szCs w:val="24"/>
                            <w:lang w:eastAsia="ko-KR"/>
                          </w:rPr>
                        </w:pP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CC2F26">
                        <w:pPr>
                          <w:tabs>
                            <w:tab w:val="left" w:pos="346"/>
                            <w:tab w:val="left" w:pos="521"/>
                          </w:tabs>
                          <w:suppressAutoHyphens/>
                          <w:jc w:val="both"/>
                          <w:textAlignment w:val="center"/>
                        </w:pPr>
                        <w:r>
                          <w:rPr>
                            <w:szCs w:val="24"/>
                            <w:lang w:eastAsia="ko-KR"/>
                          </w:rPr>
                          <w:t>„</w:t>
                        </w:r>
                        <w:r>
                          <w:t>13.3. ILTE asmens duomenis, gautus įgyvendinant Schemą, tvarko vykdydama teisinę prievolę (2016 m. balandžio 27 d. E</w:t>
                        </w:r>
                        <w:r>
                          <w:t xml:space="preserve">uropos Parlamento ir Tarybos reglamento </w:t>
                        </w:r>
                        <w:hyperlink r:id="rId19" w:tgtFrame="_blank" w:history="1">
                          <w:r>
                            <w:rPr>
                              <w:color w:val="0000FF" w:themeColor="hyperlink"/>
                              <w:u w:val="single"/>
                            </w:rPr>
                            <w:t>(ES) 2016/679</w:t>
                          </w:r>
                        </w:hyperlink>
                        <w:r>
                          <w:t xml:space="preserve"> dėl fizinių asmenų apsaugos tvarkant asmens duomenis ir dėl laisvo tokių duomenų judėjimo ir kuriuo p</w:t>
                        </w:r>
                        <w:r>
                          <w:t xml:space="preserve">anaikinama Direktyva </w:t>
                        </w:r>
                        <w:hyperlink r:id="rId20" w:tgtFrame="_blank" w:history="1">
                          <w:r>
                            <w:rPr>
                              <w:color w:val="0000FF" w:themeColor="hyperlink"/>
                              <w:u w:val="single"/>
                            </w:rPr>
                            <w:t>95/46/EB</w:t>
                          </w:r>
                        </w:hyperlink>
                        <w:r>
                          <w:t xml:space="preserve"> (Bendrasis duomenų apsaugos reglamentas) 6 straipsnio 1 dalies c punktas), nustatytą Nacionalinio plėtros banko įstatymo 6 st</w:t>
                        </w:r>
                        <w:r>
                          <w:t>raipsnio 3 dalyje, Finansų įstaigų įstatymo 31 straipsnio 3 ir 6 dalyse, 32 straipsnio 1 dalies 3 punkte, Pinigų plovimo ir teroristų finansavimo prevencijos įstatymo 9–15 straipsniuose, 19 ir 24 straipsniuose, Tarptautinių sankcijų įstatymo 7 straipsnyje,</w:t>
                        </w:r>
                        <w:r>
                          <w:t xml:space="preserve"> Schemoje. Asmens duomenis Paskolos davėjas tvarko, </w:t>
                        </w:r>
                        <w:r>
                          <w:rPr>
                            <w:lang w:eastAsia="lt-LT"/>
                          </w:rPr>
                          <w:t>vadovaudamasis Lietuvos Respublikos asmens duomenų teisinės apsaugos įstatymu, ILTE generalinio direktoriaus  patvirtintomis Asmens duomenų tvarkymo ILTE taisyklėmis</w:t>
                        </w:r>
                        <w:r>
                          <w:t>. Informacija apie asmens duomenų tvark</w:t>
                        </w:r>
                        <w:r>
                          <w:t>ymą pateikiama duomenų valdytojo interneto svetainės www.ilte.lt skiltyje „Asmens duomenų apsauga“.“</w:t>
                        </w:r>
                      </w:p>
                    </w:tc>
                  </w:tr>
                </w:tbl>
                <w:p w:rsidR="00204845" w:rsidRDefault="00CC2F26">
                  <w:pPr>
                    <w:rPr>
                      <w:szCs w:val="24"/>
                      <w:lang w:eastAsia="ko-KR"/>
                    </w:rPr>
                  </w:pPr>
                </w:p>
              </w:sdtContent>
            </w:sdt>
            <w:sdt>
              <w:sdtPr>
                <w:alias w:val="1.26 pp."/>
                <w:tag w:val="part_d7b37d5cfea74992b2494a42af3e4e65"/>
                <w:id w:val="913980553"/>
                <w:lock w:val="sdtLocked"/>
              </w:sdtPr>
              <w:sdtEndPr/>
              <w:sdtContent>
                <w:p w:rsidR="00204845" w:rsidRDefault="00CC2F26">
                  <w:pPr>
                    <w:ind w:firstLine="720"/>
                    <w:rPr>
                      <w:szCs w:val="24"/>
                      <w:lang w:eastAsia="ko-KR"/>
                    </w:rPr>
                  </w:pPr>
                  <w:sdt>
                    <w:sdtPr>
                      <w:alias w:val="Numeris"/>
                      <w:tag w:val="nr_d7b37d5cfea74992b2494a42af3e4e65"/>
                      <w:id w:val="755091103"/>
                      <w:lock w:val="sdtLocked"/>
                    </w:sdtPr>
                    <w:sdtEndPr/>
                    <w:sdtContent>
                      <w:r>
                        <w:rPr>
                          <w:szCs w:val="24"/>
                          <w:lang w:eastAsia="ko-KR"/>
                        </w:rPr>
                        <w:t>1.26</w:t>
                      </w:r>
                    </w:sdtContent>
                  </w:sdt>
                  <w:r>
                    <w:rPr>
                      <w:szCs w:val="24"/>
                      <w:lang w:eastAsia="ko-KR"/>
                    </w:rPr>
                    <w:t>. Pakeičiu 13.4 papunktį ir jį išdėstau taip:</w:t>
                  </w:r>
                </w:p>
                <w:tbl>
                  <w:tblPr>
                    <w:tblW w:w="9615" w:type="dxa"/>
                    <w:tblInd w:w="-5" w:type="dxa"/>
                    <w:tblLayout w:type="fixed"/>
                    <w:tblCellMar>
                      <w:left w:w="0" w:type="dxa"/>
                      <w:right w:w="0" w:type="dxa"/>
                    </w:tblCellMar>
                    <w:tblLook w:val="0000" w:firstRow="0" w:lastRow="0" w:firstColumn="0" w:lastColumn="0" w:noHBand="0" w:noVBand="0"/>
                  </w:tblPr>
                  <w:tblGrid>
                    <w:gridCol w:w="709"/>
                    <w:gridCol w:w="2126"/>
                    <w:gridCol w:w="6780"/>
                  </w:tblGrid>
                  <w:tr w:rsidR="00204845">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204845">
                        <w:pPr>
                          <w:rPr>
                            <w:szCs w:val="24"/>
                            <w:lang w:eastAsia="ko-KR"/>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204845">
                        <w:pPr>
                          <w:rPr>
                            <w:szCs w:val="24"/>
                            <w:lang w:eastAsia="ko-KR"/>
                          </w:rPr>
                        </w:pP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CC2F26">
                        <w:pPr>
                          <w:tabs>
                            <w:tab w:val="left" w:pos="346"/>
                            <w:tab w:val="left" w:pos="521"/>
                          </w:tabs>
                          <w:suppressAutoHyphens/>
                          <w:jc w:val="both"/>
                          <w:textAlignment w:val="center"/>
                        </w:pPr>
                        <w:r>
                          <w:rPr>
                            <w:szCs w:val="24"/>
                            <w:lang w:eastAsia="ko-KR"/>
                          </w:rPr>
                          <w:t>„</w:t>
                        </w:r>
                        <w:r>
                          <w:t xml:space="preserve">13.4. ILTE asmens duomenis gauna iš pareiškėjo, siekiančio tapti Paskolos gavėju (toliau – </w:t>
                        </w:r>
                        <w:r>
                          <w:t xml:space="preserve">pareiškėjas). ILTE, vadovaudamasi teisės aktų, reguliuojančių finansų įstaigų, nacionalinių plėtros įstaigų veiklą, taip pat pinigų plovimo ir teroristų finansavimo prevencijos reikalavimais, gali gauti duomenis iš kitų šaltinių: Lietuvos banko, valstybės </w:t>
                        </w:r>
                        <w:r>
                          <w:t>įmonės Registrų centro, Valstybinio socialinio draudimo fondo valdybos prie Socialinės apsaugos ir darbo ministerijos, Valstybinės mokesčių inspekcijos prie Lietuvos Respublikos finansų ministerijos, Informatikos ir ryšių departamento prie Lietuvos Respubl</w:t>
                        </w:r>
                        <w:r>
                          <w:t xml:space="preserve">ikos vidaus reikalų ministerijos ir kitų valstybės institucijų, bendrovių, tvarkančių jungtines skolininkų duomenų rinkmenas bei duomenis apie kredito istoriją, </w:t>
                        </w:r>
                        <w:proofErr w:type="spellStart"/>
                        <w:r>
                          <w:t>įsiskolinimus</w:t>
                        </w:r>
                        <w:proofErr w:type="spellEnd"/>
                        <w:r>
                          <w:t xml:space="preserve"> (pvz., UAB „</w:t>
                        </w:r>
                        <w:proofErr w:type="spellStart"/>
                        <w:r>
                          <w:t>Creditinfo</w:t>
                        </w:r>
                        <w:proofErr w:type="spellEnd"/>
                        <w:r>
                          <w:t xml:space="preserve"> Lietuva“), atitikties platformų, teikiančių pinigų plovimo</w:t>
                        </w:r>
                        <w:r>
                          <w:t xml:space="preserve"> ir teroristų finansavimo prevencijos priemones ir paslaugas (pvz., „</w:t>
                        </w:r>
                        <w:proofErr w:type="spellStart"/>
                        <w:r>
                          <w:t>Ondato</w:t>
                        </w:r>
                        <w:proofErr w:type="spellEnd"/>
                        <w:r>
                          <w:t xml:space="preserve"> </w:t>
                        </w:r>
                        <w:proofErr w:type="spellStart"/>
                        <w:r>
                          <w:t>Saas</w:t>
                        </w:r>
                        <w:proofErr w:type="spellEnd"/>
                        <w:r>
                          <w:t>“), juridinių asmenų, kai teikiami duomenys apie šių juridinių asmenų atstovus, darbuotojus, steigėjus, akcininkus, dalyvius, savininkus ir pan., taip pat kitų viešai prieinamų</w:t>
                        </w:r>
                        <w:r>
                          <w:t xml:space="preserve"> ir privačių šaltinių, kai iš jų yra gaunami duomenys, reikalingi Paskolos gavėjų, jų atstovų ir dalyvių tapatybei nustatyti, Paskolos gavėjų finansinei padėčiai ir kreditingumui įvertinti, Paskolos gavėjų atitikčiai Schemoje ir Priemonės aprašyme nustatyt</w:t>
                        </w:r>
                        <w:r>
                          <w:t>iems Paskolos gavėjo ir Projekto tinkamumo reikalavimams įvertinti, pareiškėjų pateiktų duomenų teisingumui patikrinti ir Paskolos negrąžinimo, Paskolos gavėjo, Projekto rizikai įvertinti ir teisės aktų, reguliuojančių pinigų plovimo ir teroristų finansavi</w:t>
                        </w:r>
                        <w:r>
                          <w:t>mo prevenciją, reikalavimams vykdyti.“</w:t>
                        </w:r>
                      </w:p>
                    </w:tc>
                  </w:tr>
                </w:tbl>
                <w:p w:rsidR="00204845" w:rsidRDefault="00CC2F26">
                  <w:pPr>
                    <w:rPr>
                      <w:szCs w:val="24"/>
                      <w:lang w:eastAsia="ko-KR"/>
                    </w:rPr>
                  </w:pPr>
                </w:p>
              </w:sdtContent>
            </w:sdt>
            <w:sdt>
              <w:sdtPr>
                <w:alias w:val="1.27 pp."/>
                <w:tag w:val="part_57e58216922345a09cc9b42b0ceb14fc"/>
                <w:id w:val="-1427191651"/>
                <w:lock w:val="sdtLocked"/>
              </w:sdtPr>
              <w:sdtEndPr/>
              <w:sdtContent>
                <w:p w:rsidR="00204845" w:rsidRDefault="00CC2F26">
                  <w:pPr>
                    <w:ind w:firstLine="720"/>
                    <w:rPr>
                      <w:szCs w:val="24"/>
                      <w:lang w:eastAsia="ko-KR"/>
                    </w:rPr>
                  </w:pPr>
                  <w:sdt>
                    <w:sdtPr>
                      <w:alias w:val="Numeris"/>
                      <w:tag w:val="nr_57e58216922345a09cc9b42b0ceb14fc"/>
                      <w:id w:val="-1304920552"/>
                      <w:lock w:val="sdtLocked"/>
                    </w:sdtPr>
                    <w:sdtEndPr/>
                    <w:sdtContent>
                      <w:r>
                        <w:rPr>
                          <w:szCs w:val="24"/>
                          <w:lang w:eastAsia="ko-KR"/>
                        </w:rPr>
                        <w:t>1.27</w:t>
                      </w:r>
                    </w:sdtContent>
                  </w:sdt>
                  <w:r>
                    <w:rPr>
                      <w:szCs w:val="24"/>
                      <w:lang w:eastAsia="ko-KR"/>
                    </w:rPr>
                    <w:t>. Pakeičiu 13.7 papunktį ir jį išdėstau taip:</w:t>
                  </w:r>
                </w:p>
                <w:tbl>
                  <w:tblPr>
                    <w:tblW w:w="9615" w:type="dxa"/>
                    <w:tblInd w:w="-5" w:type="dxa"/>
                    <w:tblLayout w:type="fixed"/>
                    <w:tblCellMar>
                      <w:left w:w="0" w:type="dxa"/>
                      <w:right w:w="0" w:type="dxa"/>
                    </w:tblCellMar>
                    <w:tblLook w:val="0000" w:firstRow="0" w:lastRow="0" w:firstColumn="0" w:lastColumn="0" w:noHBand="0" w:noVBand="0"/>
                  </w:tblPr>
                  <w:tblGrid>
                    <w:gridCol w:w="709"/>
                    <w:gridCol w:w="2126"/>
                    <w:gridCol w:w="6780"/>
                  </w:tblGrid>
                  <w:tr w:rsidR="00204845">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204845">
                        <w:pPr>
                          <w:rPr>
                            <w:szCs w:val="24"/>
                            <w:lang w:eastAsia="ko-KR"/>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204845">
                        <w:pPr>
                          <w:rPr>
                            <w:szCs w:val="24"/>
                            <w:lang w:eastAsia="ko-KR"/>
                          </w:rPr>
                        </w:pP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CC2F26">
                        <w:pPr>
                          <w:suppressAutoHyphens/>
                          <w:jc w:val="both"/>
                          <w:textAlignment w:val="center"/>
                          <w:rPr>
                            <w:color w:val="000000"/>
                            <w:szCs w:val="24"/>
                          </w:rPr>
                        </w:pPr>
                        <w:r>
                          <w:rPr>
                            <w:szCs w:val="24"/>
                            <w:lang w:eastAsia="ko-KR"/>
                          </w:rPr>
                          <w:t>„</w:t>
                        </w:r>
                        <w:r>
                          <w:rPr>
                            <w:szCs w:val="24"/>
                            <w:lang w:eastAsia="lt-LT"/>
                          </w:rPr>
                          <w:t xml:space="preserve">13.7. </w:t>
                        </w:r>
                        <w:r>
                          <w:rPr>
                            <w:szCs w:val="24"/>
                          </w:rPr>
                          <w:t xml:space="preserve">Duomenų valdytojas audito tikslais ir gavęs Reglamento </w:t>
                        </w:r>
                        <w:hyperlink r:id="rId21" w:tgtFrame="_blank" w:history="1">
                          <w:r>
                            <w:rPr>
                              <w:color w:val="0000FF" w:themeColor="hyperlink"/>
                              <w:szCs w:val="24"/>
                              <w:u w:val="single"/>
                            </w:rPr>
                            <w:t>(ES) 2016/679</w:t>
                          </w:r>
                        </w:hyperlink>
                        <w:r>
                          <w:rPr>
                            <w:szCs w:val="24"/>
                          </w:rPr>
                          <w:t xml:space="preserve"> reikalavimus atitinkantį oficialų ES ir (ar) Lietuvos Respublikos institucijų (Europos Audito Rūmų, Europos Komisijos, Finansų ministerijos, Ek</w:t>
                        </w:r>
                        <w:r>
                          <w:rPr>
                            <w:szCs w:val="24"/>
                          </w:rPr>
                          <w:t>onomikos ir inovacijų ministerijos, Lietuvos Respublikos valstybės kontrolės, Finansinių nusikaltimų tyrimo tarnybos prie Lietuvos Respublikos vidaus reikalų ministerijos, Lietuvos Respublikos specialiųjų tyrimų tarnybos, Lietuvos Respublikos konkurencijos</w:t>
                        </w:r>
                        <w:r>
                          <w:rPr>
                            <w:szCs w:val="24"/>
                          </w:rPr>
                          <w:t xml:space="preserve"> tarybos ir kitų teisėsaugos ir verslo priežiūrą vykdančių institucijų) paklausimą pateikia asmens duomenis šioms kompetentingoms institucijoms. Duomenų valdytojas asmens duomenis pateikia atsakydamas į gautus oficialius Reglamento </w:t>
                        </w:r>
                        <w:hyperlink r:id="rId22" w:tgtFrame="_blank" w:history="1">
                          <w:r>
                            <w:rPr>
                              <w:color w:val="0000FF" w:themeColor="hyperlink"/>
                              <w:szCs w:val="24"/>
                              <w:u w:val="single"/>
                            </w:rPr>
                            <w:t>(ES) 2016/679</w:t>
                          </w:r>
                        </w:hyperlink>
                        <w:r>
                          <w:rPr>
                            <w:szCs w:val="24"/>
                          </w:rPr>
                          <w:t xml:space="preserve"> reikalavimus atitinkančius Finansinių nusikaltimų tyrimo tarnybos prie Lietuvos Respublikos vidaus reikalų ministerijos, Specialiųjų tyrimų tarnybos, Konkurencijos t</w:t>
                        </w:r>
                        <w:r>
                          <w:rPr>
                            <w:szCs w:val="24"/>
                          </w:rPr>
                          <w:t>arybos ir kitų teisėsaugos ir verslo priežiūrą vykdančių kompetentingų institucijų paklausimus (asmens duomenys trečiosioms valstybėms nebus perduodami).“</w:t>
                        </w:r>
                      </w:p>
                    </w:tc>
                  </w:tr>
                </w:tbl>
                <w:p w:rsidR="00204845" w:rsidRDefault="00CC2F26">
                  <w:pPr>
                    <w:rPr>
                      <w:szCs w:val="24"/>
                      <w:lang w:eastAsia="ko-KR"/>
                    </w:rPr>
                  </w:pPr>
                </w:p>
              </w:sdtContent>
            </w:sdt>
            <w:sdt>
              <w:sdtPr>
                <w:alias w:val="1.28 pp."/>
                <w:tag w:val="part_838a285e2db54c60a19836146ae520dd"/>
                <w:id w:val="1323615709"/>
                <w:lock w:val="sdtLocked"/>
              </w:sdtPr>
              <w:sdtEndPr/>
              <w:sdtContent>
                <w:p w:rsidR="00204845" w:rsidRDefault="00CC2F26">
                  <w:pPr>
                    <w:ind w:firstLine="720"/>
                    <w:rPr>
                      <w:szCs w:val="24"/>
                      <w:lang w:eastAsia="ko-KR"/>
                    </w:rPr>
                  </w:pPr>
                  <w:sdt>
                    <w:sdtPr>
                      <w:alias w:val="Numeris"/>
                      <w:tag w:val="nr_838a285e2db54c60a19836146ae520dd"/>
                      <w:id w:val="-1549061306"/>
                      <w:lock w:val="sdtLocked"/>
                    </w:sdtPr>
                    <w:sdtEndPr/>
                    <w:sdtContent>
                      <w:r>
                        <w:rPr>
                          <w:szCs w:val="24"/>
                          <w:lang w:eastAsia="ko-KR"/>
                        </w:rPr>
                        <w:t>1.28</w:t>
                      </w:r>
                    </w:sdtContent>
                  </w:sdt>
                  <w:r>
                    <w:rPr>
                      <w:szCs w:val="24"/>
                      <w:lang w:eastAsia="ko-KR"/>
                    </w:rPr>
                    <w:t>. Pakeičiu 13.9 papunktį ir jį išdėstau taip:</w:t>
                  </w:r>
                </w:p>
                <w:tbl>
                  <w:tblPr>
                    <w:tblW w:w="9615" w:type="dxa"/>
                    <w:tblInd w:w="-5" w:type="dxa"/>
                    <w:tblLayout w:type="fixed"/>
                    <w:tblCellMar>
                      <w:left w:w="0" w:type="dxa"/>
                      <w:right w:w="0" w:type="dxa"/>
                    </w:tblCellMar>
                    <w:tblLook w:val="0000" w:firstRow="0" w:lastRow="0" w:firstColumn="0" w:lastColumn="0" w:noHBand="0" w:noVBand="0"/>
                  </w:tblPr>
                  <w:tblGrid>
                    <w:gridCol w:w="709"/>
                    <w:gridCol w:w="2126"/>
                    <w:gridCol w:w="6780"/>
                  </w:tblGrid>
                  <w:tr w:rsidR="00204845">
                    <w:trPr>
                      <w:trHeight w:val="430"/>
                    </w:trPr>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204845">
                        <w:pPr>
                          <w:rPr>
                            <w:szCs w:val="24"/>
                            <w:lang w:eastAsia="ko-KR"/>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204845">
                        <w:pPr>
                          <w:rPr>
                            <w:szCs w:val="24"/>
                            <w:lang w:eastAsia="ko-KR"/>
                          </w:rPr>
                        </w:pP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204845" w:rsidRDefault="00CC2F26">
                        <w:pPr>
                          <w:tabs>
                            <w:tab w:val="left" w:pos="346"/>
                            <w:tab w:val="left" w:pos="521"/>
                          </w:tabs>
                          <w:suppressAutoHyphens/>
                          <w:jc w:val="both"/>
                          <w:textAlignment w:val="center"/>
                          <w:rPr>
                            <w:szCs w:val="24"/>
                          </w:rPr>
                        </w:pPr>
                        <w:r>
                          <w:rPr>
                            <w:szCs w:val="24"/>
                            <w:lang w:eastAsia="ko-KR"/>
                          </w:rPr>
                          <w:t>„</w:t>
                        </w:r>
                        <w:r>
                          <w:rPr>
                            <w:szCs w:val="24"/>
                          </w:rPr>
                          <w:t xml:space="preserve">13.9. Duomenų subjektas gali kreiptis į duomenų valdytoją ILTE ir įgyvendinti šias Reglamente </w:t>
                        </w:r>
                        <w:hyperlink r:id="rId23" w:tgtFrame="_blank" w:history="1">
                          <w:r>
                            <w:rPr>
                              <w:color w:val="0000FF" w:themeColor="hyperlink"/>
                              <w:szCs w:val="24"/>
                              <w:u w:val="single"/>
                            </w:rPr>
                            <w:t>(ES) 2016/679</w:t>
                          </w:r>
                        </w:hyperlink>
                        <w:r>
                          <w:rPr>
                            <w:szCs w:val="24"/>
                          </w:rPr>
                          <w:t xml:space="preserve"> įtvirtintas teises:</w:t>
                        </w:r>
                      </w:p>
                      <w:p w:rsidR="00204845" w:rsidRDefault="00CC2F26">
                        <w:pPr>
                          <w:tabs>
                            <w:tab w:val="left" w:pos="346"/>
                            <w:tab w:val="left" w:pos="521"/>
                          </w:tabs>
                          <w:suppressAutoHyphens/>
                          <w:jc w:val="both"/>
                          <w:textAlignment w:val="center"/>
                          <w:rPr>
                            <w:szCs w:val="24"/>
                          </w:rPr>
                        </w:pPr>
                        <w:r>
                          <w:rPr>
                            <w:szCs w:val="24"/>
                          </w:rPr>
                          <w:t>13.9.1. teisę būti informuo</w:t>
                        </w:r>
                        <w:r>
                          <w:rPr>
                            <w:szCs w:val="24"/>
                          </w:rPr>
                          <w:t>tam apie savo asmens duomenų tvarkymą;</w:t>
                        </w:r>
                      </w:p>
                      <w:p w:rsidR="00204845" w:rsidRDefault="00CC2F26">
                        <w:pPr>
                          <w:tabs>
                            <w:tab w:val="left" w:pos="346"/>
                            <w:tab w:val="left" w:pos="521"/>
                          </w:tabs>
                          <w:suppressAutoHyphens/>
                          <w:jc w:val="both"/>
                          <w:textAlignment w:val="center"/>
                          <w:rPr>
                            <w:szCs w:val="24"/>
                          </w:rPr>
                        </w:pPr>
                        <w:r>
                          <w:rPr>
                            <w:szCs w:val="24"/>
                          </w:rPr>
                          <w:t>13.9.2. teisę susipažinti su savo asmens duomenimis;</w:t>
                        </w:r>
                      </w:p>
                      <w:p w:rsidR="00204845" w:rsidRDefault="00CC2F26">
                        <w:pPr>
                          <w:tabs>
                            <w:tab w:val="left" w:pos="346"/>
                            <w:tab w:val="left" w:pos="521"/>
                          </w:tabs>
                          <w:suppressAutoHyphens/>
                          <w:jc w:val="both"/>
                          <w:textAlignment w:val="center"/>
                          <w:rPr>
                            <w:szCs w:val="24"/>
                          </w:rPr>
                        </w:pPr>
                        <w:r>
                          <w:rPr>
                            <w:szCs w:val="24"/>
                          </w:rPr>
                          <w:t>13.9.3. teisę reikalauti ištaisyti duomenis;</w:t>
                        </w:r>
                      </w:p>
                      <w:p w:rsidR="00204845" w:rsidRDefault="00CC2F26">
                        <w:pPr>
                          <w:tabs>
                            <w:tab w:val="left" w:pos="460"/>
                            <w:tab w:val="left" w:pos="602"/>
                          </w:tabs>
                          <w:suppressAutoHyphens/>
                          <w:jc w:val="both"/>
                          <w:textAlignment w:val="center"/>
                          <w:rPr>
                            <w:szCs w:val="24"/>
                          </w:rPr>
                        </w:pPr>
                        <w:r>
                          <w:rPr>
                            <w:szCs w:val="24"/>
                          </w:rPr>
                          <w:t>13.9.4. teisę reikalauti ištrinti asmens duomenis, jeigu juos naudoja neteisėtai arba egzistuoja kitokie ištrynimo pagr</w:t>
                        </w:r>
                        <w:r>
                          <w:rPr>
                            <w:szCs w:val="24"/>
                          </w:rPr>
                          <w:t>indai („teisę būti pamirštam“);</w:t>
                        </w:r>
                      </w:p>
                      <w:p w:rsidR="00204845" w:rsidRDefault="00CC2F26">
                        <w:pPr>
                          <w:tabs>
                            <w:tab w:val="left" w:pos="346"/>
                            <w:tab w:val="left" w:pos="521"/>
                          </w:tabs>
                          <w:suppressAutoHyphens/>
                          <w:jc w:val="both"/>
                          <w:textAlignment w:val="center"/>
                          <w:rPr>
                            <w:szCs w:val="24"/>
                          </w:rPr>
                        </w:pPr>
                        <w:r>
                          <w:rPr>
                            <w:szCs w:val="24"/>
                          </w:rPr>
                          <w:t>13.9.5. teisę reikalauti apriboti asmens duomenų tvarkymą.“</w:t>
                        </w:r>
                      </w:p>
                    </w:tc>
                  </w:tr>
                </w:tbl>
                <w:p w:rsidR="00204845" w:rsidRDefault="00CC2F26">
                  <w:pPr>
                    <w:rPr>
                      <w:szCs w:val="24"/>
                      <w:lang w:eastAsia="ko-KR"/>
                    </w:rPr>
                  </w:pPr>
                </w:p>
              </w:sdtContent>
            </w:sdt>
          </w:sdtContent>
        </w:sdt>
        <w:sdt>
          <w:sdtPr>
            <w:alias w:val="2 p."/>
            <w:tag w:val="part_eb5a6894f769481d9dc9ecf6afbcb656"/>
            <w:id w:val="1132443737"/>
            <w:lock w:val="sdtLocked"/>
          </w:sdtPr>
          <w:sdtEndPr/>
          <w:sdtContent>
            <w:p w:rsidR="00204845" w:rsidRDefault="00CC2F26" w:rsidP="00CC2F26">
              <w:pPr>
                <w:ind w:left="37" w:right="142" w:firstLine="672"/>
                <w:jc w:val="both"/>
                <w:rPr>
                  <w:szCs w:val="24"/>
                  <w:lang w:eastAsia="ko-KR"/>
                </w:rPr>
              </w:pPr>
              <w:sdt>
                <w:sdtPr>
                  <w:alias w:val="Numeris"/>
                  <w:tag w:val="nr_eb5a6894f769481d9dc9ecf6afbcb656"/>
                  <w:id w:val="-1499496692"/>
                  <w:lock w:val="sdtLocked"/>
                </w:sdtPr>
                <w:sdtEndPr/>
                <w:sdtContent>
                  <w:r>
                    <w:rPr>
                      <w:color w:val="201F1E"/>
                      <w:szCs w:val="24"/>
                      <w:shd w:val="clear" w:color="auto" w:fill="FFFFFF"/>
                      <w:lang w:eastAsia="ko-KR"/>
                    </w:rPr>
                    <w:t>2</w:t>
                  </w:r>
                </w:sdtContent>
              </w:sdt>
              <w:r>
                <w:rPr>
                  <w:color w:val="201F1E"/>
                  <w:szCs w:val="24"/>
                  <w:shd w:val="clear" w:color="auto" w:fill="FFFFFF"/>
                  <w:lang w:eastAsia="ko-KR"/>
                </w:rPr>
                <w:t>. N u s t a t a u, kad</w:t>
              </w:r>
              <w:r>
                <w:rPr>
                  <w:color w:val="201F1E"/>
                  <w:szCs w:val="24"/>
                  <w:lang w:eastAsia="ko-KR"/>
                </w:rPr>
                <w:t xml:space="preserve"> šis įsakymas taikomas uždarajai akcinei bendrovei ILTE (toliau – ILTE) vertinant  paskolų gavėjų paraiškas, pateiktas po šio įsakymo</w:t>
              </w:r>
              <w:r>
                <w:rPr>
                  <w:color w:val="201F1E"/>
                  <w:szCs w:val="24"/>
                  <w:lang w:eastAsia="ko-KR"/>
                </w:rPr>
                <w:t xml:space="preserve"> įsigaliojimo dienos, taip pat paskolų gavėjų paraiškas, pateiktas iki šio įsakymo įsigaliojimo dienos, tuo atveju, jei ILTE sprendimai suteikti paskolą pagal pateiktas paraiškas iki šio įsakymo įsigaliojimo dar nebuvo priimti. </w:t>
              </w:r>
            </w:p>
          </w:sdtContent>
        </w:sdt>
        <w:sdt>
          <w:sdtPr>
            <w:alias w:val="signatura"/>
            <w:tag w:val="part_b6673ecf69a24a94b084615eb55ee7ed"/>
            <w:id w:val="-1826046644"/>
            <w:lock w:val="sdtLocked"/>
          </w:sdtPr>
          <w:sdtEndPr/>
          <w:sdtContent>
            <w:p w:rsidR="00CC2F26" w:rsidRDefault="00CC2F26">
              <w:pPr>
                <w:tabs>
                  <w:tab w:val="left" w:pos="8496"/>
                </w:tabs>
              </w:pPr>
            </w:p>
            <w:p w:rsidR="00CC2F26" w:rsidRDefault="00CC2F26">
              <w:pPr>
                <w:tabs>
                  <w:tab w:val="left" w:pos="8496"/>
                </w:tabs>
              </w:pPr>
            </w:p>
            <w:p w:rsidR="00CC2F26" w:rsidRDefault="00CC2F26">
              <w:pPr>
                <w:tabs>
                  <w:tab w:val="left" w:pos="8496"/>
                </w:tabs>
              </w:pPr>
            </w:p>
            <w:p w:rsidR="00204845" w:rsidRDefault="00CC2F26" w:rsidP="00CC2F26">
              <w:pPr>
                <w:tabs>
                  <w:tab w:val="left" w:pos="8222"/>
                </w:tabs>
                <w:rPr>
                  <w:szCs w:val="24"/>
                  <w:lang w:eastAsia="lt-LT"/>
                </w:rPr>
              </w:pPr>
              <w:r>
                <w:rPr>
                  <w:szCs w:val="24"/>
                  <w:lang w:eastAsia="lt-LT"/>
                </w:rPr>
                <w:t>Ekonomikos ir inovacijų ministras</w:t>
              </w:r>
              <w:r>
                <w:rPr>
                  <w:szCs w:val="24"/>
                  <w:lang w:eastAsia="lt-LT"/>
                </w:rPr>
                <w:tab/>
              </w:r>
              <w:bookmarkStart w:id="0" w:name="_GoBack"/>
              <w:bookmarkEnd w:id="0"/>
              <w:r>
                <w:rPr>
                  <w:szCs w:val="24"/>
                  <w:lang w:eastAsia="lt-LT"/>
                </w:rPr>
                <w:t>Lukas Savickas</w:t>
              </w:r>
            </w:p>
            <w:p w:rsidR="00204845" w:rsidRDefault="00CC2F26">
              <w:pPr>
                <w:rPr>
                  <w:sz w:val="20"/>
                  <w:lang w:eastAsia="ko-KR"/>
                </w:rPr>
              </w:pPr>
            </w:p>
          </w:sdtContent>
        </w:sdt>
      </w:sdtContent>
    </w:sdt>
    <w:sectPr w:rsidR="00204845">
      <w:headerReference w:type="even" r:id="rId24"/>
      <w:headerReference w:type="default" r:id="rId25"/>
      <w:footerReference w:type="even" r:id="rId26"/>
      <w:footerReference w:type="default" r:id="rId27"/>
      <w:headerReference w:type="first" r:id="rId28"/>
      <w:footerReference w:type="first" r:id="rId29"/>
      <w:pgSz w:w="11906" w:h="16838" w:code="9"/>
      <w:pgMar w:top="1134" w:right="424" w:bottom="1134" w:left="1701"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04845" w:rsidRDefault="00CC2F26">
      <w:pPr>
        <w:rPr>
          <w:szCs w:val="24"/>
          <w:lang w:eastAsia="ko-KR"/>
        </w:rPr>
      </w:pPr>
      <w:r>
        <w:rPr>
          <w:szCs w:val="24"/>
          <w:lang w:eastAsia="ko-KR"/>
        </w:rPr>
        <w:separator/>
      </w:r>
    </w:p>
  </w:endnote>
  <w:endnote w:type="continuationSeparator" w:id="0">
    <w:p w:rsidR="00204845" w:rsidRDefault="00CC2F26">
      <w:pPr>
        <w:rPr>
          <w:szCs w:val="24"/>
          <w:lang w:eastAsia="ko-KR"/>
        </w:rPr>
      </w:pPr>
      <w:r>
        <w:rPr>
          <w:szCs w:val="24"/>
          <w:lang w:eastAsia="ko-KR"/>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4845" w:rsidRDefault="00CC2F26">
    <w:pPr>
      <w:framePr w:wrap="auto" w:vAnchor="text" w:hAnchor="margin" w:xAlign="center" w:y="1"/>
      <w:tabs>
        <w:tab w:val="center" w:pos="4153"/>
        <w:tab w:val="right" w:pos="8306"/>
      </w:tabs>
      <w:ind w:firstLine="720"/>
      <w:jc w:val="both"/>
    </w:pPr>
    <w:r>
      <w:fldChar w:fldCharType="begin"/>
    </w:r>
    <w:r>
      <w:instrText xml:space="preserve">PAGE  </w:instrText>
    </w:r>
    <w:r>
      <w:fldChar w:fldCharType="separate"/>
    </w:r>
    <w:r>
      <w:t>1</w:t>
    </w:r>
    <w:r>
      <w:fldChar w:fldCharType="end"/>
    </w:r>
  </w:p>
  <w:p w:rsidR="00204845" w:rsidRDefault="00204845">
    <w:pPr>
      <w:tabs>
        <w:tab w:val="center" w:pos="4153"/>
        <w:tab w:val="right" w:pos="8306"/>
      </w:tabs>
      <w:ind w:firstLine="720"/>
      <w:jc w:val="both"/>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4845" w:rsidRDefault="00204845">
    <w:pPr>
      <w:tabs>
        <w:tab w:val="center" w:pos="4153"/>
        <w:tab w:val="right" w:pos="8306"/>
      </w:tabs>
      <w:ind w:firstLine="720"/>
      <w:jc w:val="both"/>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4845" w:rsidRDefault="00204845">
    <w:pPr>
      <w:tabs>
        <w:tab w:val="center" w:pos="4153"/>
        <w:tab w:val="right" w:pos="8306"/>
      </w:tabs>
      <w:ind w:firstLine="720"/>
      <w:jc w:val="right"/>
      <w:rPr>
        <w:sz w:val="1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04845" w:rsidRDefault="00CC2F26">
      <w:pPr>
        <w:rPr>
          <w:szCs w:val="24"/>
          <w:lang w:eastAsia="ko-KR"/>
        </w:rPr>
      </w:pPr>
      <w:r>
        <w:rPr>
          <w:szCs w:val="24"/>
          <w:lang w:eastAsia="ko-KR"/>
        </w:rPr>
        <w:separator/>
      </w:r>
    </w:p>
  </w:footnote>
  <w:footnote w:type="continuationSeparator" w:id="0">
    <w:p w:rsidR="00204845" w:rsidRDefault="00CC2F26">
      <w:pPr>
        <w:rPr>
          <w:szCs w:val="24"/>
          <w:lang w:eastAsia="ko-KR"/>
        </w:rPr>
      </w:pPr>
      <w:r>
        <w:rPr>
          <w:szCs w:val="24"/>
          <w:lang w:eastAsia="ko-KR"/>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4845" w:rsidRDefault="00204845">
    <w:pPr>
      <w:tabs>
        <w:tab w:val="center" w:pos="4153"/>
        <w:tab w:val="right" w:pos="8306"/>
      </w:tabs>
      <w:ind w:firstLine="720"/>
      <w:jc w:val="both"/>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4845" w:rsidRDefault="00CC2F26">
    <w:pPr>
      <w:tabs>
        <w:tab w:val="center" w:pos="4153"/>
        <w:tab w:val="right" w:pos="8306"/>
      </w:tabs>
      <w:ind w:firstLine="720"/>
      <w:jc w:val="center"/>
    </w:pPr>
    <w:r>
      <w:fldChar w:fldCharType="begin"/>
    </w:r>
    <w:r>
      <w:instrText>PAGE   \* MERGEFORMAT</w:instrText>
    </w:r>
    <w:r>
      <w:fldChar w:fldCharType="separate"/>
    </w:r>
    <w:r>
      <w:rPr>
        <w:noProof/>
      </w:rPr>
      <w:t>10</w:t>
    </w:r>
    <w:r>
      <w:fldChar w:fldCharType="end"/>
    </w:r>
  </w:p>
  <w:p w:rsidR="00204845" w:rsidRDefault="00204845">
    <w:pPr>
      <w:tabs>
        <w:tab w:val="center" w:pos="4153"/>
        <w:tab w:val="right" w:pos="8306"/>
      </w:tabs>
      <w:ind w:firstLine="720"/>
      <w:jc w:val="both"/>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4845" w:rsidRDefault="00204845">
    <w:pPr>
      <w:tabs>
        <w:tab w:val="center" w:pos="4153"/>
        <w:tab w:val="right" w:pos="8306"/>
      </w:tabs>
      <w:ind w:firstLine="720"/>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45A7"/>
    <w:rsid w:val="00204845"/>
    <w:rsid w:val="002245A7"/>
    <w:rsid w:val="00CC2F26"/>
  </w:rsids>
  <m:mathPr>
    <m:mathFont m:val="Cambria Math"/>
    <m:brkBin m:val="before"/>
    <m:brkBinSub m:val="--"/>
    <m:smallFrac m:val="0"/>
    <m:dispDef/>
    <m:lMargin m:val="0"/>
    <m:rMargin m:val="0"/>
    <m:defJc m:val="centerGroup"/>
    <m:wrapIndent m:val="1440"/>
    <m:intLim m:val="subSup"/>
    <m:naryLim m:val="undOvr"/>
  </m:mathPr>
  <w:themeFontLang w:val="en-US" w:eastAsia="ko-K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1F96A998"/>
  <w15:docId w15:val="{33691863-9BD3-4E27-98DD-79AB175913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0723283">
      <w:bodyDiv w:val="1"/>
      <w:marLeft w:val="0"/>
      <w:marRight w:val="0"/>
      <w:marTop w:val="0"/>
      <w:marBottom w:val="0"/>
      <w:divBdr>
        <w:top w:val="none" w:sz="0" w:space="0" w:color="auto"/>
        <w:left w:val="none" w:sz="0" w:space="0" w:color="auto"/>
        <w:bottom w:val="none" w:sz="0" w:space="0" w:color="auto"/>
        <w:right w:val="none" w:sz="0" w:space="0" w:color="auto"/>
      </w:divBdr>
    </w:div>
    <w:div w:id="417099502">
      <w:bodyDiv w:val="1"/>
      <w:marLeft w:val="0"/>
      <w:marRight w:val="0"/>
      <w:marTop w:val="0"/>
      <w:marBottom w:val="0"/>
      <w:divBdr>
        <w:top w:val="none" w:sz="0" w:space="0" w:color="auto"/>
        <w:left w:val="none" w:sz="0" w:space="0" w:color="auto"/>
        <w:bottom w:val="none" w:sz="0" w:space="0" w:color="auto"/>
        <w:right w:val="none" w:sz="0" w:space="0" w:color="auto"/>
      </w:divBdr>
    </w:div>
    <w:div w:id="567423203">
      <w:bodyDiv w:val="1"/>
      <w:marLeft w:val="0"/>
      <w:marRight w:val="0"/>
      <w:marTop w:val="0"/>
      <w:marBottom w:val="0"/>
      <w:divBdr>
        <w:top w:val="none" w:sz="0" w:space="0" w:color="auto"/>
        <w:left w:val="none" w:sz="0" w:space="0" w:color="auto"/>
        <w:bottom w:val="none" w:sz="0" w:space="0" w:color="auto"/>
        <w:right w:val="none" w:sz="0" w:space="0" w:color="auto"/>
      </w:divBdr>
    </w:div>
    <w:div w:id="621617253">
      <w:bodyDiv w:val="1"/>
      <w:marLeft w:val="0"/>
      <w:marRight w:val="0"/>
      <w:marTop w:val="0"/>
      <w:marBottom w:val="0"/>
      <w:divBdr>
        <w:top w:val="none" w:sz="0" w:space="0" w:color="auto"/>
        <w:left w:val="none" w:sz="0" w:space="0" w:color="auto"/>
        <w:bottom w:val="none" w:sz="0" w:space="0" w:color="auto"/>
        <w:right w:val="none" w:sz="0" w:space="0" w:color="auto"/>
      </w:divBdr>
    </w:div>
    <w:div w:id="633220817">
      <w:bodyDiv w:val="1"/>
      <w:marLeft w:val="0"/>
      <w:marRight w:val="0"/>
      <w:marTop w:val="0"/>
      <w:marBottom w:val="0"/>
      <w:divBdr>
        <w:top w:val="none" w:sz="0" w:space="0" w:color="auto"/>
        <w:left w:val="none" w:sz="0" w:space="0" w:color="auto"/>
        <w:bottom w:val="none" w:sz="0" w:space="0" w:color="auto"/>
        <w:right w:val="none" w:sz="0" w:space="0" w:color="auto"/>
      </w:divBdr>
    </w:div>
    <w:div w:id="730154127">
      <w:bodyDiv w:val="1"/>
      <w:marLeft w:val="0"/>
      <w:marRight w:val="0"/>
      <w:marTop w:val="0"/>
      <w:marBottom w:val="0"/>
      <w:divBdr>
        <w:top w:val="none" w:sz="0" w:space="0" w:color="auto"/>
        <w:left w:val="none" w:sz="0" w:space="0" w:color="auto"/>
        <w:bottom w:val="none" w:sz="0" w:space="0" w:color="auto"/>
        <w:right w:val="none" w:sz="0" w:space="0" w:color="auto"/>
      </w:divBdr>
    </w:div>
    <w:div w:id="765886256">
      <w:bodyDiv w:val="1"/>
      <w:marLeft w:val="0"/>
      <w:marRight w:val="0"/>
      <w:marTop w:val="0"/>
      <w:marBottom w:val="0"/>
      <w:divBdr>
        <w:top w:val="none" w:sz="0" w:space="0" w:color="auto"/>
        <w:left w:val="none" w:sz="0" w:space="0" w:color="auto"/>
        <w:bottom w:val="none" w:sz="0" w:space="0" w:color="auto"/>
        <w:right w:val="none" w:sz="0" w:space="0" w:color="auto"/>
      </w:divBdr>
    </w:div>
    <w:div w:id="831529789">
      <w:bodyDiv w:val="1"/>
      <w:marLeft w:val="0"/>
      <w:marRight w:val="0"/>
      <w:marTop w:val="0"/>
      <w:marBottom w:val="0"/>
      <w:divBdr>
        <w:top w:val="none" w:sz="0" w:space="0" w:color="auto"/>
        <w:left w:val="none" w:sz="0" w:space="0" w:color="auto"/>
        <w:bottom w:val="none" w:sz="0" w:space="0" w:color="auto"/>
        <w:right w:val="none" w:sz="0" w:space="0" w:color="auto"/>
      </w:divBdr>
    </w:div>
    <w:div w:id="1069696918">
      <w:bodyDiv w:val="1"/>
      <w:marLeft w:val="0"/>
      <w:marRight w:val="0"/>
      <w:marTop w:val="0"/>
      <w:marBottom w:val="0"/>
      <w:divBdr>
        <w:top w:val="none" w:sz="0" w:space="0" w:color="auto"/>
        <w:left w:val="none" w:sz="0" w:space="0" w:color="auto"/>
        <w:bottom w:val="none" w:sz="0" w:space="0" w:color="auto"/>
        <w:right w:val="none" w:sz="0" w:space="0" w:color="auto"/>
      </w:divBdr>
    </w:div>
    <w:div w:id="1154297125">
      <w:bodyDiv w:val="1"/>
      <w:marLeft w:val="0"/>
      <w:marRight w:val="0"/>
      <w:marTop w:val="0"/>
      <w:marBottom w:val="0"/>
      <w:divBdr>
        <w:top w:val="none" w:sz="0" w:space="0" w:color="auto"/>
        <w:left w:val="none" w:sz="0" w:space="0" w:color="auto"/>
        <w:bottom w:val="none" w:sz="0" w:space="0" w:color="auto"/>
        <w:right w:val="none" w:sz="0" w:space="0" w:color="auto"/>
      </w:divBdr>
    </w:div>
    <w:div w:id="1447385754">
      <w:bodyDiv w:val="1"/>
      <w:marLeft w:val="0"/>
      <w:marRight w:val="0"/>
      <w:marTop w:val="0"/>
      <w:marBottom w:val="0"/>
      <w:divBdr>
        <w:top w:val="none" w:sz="0" w:space="0" w:color="auto"/>
        <w:left w:val="none" w:sz="0" w:space="0" w:color="auto"/>
        <w:bottom w:val="none" w:sz="0" w:space="0" w:color="auto"/>
        <w:right w:val="none" w:sz="0" w:space="0" w:color="auto"/>
      </w:divBdr>
    </w:div>
    <w:div w:id="1515148895">
      <w:bodyDiv w:val="1"/>
      <w:marLeft w:val="0"/>
      <w:marRight w:val="0"/>
      <w:marTop w:val="0"/>
      <w:marBottom w:val="0"/>
      <w:divBdr>
        <w:top w:val="none" w:sz="0" w:space="0" w:color="auto"/>
        <w:left w:val="none" w:sz="0" w:space="0" w:color="auto"/>
        <w:bottom w:val="none" w:sz="0" w:space="0" w:color="auto"/>
        <w:right w:val="none" w:sz="0" w:space="0" w:color="auto"/>
      </w:divBdr>
    </w:div>
    <w:div w:id="1793743750">
      <w:bodyDiv w:val="1"/>
      <w:marLeft w:val="0"/>
      <w:marRight w:val="0"/>
      <w:marTop w:val="0"/>
      <w:marBottom w:val="0"/>
      <w:divBdr>
        <w:top w:val="none" w:sz="0" w:space="0" w:color="auto"/>
        <w:left w:val="none" w:sz="0" w:space="0" w:color="auto"/>
        <w:bottom w:val="none" w:sz="0" w:space="0" w:color="auto"/>
        <w:right w:val="none" w:sz="0" w:space="0" w:color="auto"/>
      </w:divBdr>
    </w:div>
    <w:div w:id="2056810621">
      <w:bodyDiv w:val="1"/>
      <w:marLeft w:val="0"/>
      <w:marRight w:val="0"/>
      <w:marTop w:val="0"/>
      <w:marBottom w:val="0"/>
      <w:divBdr>
        <w:top w:val="none" w:sz="0" w:space="0" w:color="auto"/>
        <w:left w:val="none" w:sz="0" w:space="0" w:color="auto"/>
        <w:bottom w:val="none" w:sz="0" w:space="0" w:color="auto"/>
        <w:right w:val="none" w:sz="0" w:space="0" w:color="auto"/>
      </w:divBdr>
    </w:div>
    <w:div w:id="21290866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eur-lex.europa.eu/legal-content/LIT/TXT/?uri=CELEX:32018R1092&amp;locale=lt" TargetMode="External"/><Relationship Id="rId18" Type="http://schemas.openxmlformats.org/officeDocument/2006/relationships/hyperlink" Target="http://eur-lex.europa.eu/legal-content/LIT/TXT/?uri=CELEX:32014D0541&amp;locale=lt" TargetMode="External"/><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hyperlink" Target="http://eur-lex.europa.eu/legal-content/LIT/TXT/?uri=CELEX:32016R0679&amp;locale=lt" TargetMode="External"/><Relationship Id="rId7" Type="http://schemas.openxmlformats.org/officeDocument/2006/relationships/settings" Target="settings.xml"/><Relationship Id="rId12" Type="http://schemas.openxmlformats.org/officeDocument/2006/relationships/hyperlink" Target="http://eur-lex.europa.eu/legal-content/LIT/TXT/?uri=CELEX:32021R0697&amp;locale=lt" TargetMode="External"/><Relationship Id="rId17" Type="http://schemas.openxmlformats.org/officeDocument/2006/relationships/hyperlink" Target="http://eur-lex.europa.eu/legal-content/LIT/TXT/?uri=CELEX:32014R0377&amp;locale=lt" TargetMode="External"/><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yperlink" Target="http://eur-lex.europa.eu/legal-content/LIT/TXT/?uri=CELEX:32013R1285&amp;locale=lt" TargetMode="External"/><Relationship Id="rId20" Type="http://schemas.openxmlformats.org/officeDocument/2006/relationships/hyperlink" Target="http://eur-lex.europa.eu/legal-content/LIT/TXT/?uri=CELEX:31995L0046&amp;locale=lt" TargetMode="External"/><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yperlink" Target="http://eur-lex.europa.eu/legal-content/LIT/TXT/?uri=CELEX:32010R0912&amp;locale=lt" TargetMode="External"/><Relationship Id="rId23" Type="http://schemas.openxmlformats.org/officeDocument/2006/relationships/hyperlink" Target="http://eur-lex.europa.eu/legal-content/LIT/TXT/?uri=CELEX:32016R0679&amp;locale=lt" TargetMode="External"/><Relationship Id="rId28"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yperlink" Target="http://eur-lex.europa.eu/legal-content/LIT/TXT/?uri=CELEX:32016R0679&amp;locale=lt"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eur-lex.europa.eu/legal-content/LIT/TXT/?uri=CELEX:32021R0696&amp;locale=lt" TargetMode="External"/><Relationship Id="rId22" Type="http://schemas.openxmlformats.org/officeDocument/2006/relationships/hyperlink" Target="http://eur-lex.europa.eu/legal-content/LIT/TXT/?uri=CELEX:32016R0679&amp;locale=lt" TargetMode="External"/><Relationship Id="rId27" Type="http://schemas.openxmlformats.org/officeDocument/2006/relationships/footer" Target="footer2.xm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C513E345ECC084B8776570EA18042D3" ma:contentTypeVersion="13" ma:contentTypeDescription="Create a new document." ma:contentTypeScope="" ma:versionID="76f3e8b8c10ccb1fab011ad8e8590a05">
  <xsd:schema xmlns:xsd="http://www.w3.org/2001/XMLSchema" xmlns:xs="http://www.w3.org/2001/XMLSchema" xmlns:p="http://schemas.microsoft.com/office/2006/metadata/properties" xmlns:ns2="b69c057d-3413-4a41-93c5-e2d0b5207e19" xmlns:ns3="a9e7eb83-60b4-45b8-8e89-8fcf76822b56" targetNamespace="http://schemas.microsoft.com/office/2006/metadata/properties" ma:root="true" ma:fieldsID="b555488fbc44dd69f701fdf12ae624e6" ns2:_="" ns3:_="">
    <xsd:import namespace="b69c057d-3413-4a41-93c5-e2d0b5207e19"/>
    <xsd:import namespace="a9e7eb83-60b4-45b8-8e89-8fcf76822b56"/>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_Flow_SignoffStatus"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69c057d-3413-4a41-93c5-e2d0b5207e1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Flow_SignoffStatus" ma:index="12" nillable="true" ma:displayName="Atsijungimo būsena" ma:internalName="Atsijungimo_x0020_b_x016b_sena">
      <xsd:simpleType>
        <xsd:restriction base="dms:Text"/>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4e3501c9-f7a7-4b81-baa6-2bbc2eda4d39"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9e7eb83-60b4-45b8-8e89-8fcf76822b56"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c3f1737d-2a57-4b53-b468-f8cd91867475}" ma:internalName="TaxCatchAll" ma:showField="CatchAllData" ma:web="a9e7eb83-60b4-45b8-8e89-8fcf76822b56">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b69c057d-3413-4a41-93c5-e2d0b5207e19">
      <Terms xmlns="http://schemas.microsoft.com/office/infopath/2007/PartnerControls"/>
    </lcf76f155ced4ddcb4097134ff3c332f>
    <_Flow_SignoffStatus xmlns="b69c057d-3413-4a41-93c5-e2d0b5207e19" xsi:nil="true"/>
    <TaxCatchAll xmlns="a9e7eb83-60b4-45b8-8e89-8fcf76822b56" xsi:nil="true"/>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b31ce195ed0248ff8bfa2dc953d75a43" PartId="248b3b06f1d24cda9721f75e411107c6">
    <Part Type="punktas" Nr="1" Abbr="1 p." DocPartId="86c6bfe06a6f417e9d98d321bd3e379d" PartId="df4282dcb6874f3fa3bee22fbaa3ceb7">
      <Part Type="papunktis" Nr="1.1" Abbr="1.1 pp." DocPartId="3002baa79a134654a77793191971e197" PartId="42997ef690af430fbf2639b74b1a5131"/>
      <Part Type="papunktis" Nr="1.2" Abbr="1.2 pp." DocPartId="542295eeb9af4f89912ae025ea627dc5" PartId="fb313f4b08264c90be024dd27cdac0f0"/>
      <Part Type="papunktis" Nr="1.3" Abbr="1.3 pp." DocPartId="8541c4b387324a9a92ad66ea919f119c" PartId="ad33cfc05947402c962f48e5285e8831"/>
      <Part Type="papunktis" Nr="1.4" Abbr="1.4 pp." DocPartId="53381fed4dd3481ea5674d49187b90c8" PartId="69ae7699898347fbbbca8d8e88ba43fc"/>
      <Part Type="papunktis" Nr="1.5" Abbr="1.5 pp." DocPartId="7be36a7959ab42ef8464997e959aee9c" PartId="7b84f6737e3c4806ad78a739fa9f3ff1"/>
      <Part Type="papunktis" Nr="1.6" Abbr="1.6 pp." DocPartId="1cb2a9739a0b4e178ab3a19a16a94c6d" PartId="4f12c9ff25484f4693953a709e06c581"/>
      <Part Type="papunktis" Nr="1.7" Abbr="1.7 pp." DocPartId="f4945ba41585462e82b838b60cae29ba" PartId="04d62af9c6864ee1a529479418f0e62b"/>
      <Part Type="papunktis" Nr="1.8" Abbr="1.8 pp." DocPartId="9a06044cafc0473386b6f78edc21cacb" PartId="f3ced76af5554627be89a1aa4ac40507"/>
      <Part Type="papunktis" Nr="1.9" Abbr="1.9 pp." DocPartId="2a23f21480e84856810ccf2c9f5b9af3" PartId="4d8d3974f09245b0b4b7fd189fe40e5c"/>
      <Part Type="papunktis" Nr="1.10" Abbr="1.10 pp." DocPartId="b7bde0416f6645aa8a664aac63ca8b38" PartId="3e60aee1936547708188a1b154c861a0"/>
      <Part Type="papunktis" Nr="1.11" Abbr="1.11 pp." DocPartId="649687f158d44774a0dbf4743df7d3e6" PartId="3bd9382cb2654d6fa86bb6d87e58f374"/>
      <Part Type="papunktis" Nr="1.12" Abbr="1.12 pp." DocPartId="b2388fabbed04984b269b3afc6b8c6a9" PartId="d4f15b34b1eb4361a653bc2c6aaeef48"/>
      <Part Type="papunktis" Nr="1.13" Abbr="1.13 pp." DocPartId="45bc35d56fab478ba57be8fcd00453c0" PartId="3149a4b5bba5409cbde3661816c30dd5"/>
      <Part Type="papunktis" Nr="1.14" Abbr="1.14 pp." DocPartId="11b394c2120f4b478e44ea8b7ae5d606" PartId="275aaca4f3394ad1a791e6f097d4a83c"/>
      <Part Type="papunktis" Nr="1.15" Abbr="1.15 pp." DocPartId="8fd0b5141bbd4abfa3bdd8949a68c678" PartId="f6e8f853135d48179f73cfdae0865f94"/>
      <Part Type="papunktis" Nr="1.16" Abbr="1.16 pp." DocPartId="0045d4e1707c4ff58700eaaaec1f52ed" PartId="88e8222d02074cb087820bd6ade57d22"/>
      <Part Type="papunktis" Nr="1.17" Abbr="1.17 pp." DocPartId="593e178dddc8439292943081f321fed7" PartId="bda2b09433c6492cb603366858e27fe3"/>
      <Part Type="papunktis" Nr="1.18" Abbr="1.18 pp." DocPartId="e4dbe36ce31f44d7bfe814e570e511c5" PartId="017d483e826148a382f78871db8b2a41"/>
      <Part Type="papunktis" Nr="1.19" Abbr="1.19 pp." DocPartId="75114fcf23ca4bd18eb43710a2f9b3ca" PartId="0b22df5b6c284a63af129ca8d28e42a3"/>
      <Part Type="papunktis" Nr="1.20" Abbr="1.20 pp." DocPartId="01a88fa366b74c3aa4b487e16d3f00f4" PartId="8f704f7d67c24662bd8f9f0f8a5b7399"/>
      <Part Type="papunktis" Nr="1.21" Abbr="1.21 pp." DocPartId="8aacfc405e2e4caa94174067f406be74" PartId="3125680ba4bf41fe9e7b01ceb2b6706d"/>
      <Part Type="papunktis" Nr="1.22" Abbr="1.22 pp." DocPartId="959b193bd1c1442289676ca092fdca7e" PartId="447479b1286b4134a6cf0512301c18df"/>
      <Part Type="papunktis" Nr="1.23" Abbr="1.23 pp." DocPartId="287752fd471a451598e5612257b917cc" PartId="d1674ea8c62b473e9e10e5a4da6ea2c9"/>
      <Part Type="papunktis" Nr="1.24" Abbr="1.24 pp." DocPartId="01632181b2414737b112d0dc7a16ba0c" PartId="def1e86910d74304ba05514d03416538"/>
      <Part Type="papunktis" Nr="1.25" Abbr="1.25 pp." DocPartId="85c97888b2e64fc28879852c8028429f" PartId="e5e12fadf2d84032b9d70512c9757d0d"/>
      <Part Type="papunktis" Nr="1.26" Abbr="1.26 pp." DocPartId="db0d7c0cbfa04a73b34064a489dc6356" PartId="d7b37d5cfea74992b2494a42af3e4e65"/>
      <Part Type="papunktis" Nr="1.27" Abbr="1.27 pp." DocPartId="b6b097a313ea4b499d64a9c4994d5867" PartId="57e58216922345a09cc9b42b0ceb14fc"/>
      <Part Type="papunktis" Nr="1.28" Abbr="1.28 pp." DocPartId="6b9115a8f1e64e5fa49a726b9e520a26" PartId="838a285e2db54c60a19836146ae520dd"/>
    </Part>
    <Part Type="punktas" Nr="2" Abbr="2 p." DocPartId="464fd4ca13984d64bbfb6b531f07d5f2" PartId="eb5a6894f769481d9dc9ecf6afbcb656"/>
    <Part Type="signatura" DocPartId="04b50ec601ec412ba0c7b3126390fd00" PartId="b6673ecf69a24a94b084615eb55ee7ed"/>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29FF92-850A-4EEE-81BB-864255A59B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69c057d-3413-4a41-93c5-e2d0b5207e19"/>
    <ds:schemaRef ds:uri="a9e7eb83-60b4-45b8-8e89-8fcf76822b5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490111-0C05-4E4B-8D11-1803A9106FBA}">
  <ds:schemaRefs>
    <ds:schemaRef ds:uri="http://schemas.microsoft.com/office/2006/metadata/properties"/>
    <ds:schemaRef ds:uri="http://schemas.microsoft.com/office/infopath/2007/PartnerControls"/>
    <ds:schemaRef ds:uri="b69c057d-3413-4a41-93c5-e2d0b5207e19"/>
    <ds:schemaRef ds:uri="a9e7eb83-60b4-45b8-8e89-8fcf76822b56"/>
  </ds:schemaRefs>
</ds:datastoreItem>
</file>

<file path=customXml/itemProps3.xml><?xml version="1.0" encoding="utf-8"?>
<ds:datastoreItem xmlns:ds="http://schemas.openxmlformats.org/officeDocument/2006/customXml" ds:itemID="{C20B970A-E3C7-45B4-A68D-3B3D8FDB6C75}">
  <ds:schemaRefs>
    <ds:schemaRef ds:uri="http://schemas.microsoft.com/sharepoint/v3/contenttype/forms"/>
  </ds:schemaRefs>
</ds:datastoreItem>
</file>

<file path=customXml/itemProps4.xml><?xml version="1.0" encoding="utf-8"?>
<ds:datastoreItem xmlns:ds="http://schemas.openxmlformats.org/officeDocument/2006/customXml" ds:itemID="{31C4D366-4EC2-450F-9A63-2B2DD8F541A3}">
  <ds:schemaRefs>
    <ds:schemaRef ds:uri="http://lrs.lt/TAIS/DocParts"/>
  </ds:schemaRefs>
</ds:datastoreItem>
</file>

<file path=customXml/itemProps5.xml><?xml version="1.0" encoding="utf-8"?>
<ds:datastoreItem xmlns:ds="http://schemas.openxmlformats.org/officeDocument/2006/customXml" ds:itemID="{219368CE-9AB9-48BD-9316-3CB9AACFB2A5}">
  <ds:schemaRefs>
    <ds:schemaRef ds:uri="http://schemas.openxmlformats.org/officeDocument/2006/bibliography"/>
  </ds:schemaRefs>
</ds:datastoreItem>
</file>

<file path=docMetadata/LabelInfo.xml><?xml version="1.0" encoding="utf-8"?>
<clbl:labelList xmlns:clbl="http://schemas.microsoft.com/office/2020/mipLabelMetadata">
  <clbl:label id="{7bce49ad-6e13-4667-9698-89b6274ba9f6}" enabled="0" method="" siteId="{7bce49ad-6e13-4667-9698-89b6274ba9f6}" removed="1"/>
</clbl:labelList>
</file>

<file path=docProps/app.xml><?xml version="1.0" encoding="utf-8"?>
<Properties xmlns="http://schemas.openxmlformats.org/officeDocument/2006/extended-properties" xmlns:vt="http://schemas.openxmlformats.org/officeDocument/2006/docPropsVTypes">
  <Template>Normal.dotm</Template>
  <TotalTime>2</TotalTime>
  <Pages>10</Pages>
  <Words>3443</Words>
  <Characters>25333</Characters>
  <Application>Microsoft Office Word</Application>
  <DocSecurity>0</DocSecurity>
  <Lines>211</Lines>
  <Paragraphs>57</Paragraphs>
  <ScaleCrop>false</ScaleCrop>
  <HeadingPairs>
    <vt:vector size="2" baseType="variant">
      <vt:variant>
        <vt:lpstr>Title</vt:lpstr>
      </vt:variant>
      <vt:variant>
        <vt:i4>1</vt:i4>
      </vt:variant>
    </vt:vector>
  </HeadingPairs>
  <TitlesOfParts>
    <vt:vector size="1" baseType="lpstr">
      <vt:lpstr/>
    </vt:vector>
  </TitlesOfParts>
  <Company>KPC</Company>
  <LinksUpToDate>false</LinksUpToDate>
  <CharactersWithSpaces>28719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Sabaliauskaite Roma</dc:creator>
  <cp:lastModifiedBy>GRINKEVIČIŪTĖ Agnė</cp:lastModifiedBy>
  <cp:revision>3</cp:revision>
  <cp:lastPrinted>2020-05-28T19:15:00Z</cp:lastPrinted>
  <dcterms:created xsi:type="dcterms:W3CDTF">2025-07-15T05:37:00Z</dcterms:created>
  <dcterms:modified xsi:type="dcterms:W3CDTF">2025-07-15T11:18:00Z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0x010100AC513E345ECC084B8776570EA18042D3</vt:lpwstr>
  </property>
</Properties>
</file>