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A" w:rsidRDefault="001D42AA">
      <w:pPr>
        <w:tabs>
          <w:tab w:val="center" w:pos="4819"/>
          <w:tab w:val="right" w:pos="9638"/>
        </w:tabs>
      </w:pPr>
    </w:p>
    <w:p w:rsidR="001D42AA" w:rsidRDefault="007D68DD">
      <w:pPr>
        <w:widowControl w:val="0"/>
        <w:spacing w:line="259" w:lineRule="auto"/>
        <w:jc w:val="center"/>
        <w:rPr>
          <w:b/>
          <w:color w:val="000000"/>
          <w:szCs w:val="24"/>
          <w:lang w:eastAsia="lt-LT"/>
        </w:rPr>
      </w:pPr>
      <w:r>
        <w:rPr>
          <w:noProof/>
          <w:sz w:val="22"/>
          <w:szCs w:val="24"/>
          <w:lang w:eastAsia="lt-LT"/>
        </w:rPr>
        <w:drawing>
          <wp:inline distT="0" distB="0" distL="0" distR="0" wp14:anchorId="500A2857" wp14:editId="30BA6082">
            <wp:extent cx="4667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AA" w:rsidRDefault="007D68DD">
      <w:pPr>
        <w:widowControl w:val="0"/>
        <w:spacing w:line="259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NARKOTIKŲ, TABAKO IR ALKOHOLIO KONTROLĖS DEPARTAMENTO </w:t>
      </w:r>
    </w:p>
    <w:p w:rsidR="001D42AA" w:rsidRDefault="007D68DD">
      <w:pPr>
        <w:widowControl w:val="0"/>
        <w:spacing w:line="259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DIREKTORIUS</w:t>
      </w:r>
    </w:p>
    <w:p w:rsidR="001D42AA" w:rsidRDefault="001D42AA">
      <w:pPr>
        <w:widowControl w:val="0"/>
        <w:jc w:val="center"/>
        <w:rPr>
          <w:b/>
          <w:color w:val="000000"/>
          <w:szCs w:val="24"/>
          <w:lang w:eastAsia="lt-LT"/>
        </w:rPr>
      </w:pPr>
    </w:p>
    <w:p w:rsidR="001D42AA" w:rsidRDefault="007D68DD">
      <w:pPr>
        <w:tabs>
          <w:tab w:val="left" w:pos="1755"/>
          <w:tab w:val="center" w:pos="4153"/>
          <w:tab w:val="center" w:pos="4762"/>
          <w:tab w:val="left" w:pos="7050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1D42AA" w:rsidRDefault="007D68DD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DĖL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color w:val="000000"/>
          <w:szCs w:val="24"/>
          <w:lang w:eastAsia="lt-LT"/>
        </w:rPr>
        <w:t>NARKOTIKŲ, TABAKO IR ALKOHOLIO KONTROLĖS DEPARTAMENTO</w:t>
      </w:r>
    </w:p>
    <w:p w:rsidR="001D42AA" w:rsidRDefault="007D68DD">
      <w:pPr>
        <w:jc w:val="center"/>
        <w:rPr>
          <w:b/>
          <w:caps/>
          <w:szCs w:val="24"/>
        </w:rPr>
      </w:pPr>
      <w:r>
        <w:rPr>
          <w:b/>
          <w:color w:val="000000"/>
          <w:szCs w:val="24"/>
          <w:lang w:eastAsia="lt-LT"/>
        </w:rPr>
        <w:t>DIREKTORIAUS 2018 M. GRUODŽIO 17 D. ĮSAKYMO NR. T1-163 „DĖL ŪKIO SUBJEKTŲ VEIKLOS, SUSIJUSIOS SU NARKOTINIŲ IR PSICHOTROPINIŲ MEDŽIAGŲ PIRMTAKAIS (PREKURSORIAIS) IR JURIDINIŲ ASMENŲ, VYKDANČIŲ VEIKLĄ SU Į NARKOTINIŲ IR PSICHOTROPINIŲ MEDŽIAGŲ IV SĄRAŠĄ ĮRA</w:t>
      </w:r>
      <w:r>
        <w:rPr>
          <w:b/>
          <w:color w:val="000000"/>
          <w:szCs w:val="24"/>
          <w:lang w:eastAsia="lt-LT"/>
        </w:rPr>
        <w:t xml:space="preserve">ŠYTOMIS MEDŽIAGOMIS, PATIKRINIMŲ ATLIKIMO TAISYKLIŲ PATVIRTINIMO“ </w:t>
      </w:r>
      <w:r>
        <w:rPr>
          <w:b/>
          <w:caps/>
          <w:szCs w:val="24"/>
        </w:rPr>
        <w:t>PAKEITIMO</w:t>
      </w:r>
    </w:p>
    <w:p w:rsidR="001D42AA" w:rsidRDefault="001D42AA">
      <w:pPr>
        <w:jc w:val="center"/>
        <w:rPr>
          <w:b/>
          <w:caps/>
          <w:szCs w:val="24"/>
        </w:rPr>
      </w:pPr>
    </w:p>
    <w:p w:rsidR="001D42AA" w:rsidRDefault="007D68DD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2021 m. spalio 13 d. Nr. T1-91</w:t>
      </w:r>
    </w:p>
    <w:p w:rsidR="001D42AA" w:rsidRDefault="007D68DD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:rsidR="001D42AA" w:rsidRDefault="001D42AA">
      <w:pPr>
        <w:widowControl w:val="0"/>
        <w:jc w:val="center"/>
        <w:rPr>
          <w:color w:val="000000"/>
          <w:szCs w:val="24"/>
          <w:lang w:eastAsia="lt-LT"/>
        </w:rPr>
      </w:pPr>
    </w:p>
    <w:p w:rsidR="001D42AA" w:rsidRDefault="001D42AA">
      <w:pPr>
        <w:widowControl w:val="0"/>
        <w:jc w:val="center"/>
        <w:rPr>
          <w:color w:val="000000"/>
          <w:szCs w:val="24"/>
          <w:lang w:eastAsia="lt-LT"/>
        </w:rPr>
      </w:pP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P a k e i č i u Ūkio subjektų veiklos, susijusios su narkotinių ir psichotropinių medžiagų pirmtakais (</w:t>
      </w:r>
      <w:proofErr w:type="spellStart"/>
      <w:r>
        <w:rPr>
          <w:color w:val="000000"/>
          <w:szCs w:val="24"/>
        </w:rPr>
        <w:t>prekursoriais</w:t>
      </w:r>
      <w:proofErr w:type="spellEnd"/>
      <w:r>
        <w:rPr>
          <w:color w:val="000000"/>
          <w:szCs w:val="24"/>
        </w:rPr>
        <w:t>) ir juridinių asmenų,</w:t>
      </w:r>
      <w:r>
        <w:rPr>
          <w:color w:val="000000"/>
          <w:szCs w:val="24"/>
        </w:rPr>
        <w:t xml:space="preserve"> vykdančių veiklą su į narkotinių ir psichotropinių medžiagų IV sąrašą įrašytomis medžiagomis, patikrinimų atlikimo taisykles, patvirtintas Narkotikų, tabako ir alkoholio kontrolės departamento direktoriaus 2018 m. gruodžio 17 d. įsakymu Nr. T1-163 „Dėl Ūk</w:t>
      </w:r>
      <w:r>
        <w:rPr>
          <w:color w:val="000000"/>
          <w:szCs w:val="24"/>
        </w:rPr>
        <w:t>io subjektų veiklos, susijusios su narkotinių ir psichotropinių medžiagų pirmtakais (</w:t>
      </w:r>
      <w:proofErr w:type="spellStart"/>
      <w:r>
        <w:rPr>
          <w:color w:val="000000"/>
          <w:szCs w:val="24"/>
        </w:rPr>
        <w:t>prekursoriais</w:t>
      </w:r>
      <w:proofErr w:type="spellEnd"/>
      <w:r>
        <w:rPr>
          <w:color w:val="000000"/>
          <w:szCs w:val="24"/>
        </w:rPr>
        <w:t>) ir juridinių asmenų, vykdančių veiklą su į narkotinių ir psichotropinių medžiagų IV sąrašą įrašytomis medžiagomis, patikrinimų atlikimo taisyklių patvirtini</w:t>
      </w:r>
      <w:r>
        <w:rPr>
          <w:color w:val="000000"/>
          <w:szCs w:val="24"/>
        </w:rPr>
        <w:t>mo“: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>. Pakeičiu 17 punktą ir išdėstau jį taip: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17</w:t>
      </w:r>
      <w:r>
        <w:rPr>
          <w:bCs/>
          <w:color w:val="000000"/>
          <w:szCs w:val="24"/>
        </w:rPr>
        <w:t>. Planinių ir neplaninių patikrinimų metu pildomi Direktoriaus įsakymu patvirtinti kontroliniai klausimynai.“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>. Pakeičiu 21 punktą ir išdėstau jį taip: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21</w:t>
      </w:r>
      <w:r>
        <w:rPr>
          <w:bCs/>
          <w:color w:val="000000"/>
          <w:szCs w:val="24"/>
        </w:rPr>
        <w:t xml:space="preserve">. </w:t>
      </w:r>
      <w:proofErr w:type="spellStart"/>
      <w:r>
        <w:rPr>
          <w:bCs/>
          <w:color w:val="000000"/>
          <w:szCs w:val="24"/>
        </w:rPr>
        <w:t>Prekursorių</w:t>
      </w:r>
      <w:proofErr w:type="spellEnd"/>
      <w:r>
        <w:rPr>
          <w:bCs/>
          <w:color w:val="000000"/>
          <w:szCs w:val="24"/>
        </w:rPr>
        <w:t xml:space="preserve"> metinis patikrinimų</w:t>
      </w:r>
      <w:r>
        <w:rPr>
          <w:bCs/>
          <w:color w:val="000000"/>
          <w:szCs w:val="24"/>
        </w:rPr>
        <w:t xml:space="preserve"> planas sudaromas vadovaujantis rizikos vertinimo kriterijais, nurodytais Departamento direktoriaus įsakymu patvirtintoje subjektų veiklos, susijusios su narkotinių ir psichotropinių medžiagų</w:t>
      </w:r>
      <w:bookmarkStart w:id="0" w:name="_GoBack"/>
      <w:bookmarkEnd w:id="0"/>
      <w:r>
        <w:rPr>
          <w:bCs/>
          <w:color w:val="000000"/>
          <w:szCs w:val="24"/>
        </w:rPr>
        <w:t xml:space="preserve"> pirmtakais (</w:t>
      </w:r>
      <w:proofErr w:type="spellStart"/>
      <w:r>
        <w:rPr>
          <w:bCs/>
          <w:color w:val="000000"/>
          <w:szCs w:val="24"/>
        </w:rPr>
        <w:t>prekursoriais</w:t>
      </w:r>
      <w:proofErr w:type="spellEnd"/>
      <w:r>
        <w:rPr>
          <w:bCs/>
          <w:color w:val="000000"/>
          <w:szCs w:val="24"/>
        </w:rPr>
        <w:t>), vertinimo pagal rizikos kriterijus m</w:t>
      </w:r>
      <w:r>
        <w:rPr>
          <w:bCs/>
          <w:color w:val="000000"/>
          <w:szCs w:val="24"/>
        </w:rPr>
        <w:t>etodikoje bei vadovaujantis subjektų priskyrimu atitinkamai grupei: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21.1</w:t>
      </w:r>
      <w:r>
        <w:rPr>
          <w:bCs/>
          <w:color w:val="000000"/>
          <w:szCs w:val="24"/>
        </w:rPr>
        <w:t>. subjektai, priklausantys didelės rizikos grupei, sudaro ne mažiau 40 proc. nuo visų tikrinamų subjektų skaičiaus;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21.2</w:t>
      </w:r>
      <w:r>
        <w:rPr>
          <w:bCs/>
          <w:color w:val="000000"/>
          <w:szCs w:val="24"/>
        </w:rPr>
        <w:t xml:space="preserve">. subjektai, priklausantys vidutinės rizikos grupei, </w:t>
      </w:r>
      <w:r>
        <w:rPr>
          <w:bCs/>
          <w:color w:val="000000"/>
          <w:szCs w:val="24"/>
        </w:rPr>
        <w:t>sudaro iki 30 proc. nuo visų tikrinamų subjektų skaičiaus;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21.3</w:t>
      </w:r>
      <w:r>
        <w:rPr>
          <w:bCs/>
          <w:color w:val="000000"/>
          <w:szCs w:val="24"/>
        </w:rPr>
        <w:t>. subjektai, priklausantys mažos rizikos grupei, sudaro iki 10 proc. nuo visų tikrinamų subjektų skaičiaus;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21.4</w:t>
      </w:r>
      <w:r>
        <w:rPr>
          <w:bCs/>
          <w:color w:val="000000"/>
          <w:szCs w:val="24"/>
        </w:rPr>
        <w:t>. subjektai, kurie atitinka „Verslo naujoko“ statusą, sudaro iki 10 proc.</w:t>
      </w:r>
      <w:r>
        <w:rPr>
          <w:bCs/>
          <w:color w:val="000000"/>
          <w:szCs w:val="24"/>
        </w:rPr>
        <w:t xml:space="preserve"> nuo visų tikrinamų subjektų skaičiaus.“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  <w:r>
        <w:rPr>
          <w:bCs/>
          <w:color w:val="000000"/>
          <w:szCs w:val="24"/>
        </w:rPr>
        <w:t>. Pakeičiu 43.3 papunktį ir išdėstau jį taip: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43.3</w:t>
      </w:r>
      <w:r>
        <w:rPr>
          <w:bCs/>
          <w:color w:val="000000"/>
          <w:szCs w:val="24"/>
        </w:rPr>
        <w:t xml:space="preserve">. gavus skundą, kuriame yra nurodyti pranešėjo duomenys, arba anoniminį skundą dėl konkretaus subjekto veiksmų ar neveikimo, kai įvertinus turimą </w:t>
      </w:r>
      <w:r>
        <w:rPr>
          <w:bCs/>
          <w:color w:val="000000"/>
          <w:szCs w:val="24"/>
        </w:rPr>
        <w:t>informaciją kyla įtarimų, kad subjekto veikla gali kelti grėsmę teisės normų saugomoms vertybėms</w:t>
      </w:r>
      <w:r>
        <w:t xml:space="preserve"> </w:t>
      </w:r>
      <w:r>
        <w:rPr>
          <w:bCs/>
          <w:color w:val="000000"/>
          <w:szCs w:val="24"/>
        </w:rPr>
        <w:t xml:space="preserve">arba gavus kitos informacijos bei kilus </w:t>
      </w:r>
      <w:r>
        <w:rPr>
          <w:bCs/>
          <w:color w:val="000000"/>
          <w:szCs w:val="24"/>
        </w:rPr>
        <w:lastRenderedPageBreak/>
        <w:t>pagrįstų įtarimų dėl subjekto vykdomos veiklos: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43.3.1</w:t>
      </w:r>
      <w:r>
        <w:rPr>
          <w:bCs/>
          <w:color w:val="000000"/>
          <w:szCs w:val="24"/>
        </w:rPr>
        <w:t>. Departamento valstybės tarnautojas įvertina ne vien tik skund</w:t>
      </w:r>
      <w:r>
        <w:rPr>
          <w:bCs/>
          <w:color w:val="000000"/>
          <w:szCs w:val="24"/>
        </w:rPr>
        <w:t>o atitiktį administraciniams reikalavimams, pateiktos informacijos pakankamumą, bet imasi vertinti ir skundo pagrįstumą. Departamento valstybės tarnautojas kompleksiškai įvertinęs dėl skunde nurodyto subjekto pateiktas faktines aplinkybes, galimo pažeidimo</w:t>
      </w:r>
      <w:r>
        <w:rPr>
          <w:bCs/>
          <w:color w:val="000000"/>
          <w:szCs w:val="24"/>
        </w:rPr>
        <w:t xml:space="preserve"> pobūdį, sukeliamos žalos mastą ir tokios žalos pasireiškimo tikimybę, priima sprendimą dėl neplaninio patikrinimo poreikio ar kitų priežiūros priemonių taikymo, kurios būtų alternatyva neplaniniam patikrinimui bei proporcingos ir racionalios galimo teisės</w:t>
      </w:r>
      <w:r>
        <w:rPr>
          <w:bCs/>
          <w:color w:val="000000"/>
          <w:szCs w:val="24"/>
        </w:rPr>
        <w:t xml:space="preserve"> akto pažeidimo tyrimui: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43.3.1.1</w:t>
      </w:r>
      <w:r>
        <w:rPr>
          <w:bCs/>
          <w:color w:val="000000"/>
          <w:szCs w:val="24"/>
        </w:rPr>
        <w:t>. paankstinamas kitas planinis subjekto veiklos patikrinimas;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43.3.1.2</w:t>
      </w:r>
      <w:r>
        <w:rPr>
          <w:bCs/>
          <w:color w:val="000000"/>
          <w:szCs w:val="24"/>
        </w:rPr>
        <w:t>. išsiunčiamas subjektui laiškas, informuojantis (primenantis) apie reikalavimus, dėl kurių laikymosi kyla abejonių;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43.3.1.3</w:t>
      </w:r>
      <w:r>
        <w:rPr>
          <w:bCs/>
          <w:color w:val="000000"/>
          <w:szCs w:val="24"/>
        </w:rPr>
        <w:t>. subjektui teikia</w:t>
      </w:r>
      <w:r>
        <w:rPr>
          <w:bCs/>
          <w:color w:val="000000"/>
          <w:szCs w:val="24"/>
        </w:rPr>
        <w:t>mos individualios konsultacijos ir (ar) mokymai dėl veiklos tobulinimo;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43.3.2</w:t>
      </w:r>
      <w:r>
        <w:rPr>
          <w:bCs/>
          <w:color w:val="000000"/>
          <w:szCs w:val="24"/>
        </w:rPr>
        <w:t>. Departamento valstybės tarnautojas vertinant skundą vadovaujasi proporcingumo, teisingumo principais ir įvertina ne tik galimą žalą, kuri galimai kiltų valstybei neatliku</w:t>
      </w:r>
      <w:r>
        <w:rPr>
          <w:bCs/>
          <w:color w:val="000000"/>
          <w:szCs w:val="24"/>
        </w:rPr>
        <w:t>s patikrinimo, bet vertina ir galimai padidėsiančią administracinę naštą subjektams jei būtų atliktas patikrinimas nepriklausant nuo to ar skundas pasitvirtina.“</w:t>
      </w:r>
    </w:p>
    <w:p w:rsidR="001D42AA" w:rsidRDefault="007D68DD">
      <w:pPr>
        <w:widowControl w:val="0"/>
        <w:ind w:firstLine="62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</w:t>
      </w:r>
      <w:r>
        <w:rPr>
          <w:bCs/>
          <w:color w:val="000000"/>
          <w:szCs w:val="24"/>
        </w:rPr>
        <w:t>. N u r o d a u šį įsakymą paskelbti Teisės aktų registre.</w:t>
      </w:r>
    </w:p>
    <w:p w:rsidR="001D42AA" w:rsidRDefault="007D68DD" w:rsidP="007D68DD">
      <w:pPr>
        <w:widowControl w:val="0"/>
        <w:ind w:firstLine="629"/>
        <w:jc w:val="both"/>
      </w:pPr>
      <w:r>
        <w:rPr>
          <w:bCs/>
          <w:color w:val="000000"/>
          <w:szCs w:val="24"/>
        </w:rPr>
        <w:t>5</w:t>
      </w:r>
      <w:r>
        <w:rPr>
          <w:bCs/>
          <w:color w:val="000000"/>
          <w:szCs w:val="24"/>
        </w:rPr>
        <w:t>. Įsakymas įsigalio</w:t>
      </w:r>
      <w:r>
        <w:rPr>
          <w:bCs/>
          <w:color w:val="000000"/>
          <w:szCs w:val="24"/>
        </w:rPr>
        <w:t>ja nuo paskelbimo Teisės aktų registre dienos.</w:t>
      </w:r>
    </w:p>
    <w:p w:rsidR="007D68DD" w:rsidRDefault="007D68DD"/>
    <w:p w:rsidR="007D68DD" w:rsidRDefault="007D68DD"/>
    <w:p w:rsidR="007D68DD" w:rsidRDefault="007D68DD"/>
    <w:p w:rsidR="001D42AA" w:rsidRDefault="007D68DD">
      <w:r>
        <w:t>Direktoriaus pavaduotoja,</w:t>
      </w:r>
    </w:p>
    <w:p w:rsidR="001D42AA" w:rsidRDefault="007D68DD">
      <w:r>
        <w:t xml:space="preserve">pavaduojanti direktorių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Gražina </w:t>
      </w:r>
      <w:proofErr w:type="spellStart"/>
      <w:r>
        <w:t>Belian</w:t>
      </w:r>
      <w:proofErr w:type="spellEnd"/>
    </w:p>
    <w:p w:rsidR="001D42AA" w:rsidRDefault="007D68DD"/>
    <w:sectPr w:rsidR="001D42AA" w:rsidSect="007D6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AA" w:rsidRDefault="007D68DD">
      <w:r>
        <w:separator/>
      </w:r>
    </w:p>
  </w:endnote>
  <w:endnote w:type="continuationSeparator" w:id="0">
    <w:p w:rsidR="001D42AA" w:rsidRDefault="007D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A" w:rsidRDefault="001D42A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A" w:rsidRDefault="001D42A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A" w:rsidRDefault="001D42A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AA" w:rsidRDefault="007D68DD">
      <w:r>
        <w:separator/>
      </w:r>
    </w:p>
  </w:footnote>
  <w:footnote w:type="continuationSeparator" w:id="0">
    <w:p w:rsidR="001D42AA" w:rsidRDefault="007D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A" w:rsidRDefault="001D42AA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A" w:rsidRDefault="007D68DD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D42AA" w:rsidRDefault="001D42AA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A" w:rsidRDefault="001D42AA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A8"/>
    <w:rsid w:val="001D42AA"/>
    <w:rsid w:val="007D68DD"/>
    <w:rsid w:val="00E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Seimo kanceliarija</Company>
  <LinksUpToDate>false</LinksUpToDate>
  <CharactersWithSpaces>4090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2021-10-13T07:16:00Z</dcterms:created>
  <dc:creator>Mantas Varna</dc:creator>
  <lastModifiedBy>DRAZDAUSKIENĖ Nijolė</lastModifiedBy>
  <lastPrinted>2021-10-04T06:13:00Z</lastPrinted>
  <dcterms:modified xsi:type="dcterms:W3CDTF">2021-10-13T07:19:00Z</dcterms:modified>
  <revision>3</revision>
</coreProperties>
</file>