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d391d989ce49d9a7a83369a2eeaada"/>
        <w:id w:val="-1894110274"/>
        <w:lock w:val="sdtLocked"/>
      </w:sdtPr>
      <w:sdtEndPr/>
      <w:sdtContent>
        <w:p w:rsidR="008C4EDA" w:rsidRDefault="008C4EDA">
          <w:pPr>
            <w:tabs>
              <w:tab w:val="center" w:pos="4153"/>
              <w:tab w:val="right" w:pos="8306"/>
            </w:tabs>
            <w:rPr>
              <w:rFonts w:ascii="TimesLT" w:hAnsi="TimesLT"/>
              <w:lang w:val="en-US"/>
            </w:rPr>
          </w:pPr>
        </w:p>
        <w:p w:rsidR="008C4EDA" w:rsidRDefault="00F5364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C4EDA" w:rsidRDefault="008C4EDA">
          <w:pPr>
            <w:jc w:val="center"/>
            <w:rPr>
              <w:caps/>
              <w:sz w:val="12"/>
              <w:szCs w:val="12"/>
            </w:rPr>
          </w:pPr>
        </w:p>
        <w:p w:rsidR="008C4EDA" w:rsidRDefault="00F5364F">
          <w:pPr>
            <w:jc w:val="center"/>
            <w:rPr>
              <w:b/>
              <w:bCs/>
              <w:caps/>
            </w:rPr>
          </w:pPr>
          <w:r>
            <w:rPr>
              <w:b/>
              <w:bCs/>
              <w:caps/>
            </w:rPr>
            <w:t>LIETUVOS RESPUBLIKOS</w:t>
          </w:r>
        </w:p>
        <w:p w:rsidR="008C4EDA" w:rsidRDefault="00F5364F">
          <w:pPr>
            <w:jc w:val="center"/>
            <w:rPr>
              <w:b/>
              <w:caps/>
            </w:rPr>
          </w:pPr>
          <w:r>
            <w:rPr>
              <w:b/>
              <w:caps/>
            </w:rPr>
            <w:t>MOKĖJIMŲ ĮSTATYMO NR. VIII-1370 9, 81 STRAIPSNIŲ IR PRIEDO PAKEITIMO IR ĮSTATYMO PAPILDYMO 9</w:t>
          </w:r>
          <w:r>
            <w:rPr>
              <w:b/>
              <w:caps/>
              <w:vertAlign w:val="superscript"/>
            </w:rPr>
            <w:t>1</w:t>
          </w:r>
          <w:r>
            <w:rPr>
              <w:b/>
              <w:caps/>
            </w:rPr>
            <w:t xml:space="preserve"> STRAIPSNIU</w:t>
          </w:r>
        </w:p>
        <w:p w:rsidR="008C4EDA" w:rsidRDefault="00F5364F">
          <w:pPr>
            <w:jc w:val="center"/>
            <w:rPr>
              <w:caps/>
            </w:rPr>
          </w:pPr>
          <w:r>
            <w:rPr>
              <w:b/>
              <w:caps/>
            </w:rPr>
            <w:t>ĮSTATYMAS</w:t>
          </w:r>
        </w:p>
        <w:p w:rsidR="008C4EDA" w:rsidRDefault="008C4EDA">
          <w:pPr>
            <w:jc w:val="center"/>
            <w:rPr>
              <w:b/>
              <w:caps/>
            </w:rPr>
          </w:pPr>
        </w:p>
        <w:p w:rsidR="008C4EDA" w:rsidRDefault="00F5364F">
          <w:pPr>
            <w:jc w:val="center"/>
            <w:rPr>
              <w:szCs w:val="24"/>
            </w:rPr>
          </w:pPr>
          <w:r>
            <w:rPr>
              <w:szCs w:val="24"/>
              <w:lang w:val="en-US"/>
            </w:rPr>
            <w:t>2024</w:t>
          </w:r>
          <w:r>
            <w:rPr>
              <w:szCs w:val="24"/>
            </w:rPr>
            <w:t xml:space="preserve"> m. </w:t>
          </w:r>
          <w:proofErr w:type="spellStart"/>
          <w:r>
            <w:rPr>
              <w:szCs w:val="24"/>
              <w:lang w:val="en-US"/>
            </w:rPr>
            <w:t>lapkričio</w:t>
          </w:r>
          <w:proofErr w:type="spellEnd"/>
          <w:r>
            <w:rPr>
              <w:szCs w:val="24"/>
            </w:rPr>
            <w:t xml:space="preserve"> </w:t>
          </w:r>
          <w:r>
            <w:rPr>
              <w:szCs w:val="24"/>
              <w:lang w:val="en-US"/>
            </w:rPr>
            <w:t>12</w:t>
          </w:r>
          <w:r>
            <w:rPr>
              <w:szCs w:val="24"/>
            </w:rPr>
            <w:t xml:space="preserve"> d. Nr. </w:t>
          </w:r>
          <w:r>
            <w:rPr>
              <w:szCs w:val="24"/>
              <w:lang w:val="en-US"/>
            </w:rPr>
            <w:t>XIV-3094</w:t>
          </w:r>
        </w:p>
        <w:p w:rsidR="008C4EDA" w:rsidRDefault="00F5364F">
          <w:pPr>
            <w:jc w:val="center"/>
            <w:rPr>
              <w:szCs w:val="24"/>
            </w:rPr>
          </w:pPr>
          <w:r>
            <w:rPr>
              <w:szCs w:val="24"/>
            </w:rPr>
            <w:t>Vilnius</w:t>
          </w:r>
        </w:p>
        <w:p w:rsidR="008C4EDA" w:rsidRDefault="008C4EDA">
          <w:pPr>
            <w:jc w:val="center"/>
            <w:rPr>
              <w:sz w:val="22"/>
            </w:rPr>
          </w:pPr>
        </w:p>
        <w:p w:rsidR="008C4EDA" w:rsidRDefault="008C4EDA">
          <w:pPr>
            <w:spacing w:line="360" w:lineRule="auto"/>
            <w:ind w:firstLine="720"/>
            <w:jc w:val="both"/>
            <w:rPr>
              <w:sz w:val="16"/>
              <w:szCs w:val="16"/>
            </w:rPr>
          </w:pPr>
        </w:p>
        <w:p w:rsidR="008C4EDA" w:rsidRDefault="008C4EDA">
          <w:pPr>
            <w:spacing w:line="360" w:lineRule="auto"/>
            <w:ind w:firstLine="720"/>
            <w:jc w:val="both"/>
            <w:sectPr w:rsidR="008C4ED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8C4EDA" w:rsidRDefault="008C4EDA">
          <w:pPr>
            <w:tabs>
              <w:tab w:val="center" w:pos="4153"/>
              <w:tab w:val="right" w:pos="8306"/>
            </w:tabs>
            <w:rPr>
              <w:rFonts w:ascii="TimesLT" w:hAnsi="TimesLT"/>
              <w:lang w:val="en-US"/>
            </w:rPr>
          </w:pPr>
        </w:p>
        <w:sdt>
          <w:sdtPr>
            <w:alias w:val="1 str."/>
            <w:tag w:val="part_55c844ddf22d433d866ab52d66ca99bf"/>
            <w:id w:val="-815803843"/>
            <w:lock w:val="sdtLocked"/>
          </w:sdtPr>
          <w:sdtEndPr/>
          <w:sdtContent>
            <w:p w:rsidR="008C4EDA" w:rsidRDefault="00F5364F">
              <w:pPr>
                <w:spacing w:line="360" w:lineRule="auto"/>
                <w:ind w:firstLine="720"/>
                <w:jc w:val="both"/>
                <w:rPr>
                  <w:b/>
                  <w:bCs/>
                  <w:szCs w:val="24"/>
                </w:rPr>
              </w:pPr>
              <w:sdt>
                <w:sdtPr>
                  <w:alias w:val="Numeris"/>
                  <w:tag w:val="nr_55c844ddf22d433d866ab52d66ca99bf"/>
                  <w:id w:val="1157035590"/>
                  <w:lock w:val="sdtLocked"/>
                </w:sdtPr>
                <w:sdtEndPr/>
                <w:sdtContent>
                  <w:r>
                    <w:rPr>
                      <w:b/>
                      <w:bCs/>
                      <w:szCs w:val="24"/>
                    </w:rPr>
                    <w:t>1</w:t>
                  </w:r>
                </w:sdtContent>
              </w:sdt>
              <w:r>
                <w:rPr>
                  <w:b/>
                  <w:bCs/>
                  <w:szCs w:val="24"/>
                </w:rPr>
                <w:t xml:space="preserve"> straipsnis. </w:t>
              </w:r>
              <w:sdt>
                <w:sdtPr>
                  <w:alias w:val="Pavadinimas"/>
                  <w:tag w:val="title_55c844ddf22d433d866ab52d66ca99bf"/>
                  <w:id w:val="1079641529"/>
                  <w:lock w:val="sdtLocked"/>
                </w:sdtPr>
                <w:sdtEndPr/>
                <w:sdtContent>
                  <w:r>
                    <w:rPr>
                      <w:b/>
                      <w:bCs/>
                      <w:szCs w:val="24"/>
                    </w:rPr>
                    <w:t>9 straipsnio pakeitimas</w:t>
                  </w:r>
                </w:sdtContent>
              </w:sdt>
            </w:p>
            <w:sdt>
              <w:sdtPr>
                <w:alias w:val="1 str. 1 d."/>
                <w:tag w:val="part_4dcb2396f4d04a89ba10f7692b93497b"/>
                <w:id w:val="2038535422"/>
                <w:lock w:val="sdtLocked"/>
              </w:sdtPr>
              <w:sdtEndPr/>
              <w:sdtContent>
                <w:p w:rsidR="008C4EDA" w:rsidRDefault="00F5364F">
                  <w:pPr>
                    <w:spacing w:line="360" w:lineRule="auto"/>
                    <w:ind w:firstLine="720"/>
                    <w:jc w:val="both"/>
                  </w:pPr>
                  <w:sdt>
                    <w:sdtPr>
                      <w:alias w:val="Numeris"/>
                      <w:tag w:val="nr_4dcb2396f4d04a89ba10f7692b93497b"/>
                      <w:id w:val="-1007443423"/>
                      <w:lock w:val="sdtLocked"/>
                    </w:sdtPr>
                    <w:sdtEndPr/>
                    <w:sdtContent>
                      <w:r>
                        <w:t>1</w:t>
                      </w:r>
                    </w:sdtContent>
                  </w:sdt>
                  <w:r>
                    <w:t>. Pakeisti 9  straipsnio 4  dalį ir ją išdėstyti taip:</w:t>
                  </w:r>
                </w:p>
                <w:sdt>
                  <w:sdtPr>
                    <w:alias w:val="citata"/>
                    <w:tag w:val="part_9ab5c3e7c461414da0c4f4a8502916ee"/>
                    <w:id w:val="-1453402996"/>
                    <w:lock w:val="sdtLocked"/>
                  </w:sdtPr>
                  <w:sdtEndPr/>
                  <w:sdtContent>
                    <w:sdt>
                      <w:sdtPr>
                        <w:alias w:val="4 d."/>
                        <w:tag w:val="part_f7da10a556ba44d8af1593d3b3837e80"/>
                        <w:id w:val="1397935832"/>
                        <w:lock w:val="sdtLocked"/>
                      </w:sdtPr>
                      <w:sdtEndPr/>
                      <w:sdtContent>
                        <w:p w:rsidR="008C4EDA" w:rsidRDefault="00F5364F">
                          <w:pPr>
                            <w:tabs>
                              <w:tab w:val="left" w:pos="533"/>
                            </w:tabs>
                            <w:spacing w:line="360" w:lineRule="auto"/>
                            <w:ind w:firstLine="720"/>
                            <w:jc w:val="both"/>
                            <w:rPr>
                              <w:rFonts w:eastAsia="Calibri"/>
                              <w:strike/>
                              <w:szCs w:val="24"/>
                            </w:rPr>
                          </w:pPr>
                          <w:r>
                            <w:rPr>
                              <w:rFonts w:eastAsia="Calibri"/>
                              <w:szCs w:val="24"/>
                            </w:rPr>
                            <w:t>„</w:t>
                          </w:r>
                          <w:sdt>
                            <w:sdtPr>
                              <w:alias w:val="Numeris"/>
                              <w:tag w:val="nr_f7da10a556ba44d8af1593d3b3837e80"/>
                              <w:id w:val="951974360"/>
                              <w:lock w:val="sdtLocked"/>
                            </w:sdtPr>
                            <w:sdtEndPr/>
                            <w:sdtContent>
                              <w:r>
                                <w:rPr>
                                  <w:rFonts w:eastAsia="Calibri"/>
                                  <w:szCs w:val="24"/>
                                </w:rPr>
                                <w:t>4</w:t>
                              </w:r>
                            </w:sdtContent>
                          </w:sdt>
                          <w:r>
                            <w:rPr>
                              <w:rFonts w:eastAsia="Calibri"/>
                              <w:szCs w:val="24"/>
                            </w:rPr>
                            <w:t>. Šio straipsnio 1, 2 ir 3 dalys netaikomos mokėjimo sistemoms, kuriose dalyvauja tik mokėjimo</w:t>
                          </w:r>
                          <w:r>
                            <w:rPr>
                              <w:rFonts w:eastAsia="Calibri"/>
                              <w:szCs w:val="24"/>
                            </w:rPr>
                            <w:t xml:space="preserve"> paslaugų teikėjai, priklausantys įmonių grupei. Šio straipsnio 3 dalis netaikoma Lietuvos Respublikos atsiskaitymų baigtinumo mokėjimo ir vertybinių popierių atsiskaitymo sistemose įstatyme (toliau – Atsiskaitymų baigtinumo įstatymas) nustatytoms mokėjimo</w:t>
                          </w:r>
                          <w:r>
                            <w:rPr>
                              <w:rFonts w:eastAsia="Calibri"/>
                              <w:szCs w:val="24"/>
                            </w:rPr>
                            <w:t xml:space="preserve"> sistemoms.“</w:t>
                          </w:r>
                        </w:p>
                      </w:sdtContent>
                    </w:sdt>
                  </w:sdtContent>
                </w:sdt>
              </w:sdtContent>
            </w:sdt>
            <w:sdt>
              <w:sdtPr>
                <w:alias w:val="1 str. 2 d."/>
                <w:tag w:val="part_dc67097516594e648e37fc5b33335503"/>
                <w:id w:val="-976374564"/>
                <w:lock w:val="sdtLocked"/>
              </w:sdtPr>
              <w:sdtEndPr/>
              <w:sdtContent>
                <w:p w:rsidR="008C4EDA" w:rsidRDefault="00F5364F">
                  <w:pPr>
                    <w:spacing w:line="360" w:lineRule="auto"/>
                    <w:ind w:firstLine="720"/>
                    <w:jc w:val="both"/>
                  </w:pPr>
                  <w:sdt>
                    <w:sdtPr>
                      <w:alias w:val="Numeris"/>
                      <w:tag w:val="nr_dc67097516594e648e37fc5b33335503"/>
                      <w:id w:val="811133097"/>
                      <w:lock w:val="sdtLocked"/>
                    </w:sdtPr>
                    <w:sdtEndPr/>
                    <w:sdtContent>
                      <w:r>
                        <w:t>2</w:t>
                      </w:r>
                    </w:sdtContent>
                  </w:sdt>
                  <w:r>
                    <w:t>. Pakeisti 9 straipsnio 5  dalį ir ją išdėstyti taip:</w:t>
                  </w:r>
                </w:p>
                <w:sdt>
                  <w:sdtPr>
                    <w:alias w:val="citata"/>
                    <w:tag w:val="part_4cc32d69b00646f7ab01ffb489f9736b"/>
                    <w:id w:val="1777053265"/>
                    <w:lock w:val="sdtLocked"/>
                  </w:sdtPr>
                  <w:sdtEndPr/>
                  <w:sdtContent>
                    <w:sdt>
                      <w:sdtPr>
                        <w:alias w:val="5 d."/>
                        <w:tag w:val="part_e6c7611c5dc2496dbf65288a76d68088"/>
                        <w:id w:val="826860619"/>
                        <w:lock w:val="sdtLocked"/>
                      </w:sdtPr>
                      <w:sdtEndPr/>
                      <w:sdtContent>
                        <w:p w:rsidR="008C4EDA" w:rsidRDefault="00F5364F">
                          <w:pPr>
                            <w:tabs>
                              <w:tab w:val="left" w:pos="533"/>
                            </w:tabs>
                            <w:spacing w:line="360" w:lineRule="auto"/>
                            <w:ind w:firstLine="720"/>
                            <w:jc w:val="both"/>
                            <w:rPr>
                              <w:rFonts w:eastAsia="Calibri"/>
                              <w:b/>
                              <w:szCs w:val="24"/>
                            </w:rPr>
                          </w:pPr>
                          <w:r>
                            <w:rPr>
                              <w:rFonts w:eastAsia="Calibri"/>
                              <w:szCs w:val="24"/>
                            </w:rPr>
                            <w:t>„</w:t>
                          </w:r>
                          <w:sdt>
                            <w:sdtPr>
                              <w:alias w:val="Numeris"/>
                              <w:tag w:val="nr_e6c7611c5dc2496dbf65288a76d68088"/>
                              <w:id w:val="-159313612"/>
                              <w:lock w:val="sdtLocked"/>
                            </w:sdtPr>
                            <w:sdtEndPr/>
                            <w:sdtContent>
                              <w:r>
                                <w:rPr>
                                  <w:rFonts w:eastAsia="Calibri"/>
                                  <w:szCs w:val="24"/>
                                </w:rPr>
                                <w:t>5</w:t>
                              </w:r>
                            </w:sdtContent>
                          </w:sdt>
                          <w:r>
                            <w:rPr>
                              <w:rFonts w:eastAsia="Calibri"/>
                              <w:szCs w:val="24"/>
                            </w:rPr>
                            <w:t xml:space="preserve">. Tuo atveju, kai </w:t>
                          </w:r>
                          <w:r>
                            <w:rPr>
                              <w:rFonts w:eastAsia="Calibri"/>
                              <w:bCs/>
                              <w:szCs w:val="24"/>
                            </w:rPr>
                            <w:t>Atsiskaitymų baigtinumo įstatyme nustatytos mokėjimo sistemos dalyvis leidžia veiklos licenciją turinčiam mokėjimo paslaugų teikėjui, kuris nedalyvauja sistem</w:t>
                          </w:r>
                          <w:r>
                            <w:rPr>
                              <w:rFonts w:eastAsia="Calibri"/>
                              <w:bCs/>
                              <w:szCs w:val="24"/>
                            </w:rPr>
                            <w:t>oje</w:t>
                          </w:r>
                          <w:r>
                            <w:rPr>
                              <w:rFonts w:eastAsia="Calibri"/>
                              <w:szCs w:val="24"/>
                            </w:rPr>
                            <w:t>, perduoti pervedimo nurodymus per sistemą, tas dalyvis kitų veiklos licenciją turinčių mokėjimo paslaugų teikėjų prašymu, laikydamasis objektyvumo, proporcingumo ir nediskriminavimo reikalavimų, nurodytų šio straipsnio 1 ir 2 dalyse, turi jiems suteikt</w:t>
                          </w:r>
                          <w:r>
                            <w:rPr>
                              <w:rFonts w:eastAsia="Calibri"/>
                              <w:szCs w:val="24"/>
                            </w:rPr>
                            <w:t>i tokią pačią galimybę. Kai sistemos dalyvis atsisako prašančiajam mokėjimo paslaugų teikėjui suteikti galimybę perduoti pervedimo nurodymus per sistemą, jis prašančiajam mokėjimo paslaugų teikėjui turi visiškai atskleisti atsisakymo priežastis.“</w:t>
                          </w:r>
                        </w:p>
                        <w:p w:rsidR="008C4EDA" w:rsidRDefault="00F5364F">
                          <w:pPr>
                            <w:tabs>
                              <w:tab w:val="left" w:pos="533"/>
                            </w:tabs>
                            <w:spacing w:line="360" w:lineRule="auto"/>
                            <w:ind w:firstLine="720"/>
                            <w:jc w:val="both"/>
                            <w:rPr>
                              <w:rFonts w:eastAsia="Calibri"/>
                              <w:szCs w:val="24"/>
                            </w:rPr>
                          </w:pPr>
                        </w:p>
                      </w:sdtContent>
                    </w:sdt>
                  </w:sdtContent>
                </w:sdt>
              </w:sdtContent>
            </w:sdt>
          </w:sdtContent>
        </w:sdt>
        <w:sdt>
          <w:sdtPr>
            <w:alias w:val="2 str."/>
            <w:tag w:val="part_ca7296d814bc4ca689a804988cc7d4e8"/>
            <w:id w:val="867565085"/>
            <w:lock w:val="sdtLocked"/>
          </w:sdtPr>
          <w:sdtEndPr/>
          <w:sdtContent>
            <w:p w:rsidR="008C4EDA" w:rsidRDefault="00F5364F">
              <w:pPr>
                <w:tabs>
                  <w:tab w:val="left" w:pos="533"/>
                </w:tabs>
                <w:spacing w:line="360" w:lineRule="auto"/>
                <w:ind w:firstLine="720"/>
                <w:jc w:val="both"/>
                <w:rPr>
                  <w:rFonts w:eastAsia="Calibri"/>
                  <w:b/>
                  <w:bCs/>
                  <w:szCs w:val="24"/>
                </w:rPr>
              </w:pPr>
              <w:sdt>
                <w:sdtPr>
                  <w:alias w:val="Numeris"/>
                  <w:tag w:val="nr_ca7296d814bc4ca689a804988cc7d4e8"/>
                  <w:id w:val="-437684182"/>
                  <w:lock w:val="sdtLocked"/>
                </w:sdtPr>
                <w:sdtEndPr/>
                <w:sdtContent>
                  <w:r>
                    <w:rPr>
                      <w:rFonts w:eastAsia="Calibri"/>
                      <w:b/>
                      <w:bCs/>
                      <w:szCs w:val="24"/>
                    </w:rPr>
                    <w:t>2</w:t>
                  </w:r>
                </w:sdtContent>
              </w:sdt>
              <w:r>
                <w:rPr>
                  <w:rFonts w:eastAsia="Calibri"/>
                  <w:b/>
                  <w:bCs/>
                  <w:szCs w:val="24"/>
                </w:rPr>
                <w:t xml:space="preserve"> straipsnis. </w:t>
              </w:r>
              <w:sdt>
                <w:sdtPr>
                  <w:alias w:val="Pavadinimas"/>
                  <w:tag w:val="title_ca7296d814bc4ca689a804988cc7d4e8"/>
                  <w:id w:val="1178388971"/>
                  <w:lock w:val="sdtLocked"/>
                </w:sdtPr>
                <w:sdtEndPr/>
                <w:sdtContent>
                  <w:r>
                    <w:rPr>
                      <w:rFonts w:eastAsia="Calibri"/>
                      <w:b/>
                      <w:bCs/>
                      <w:szCs w:val="24"/>
                    </w:rPr>
                    <w:t>Įstatymo papildymas 9</w:t>
                  </w:r>
                  <w:r>
                    <w:rPr>
                      <w:rFonts w:eastAsia="Calibri"/>
                      <w:b/>
                      <w:bCs/>
                      <w:szCs w:val="24"/>
                      <w:vertAlign w:val="superscript"/>
                    </w:rPr>
                    <w:t>1</w:t>
                  </w:r>
                  <w:r>
                    <w:rPr>
                      <w:rFonts w:eastAsia="Calibri"/>
                      <w:b/>
                      <w:bCs/>
                      <w:szCs w:val="24"/>
                    </w:rPr>
                    <w:t xml:space="preserve"> straipsniu</w:t>
                  </w:r>
                </w:sdtContent>
              </w:sdt>
            </w:p>
            <w:sdt>
              <w:sdtPr>
                <w:alias w:val="2 str. 1 d."/>
                <w:tag w:val="part_9a150e41a3ef416287bf744a8a32dfe7"/>
                <w:id w:val="-338243075"/>
                <w:lock w:val="sdtLocked"/>
              </w:sdtPr>
              <w:sdtEndPr/>
              <w:sdtContent>
                <w:p w:rsidR="008C4EDA" w:rsidRDefault="00F5364F">
                  <w:pPr>
                    <w:tabs>
                      <w:tab w:val="left" w:pos="533"/>
                    </w:tabs>
                    <w:spacing w:line="360" w:lineRule="auto"/>
                    <w:ind w:firstLine="720"/>
                    <w:jc w:val="both"/>
                    <w:rPr>
                      <w:rFonts w:eastAsia="Calibri"/>
                      <w:szCs w:val="24"/>
                    </w:rPr>
                  </w:pPr>
                  <w:r>
                    <w:rPr>
                      <w:rFonts w:eastAsia="Calibri"/>
                      <w:szCs w:val="24"/>
                    </w:rPr>
                    <w:t>Papildyti Įstatymą 9</w:t>
                  </w:r>
                  <w:r>
                    <w:rPr>
                      <w:rFonts w:eastAsia="Calibri"/>
                      <w:szCs w:val="24"/>
                      <w:vertAlign w:val="superscript"/>
                    </w:rPr>
                    <w:t>1</w:t>
                  </w:r>
                  <w:r>
                    <w:rPr>
                      <w:rFonts w:eastAsia="Calibri"/>
                      <w:szCs w:val="24"/>
                    </w:rPr>
                    <w:t xml:space="preserve"> straipsniu:</w:t>
                  </w:r>
                </w:p>
                <w:sdt>
                  <w:sdtPr>
                    <w:alias w:val="citata"/>
                    <w:tag w:val="part_606f122fce154ee5b15535948ae324fc"/>
                    <w:id w:val="648564486"/>
                    <w:lock w:val="sdtLocked"/>
                  </w:sdtPr>
                  <w:sdtEndPr/>
                  <w:sdtContent>
                    <w:sdt>
                      <w:sdtPr>
                        <w:alias w:val="9-1 str."/>
                        <w:tag w:val="part_4d467a315f134d6e82ef9e175683e1f9"/>
                        <w:id w:val="-1491635583"/>
                        <w:lock w:val="sdtLocked"/>
                      </w:sdtPr>
                      <w:sdtEndPr/>
                      <w:sdtContent>
                        <w:p w:rsidR="008C4EDA" w:rsidRDefault="00F5364F">
                          <w:pPr>
                            <w:tabs>
                              <w:tab w:val="left" w:pos="533"/>
                            </w:tabs>
                            <w:spacing w:line="360" w:lineRule="auto"/>
                            <w:ind w:firstLine="720"/>
                            <w:jc w:val="both"/>
                            <w:rPr>
                              <w:rFonts w:eastAsia="Calibri"/>
                              <w:b/>
                              <w:bCs/>
                              <w:szCs w:val="24"/>
                            </w:rPr>
                          </w:pPr>
                          <w:r>
                            <w:rPr>
                              <w:rFonts w:eastAsia="Calibri"/>
                              <w:szCs w:val="24"/>
                            </w:rPr>
                            <w:t>„</w:t>
                          </w:r>
                          <w:sdt>
                            <w:sdtPr>
                              <w:alias w:val="Numeris"/>
                              <w:tag w:val="nr_4d467a315f134d6e82ef9e175683e1f9"/>
                              <w:id w:val="-1608029291"/>
                              <w:lock w:val="sdtLocked"/>
                            </w:sdtPr>
                            <w:sdtEndPr/>
                            <w:sdtContent>
                              <w:r>
                                <w:rPr>
                                  <w:rFonts w:eastAsia="Calibri"/>
                                  <w:b/>
                                  <w:bCs/>
                                  <w:szCs w:val="24"/>
                                </w:rPr>
                                <w:t>9</w:t>
                              </w:r>
                              <w:r>
                                <w:rPr>
                                  <w:rFonts w:eastAsia="Calibri"/>
                                  <w:b/>
                                  <w:bCs/>
                                  <w:szCs w:val="24"/>
                                  <w:vertAlign w:val="superscript"/>
                                </w:rPr>
                                <w:t>1</w:t>
                              </w:r>
                            </w:sdtContent>
                          </w:sdt>
                          <w:r>
                            <w:rPr>
                              <w:rFonts w:eastAsia="Calibri"/>
                              <w:b/>
                              <w:bCs/>
                              <w:szCs w:val="24"/>
                            </w:rPr>
                            <w:t xml:space="preserve"> straipsnis. </w:t>
                          </w:r>
                          <w:sdt>
                            <w:sdtPr>
                              <w:alias w:val="Pavadinimas"/>
                              <w:tag w:val="title_4d467a315f134d6e82ef9e175683e1f9"/>
                              <w:id w:val="-1771392451"/>
                              <w:lock w:val="sdtLocked"/>
                            </w:sdtPr>
                            <w:sdtEndPr/>
                            <w:sdtContent>
                              <w:r>
                                <w:rPr>
                                  <w:rFonts w:eastAsia="Calibri"/>
                                  <w:b/>
                                  <w:bCs/>
                                  <w:szCs w:val="24"/>
                                </w:rPr>
                                <w:t>Dalyvavimo nustatytose mokėjimo sistemose sąlygos</w:t>
                              </w:r>
                            </w:sdtContent>
                          </w:sdt>
                        </w:p>
                        <w:sdt>
                          <w:sdtPr>
                            <w:alias w:val="9-1 str. 1 d."/>
                            <w:tag w:val="part_7f9ea41b09f64d67983a6289841a60b0"/>
                            <w:id w:val="1489285739"/>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7f9ea41b09f64d67983a6289841a60b0"/>
                                  <w:id w:val="969100872"/>
                                  <w:lock w:val="sdtLocked"/>
                                </w:sdtPr>
                                <w:sdtEndPr/>
                                <w:sdtContent>
                                  <w:r>
                                    <w:rPr>
                                      <w:rFonts w:eastAsia="Calibri"/>
                                      <w:bCs/>
                                      <w:szCs w:val="24"/>
                                    </w:rPr>
                                    <w:t>1</w:t>
                                  </w:r>
                                </w:sdtContent>
                              </w:sdt>
                              <w:r>
                                <w:rPr>
                                  <w:rFonts w:eastAsia="Calibri"/>
                                  <w:bCs/>
                                  <w:szCs w:val="24"/>
                                </w:rPr>
                                <w:t>. Siekiant apsaugoti mokėjimo sistemų stabilumą ir vientisumą, mokėjimo įstaiga arba elektroninių</w:t>
                              </w:r>
                              <w:r>
                                <w:rPr>
                                  <w:rFonts w:eastAsia="Calibri"/>
                                  <w:bCs/>
                                  <w:szCs w:val="24"/>
                                </w:rPr>
                                <w:t xml:space="preserve"> pinigų įstaiga, prašanti dalyvauti ir (arba) dalyvaujanti pagal Atsiskaitymų baigtinumo įstatymą nustatytoje mokėjimo sistemoje, turi turėti:</w:t>
                              </w:r>
                            </w:p>
                            <w:sdt>
                              <w:sdtPr>
                                <w:alias w:val="9-1 str. 1 d. 1 p."/>
                                <w:tag w:val="part_dc638aab546e4ff79d20add62a689786"/>
                                <w:id w:val="726880337"/>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dc638aab546e4ff79d20add62a689786"/>
                                      <w:id w:val="1826167119"/>
                                      <w:lock w:val="sdtLocked"/>
                                    </w:sdtPr>
                                    <w:sdtEndPr/>
                                    <w:sdtContent>
                                      <w:r>
                                        <w:rPr>
                                          <w:rFonts w:eastAsia="Calibri"/>
                                          <w:bCs/>
                                          <w:szCs w:val="24"/>
                                        </w:rPr>
                                        <w:t>1</w:t>
                                      </w:r>
                                    </w:sdtContent>
                                  </w:sdt>
                                  <w:r>
                                    <w:rPr>
                                      <w:rFonts w:eastAsia="Calibri"/>
                                      <w:bCs/>
                                      <w:szCs w:val="24"/>
                                    </w:rPr>
                                    <w:t>) priemonių, kurių imasi siekdama apsaugoti mokėjimo paslaugų vartotojų lėšas, aprašymą;</w:t>
                                  </w:r>
                                </w:p>
                              </w:sdtContent>
                            </w:sdt>
                            <w:sdt>
                              <w:sdtPr>
                                <w:alias w:val="9-1 str. 1 d. 2 p."/>
                                <w:tag w:val="part_909517e1df794c76836d8f2069c566cd"/>
                                <w:id w:val="1869948288"/>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909517e1df794c76836d8f2069c566cd"/>
                                      <w:id w:val="-1719196485"/>
                                      <w:lock w:val="sdtLocked"/>
                                    </w:sdtPr>
                                    <w:sdtEndPr/>
                                    <w:sdtContent>
                                      <w:r>
                                        <w:rPr>
                                          <w:rFonts w:eastAsia="Calibri"/>
                                          <w:bCs/>
                                          <w:szCs w:val="24"/>
                                        </w:rPr>
                                        <w:t>2</w:t>
                                      </w:r>
                                    </w:sdtContent>
                                  </w:sdt>
                                  <w:r>
                                    <w:rPr>
                                      <w:rFonts w:eastAsia="Calibri"/>
                                      <w:bCs/>
                                      <w:szCs w:val="24"/>
                                    </w:rPr>
                                    <w:t>) mokėjimo pasla</w:t>
                                  </w:r>
                                  <w:r>
                                    <w:rPr>
                                      <w:rFonts w:eastAsia="Calibri"/>
                                      <w:bCs/>
                                      <w:szCs w:val="24"/>
                                    </w:rPr>
                                    <w:t>ugų teikimo ir (arba) elektroninių pinigų leidimo veiklos valdymo tvarkos ir vidaus kontrolės sistemos, įskaitant administracines, rizikos valdymo ir apskaitos sistemas, aprašymą, taip pat naudojimosi informacinių ir ryšių technologijų paslaugomis tvarkos,</w:t>
                                  </w:r>
                                  <w:r>
                                    <w:rPr>
                                      <w:rFonts w:eastAsia="Calibri"/>
                                      <w:bCs/>
                                      <w:szCs w:val="24"/>
                                    </w:rPr>
                                    <w:t xml:space="preserve"> atitinkančios 2022 m. gruodžio 14 d. Europos Parlamento ir Tarybos reglamento </w:t>
                                  </w:r>
                                  <w:hyperlink r:id="rId14" w:tgtFrame="_blank" w:history="1">
                                    <w:r>
                                      <w:rPr>
                                        <w:rFonts w:eastAsia="Calibri"/>
                                        <w:bCs/>
                                        <w:color w:val="0000FF" w:themeColor="hyperlink"/>
                                        <w:szCs w:val="24"/>
                                        <w:u w:val="single"/>
                                      </w:rPr>
                                      <w:t>(ES) 2022/2554</w:t>
                                    </w:r>
                                  </w:hyperlink>
                                  <w:r>
                                    <w:rPr>
                                      <w:rFonts w:eastAsia="Calibri"/>
                                      <w:bCs/>
                                      <w:szCs w:val="24"/>
                                    </w:rPr>
                                    <w:t xml:space="preserve"> dėl skaitmeninės veiklos atsparumo finansų sektoriuje, kuriuo</w:t>
                                  </w:r>
                                  <w:r>
                                    <w:rPr>
                                      <w:rFonts w:eastAsia="Calibri"/>
                                      <w:bCs/>
                                      <w:szCs w:val="24"/>
                                    </w:rPr>
                                    <w:t xml:space="preserve"> iš dalies keičiami reglamentai </w:t>
                                  </w:r>
                                  <w:hyperlink r:id="rId15" w:tgtFrame="_blank" w:history="1">
                                    <w:r>
                                      <w:rPr>
                                        <w:rFonts w:eastAsia="Calibri"/>
                                        <w:bCs/>
                                        <w:color w:val="0000FF" w:themeColor="hyperlink"/>
                                        <w:szCs w:val="24"/>
                                        <w:u w:val="single"/>
                                      </w:rPr>
                                      <w:t>(EB) Nr. 1060/2009</w:t>
                                    </w:r>
                                  </w:hyperlink>
                                  <w:r>
                                    <w:rPr>
                                      <w:rFonts w:eastAsia="Calibri"/>
                                      <w:bCs/>
                                      <w:szCs w:val="24"/>
                                    </w:rPr>
                                    <w:t xml:space="preserve">, </w:t>
                                  </w:r>
                                  <w:hyperlink r:id="rId16" w:tgtFrame="_blank" w:history="1">
                                    <w:r>
                                      <w:rPr>
                                        <w:rFonts w:eastAsia="Calibri"/>
                                        <w:bCs/>
                                        <w:color w:val="0000FF" w:themeColor="hyperlink"/>
                                        <w:szCs w:val="24"/>
                                        <w:u w:val="single"/>
                                      </w:rPr>
                                      <w:t>(E</w:t>
                                    </w:r>
                                    <w:r>
                                      <w:rPr>
                                        <w:rFonts w:eastAsia="Calibri"/>
                                        <w:bCs/>
                                        <w:color w:val="0000FF" w:themeColor="hyperlink"/>
                                        <w:szCs w:val="24"/>
                                        <w:u w:val="single"/>
                                      </w:rPr>
                                      <w:t>S) Nr. 648/2012</w:t>
                                    </w:r>
                                  </w:hyperlink>
                                  <w:r>
                                    <w:rPr>
                                      <w:rFonts w:eastAsia="Calibri"/>
                                      <w:bCs/>
                                      <w:szCs w:val="24"/>
                                    </w:rPr>
                                    <w:t xml:space="preserve">, </w:t>
                                  </w:r>
                                  <w:hyperlink r:id="rId17" w:tgtFrame="_blank" w:history="1">
                                    <w:r>
                                      <w:rPr>
                                        <w:rFonts w:eastAsia="Calibri"/>
                                        <w:bCs/>
                                        <w:color w:val="0000FF" w:themeColor="hyperlink"/>
                                        <w:szCs w:val="24"/>
                                        <w:u w:val="single"/>
                                      </w:rPr>
                                      <w:t>(ES) Nr. 600/2014</w:t>
                                    </w:r>
                                  </w:hyperlink>
                                  <w:r>
                                    <w:rPr>
                                      <w:rFonts w:eastAsia="Calibri"/>
                                      <w:bCs/>
                                      <w:szCs w:val="24"/>
                                    </w:rPr>
                                    <w:t xml:space="preserve">, </w:t>
                                  </w:r>
                                  <w:hyperlink r:id="rId18" w:tgtFrame="_blank" w:history="1">
                                    <w:r>
                                      <w:rPr>
                                        <w:rFonts w:eastAsia="Calibri"/>
                                        <w:bCs/>
                                        <w:color w:val="0000FF" w:themeColor="hyperlink"/>
                                        <w:szCs w:val="24"/>
                                        <w:u w:val="single"/>
                                      </w:rPr>
                                      <w:t>(ES) Nr. 909/2014</w:t>
                                    </w:r>
                                  </w:hyperlink>
                                  <w:r>
                                    <w:rPr>
                                      <w:rFonts w:eastAsia="Calibri"/>
                                      <w:bCs/>
                                      <w:szCs w:val="24"/>
                                    </w:rPr>
                                    <w:t xml:space="preserve"> </w:t>
                                  </w:r>
                                  <w:r>
                                    <w:rPr>
                                      <w:rFonts w:eastAsia="Calibri"/>
                                      <w:bCs/>
                                      <w:szCs w:val="24"/>
                                    </w:rPr>
                                    <w:t xml:space="preserve">ir </w:t>
                                  </w:r>
                                  <w:hyperlink r:id="rId19" w:tgtFrame="_blank" w:history="1">
                                    <w:r>
                                      <w:rPr>
                                        <w:rFonts w:eastAsia="Calibri"/>
                                        <w:bCs/>
                                        <w:color w:val="0000FF" w:themeColor="hyperlink"/>
                                        <w:szCs w:val="24"/>
                                        <w:u w:val="single"/>
                                      </w:rPr>
                                      <w:t>(ES) 2016/1011</w:t>
                                    </w:r>
                                  </w:hyperlink>
                                  <w:r>
                                    <w:rPr>
                                      <w:rFonts w:eastAsia="Calibri"/>
                                      <w:bCs/>
                                      <w:szCs w:val="24"/>
                                    </w:rPr>
                                    <w:t>, 6 ir 7 straipsniuose nustatytus reikalavimus, aprašymą;</w:t>
                                  </w:r>
                                </w:p>
                              </w:sdtContent>
                            </w:sdt>
                            <w:sdt>
                              <w:sdtPr>
                                <w:alias w:val="9-1 str. 1 d. 3 p."/>
                                <w:tag w:val="part_de99ca339ac54647943b75c303e27f09"/>
                                <w:id w:val="830029969"/>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de99ca339ac54647943b75c303e27f09"/>
                                      <w:id w:val="-116529616"/>
                                      <w:lock w:val="sdtLocked"/>
                                    </w:sdtPr>
                                    <w:sdtEndPr/>
                                    <w:sdtContent>
                                      <w:r>
                                        <w:rPr>
                                          <w:rFonts w:eastAsia="Calibri"/>
                                          <w:bCs/>
                                          <w:szCs w:val="24"/>
                                        </w:rPr>
                                        <w:t>3</w:t>
                                      </w:r>
                                    </w:sdtContent>
                                  </w:sdt>
                                  <w:r>
                                    <w:rPr>
                                      <w:rFonts w:eastAsia="Calibri"/>
                                      <w:bCs/>
                                      <w:szCs w:val="24"/>
                                    </w:rPr>
                                    <w:t>) mokėjimo paslaugų teikimo veiklos nutraukimo planą ir (arba) elektroninių</w:t>
                                  </w:r>
                                  <w:r>
                                    <w:rPr>
                                      <w:rFonts w:eastAsia="Calibri"/>
                                      <w:bCs/>
                                      <w:szCs w:val="24"/>
                                    </w:rPr>
                                    <w:t xml:space="preserve"> pinigų leidimo veiklos nutraukimo planą.</w:t>
                                  </w:r>
                                </w:p>
                              </w:sdtContent>
                            </w:sdt>
                          </w:sdtContent>
                        </w:sdt>
                        <w:sdt>
                          <w:sdtPr>
                            <w:alias w:val="9-1 str. 2 d."/>
                            <w:tag w:val="part_86c6b6c40c0241a0a4620f43976c1184"/>
                            <w:id w:val="1788536033"/>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86c6b6c40c0241a0a4620f43976c1184"/>
                                  <w:id w:val="123285869"/>
                                  <w:lock w:val="sdtLocked"/>
                                </w:sdtPr>
                                <w:sdtEndPr/>
                                <w:sdtContent>
                                  <w:r>
                                    <w:rPr>
                                      <w:rFonts w:eastAsia="Calibri"/>
                                      <w:bCs/>
                                      <w:szCs w:val="24"/>
                                    </w:rPr>
                                    <w:t>2</w:t>
                                  </w:r>
                                </w:sdtContent>
                              </w:sdt>
                              <w:r>
                                <w:rPr>
                                  <w:rFonts w:eastAsia="Calibri"/>
                                  <w:bCs/>
                                  <w:szCs w:val="24"/>
                                </w:rPr>
                                <w:t>. Priežiūros institucija detalizuoja šio straipsnio 1 dalyje nurodytus reikalavimus.</w:t>
                              </w:r>
                            </w:p>
                          </w:sdtContent>
                        </w:sdt>
                        <w:sdt>
                          <w:sdtPr>
                            <w:alias w:val="9-1 str. 3 d."/>
                            <w:tag w:val="part_7084727c2e8f48e3b57011de8e235dbe"/>
                            <w:id w:val="2115623698"/>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7084727c2e8f48e3b57011de8e235dbe"/>
                                  <w:id w:val="-320889877"/>
                                  <w:lock w:val="sdtLocked"/>
                                </w:sdtPr>
                                <w:sdtEndPr/>
                                <w:sdtContent>
                                  <w:r>
                                    <w:rPr>
                                      <w:rFonts w:eastAsia="Calibri"/>
                                      <w:bCs/>
                                      <w:szCs w:val="24"/>
                                    </w:rPr>
                                    <w:t>3</w:t>
                                  </w:r>
                                </w:sdtContent>
                              </w:sdt>
                              <w:r>
                                <w:rPr>
                                  <w:rFonts w:eastAsia="Calibri"/>
                                  <w:bCs/>
                                  <w:szCs w:val="24"/>
                                </w:rPr>
                                <w:t>. Siekiant įsitikinti, kad Lietuvos Respublikoje licencijuota mokėjimo įstaiga arba Lietuvos Respublikoje licencijuota elektroninių pinigų įstaiga laikosi šio straipsnio 1 dalyje nustatytų ir pagal šio straipsnio 2 dalį detalizuotų reikalavimų, ji mokėjimo</w:t>
                              </w:r>
                              <w:r>
                                <w:rPr>
                                  <w:rFonts w:eastAsia="Calibri"/>
                                  <w:bCs/>
                                  <w:szCs w:val="24"/>
                                </w:rPr>
                                <w:t xml:space="preserve"> sistemos operatoriui, </w:t>
                              </w:r>
                              <w:r>
                                <w:rPr>
                                  <w:bCs/>
                                  <w:szCs w:val="24"/>
                                </w:rPr>
                                <w:t>kaip jis suprantamas pagal Atsiskaitymų baigtinumo įstatymą, (toliau šiame straipsnyje – mokėjimo sistemos operatorius)</w:t>
                              </w:r>
                              <w:r>
                                <w:rPr>
                                  <w:rFonts w:eastAsia="Calibri"/>
                                  <w:bCs/>
                                  <w:szCs w:val="24"/>
                                </w:rPr>
                                <w:t xml:space="preserve"> jo nustatyta tvarka turi pateikti:</w:t>
                              </w:r>
                            </w:p>
                            <w:sdt>
                              <w:sdtPr>
                                <w:alias w:val="9-1 str. 3 d. 1 p."/>
                                <w:tag w:val="part_8df6846c500e4c0296094f037c7c7b46"/>
                                <w:id w:val="381676707"/>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8df6846c500e4c0296094f037c7c7b46"/>
                                      <w:id w:val="-112587700"/>
                                      <w:lock w:val="sdtLocked"/>
                                    </w:sdtPr>
                                    <w:sdtEndPr/>
                                    <w:sdtContent>
                                      <w:r>
                                        <w:rPr>
                                          <w:rFonts w:eastAsia="Calibri"/>
                                          <w:bCs/>
                                          <w:szCs w:val="24"/>
                                        </w:rPr>
                                        <w:t>1</w:t>
                                      </w:r>
                                    </w:sdtContent>
                                  </w:sdt>
                                  <w:r>
                                    <w:rPr>
                                      <w:rFonts w:eastAsia="Calibri"/>
                                      <w:bCs/>
                                      <w:szCs w:val="24"/>
                                    </w:rPr>
                                    <w:t>) šio straipsnio 1 dalyje nustatytų ir pagal šio straipsnio 2 dalį detalizu</w:t>
                                  </w:r>
                                  <w:r>
                                    <w:rPr>
                                      <w:rFonts w:eastAsia="Calibri"/>
                                      <w:bCs/>
                                      <w:szCs w:val="24"/>
                                    </w:rPr>
                                    <w:t>otų reikalavimų laikymosi ataskaitą;</w:t>
                                  </w:r>
                                </w:p>
                              </w:sdtContent>
                            </w:sdt>
                            <w:sdt>
                              <w:sdtPr>
                                <w:alias w:val="9-1 str. 3 d. 2 p."/>
                                <w:tag w:val="part_94dec00d17c0448991b455143cc100f7"/>
                                <w:id w:val="-538890402"/>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94dec00d17c0448991b455143cc100f7"/>
                                      <w:id w:val="-1825883091"/>
                                      <w:lock w:val="sdtLocked"/>
                                    </w:sdtPr>
                                    <w:sdtEndPr/>
                                    <w:sdtContent>
                                      <w:r>
                                        <w:rPr>
                                          <w:rFonts w:eastAsia="Calibri"/>
                                          <w:bCs/>
                                          <w:szCs w:val="24"/>
                                        </w:rPr>
                                        <w:t>2</w:t>
                                      </w:r>
                                    </w:sdtContent>
                                  </w:sdt>
                                  <w:r>
                                    <w:rPr>
                                      <w:rFonts w:eastAsia="Calibri"/>
                                      <w:bCs/>
                                      <w:szCs w:val="24"/>
                                    </w:rPr>
                                    <w:t>) audito įmonės (įmonių) ar auditoriaus (auditorių), kuris (kurie) audito veikla verčiasi savarankiškai, (toliau – auditorius) išvadą dėl šių reikalavimų laikymosi. Išvadą teikianti audito įmonė arba auditorius tur</w:t>
                                  </w:r>
                                  <w:r>
                                    <w:rPr>
                                      <w:rFonts w:eastAsia="Calibri"/>
                                      <w:bCs/>
                                      <w:szCs w:val="24"/>
                                    </w:rPr>
                                    <w:t xml:space="preserve">i būti nepriklausomi ir </w:t>
                                  </w:r>
                                  <w:r>
                                    <w:rPr>
                                      <w:bCs/>
                                      <w:szCs w:val="24"/>
                                    </w:rPr>
                                    <w:t>turėti bent 2 metus mokėjimo paslaugų teikimo valdymo tvarkos ir mokėjimo paslaugų teikėjų vidaus kontrolės sistemos audito patirties</w:t>
                                  </w:r>
                                  <w:r>
                                    <w:rPr>
                                      <w:rFonts w:eastAsia="Calibri"/>
                                      <w:bCs/>
                                      <w:szCs w:val="24"/>
                                    </w:rPr>
                                    <w:t xml:space="preserve">. </w:t>
                                  </w:r>
                                </w:p>
                              </w:sdtContent>
                            </w:sdt>
                          </w:sdtContent>
                        </w:sdt>
                        <w:sdt>
                          <w:sdtPr>
                            <w:alias w:val="9-1 str. 4 d."/>
                            <w:tag w:val="part_ce7cc32d40b1489eb8dd7022707a30b2"/>
                            <w:id w:val="-2031488610"/>
                            <w:lock w:val="sdtLocked"/>
                          </w:sdtPr>
                          <w:sdtEndPr/>
                          <w:sdtContent>
                            <w:p w:rsidR="008C4EDA" w:rsidRDefault="00F5364F">
                              <w:pPr>
                                <w:tabs>
                                  <w:tab w:val="left" w:pos="533"/>
                                </w:tabs>
                                <w:spacing w:line="360" w:lineRule="auto"/>
                                <w:ind w:firstLine="720"/>
                                <w:jc w:val="both"/>
                                <w:rPr>
                                  <w:rFonts w:eastAsia="Calibri"/>
                                  <w:bCs/>
                                  <w:szCs w:val="24"/>
                                </w:rPr>
                              </w:pPr>
                              <w:sdt>
                                <w:sdtPr>
                                  <w:alias w:val="Numeris"/>
                                  <w:tag w:val="nr_ce7cc32d40b1489eb8dd7022707a30b2"/>
                                  <w:id w:val="-1254197378"/>
                                  <w:lock w:val="sdtLocked"/>
                                </w:sdtPr>
                                <w:sdtEndPr/>
                                <w:sdtContent>
                                  <w:r>
                                    <w:rPr>
                                      <w:rFonts w:eastAsia="Calibri"/>
                                      <w:bCs/>
                                      <w:szCs w:val="24"/>
                                    </w:rPr>
                                    <w:t>4</w:t>
                                  </w:r>
                                </w:sdtContent>
                              </w:sdt>
                              <w:r>
                                <w:rPr>
                                  <w:rFonts w:eastAsia="Calibri"/>
                                  <w:bCs/>
                                  <w:szCs w:val="24"/>
                                </w:rPr>
                                <w:t>. Kitoje valstybėje narėje licencijuota mokėjimo įstaiga arba kitoje valstybėje narėje li</w:t>
                              </w:r>
                              <w:r>
                                <w:rPr>
                                  <w:rFonts w:eastAsia="Calibri"/>
                                  <w:bCs/>
                                  <w:szCs w:val="24"/>
                                </w:rPr>
                                <w:t xml:space="preserve">cencijuota elektroninių pinigų įstaiga mokėjimo sistemos operatoriui turi pateikti tos valstybės narės nustatyta tvarka parengtą patvirtinimą, kad ši įstaiga atitinka Direktyvos </w:t>
                              </w:r>
                              <w:hyperlink r:id="rId20" w:tgtFrame="_blank" w:history="1">
                                <w:r>
                                  <w:rPr>
                                    <w:rFonts w:eastAsia="Calibri"/>
                                    <w:bCs/>
                                    <w:color w:val="0000FF" w:themeColor="hyperlink"/>
                                    <w:szCs w:val="24"/>
                                    <w:u w:val="single"/>
                                  </w:rPr>
                                  <w:t>(ES) Nr. 2015/2366</w:t>
                                </w:r>
                              </w:hyperlink>
                              <w:r>
                                <w:rPr>
                                  <w:rFonts w:eastAsia="Calibri"/>
                                  <w:bCs/>
                                  <w:szCs w:val="24"/>
                                </w:rPr>
                                <w:t xml:space="preserve"> 35a straipsnio 1 dalies reikalavimus.“</w:t>
                              </w:r>
                            </w:p>
                            <w:p w:rsidR="008C4EDA" w:rsidRDefault="00F5364F">
                              <w:pPr>
                                <w:spacing w:line="360" w:lineRule="auto"/>
                                <w:ind w:firstLine="720"/>
                                <w:jc w:val="both"/>
                                <w:rPr>
                                  <w:bCs/>
                                </w:rPr>
                              </w:pPr>
                            </w:p>
                          </w:sdtContent>
                        </w:sdt>
                      </w:sdtContent>
                    </w:sdt>
                  </w:sdtContent>
                </w:sdt>
              </w:sdtContent>
            </w:sdt>
          </w:sdtContent>
        </w:sdt>
        <w:sdt>
          <w:sdtPr>
            <w:alias w:val="3 str."/>
            <w:tag w:val="part_3c3cd2411fa54179bb5855c38e8c3dd6"/>
            <w:id w:val="62691962"/>
            <w:lock w:val="sdtLocked"/>
          </w:sdtPr>
          <w:sdtEndPr/>
          <w:sdtContent>
            <w:p w:rsidR="008C4EDA" w:rsidRDefault="00F5364F">
              <w:pPr>
                <w:spacing w:line="360" w:lineRule="auto"/>
                <w:ind w:firstLine="720"/>
                <w:jc w:val="both"/>
                <w:rPr>
                  <w:b/>
                  <w:bCs/>
                </w:rPr>
              </w:pPr>
              <w:sdt>
                <w:sdtPr>
                  <w:alias w:val="Numeris"/>
                  <w:tag w:val="nr_3c3cd2411fa54179bb5855c38e8c3dd6"/>
                  <w:id w:val="-71276567"/>
                  <w:lock w:val="sdtLocked"/>
                </w:sdtPr>
                <w:sdtEndPr/>
                <w:sdtContent>
                  <w:r>
                    <w:rPr>
                      <w:b/>
                      <w:bCs/>
                    </w:rPr>
                    <w:t>3</w:t>
                  </w:r>
                </w:sdtContent>
              </w:sdt>
              <w:r>
                <w:rPr>
                  <w:b/>
                  <w:bCs/>
                </w:rPr>
                <w:t xml:space="preserve"> straipsnis. </w:t>
              </w:r>
              <w:sdt>
                <w:sdtPr>
                  <w:alias w:val="Pavadinimas"/>
                  <w:tag w:val="title_3c3cd2411fa54179bb5855c38e8c3dd6"/>
                  <w:id w:val="-1571890569"/>
                  <w:lock w:val="sdtLocked"/>
                </w:sdtPr>
                <w:sdtEndPr/>
                <w:sdtContent>
                  <w:r>
                    <w:rPr>
                      <w:b/>
                      <w:bCs/>
                    </w:rPr>
                    <w:t>81 straipsnio pakeitimas</w:t>
                  </w:r>
                </w:sdtContent>
              </w:sdt>
            </w:p>
            <w:sdt>
              <w:sdtPr>
                <w:alias w:val="3 str. 1 d."/>
                <w:tag w:val="part_95fe91a6f9e54fb390c4303f6a367146"/>
                <w:id w:val="-2130924218"/>
                <w:lock w:val="sdtLocked"/>
              </w:sdtPr>
              <w:sdtEndPr/>
              <w:sdtContent>
                <w:p w:rsidR="008C4EDA" w:rsidRDefault="00F5364F">
                  <w:pPr>
                    <w:spacing w:line="360" w:lineRule="auto"/>
                    <w:ind w:firstLine="720"/>
                    <w:jc w:val="both"/>
                  </w:pPr>
                  <w:sdt>
                    <w:sdtPr>
                      <w:alias w:val="Numeris"/>
                      <w:tag w:val="nr_95fe91a6f9e54fb390c4303f6a367146"/>
                      <w:id w:val="1628589654"/>
                      <w:lock w:val="sdtLocked"/>
                    </w:sdtPr>
                    <w:sdtEndPr/>
                    <w:sdtContent>
                      <w:r>
                        <w:t>1</w:t>
                      </w:r>
                    </w:sdtContent>
                  </w:sdt>
                  <w:r>
                    <w:t>. Pakeisti 81 straipsnio 1 dalį ir ją išdėstyti taip:</w:t>
                  </w:r>
                </w:p>
                <w:sdt>
                  <w:sdtPr>
                    <w:alias w:val="citata"/>
                    <w:tag w:val="part_3e249b9eea864490abf743603b9e3fb6"/>
                    <w:id w:val="-641265441"/>
                    <w:lock w:val="sdtLocked"/>
                  </w:sdtPr>
                  <w:sdtEndPr/>
                  <w:sdtContent>
                    <w:sdt>
                      <w:sdtPr>
                        <w:alias w:val="1 d."/>
                        <w:tag w:val="part_170ea9af56c04b38854f39a8b756bd86"/>
                        <w:id w:val="-1265141107"/>
                        <w:lock w:val="sdtLocked"/>
                      </w:sdtPr>
                      <w:sdtEndPr/>
                      <w:sdtContent>
                        <w:p w:rsidR="008C4EDA" w:rsidRDefault="00F5364F">
                          <w:pPr>
                            <w:spacing w:line="360" w:lineRule="auto"/>
                            <w:ind w:firstLine="720"/>
                            <w:jc w:val="both"/>
                          </w:pPr>
                          <w:r>
                            <w:t>„</w:t>
                          </w:r>
                          <w:sdt>
                            <w:sdtPr>
                              <w:alias w:val="Numeris"/>
                              <w:tag w:val="nr_170ea9af56c04b38854f39a8b756bd86"/>
                              <w:id w:val="-1613356337"/>
                              <w:lock w:val="sdtLocked"/>
                            </w:sdtPr>
                            <w:sdtEndPr/>
                            <w:sdtContent>
                              <w:r>
                                <w:t>1</w:t>
                              </w:r>
                            </w:sdtContent>
                          </w:sdt>
                          <w:r>
                            <w:t>. Priežiūros institucija skiria baudas:</w:t>
                          </w:r>
                        </w:p>
                        <w:sdt>
                          <w:sdtPr>
                            <w:alias w:val="1 d. 1 p."/>
                            <w:tag w:val="part_4691aa8de75b4b8ca831dc684d8ea463"/>
                            <w:id w:val="-1187674970"/>
                            <w:lock w:val="sdtLocked"/>
                          </w:sdtPr>
                          <w:sdtEndPr/>
                          <w:sdtContent>
                            <w:p w:rsidR="008C4EDA" w:rsidRDefault="00F5364F">
                              <w:pPr>
                                <w:spacing w:line="360" w:lineRule="auto"/>
                                <w:ind w:firstLine="720"/>
                                <w:jc w:val="both"/>
                              </w:pPr>
                              <w:sdt>
                                <w:sdtPr>
                                  <w:alias w:val="Numeris"/>
                                  <w:tag w:val="nr_4691aa8de75b4b8ca831dc684d8ea463"/>
                                  <w:id w:val="-1216344614"/>
                                  <w:lock w:val="sdtLocked"/>
                                </w:sdtPr>
                                <w:sdtEndPr/>
                                <w:sdtContent>
                                  <w:r>
                                    <w:t>1</w:t>
                                  </w:r>
                                </w:sdtContent>
                              </w:sdt>
                              <w:r>
                                <w:t xml:space="preserve">) juridiniams </w:t>
                              </w:r>
                              <w:r>
                                <w:t>asmenims – iki 10 procentų bendrųjų metinių pajamų, išskyrus šios dalies 2 punkte nurodytus atvejus;</w:t>
                              </w:r>
                            </w:p>
                          </w:sdtContent>
                        </w:sdt>
                        <w:sdt>
                          <w:sdtPr>
                            <w:alias w:val="1 d. 2 p."/>
                            <w:tag w:val="part_529c78b18ad5419b8f5551edd55cd068"/>
                            <w:id w:val="1401566917"/>
                            <w:lock w:val="sdtLocked"/>
                          </w:sdtPr>
                          <w:sdtEndPr/>
                          <w:sdtContent>
                            <w:p w:rsidR="008C4EDA" w:rsidRDefault="00F5364F">
                              <w:pPr>
                                <w:spacing w:line="360" w:lineRule="auto"/>
                                <w:ind w:firstLine="720"/>
                                <w:jc w:val="both"/>
                              </w:pPr>
                              <w:sdt>
                                <w:sdtPr>
                                  <w:alias w:val="Numeris"/>
                                  <w:tag w:val="nr_529c78b18ad5419b8f5551edd55cd068"/>
                                  <w:id w:val="729343891"/>
                                  <w:lock w:val="sdtLocked"/>
                                </w:sdtPr>
                                <w:sdtEndPr/>
                                <w:sdtContent>
                                  <w:r>
                                    <w:t>2</w:t>
                                  </w:r>
                                </w:sdtContent>
                              </w:sdt>
                              <w:r>
                                <w:t xml:space="preserve">) juridiniams asmenims – iki 10 procentų bendros metinės grynosios apyvartos praėjusiais finansiniais metais, jeigu pažeidžiamos Reglamento </w:t>
                              </w:r>
                              <w:hyperlink r:id="rId21" w:tgtFrame="_blank" w:history="1">
                                <w:r>
                                  <w:rPr>
                                    <w:color w:val="0000FF" w:themeColor="hyperlink"/>
                                    <w:u w:val="single"/>
                                  </w:rPr>
                                  <w:t>(ES) Nr. 260/2012</w:t>
                                </w:r>
                              </w:hyperlink>
                              <w:r>
                                <w:t xml:space="preserve"> 5d  straipsnio nuostatos;</w:t>
                              </w:r>
                            </w:p>
                          </w:sdtContent>
                        </w:sdt>
                        <w:sdt>
                          <w:sdtPr>
                            <w:alias w:val="1 d. 3 p."/>
                            <w:tag w:val="part_bf4aecc39be14e3ea820c0ff2f830797"/>
                            <w:id w:val="-2109494535"/>
                            <w:lock w:val="sdtLocked"/>
                          </w:sdtPr>
                          <w:sdtEndPr/>
                          <w:sdtContent>
                            <w:p w:rsidR="008C4EDA" w:rsidRDefault="00F5364F">
                              <w:pPr>
                                <w:spacing w:line="360" w:lineRule="auto"/>
                                <w:ind w:firstLine="720"/>
                                <w:jc w:val="both"/>
                                <w:rPr>
                                  <w:szCs w:val="24"/>
                                  <w:lang w:eastAsia="lt-LT"/>
                                </w:rPr>
                              </w:pPr>
                              <w:sdt>
                                <w:sdtPr>
                                  <w:alias w:val="Numeris"/>
                                  <w:tag w:val="nr_bf4aecc39be14e3ea820c0ff2f830797"/>
                                  <w:id w:val="1651015030"/>
                                  <w:lock w:val="sdtLocked"/>
                                </w:sdtPr>
                                <w:sdtEndPr/>
                                <w:sdtContent>
                                  <w:r>
                                    <w:t>3</w:t>
                                  </w:r>
                                </w:sdtContent>
                              </w:sdt>
                              <w:r>
                                <w:t>) juridinio asmens vadovams ir kitiems fiziniams asmenims – iki 50 000 eurų</w:t>
                              </w:r>
                              <w:r>
                                <w:rPr>
                                  <w:szCs w:val="24"/>
                                  <w:lang w:eastAsia="lt-LT"/>
                                </w:rPr>
                                <w:t>, išskyrus šios dalies 4 punkte nurodytus</w:t>
                              </w:r>
                              <w:r>
                                <w:rPr>
                                  <w:szCs w:val="24"/>
                                  <w:lang w:eastAsia="lt-LT"/>
                                </w:rPr>
                                <w:t xml:space="preserve"> atvejus;</w:t>
                              </w:r>
                            </w:p>
                          </w:sdtContent>
                        </w:sdt>
                        <w:sdt>
                          <w:sdtPr>
                            <w:alias w:val="1 d. 4 p."/>
                            <w:tag w:val="part_d582a5a7d6e545739ee949c585918241"/>
                            <w:id w:val="-985846488"/>
                            <w:lock w:val="sdtLocked"/>
                          </w:sdtPr>
                          <w:sdtEndPr/>
                          <w:sdtContent>
                            <w:p w:rsidR="008C4EDA" w:rsidRDefault="00F5364F">
                              <w:pPr>
                                <w:spacing w:line="360" w:lineRule="auto"/>
                                <w:ind w:firstLine="720"/>
                                <w:jc w:val="both"/>
                              </w:pPr>
                              <w:sdt>
                                <w:sdtPr>
                                  <w:alias w:val="Numeris"/>
                                  <w:tag w:val="nr_d582a5a7d6e545739ee949c585918241"/>
                                  <w:id w:val="1792008332"/>
                                  <w:lock w:val="sdtLocked"/>
                                </w:sdtPr>
                                <w:sdtEndPr/>
                                <w:sdtContent>
                                  <w:r>
                                    <w:t>4</w:t>
                                  </w:r>
                                </w:sdtContent>
                              </w:sdt>
                              <w:r>
                                <w:t xml:space="preserve">) juridinio asmens vadovams ir kitiems fiziniams asmenims – iki 5 000 000 eurų, jeigu pažeidžiamos Reglamento </w:t>
                              </w:r>
                              <w:hyperlink r:id="rId22" w:tgtFrame="_blank" w:history="1">
                                <w:r>
                                  <w:rPr>
                                    <w:color w:val="0000FF" w:themeColor="hyperlink"/>
                                    <w:u w:val="single"/>
                                  </w:rPr>
                                  <w:t>(ES) Nr. 260/2012</w:t>
                                </w:r>
                              </w:hyperlink>
                              <w:r>
                                <w:t xml:space="preserve"> 5d straipsni</w:t>
                              </w:r>
                              <w:r>
                                <w:t>o nuostatos.“</w:t>
                              </w:r>
                            </w:p>
                          </w:sdtContent>
                        </w:sdt>
                      </w:sdtContent>
                    </w:sdt>
                  </w:sdtContent>
                </w:sdt>
              </w:sdtContent>
            </w:sdt>
            <w:sdt>
              <w:sdtPr>
                <w:alias w:val="3 str. 2 d."/>
                <w:tag w:val="part_5f5e6aeab92b401386058e7d846b7f25"/>
                <w:id w:val="-1765984481"/>
                <w:lock w:val="sdtLocked"/>
              </w:sdtPr>
              <w:sdtEndPr/>
              <w:sdtContent>
                <w:p w:rsidR="008C4EDA" w:rsidRDefault="00F5364F">
                  <w:pPr>
                    <w:spacing w:line="360" w:lineRule="auto"/>
                    <w:ind w:firstLine="720"/>
                    <w:jc w:val="both"/>
                  </w:pPr>
                  <w:sdt>
                    <w:sdtPr>
                      <w:alias w:val="Numeris"/>
                      <w:tag w:val="nr_5f5e6aeab92b401386058e7d846b7f25"/>
                      <w:id w:val="-1175261340"/>
                      <w:lock w:val="sdtLocked"/>
                    </w:sdtPr>
                    <w:sdtEndPr/>
                    <w:sdtContent>
                      <w:r>
                        <w:t>2</w:t>
                      </w:r>
                    </w:sdtContent>
                  </w:sdt>
                  <w:r>
                    <w:t>. Pakeisti 81 straipsnio 2 dalį ir ją išdėstyti taip:</w:t>
                  </w:r>
                </w:p>
                <w:sdt>
                  <w:sdtPr>
                    <w:alias w:val="citata"/>
                    <w:tag w:val="part_6ed1e5e3b7b14f8cb5b9b3b0ab083613"/>
                    <w:id w:val="220414326"/>
                    <w:lock w:val="sdtLocked"/>
                  </w:sdtPr>
                  <w:sdtEndPr/>
                  <w:sdtContent>
                    <w:sdt>
                      <w:sdtPr>
                        <w:alias w:val="2 d."/>
                        <w:tag w:val="part_231a030fa6fe41d6b34e1bc1e58247c7"/>
                        <w:id w:val="862942719"/>
                        <w:lock w:val="sdtLocked"/>
                      </w:sdtPr>
                      <w:sdtEndPr/>
                      <w:sdtContent>
                        <w:p w:rsidR="008C4EDA" w:rsidRDefault="00F5364F">
                          <w:pPr>
                            <w:spacing w:line="360" w:lineRule="auto"/>
                            <w:ind w:firstLine="720"/>
                            <w:jc w:val="both"/>
                            <w:rPr>
                              <w:b/>
                              <w:bCs/>
                            </w:rPr>
                          </w:pPr>
                          <w:r>
                            <w:t>„</w:t>
                          </w:r>
                          <w:sdt>
                            <w:sdtPr>
                              <w:alias w:val="Numeris"/>
                              <w:tag w:val="nr_231a030fa6fe41d6b34e1bc1e58247c7"/>
                              <w:id w:val="997084395"/>
                              <w:lock w:val="sdtLocked"/>
                            </w:sdtPr>
                            <w:sdtEndPr/>
                            <w:sdtContent>
                              <w:r>
                                <w:t>2</w:t>
                              </w:r>
                            </w:sdtContent>
                          </w:sdt>
                          <w:r>
                            <w:t>. Juridinio asmens bendrosios metinės pajamos, pagal kurias nustatomas skiriamos baudos dydis, nustatomos pagal paskutinių sudarytų (pasirašytų) metinių finansinių ataskaitų</w:t>
                          </w:r>
                          <w:r>
                            <w:t xml:space="preserve"> duomenis. Jeigu juridinis asmuo priklauso patronuojančiajai įmonei, kaip ji apibrėžta Lietuvos Respublikos įmonių, priklausančių finansų konglomeratui, papildomos priežiūros įstatymo 2 straipsnio 22 dalyje, bendrosios metinės pajamos arba bendra metinė gr</w:t>
                          </w:r>
                          <w:r>
                            <w:t>ynoji apyvarta, pagal kurias nustatomas skiriamos baudos dydis, yra pajamos arba apyvarta, nurodytos pagrindinės patronuojančiosios įmonės paskutinėse sudarytose (pasirašytose) metinėse konsoliduotosiose finansinėse ataskaitose.“</w:t>
                          </w:r>
                        </w:p>
                        <w:p w:rsidR="008C4EDA" w:rsidRDefault="00F5364F">
                          <w:pPr>
                            <w:spacing w:line="360" w:lineRule="auto"/>
                            <w:ind w:firstLine="720"/>
                            <w:jc w:val="both"/>
                            <w:rPr>
                              <w:b/>
                              <w:bCs/>
                            </w:rPr>
                          </w:pPr>
                        </w:p>
                      </w:sdtContent>
                    </w:sdt>
                  </w:sdtContent>
                </w:sdt>
              </w:sdtContent>
            </w:sdt>
          </w:sdtContent>
        </w:sdt>
        <w:sdt>
          <w:sdtPr>
            <w:alias w:val="4 str."/>
            <w:tag w:val="part_62a49b42d1be4fb6b0dfb68bd793f4e2"/>
            <w:id w:val="-1968493140"/>
            <w:lock w:val="sdtLocked"/>
          </w:sdtPr>
          <w:sdtEndPr/>
          <w:sdtContent>
            <w:p w:rsidR="008C4EDA" w:rsidRDefault="00F5364F">
              <w:pPr>
                <w:spacing w:line="360" w:lineRule="auto"/>
                <w:ind w:firstLine="720"/>
                <w:jc w:val="both"/>
                <w:rPr>
                  <w:b/>
                  <w:bCs/>
                </w:rPr>
              </w:pPr>
              <w:sdt>
                <w:sdtPr>
                  <w:alias w:val="Numeris"/>
                  <w:tag w:val="nr_62a49b42d1be4fb6b0dfb68bd793f4e2"/>
                  <w:id w:val="-1731916331"/>
                  <w:lock w:val="sdtLocked"/>
                </w:sdtPr>
                <w:sdtEndPr/>
                <w:sdtContent>
                  <w:r>
                    <w:rPr>
                      <w:b/>
                      <w:bCs/>
                    </w:rPr>
                    <w:t>4</w:t>
                  </w:r>
                </w:sdtContent>
              </w:sdt>
              <w:r>
                <w:rPr>
                  <w:b/>
                  <w:bCs/>
                </w:rPr>
                <w:t xml:space="preserve"> straipsnis. </w:t>
              </w:r>
              <w:sdt>
                <w:sdtPr>
                  <w:alias w:val="Pavadinimas"/>
                  <w:tag w:val="title_62a49b42d1be4fb6b0dfb68bd793f4e2"/>
                  <w:id w:val="-196555166"/>
                  <w:lock w:val="sdtLocked"/>
                </w:sdtPr>
                <w:sdtEndPr/>
                <w:sdtContent>
                  <w:r>
                    <w:rPr>
                      <w:b/>
                      <w:bCs/>
                    </w:rPr>
                    <w:t>Į</w:t>
                  </w:r>
                  <w:r>
                    <w:rPr>
                      <w:b/>
                      <w:bCs/>
                    </w:rPr>
                    <w:t>statymo priedo pakeitimas</w:t>
                  </w:r>
                </w:sdtContent>
              </w:sdt>
            </w:p>
            <w:sdt>
              <w:sdtPr>
                <w:alias w:val="4 str. 1 d."/>
                <w:tag w:val="part_b9b55697936243fcbce7dde1bba218fa"/>
                <w:id w:val="1782445726"/>
                <w:lock w:val="sdtLocked"/>
              </w:sdtPr>
              <w:sdtEndPr/>
              <w:sdtContent>
                <w:p w:rsidR="008C4EDA" w:rsidRDefault="00F5364F">
                  <w:pPr>
                    <w:spacing w:line="360" w:lineRule="auto"/>
                    <w:ind w:firstLine="720"/>
                    <w:jc w:val="both"/>
                  </w:pPr>
                  <w:r>
                    <w:t>Pakeisti Įstatymo priedą ir jį išdėstyti taip:</w:t>
                  </w:r>
                </w:p>
                <w:sdt>
                  <w:sdtPr>
                    <w:alias w:val="citata"/>
                    <w:tag w:val="part_b4b01e64df0d4c2f9b486b06378af6a9"/>
                    <w:id w:val="1543710677"/>
                    <w:lock w:val="sdtLocked"/>
                  </w:sdtPr>
                  <w:sdtEndPr/>
                  <w:sdtContent>
                    <w:sdt>
                      <w:sdtPr>
                        <w:alias w:val="pr."/>
                        <w:tag w:val="part_41dd9a85d07a4876b299d085e942da07"/>
                        <w:id w:val="-1367593063"/>
                        <w:lock w:val="sdtLocked"/>
                      </w:sdtPr>
                      <w:sdtEndPr/>
                      <w:sdtContent>
                        <w:p w:rsidR="008C4EDA" w:rsidRDefault="00F5364F">
                          <w:pPr>
                            <w:widowControl w:val="0"/>
                            <w:tabs>
                              <w:tab w:val="left" w:pos="709"/>
                            </w:tabs>
                            <w:suppressAutoHyphens/>
                            <w:ind w:firstLine="6804"/>
                            <w:rPr>
                              <w:szCs w:val="24"/>
                            </w:rPr>
                          </w:pPr>
                          <w:r>
                            <w:rPr>
                              <w:szCs w:val="24"/>
                            </w:rPr>
                            <w:t>„Lietuvos Respublikos</w:t>
                          </w:r>
                        </w:p>
                        <w:p w:rsidR="008C4EDA" w:rsidRDefault="00F5364F">
                          <w:pPr>
                            <w:widowControl w:val="0"/>
                            <w:tabs>
                              <w:tab w:val="left" w:pos="709"/>
                            </w:tabs>
                            <w:suppressAutoHyphens/>
                            <w:ind w:firstLine="6804"/>
                            <w:rPr>
                              <w:szCs w:val="24"/>
                            </w:rPr>
                          </w:pPr>
                          <w:r>
                            <w:rPr>
                              <w:szCs w:val="24"/>
                            </w:rPr>
                            <w:t>mokėjimų įstatymo</w:t>
                          </w:r>
                        </w:p>
                        <w:p w:rsidR="008C4EDA" w:rsidRDefault="00F5364F">
                          <w:pPr>
                            <w:widowControl w:val="0"/>
                            <w:tabs>
                              <w:tab w:val="left" w:pos="709"/>
                            </w:tabs>
                            <w:suppressAutoHyphens/>
                            <w:ind w:firstLine="6804"/>
                            <w:rPr>
                              <w:szCs w:val="24"/>
                            </w:rPr>
                          </w:pPr>
                          <w:r>
                            <w:rPr>
                              <w:szCs w:val="24"/>
                            </w:rPr>
                            <w:t>priedas</w:t>
                          </w:r>
                        </w:p>
                        <w:p w:rsidR="008C4EDA" w:rsidRDefault="008C4EDA">
                          <w:pPr>
                            <w:widowControl w:val="0"/>
                            <w:tabs>
                              <w:tab w:val="left" w:pos="709"/>
                            </w:tabs>
                            <w:suppressAutoHyphens/>
                            <w:spacing w:line="360" w:lineRule="auto"/>
                            <w:ind w:firstLine="720"/>
                            <w:jc w:val="both"/>
                            <w:rPr>
                              <w:szCs w:val="24"/>
                            </w:rPr>
                          </w:pPr>
                        </w:p>
                        <w:p w:rsidR="008C4EDA" w:rsidRDefault="00F5364F">
                          <w:pPr>
                            <w:widowControl w:val="0"/>
                            <w:suppressAutoHyphens/>
                            <w:spacing w:line="360" w:lineRule="auto"/>
                            <w:jc w:val="center"/>
                            <w:rPr>
                              <w:b/>
                              <w:caps/>
                              <w:szCs w:val="24"/>
                            </w:rPr>
                          </w:pPr>
                          <w:sdt>
                            <w:sdtPr>
                              <w:alias w:val="Pavadinimas"/>
                              <w:tag w:val="title_41dd9a85d07a4876b299d085e942da07"/>
                              <w:id w:val="-417786486"/>
                              <w:lock w:val="sdtLocked"/>
                            </w:sdtPr>
                            <w:sdtEndPr/>
                            <w:sdtContent>
                              <w:r>
                                <w:rPr>
                                  <w:b/>
                                  <w:caps/>
                                  <w:szCs w:val="24"/>
                                </w:rPr>
                                <w:t>ĮGYVENDINAMI EUROPOS SĄJUNGOS TEISĖS AKTAI</w:t>
                              </w:r>
                            </w:sdtContent>
                          </w:sdt>
                        </w:p>
                        <w:p w:rsidR="008C4EDA" w:rsidRDefault="008C4EDA">
                          <w:pPr>
                            <w:widowControl w:val="0"/>
                            <w:tabs>
                              <w:tab w:val="left" w:pos="709"/>
                            </w:tabs>
                            <w:suppressAutoHyphens/>
                            <w:spacing w:line="360" w:lineRule="auto"/>
                            <w:ind w:firstLine="720"/>
                            <w:jc w:val="center"/>
                            <w:rPr>
                              <w:b/>
                              <w:bCs/>
                              <w:caps/>
                              <w:szCs w:val="24"/>
                            </w:rPr>
                          </w:pPr>
                        </w:p>
                        <w:sdt>
                          <w:sdtPr>
                            <w:alias w:val="pr. 1 p."/>
                            <w:tag w:val="part_d8d92350902b42d889c379767b392aaa"/>
                            <w:id w:val="15121909"/>
                            <w:lock w:val="sdtLocked"/>
                          </w:sdtPr>
                          <w:sdtEndPr/>
                          <w:sdtContent>
                            <w:p w:rsidR="008C4EDA" w:rsidRDefault="00F5364F">
                              <w:pPr>
                                <w:spacing w:line="360" w:lineRule="auto"/>
                                <w:ind w:firstLine="720"/>
                                <w:jc w:val="both"/>
                                <w:rPr>
                                  <w:szCs w:val="24"/>
                                </w:rPr>
                              </w:pPr>
                              <w:sdt>
                                <w:sdtPr>
                                  <w:alias w:val="Numeris"/>
                                  <w:tag w:val="nr_d8d92350902b42d889c379767b392aaa"/>
                                  <w:id w:val="-1581364290"/>
                                  <w:lock w:val="sdtLocked"/>
                                </w:sdtPr>
                                <w:sdtEndPr/>
                                <w:sdtContent>
                                  <w:r>
                                    <w:rPr>
                                      <w:szCs w:val="24"/>
                                    </w:rPr>
                                    <w:t>1</w:t>
                                  </w:r>
                                </w:sdtContent>
                              </w:sdt>
                              <w:r>
                                <w:rPr>
                                  <w:szCs w:val="24"/>
                                </w:rPr>
                                <w:t xml:space="preserve">. 2012 m. kovo 14 d. Europos Parlamento ir Tarybos reglamentas </w:t>
                              </w:r>
                              <w:hyperlink r:id="rId23" w:tgtFrame="_blank" w:history="1">
                                <w:r>
                                  <w:rPr>
                                    <w:color w:val="0000FF" w:themeColor="hyperlink"/>
                                    <w:szCs w:val="24"/>
                                    <w:u w:val="single"/>
                                  </w:rPr>
                                  <w:t>(ES) Nr. 260/2012</w:t>
                                </w:r>
                              </w:hyperlink>
                              <w:r>
                                <w:rPr>
                                  <w:szCs w:val="24"/>
                                </w:rPr>
                                <w:t>, kuriuo nustatomi kredito pervedimų ir tiesioginio debeto operacijų eurais techniniai ir komerciniai reikalavimai ir iš dalies keičiamas Re</w:t>
                              </w:r>
                              <w:r>
                                <w:rPr>
                                  <w:szCs w:val="24"/>
                                </w:rPr>
                                <w:t xml:space="preserve">glamentas </w:t>
                              </w:r>
                              <w:hyperlink r:id="rId24" w:tgtFrame="_blank" w:history="1">
                                <w:r>
                                  <w:rPr>
                                    <w:color w:val="0000FF" w:themeColor="hyperlink"/>
                                    <w:szCs w:val="24"/>
                                    <w:u w:val="single"/>
                                  </w:rPr>
                                  <w:t>(EB) Nr. 924/2009</w:t>
                                </w:r>
                              </w:hyperlink>
                              <w:r>
                                <w:rPr>
                                  <w:szCs w:val="24"/>
                                </w:rPr>
                                <w:t xml:space="preserve">, su paskutiniais pakeitimais, padarytais 2024 m. kovo 13 d. Europos Parlamento ir Tarybos reglamentu </w:t>
                              </w:r>
                              <w:hyperlink r:id="rId25" w:tgtFrame="_blank" w:history="1">
                                <w:r>
                                  <w:rPr>
                                    <w:color w:val="0000FF" w:themeColor="hyperlink"/>
                                    <w:szCs w:val="24"/>
                                    <w:u w:val="single"/>
                                  </w:rPr>
                                  <w:t>(ES) 2024/886</w:t>
                                </w:r>
                              </w:hyperlink>
                              <w:r>
                                <w:rPr>
                                  <w:szCs w:val="24"/>
                                </w:rPr>
                                <w:t>.</w:t>
                              </w:r>
                            </w:p>
                          </w:sdtContent>
                        </w:sdt>
                        <w:sdt>
                          <w:sdtPr>
                            <w:alias w:val="pr. 2 p."/>
                            <w:tag w:val="part_2c016d87a818400fb28360165daaa2e9"/>
                            <w:id w:val="550050541"/>
                            <w:lock w:val="sdtLocked"/>
                          </w:sdtPr>
                          <w:sdtEndPr/>
                          <w:sdtContent>
                            <w:p w:rsidR="008C4EDA" w:rsidRDefault="00F5364F">
                              <w:pPr>
                                <w:spacing w:line="360" w:lineRule="auto"/>
                                <w:ind w:firstLine="720"/>
                                <w:jc w:val="both"/>
                                <w:rPr>
                                  <w:szCs w:val="24"/>
                                </w:rPr>
                              </w:pPr>
                              <w:sdt>
                                <w:sdtPr>
                                  <w:alias w:val="Numeris"/>
                                  <w:tag w:val="nr_2c016d87a818400fb28360165daaa2e9"/>
                                  <w:id w:val="-1223909232"/>
                                  <w:lock w:val="sdtLocked"/>
                                </w:sdtPr>
                                <w:sdtEndPr/>
                                <w:sdtContent>
                                  <w:r>
                                    <w:rPr>
                                      <w:szCs w:val="24"/>
                                    </w:rPr>
                                    <w:t>2</w:t>
                                  </w:r>
                                </w:sdtContent>
                              </w:sdt>
                              <w:r>
                                <w:rPr>
                                  <w:szCs w:val="24"/>
                                </w:rPr>
                                <w:t xml:space="preserve">. 2014 m. liepos 23 d. Europos Parlamento ir Tarybos direktyva </w:t>
                              </w:r>
                              <w:hyperlink r:id="rId26" w:tgtFrame="_blank" w:history="1">
                                <w:r>
                                  <w:rPr>
                                    <w:color w:val="0000FF" w:themeColor="hyperlink"/>
                                    <w:szCs w:val="24"/>
                                    <w:u w:val="single"/>
                                  </w:rPr>
                                  <w:t>2014/92/ES</w:t>
                                </w:r>
                              </w:hyperlink>
                              <w:r>
                                <w:rPr>
                                  <w:szCs w:val="24"/>
                                </w:rPr>
                                <w:t xml:space="preserve"> dėl mokesčių, susijusių su mokėjimo sąskaitomis, palyginamumo, mokėjimo sąskaitų perkėlimo ir galimybės naudotis būtiniausias savybes turinčiomis mokėjimo sąskaitomis.</w:t>
                              </w:r>
                            </w:p>
                          </w:sdtContent>
                        </w:sdt>
                        <w:sdt>
                          <w:sdtPr>
                            <w:alias w:val="pr. 3 p."/>
                            <w:tag w:val="part_c0dae5c7483d40a8a61e8a5926251b34"/>
                            <w:id w:val="1155961140"/>
                            <w:lock w:val="sdtLocked"/>
                          </w:sdtPr>
                          <w:sdtEndPr/>
                          <w:sdtContent>
                            <w:p w:rsidR="008C4EDA" w:rsidRDefault="00F5364F">
                              <w:pPr>
                                <w:spacing w:line="360" w:lineRule="auto"/>
                                <w:ind w:firstLine="720"/>
                                <w:jc w:val="both"/>
                                <w:rPr>
                                  <w:szCs w:val="24"/>
                                </w:rPr>
                              </w:pPr>
                              <w:sdt>
                                <w:sdtPr>
                                  <w:alias w:val="Numeris"/>
                                  <w:tag w:val="nr_c0dae5c7483d40a8a61e8a5926251b34"/>
                                  <w:id w:val="1157339060"/>
                                  <w:lock w:val="sdtLocked"/>
                                </w:sdtPr>
                                <w:sdtEndPr/>
                                <w:sdtContent>
                                  <w:r>
                                    <w:rPr>
                                      <w:szCs w:val="24"/>
                                    </w:rPr>
                                    <w:t>3</w:t>
                                  </w:r>
                                </w:sdtContent>
                              </w:sdt>
                              <w:r>
                                <w:rPr>
                                  <w:szCs w:val="24"/>
                                </w:rPr>
                                <w:t xml:space="preserve">. 2015 m. balandžio 29 d. Europos Parlamento ir Tarybos reglamentas </w:t>
                              </w:r>
                              <w:hyperlink r:id="rId27" w:tgtFrame="_blank" w:history="1">
                                <w:r>
                                  <w:rPr>
                                    <w:color w:val="0000FF" w:themeColor="hyperlink"/>
                                    <w:szCs w:val="24"/>
                                    <w:u w:val="single"/>
                                  </w:rPr>
                                  <w:t>(ES) 2015/751</w:t>
                                </w:r>
                              </w:hyperlink>
                              <w:r>
                                <w:rPr>
                                  <w:szCs w:val="24"/>
                                </w:rPr>
                                <w:t xml:space="preserve"> dėl tarpbankinių mokesčių už kortele grindžiamas mokėjimo operacijas.</w:t>
                              </w:r>
                            </w:p>
                          </w:sdtContent>
                        </w:sdt>
                        <w:sdt>
                          <w:sdtPr>
                            <w:alias w:val="pr. 4 p."/>
                            <w:tag w:val="part_1ec849c050b64bf0abc9f1bea5577346"/>
                            <w:id w:val="-210193865"/>
                            <w:lock w:val="sdtLocked"/>
                          </w:sdtPr>
                          <w:sdtEndPr/>
                          <w:sdtContent>
                            <w:p w:rsidR="008C4EDA" w:rsidRDefault="00F5364F">
                              <w:pPr>
                                <w:spacing w:line="360" w:lineRule="auto"/>
                                <w:ind w:firstLine="720"/>
                                <w:jc w:val="both"/>
                                <w:rPr>
                                  <w:szCs w:val="24"/>
                                </w:rPr>
                              </w:pPr>
                              <w:sdt>
                                <w:sdtPr>
                                  <w:alias w:val="Numeris"/>
                                  <w:tag w:val="nr_1ec849c050b64bf0abc9f1bea5577346"/>
                                  <w:id w:val="-568569539"/>
                                  <w:lock w:val="sdtLocked"/>
                                </w:sdtPr>
                                <w:sdtEndPr/>
                                <w:sdtContent>
                                  <w:r>
                                    <w:rPr>
                                      <w:szCs w:val="24"/>
                                    </w:rPr>
                                    <w:t>4</w:t>
                                  </w:r>
                                </w:sdtContent>
                              </w:sdt>
                              <w:r>
                                <w:rPr>
                                  <w:szCs w:val="24"/>
                                </w:rPr>
                                <w:t xml:space="preserve">. 2015 m. lapkričio 25 d. Europos Parlamento ir Tarybos direktyva </w:t>
                              </w:r>
                              <w:hyperlink r:id="rId28" w:tgtFrame="_blank" w:history="1">
                                <w:r>
                                  <w:rPr>
                                    <w:color w:val="0000FF" w:themeColor="hyperlink"/>
                                    <w:szCs w:val="24"/>
                                    <w:u w:val="single"/>
                                  </w:rPr>
                                  <w:t>(ES) 2015/2366</w:t>
                                </w:r>
                              </w:hyperlink>
                              <w:r>
                                <w:rPr>
                                  <w:szCs w:val="24"/>
                                </w:rPr>
                                <w:t xml:space="preserve"> dėl mokėjimo paslaugų vidaus rinkoje, kuria iš dalies keičiamos direktyvos </w:t>
                              </w:r>
                              <w:hyperlink r:id="rId29" w:tgtFrame="_blank" w:history="1">
                                <w:r>
                                  <w:rPr>
                                    <w:color w:val="0000FF" w:themeColor="hyperlink"/>
                                    <w:szCs w:val="24"/>
                                    <w:u w:val="single"/>
                                  </w:rPr>
                                  <w:t>2002/65/EB</w:t>
                                </w:r>
                              </w:hyperlink>
                              <w:r>
                                <w:rPr>
                                  <w:szCs w:val="24"/>
                                </w:rPr>
                                <w:t xml:space="preserve">, </w:t>
                              </w:r>
                              <w:hyperlink r:id="rId30" w:tgtFrame="_blank" w:history="1">
                                <w:r>
                                  <w:rPr>
                                    <w:color w:val="0000FF" w:themeColor="hyperlink"/>
                                    <w:szCs w:val="24"/>
                                    <w:u w:val="single"/>
                                  </w:rPr>
                                  <w:t>2009/110/EB</w:t>
                                </w:r>
                              </w:hyperlink>
                              <w:r>
                                <w:rPr>
                                  <w:szCs w:val="24"/>
                                </w:rPr>
                                <w:t xml:space="preserve"> ir </w:t>
                              </w:r>
                              <w:hyperlink r:id="rId31" w:tgtFrame="_blank" w:history="1">
                                <w:r>
                                  <w:rPr>
                                    <w:color w:val="0000FF" w:themeColor="hyperlink"/>
                                    <w:szCs w:val="24"/>
                                    <w:u w:val="single"/>
                                  </w:rPr>
                                  <w:t>2013/36/ES</w:t>
                                </w:r>
                              </w:hyperlink>
                              <w:r>
                                <w:rPr>
                                  <w:szCs w:val="24"/>
                                </w:rPr>
                                <w:t xml:space="preserve"> bei Reglamentas </w:t>
                              </w:r>
                              <w:hyperlink r:id="rId32" w:tgtFrame="_blank" w:history="1">
                                <w:r>
                                  <w:rPr>
                                    <w:color w:val="0000FF" w:themeColor="hyperlink"/>
                                    <w:szCs w:val="24"/>
                                    <w:u w:val="single"/>
                                  </w:rPr>
                                  <w:t>(ES) Nr. 1093/2010</w:t>
                                </w:r>
                              </w:hyperlink>
                              <w:r>
                                <w:rPr>
                                  <w:szCs w:val="24"/>
                                </w:rPr>
                                <w:t xml:space="preserve"> ir panaikinama Direktyva </w:t>
                              </w:r>
                              <w:hyperlink r:id="rId33" w:tgtFrame="_blank" w:history="1">
                                <w:r>
                                  <w:rPr>
                                    <w:color w:val="0000FF" w:themeColor="hyperlink"/>
                                    <w:szCs w:val="24"/>
                                    <w:u w:val="single"/>
                                  </w:rPr>
                                  <w:t>2007/64/EB</w:t>
                                </w:r>
                              </w:hyperlink>
                              <w:r>
                                <w:rPr>
                                  <w:szCs w:val="24"/>
                                </w:rPr>
                                <w:t xml:space="preserve">, su paskutiniais pakeitimais, padarytais 2024 m. kovo 13 d. Europos Parlamento ir Tarybos reglamentu </w:t>
                              </w:r>
                              <w:hyperlink r:id="rId34" w:tgtFrame="_blank" w:history="1">
                                <w:r>
                                  <w:rPr>
                                    <w:color w:val="0000FF" w:themeColor="hyperlink"/>
                                    <w:szCs w:val="24"/>
                                    <w:u w:val="single"/>
                                  </w:rPr>
                                  <w:t>(ES) 2024/886</w:t>
                                </w:r>
                              </w:hyperlink>
                              <w:r>
                                <w:rPr>
                                  <w:szCs w:val="24"/>
                                </w:rPr>
                                <w:t>.</w:t>
                              </w:r>
                            </w:p>
                          </w:sdtContent>
                        </w:sdt>
                        <w:sdt>
                          <w:sdtPr>
                            <w:alias w:val="pr. 5 p."/>
                            <w:tag w:val="part_637af3e065424caba3d0cafe19ebde6d"/>
                            <w:id w:val="-1606259236"/>
                            <w:lock w:val="sdtLocked"/>
                          </w:sdtPr>
                          <w:sdtEndPr/>
                          <w:sdtContent>
                            <w:p w:rsidR="008C4EDA" w:rsidRDefault="00F5364F">
                              <w:pPr>
                                <w:spacing w:line="360" w:lineRule="auto"/>
                                <w:ind w:firstLine="720"/>
                                <w:jc w:val="both"/>
                                <w:rPr>
                                  <w:szCs w:val="24"/>
                                </w:rPr>
                              </w:pPr>
                              <w:sdt>
                                <w:sdtPr>
                                  <w:alias w:val="Numeris"/>
                                  <w:tag w:val="nr_637af3e065424caba3d0cafe19ebde6d"/>
                                  <w:id w:val="1501462767"/>
                                  <w:lock w:val="sdtLocked"/>
                                </w:sdtPr>
                                <w:sdtEndPr/>
                                <w:sdtContent>
                                  <w:r>
                                    <w:rPr>
                                      <w:szCs w:val="24"/>
                                    </w:rPr>
                                    <w:t>5</w:t>
                                  </w:r>
                                </w:sdtContent>
                              </w:sdt>
                              <w:r>
                                <w:rPr>
                                  <w:szCs w:val="24"/>
                                </w:rPr>
                                <w:t xml:space="preserve">. 2021 m. liepos 14 d. Europos Parlamento ir Tarybos reglamentas </w:t>
                              </w:r>
                              <w:hyperlink r:id="rId35" w:tgtFrame="_blank" w:history="1">
                                <w:r>
                                  <w:rPr>
                                    <w:color w:val="0000FF" w:themeColor="hyperlink"/>
                                    <w:szCs w:val="24"/>
                                    <w:u w:val="single"/>
                                  </w:rPr>
                                  <w:t>(ES) 2021/1230</w:t>
                                </w:r>
                              </w:hyperlink>
                              <w:r>
                                <w:rPr>
                                  <w:szCs w:val="24"/>
                                </w:rPr>
                                <w:t xml:space="preserve"> dėl tarptautinių mokėjimų Sąjungoje (kodifikuota redakcija), </w:t>
                              </w:r>
                              <w:r>
                                <w:t>su paskutini</w:t>
                              </w:r>
                              <w:r>
                                <w:t xml:space="preserve">ais pakeitimais, padarytais 2024 m. kovo 13 d. Europos Parlamento ir Tarybos reglamentu </w:t>
                              </w:r>
                              <w:hyperlink r:id="rId36" w:tgtFrame="_blank" w:history="1">
                                <w:r>
                                  <w:rPr>
                                    <w:color w:val="0000FF" w:themeColor="hyperlink"/>
                                    <w:u w:val="single"/>
                                  </w:rPr>
                                  <w:t>(ES) 2024/886</w:t>
                                </w:r>
                              </w:hyperlink>
                              <w:r>
                                <w:rPr>
                                  <w:szCs w:val="24"/>
                                </w:rPr>
                                <w:t>.</w:t>
                              </w:r>
                            </w:p>
                          </w:sdtContent>
                        </w:sdt>
                        <w:sdt>
                          <w:sdtPr>
                            <w:alias w:val="pr. 6 p."/>
                            <w:tag w:val="part_78ffc94e74ae493482a7174f39765ded"/>
                            <w:id w:val="2065375115"/>
                            <w:lock w:val="sdtLocked"/>
                            <w:placeholder>
                              <w:docPart w:val="DefaultPlaceholder_-1854013440"/>
                            </w:placeholder>
                          </w:sdtPr>
                          <w:sdtEndPr>
                            <w:rPr>
                              <w:szCs w:val="24"/>
                            </w:rPr>
                          </w:sdtEndPr>
                          <w:sdtContent>
                            <w:p w:rsidR="008C4EDA" w:rsidRDefault="00F5364F">
                              <w:pPr>
                                <w:spacing w:line="360" w:lineRule="auto"/>
                                <w:ind w:firstLine="720"/>
                                <w:jc w:val="both"/>
                                <w:rPr>
                                  <w:szCs w:val="24"/>
                                </w:rPr>
                              </w:pPr>
                              <w:sdt>
                                <w:sdtPr>
                                  <w:alias w:val="Numeris"/>
                                  <w:tag w:val="nr_78ffc94e74ae493482a7174f39765ded"/>
                                  <w:id w:val="-108816906"/>
                                  <w:lock w:val="sdtLocked"/>
                                </w:sdtPr>
                                <w:sdtEndPr/>
                                <w:sdtContent>
                                  <w:r>
                                    <w:rPr>
                                      <w:szCs w:val="24"/>
                                    </w:rPr>
                                    <w:t>6</w:t>
                                  </w:r>
                                </w:sdtContent>
                              </w:sdt>
                              <w:r>
                                <w:rPr>
                                  <w:szCs w:val="24"/>
                                </w:rPr>
                                <w:t>. 2023 m. gegužės 31 d. Europos Parlamento ir T</w:t>
                              </w:r>
                              <w:r>
                                <w:rPr>
                                  <w:szCs w:val="24"/>
                                </w:rPr>
                                <w:t xml:space="preserve">arybos reglamentas </w:t>
                              </w:r>
                              <w:hyperlink r:id="rId37" w:tgtFrame="_blank" w:history="1">
                                <w:r>
                                  <w:rPr>
                                    <w:color w:val="0000FF" w:themeColor="hyperlink"/>
                                    <w:szCs w:val="24"/>
                                    <w:u w:val="single"/>
                                  </w:rPr>
                                  <w:t>(ES) 2023/1113</w:t>
                                </w:r>
                              </w:hyperlink>
                              <w:r>
                                <w:rPr>
                                  <w:szCs w:val="24"/>
                                </w:rPr>
                                <w:t xml:space="preserve"> dėl informacijos, teikiamos pervedant lėšas ir tam tikrą </w:t>
                              </w:r>
                              <w:proofErr w:type="spellStart"/>
                              <w:r>
                                <w:rPr>
                                  <w:szCs w:val="24"/>
                                </w:rPr>
                                <w:t>kriptoturtą</w:t>
                              </w:r>
                              <w:proofErr w:type="spellEnd"/>
                              <w:r>
                                <w:rPr>
                                  <w:szCs w:val="24"/>
                                </w:rPr>
                                <w:t xml:space="preserve">, kuriuo iš dalies keičiama Direktyva </w:t>
                              </w:r>
                              <w:hyperlink r:id="rId38" w:tgtFrame="_blank" w:history="1">
                                <w:r>
                                  <w:rPr>
                                    <w:color w:val="0000FF" w:themeColor="hyperlink"/>
                                    <w:szCs w:val="24"/>
                                    <w:u w:val="single"/>
                                  </w:rPr>
                                  <w:t>(ES) 2015/849</w:t>
                                </w:r>
                              </w:hyperlink>
                              <w:r>
                                <w:rPr>
                                  <w:szCs w:val="24"/>
                                </w:rPr>
                                <w:t>.</w:t>
                              </w:r>
                            </w:p>
                          </w:sdtContent>
                        </w:sdt>
                        <w:sdt>
                          <w:sdtPr>
                            <w:rPr>
                              <w:szCs w:val="24"/>
                            </w:rPr>
                            <w:alias w:val="pabaiga"/>
                            <w:tag w:val="part_845644ebd2674bcca2091d8749a57ba0"/>
                            <w:id w:val="1176610859"/>
                            <w:lock w:val="sdtLocked"/>
                            <w:placeholder>
                              <w:docPart w:val="DefaultPlaceholder_-1854013440"/>
                            </w:placeholder>
                          </w:sdtPr>
                          <w:sdtEndPr>
                            <w:rPr>
                              <w:b/>
                              <w:bCs/>
                              <w:szCs w:val="20"/>
                            </w:rPr>
                          </w:sdtEndPr>
                          <w:sdtContent>
                            <w:p w:rsidR="008C4EDA" w:rsidRDefault="00F5364F">
                              <w:pPr>
                                <w:spacing w:line="360" w:lineRule="auto"/>
                                <w:jc w:val="center"/>
                              </w:pPr>
                              <w:r>
                                <w:rPr>
                                  <w:szCs w:val="24"/>
                                </w:rPr>
                                <w:t>_________________“.</w:t>
                              </w:r>
                            </w:p>
                            <w:p w:rsidR="008C4EDA" w:rsidRDefault="00F5364F">
                              <w:pPr>
                                <w:spacing w:line="360" w:lineRule="auto"/>
                                <w:ind w:firstLine="720"/>
                                <w:jc w:val="both"/>
                                <w:rPr>
                                  <w:b/>
                                  <w:bCs/>
                                </w:rPr>
                              </w:pPr>
                            </w:p>
                          </w:sdtContent>
                        </w:sdt>
                      </w:sdtContent>
                    </w:sdt>
                  </w:sdtContent>
                </w:sdt>
              </w:sdtContent>
            </w:sdt>
          </w:sdtContent>
        </w:sdt>
        <w:sdt>
          <w:sdtPr>
            <w:alias w:val="5 str."/>
            <w:tag w:val="part_09b603868c114283a559d91126592ca6"/>
            <w:id w:val="-1251118422"/>
            <w:lock w:val="sdtLocked"/>
          </w:sdtPr>
          <w:sdtEndPr/>
          <w:sdtContent>
            <w:p w:rsidR="008C4EDA" w:rsidRDefault="00F5364F">
              <w:pPr>
                <w:spacing w:line="360" w:lineRule="auto"/>
                <w:ind w:firstLine="720"/>
                <w:jc w:val="both"/>
              </w:pPr>
              <w:sdt>
                <w:sdtPr>
                  <w:alias w:val="Numeris"/>
                  <w:tag w:val="nr_09b603868c114283a559d91126592ca6"/>
                  <w:id w:val="1566758954"/>
                  <w:lock w:val="sdtLocked"/>
                </w:sdtPr>
                <w:sdtEndPr/>
                <w:sdtContent>
                  <w:r>
                    <w:rPr>
                      <w:b/>
                      <w:bCs/>
                    </w:rPr>
                    <w:t>5</w:t>
                  </w:r>
                </w:sdtContent>
              </w:sdt>
              <w:r>
                <w:rPr>
                  <w:b/>
                  <w:bCs/>
                </w:rPr>
                <w:t xml:space="preserve"> straipsnis. </w:t>
              </w:r>
              <w:sdt>
                <w:sdtPr>
                  <w:alias w:val="Pavadinimas"/>
                  <w:tag w:val="title_09b603868c114283a559d91126592ca6"/>
                  <w:id w:val="869182102"/>
                  <w:lock w:val="sdtLocked"/>
                </w:sdtPr>
                <w:sdtEndPr/>
                <w:sdtContent>
                  <w:r>
                    <w:rPr>
                      <w:b/>
                      <w:bCs/>
                      <w:szCs w:val="24"/>
                    </w:rPr>
                    <w:t>Įstatymo</w:t>
                  </w:r>
                  <w:r>
                    <w:rPr>
                      <w:b/>
                      <w:szCs w:val="24"/>
                    </w:rPr>
                    <w:t xml:space="preserve"> įsigaliojimas</w:t>
                  </w:r>
                  <w:r>
                    <w:t xml:space="preserve"> </w:t>
                  </w:r>
                  <w:r>
                    <w:rPr>
                      <w:b/>
                      <w:szCs w:val="24"/>
                    </w:rPr>
                    <w:t>ir įgyvendinimas</w:t>
                  </w:r>
                </w:sdtContent>
              </w:sdt>
            </w:p>
            <w:sdt>
              <w:sdtPr>
                <w:alias w:val="5 str. 1 d."/>
                <w:tag w:val="part_3d3a5010ee1945f1a1b0ecd26f599a8b"/>
                <w:id w:val="165526323"/>
                <w:lock w:val="sdtLocked"/>
              </w:sdtPr>
              <w:sdtEndPr/>
              <w:sdtContent>
                <w:p w:rsidR="008C4EDA" w:rsidRDefault="00F5364F">
                  <w:pPr>
                    <w:widowControl w:val="0"/>
                    <w:suppressAutoHyphens/>
                    <w:spacing w:line="360" w:lineRule="auto"/>
                    <w:ind w:firstLine="720"/>
                    <w:jc w:val="both"/>
                  </w:pPr>
                  <w:sdt>
                    <w:sdtPr>
                      <w:alias w:val="Numeris"/>
                      <w:tag w:val="nr_3d3a5010ee1945f1a1b0ecd26f599a8b"/>
                      <w:id w:val="-1745103107"/>
                      <w:lock w:val="sdtLocked"/>
                    </w:sdtPr>
                    <w:sdtEndPr/>
                    <w:sdtContent>
                      <w:r>
                        <w:rPr>
                          <w:szCs w:val="24"/>
                        </w:rPr>
                        <w:t>1</w:t>
                      </w:r>
                    </w:sdtContent>
                  </w:sdt>
                  <w:r>
                    <w:rPr>
                      <w:szCs w:val="24"/>
                    </w:rPr>
                    <w:t>. Šis įstatymas, išskyrus šio straipsnio 2 dalį, įsigalioja 202</w:t>
                  </w:r>
                  <w:r>
                    <w:rPr>
                      <w:szCs w:val="24"/>
                    </w:rPr>
                    <w:t>5 m. balandžio 9 d.</w:t>
                  </w:r>
                </w:p>
              </w:sdtContent>
            </w:sdt>
            <w:sdt>
              <w:sdtPr>
                <w:alias w:val="5 str. 2 d."/>
                <w:tag w:val="part_e2aefff112314a81953eeb2391e9c0d0"/>
                <w:id w:val="175935782"/>
                <w:lock w:val="sdtLocked"/>
              </w:sdtPr>
              <w:sdtEndPr/>
              <w:sdtContent>
                <w:p w:rsidR="008C4EDA" w:rsidRDefault="00F5364F">
                  <w:pPr>
                    <w:widowControl w:val="0"/>
                    <w:suppressAutoHyphens/>
                    <w:spacing w:line="360" w:lineRule="auto"/>
                    <w:ind w:firstLine="720"/>
                    <w:jc w:val="both"/>
                  </w:pPr>
                  <w:sdt>
                    <w:sdtPr>
                      <w:alias w:val="Numeris"/>
                      <w:tag w:val="nr_e2aefff112314a81953eeb2391e9c0d0"/>
                      <w:id w:val="8730920"/>
                      <w:lock w:val="sdtLocked"/>
                    </w:sdtPr>
                    <w:sdtEndPr/>
                    <w:sdtContent>
                      <w:r>
                        <w:rPr>
                          <w:szCs w:val="24"/>
                        </w:rPr>
                        <w:t>2</w:t>
                      </w:r>
                    </w:sdtContent>
                  </w:sdt>
                  <w:r>
                    <w:rPr>
                      <w:szCs w:val="24"/>
                    </w:rPr>
                    <w:t>. Lietuvos bankas iki 2025 m. kovo 8 d. priima šio įstatymo įgyvendinamuosius teisės aktus.</w:t>
                  </w:r>
                </w:p>
                <w:p w:rsidR="008C4EDA" w:rsidRDefault="00F5364F">
                  <w:pPr>
                    <w:spacing w:line="360" w:lineRule="auto"/>
                    <w:ind w:firstLine="720"/>
                    <w:jc w:val="both"/>
                    <w:rPr>
                      <w:i/>
                      <w:szCs w:val="24"/>
                    </w:rPr>
                  </w:pPr>
                </w:p>
              </w:sdtContent>
            </w:sdt>
          </w:sdtContent>
        </w:sdt>
        <w:sdt>
          <w:sdtPr>
            <w:alias w:val="signatura"/>
            <w:tag w:val="part_3e7f1f20e59c4477a80a1fd95aba6c4f"/>
            <w:id w:val="985196136"/>
            <w:lock w:val="sdtLocked"/>
          </w:sdtPr>
          <w:sdtEndPr/>
          <w:sdtContent>
            <w:bookmarkStart w:id="0" w:name="_GoBack" w:displacedByCustomXml="prev"/>
            <w:p w:rsidR="008C4EDA" w:rsidRDefault="00F5364F">
              <w:pPr>
                <w:spacing w:line="360" w:lineRule="auto"/>
                <w:ind w:firstLine="720"/>
                <w:jc w:val="both"/>
                <w:rPr>
                  <w:i/>
                  <w:szCs w:val="24"/>
                </w:rPr>
              </w:pPr>
              <w:r>
                <w:rPr>
                  <w:i/>
                  <w:szCs w:val="24"/>
                </w:rPr>
                <w:t>Skelbiu šį Lietuvos Respublikos Seimo priimtą įstatymą.</w:t>
              </w:r>
            </w:p>
            <w:p w:rsidR="008C4EDA" w:rsidRDefault="008C4EDA" w:rsidP="00F5364F">
              <w:pPr>
                <w:rPr>
                  <w:i/>
                  <w:szCs w:val="24"/>
                </w:rPr>
              </w:pPr>
            </w:p>
            <w:p w:rsidR="008C4EDA" w:rsidRDefault="008C4EDA" w:rsidP="00F5364F">
              <w:pPr>
                <w:rPr>
                  <w:i/>
                  <w:szCs w:val="24"/>
                </w:rPr>
              </w:pPr>
            </w:p>
            <w:p w:rsidR="008C4EDA" w:rsidRDefault="008C4EDA" w:rsidP="00F5364F"/>
            <w:p w:rsidR="008C4EDA" w:rsidRDefault="00F5364F" w:rsidP="00F5364F">
              <w:pPr>
                <w:tabs>
                  <w:tab w:val="right" w:pos="9356"/>
                </w:tabs>
              </w:pPr>
              <w:proofErr w:type="spellStart"/>
              <w:r>
                <w:rPr>
                  <w:lang w:val="en-US"/>
                </w:rPr>
                <w:t>Respublikos</w:t>
              </w:r>
              <w:proofErr w:type="spellEnd"/>
              <w:r>
                <w:rPr>
                  <w:lang w:val="en-US"/>
                </w:rPr>
                <w:t xml:space="preserve">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bookmarkEnd w:id="0" w:displacedByCustomXml="next"/>
          </w:sdtContent>
        </w:sdt>
      </w:sdtContent>
    </w:sdt>
    <w:sectPr w:rsidR="008C4ED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4EDA" w:rsidRDefault="00F5364F">
      <w:pPr>
        <w:rPr>
          <w:rFonts w:ascii="TimesLT" w:hAnsi="TimesLT"/>
          <w:lang w:val="en-US"/>
        </w:rPr>
      </w:pPr>
      <w:r>
        <w:rPr>
          <w:rFonts w:ascii="TimesLT" w:hAnsi="TimesLT"/>
          <w:lang w:val="en-US"/>
        </w:rPr>
        <w:separator/>
      </w:r>
    </w:p>
  </w:endnote>
  <w:endnote w:type="continuationSeparator" w:id="0">
    <w:p w:rsidR="008C4EDA" w:rsidRDefault="00F5364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F5364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C4EDA" w:rsidRDefault="008C4ED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8C4ED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8C4ED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4EDA" w:rsidRDefault="00F5364F">
      <w:pPr>
        <w:rPr>
          <w:rFonts w:ascii="TimesLT" w:hAnsi="TimesLT"/>
          <w:lang w:val="en-US"/>
        </w:rPr>
      </w:pPr>
      <w:r>
        <w:rPr>
          <w:rFonts w:ascii="TimesLT" w:hAnsi="TimesLT"/>
          <w:lang w:val="en-US"/>
        </w:rPr>
        <w:separator/>
      </w:r>
    </w:p>
  </w:footnote>
  <w:footnote w:type="continuationSeparator" w:id="0">
    <w:p w:rsidR="008C4EDA" w:rsidRDefault="00F5364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F5364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C4EDA" w:rsidRDefault="008C4ED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F5364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8C4EDA" w:rsidRDefault="008C4ED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EDA" w:rsidRDefault="008C4ED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95F"/>
    <w:rsid w:val="008C4EDA"/>
    <w:rsid w:val="0095495F"/>
    <w:rsid w:val="00F536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20B17CC-F291-4ED3-84B6-EE78D9C47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36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eur-lex.europa.eu/legal-content/LIT/TXT/?uri=CELEX:32014R0909&amp;locale=lt" TargetMode="External"/><Relationship Id="rId26" Type="http://schemas.openxmlformats.org/officeDocument/2006/relationships/hyperlink" Target="http://eur-lex.europa.eu/legal-content/LIT/TXT/?uri=CELEX:32014L0092&amp;locale=lt"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eur-lex.europa.eu/legal-content/LIT/TXT/?uri=CELEX:32012R0260&amp;locale=lt" TargetMode="External"/><Relationship Id="rId34" Type="http://schemas.openxmlformats.org/officeDocument/2006/relationships/hyperlink" Target="http://eur-lex.europa.eu/legal-content/LIT/TXT/?uri=CELEX:32024R0886&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14R0600&amp;locale=lt" TargetMode="External"/><Relationship Id="rId25" Type="http://schemas.openxmlformats.org/officeDocument/2006/relationships/hyperlink" Target="http://eur-lex.europa.eu/legal-content/LIT/TXT/?uri=CELEX:32024R0886&amp;locale=lt" TargetMode="External"/><Relationship Id="rId33" Type="http://schemas.openxmlformats.org/officeDocument/2006/relationships/hyperlink" Target="http://eur-lex.europa.eu/legal-content/LIT/TXT/?uri=CELEX:32007L0064&amp;locale=lt" TargetMode="External"/><Relationship Id="rId38" Type="http://schemas.openxmlformats.org/officeDocument/2006/relationships/hyperlink" Target="http://eur-lex.europa.eu/legal-content/LIT/TXT/?uri=CELEX:32015L0849&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12R0648&amp;locale=lt" TargetMode="External"/><Relationship Id="rId20" Type="http://schemas.openxmlformats.org/officeDocument/2006/relationships/hyperlink" Target="http://eur-lex.europa.eu/legal-content/LIT/TXT/?uri=CELEX:32366L2015&amp;locale=lt" TargetMode="External"/><Relationship Id="rId29" Type="http://schemas.openxmlformats.org/officeDocument/2006/relationships/hyperlink" Target="http://eur-lex.europa.eu/legal-content/LIT/TXT/?uri=CELEX:32002L0065&amp;locale=l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09R0924&amp;locale=lt" TargetMode="External"/><Relationship Id="rId32" Type="http://schemas.openxmlformats.org/officeDocument/2006/relationships/hyperlink" Target="http://eur-lex.europa.eu/legal-content/LIT/TXT/?uri=CELEX:32010R1093&amp;locale=lt" TargetMode="External"/><Relationship Id="rId37" Type="http://schemas.openxmlformats.org/officeDocument/2006/relationships/hyperlink" Target="http://eur-lex.europa.eu/legal-content/LIT/TXT/?uri=CELEX:32023R1113&amp;locale=lt" TargetMode="External"/><Relationship Id="rId40"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hyperlink" Target="http://eur-lex.europa.eu/legal-content/LIT/TXT/?uri=CELEX:32009R1060&amp;locale=lt" TargetMode="External"/><Relationship Id="rId23" Type="http://schemas.openxmlformats.org/officeDocument/2006/relationships/hyperlink" Target="http://eur-lex.europa.eu/legal-content/LIT/TXT/?uri=CELEX:32012R0260&amp;locale=lt" TargetMode="External"/><Relationship Id="rId28" Type="http://schemas.openxmlformats.org/officeDocument/2006/relationships/hyperlink" Target="http://eur-lex.europa.eu/legal-content/LIT/TXT/?uri=CELEX:32015L2366&amp;locale=lt" TargetMode="External"/><Relationship Id="rId36" Type="http://schemas.openxmlformats.org/officeDocument/2006/relationships/hyperlink" Target="http://eur-lex.europa.eu/legal-content/LIT/TXT/?uri=CELEX:32024R0886&amp;locale=lt" TargetMode="External"/><Relationship Id="rId10" Type="http://schemas.openxmlformats.org/officeDocument/2006/relationships/footer" Target="footer1.xml"/><Relationship Id="rId19" Type="http://schemas.openxmlformats.org/officeDocument/2006/relationships/hyperlink" Target="http://eur-lex.europa.eu/legal-content/LIT/TXT/?uri=CELEX:32016R1011&amp;locale=lt" TargetMode="External"/><Relationship Id="rId31" Type="http://schemas.openxmlformats.org/officeDocument/2006/relationships/hyperlink" Target="http://eur-lex.europa.eu/legal-content/LIT/TXT/?uri=CELEX:32013L0036&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2R2554&amp;locale=lt" TargetMode="External"/><Relationship Id="rId22" Type="http://schemas.openxmlformats.org/officeDocument/2006/relationships/hyperlink" Target="http://eur-lex.europa.eu/legal-content/LIT/TXT/?uri=CELEX:32012R0260&amp;locale=lt" TargetMode="External"/><Relationship Id="rId27" Type="http://schemas.openxmlformats.org/officeDocument/2006/relationships/hyperlink" Target="http://eur-lex.europa.eu/legal-content/LIT/TXT/?uri=CELEX:32015R0751&amp;locale=lt" TargetMode="External"/><Relationship Id="rId30" Type="http://schemas.openxmlformats.org/officeDocument/2006/relationships/hyperlink" Target="http://eur-lex.europa.eu/legal-content/LIT/TXT/?uri=CELEX:32009L0110&amp;locale=lt" TargetMode="External"/><Relationship Id="rId35" Type="http://schemas.openxmlformats.org/officeDocument/2006/relationships/hyperlink" Target="http://eur-lex.europa.eu/legal-content/LIT/TXT/?uri=CELEX:32021R1230&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13ABCDB-2758-48A5-9129-34C0CDC98423}"/>
      </w:docPartPr>
      <w:docPartBody>
        <w:p w:rsidR="00000000" w:rsidRDefault="001144DD">
          <w:r w:rsidRPr="005F46D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4DD"/>
    <w:rsid w:val="001144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4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7156bde029e43d798830bbc9a6a2c5b" PartId="10d391d989ce49d9a7a83369a2eeaada">
    <Part Type="straipsnis" Nr="1" Abbr="1 str." Title="9 straipsnio pakeitimas" DocPartId="f0f672631b5d41fc90caa10cb24439e0" PartId="55c844ddf22d433d866ab52d66ca99bf">
      <Part Type="strDalis" Nr="1" Abbr="1 str. 1 d." DocPartId="55f17e59440e4c89b166cbebd9e2cd1a" PartId="4dcb2396f4d04a89ba10f7692b93497b">
        <Part Type="citata" DocPartId="82ec204a8996477fbd8cbd6adcb7fa1b" PartId="9ab5c3e7c461414da0c4f4a8502916ee">
          <Part Type="strDalis" Nr="4" Abbr="4 d." DocPartId="4c3e8e9570a943ce833cc3aa063b1e2d" PartId="f7da10a556ba44d8af1593d3b3837e80"/>
        </Part>
      </Part>
      <Part Type="strDalis" Nr="2" Abbr="1 str. 2 d." DocPartId="9ca0b8c14ba8414cba9c52adae5bcfc5" PartId="dc67097516594e648e37fc5b33335503">
        <Part Type="citata" DocPartId="9cac187eec61460ea5c348f9b9e77215" PartId="4cc32d69b00646f7ab01ffb489f9736b">
          <Part Type="strDalis" Nr="5" Abbr="5 d." DocPartId="07408acecb7a4218a0b547ebec75ee28" PartId="e6c7611c5dc2496dbf65288a76d68088"/>
        </Part>
      </Part>
    </Part>
    <Part Type="straipsnis" Nr="2" Abbr="2 str." Title="Įstatymo papildymas 9¹ straipsniu" DocPartId="1f657032b8f94dc3864e21c02cfb71cb" PartId="ca7296d814bc4ca689a804988cc7d4e8">
      <Part Type="strDalis" Nr="1" Abbr="2 str. 1 d." DocPartId="6296e38d0eb242d49efbcb743a871633" PartId="9a150e41a3ef416287bf744a8a32dfe7">
        <Part Type="citata" DocPartId="1a26376e5a8d4ee39d101816d2a28ab3" PartId="606f122fce154ee5b15535948ae324fc">
          <Part Type="straipsnis" Nr="9-1" Abbr="9-1 str." Title="Dalyvavimo nustatytose mokėjimo sistemose sąlygos" DocPartId="c505ff7d41884fb09ebc9590bb7a6e67" PartId="4d467a315f134d6e82ef9e175683e1f9">
            <Part Type="strDalis" Nr="1" Abbr="9-1 str. 1 d." DocPartId="38a8d244f80b49eb882d45a9c19fb494" PartId="7f9ea41b09f64d67983a6289841a60b0">
              <Part Type="strPunktas" Nr="1" Abbr="9-1 str. 1 d. 1 p." DocPartId="77b21c0a2d414112adbeea3bbc2ddb83" PartId="dc638aab546e4ff79d20add62a689786"/>
              <Part Type="strPunktas" Nr="2" Abbr="9-1 str. 1 d. 2 p." DocPartId="fdcf6e4dd4184eb69df1a2437135b710" PartId="909517e1df794c76836d8f2069c566cd"/>
              <Part Type="strPunktas" Nr="3" Abbr="9-1 str. 1 d. 3 p." DocPartId="9762f62702f54ea596fc62dae135ac1a" PartId="de99ca339ac54647943b75c303e27f09"/>
            </Part>
            <Part Type="strDalis" Nr="2" Abbr="9-1 str. 2 d." DocPartId="092f071309ca4ebb8d02681e194be628" PartId="86c6b6c40c0241a0a4620f43976c1184"/>
            <Part Type="strDalis" Nr="3" Abbr="9-1 str. 3 d." DocPartId="f65cc604b8b14a69bebdbbc7fb3b50f5" PartId="7084727c2e8f48e3b57011de8e235dbe">
              <Part Type="strPunktas" Nr="1" Abbr="9-1 str. 3 d. 1 p." DocPartId="821ed81c761743118fbf78ba5ab8a667" PartId="8df6846c500e4c0296094f037c7c7b46"/>
              <Part Type="strPunktas" Nr="2" Abbr="9-1 str. 3 d. 2 p." DocPartId="60bb725383b54fa6bea3ad8299c60cac" PartId="94dec00d17c0448991b455143cc100f7"/>
            </Part>
            <Part Type="strDalis" Nr="4" Abbr="9-1 str. 4 d." DocPartId="59e133b58f464f4cbc99760e6d3e6d46" PartId="ce7cc32d40b1489eb8dd7022707a30b2"/>
          </Part>
        </Part>
      </Part>
    </Part>
    <Part Type="straipsnis" Nr="3" Abbr="3 str." Title="81 straipsnio pakeitimas" DocPartId="ba76dd38cd214ba6977555c9a7a88dfd" PartId="3c3cd2411fa54179bb5855c38e8c3dd6">
      <Part Type="strDalis" Nr="1" Abbr="3 str. 1 d." DocPartId="c481b1a3bd744cbd9215775eae2de747" PartId="95fe91a6f9e54fb390c4303f6a367146">
        <Part Type="citata" DocPartId="689a76ebb65748579c9a3d45174bb060" PartId="3e249b9eea864490abf743603b9e3fb6">
          <Part Type="strDalis" Nr="1" Abbr="1 d." DocPartId="3296bbb02e764e15953f7b6471734883" PartId="170ea9af56c04b38854f39a8b756bd86">
            <Part Type="strPunktas" Nr="1" Abbr="1 d. 1 p." DocPartId="01749d2d7c0a4b408706d1dc7b577378" PartId="4691aa8de75b4b8ca831dc684d8ea463"/>
            <Part Type="strPunktas" Nr="2" Abbr="1 d. 2 p." DocPartId="dc5643ae670b453287286c4cca522d03" PartId="529c78b18ad5419b8f5551edd55cd068"/>
            <Part Type="strPunktas" Nr="3" Abbr="1 d. 3 p." DocPartId="a87e1d06a3454525a22af29f56975cbf" PartId="bf4aecc39be14e3ea820c0ff2f830797"/>
            <Part Type="strPunktas" Nr="4" Abbr="1 d. 4 p." DocPartId="ef93483e36b9436f9a23c5b1da9e540e" PartId="d582a5a7d6e545739ee949c585918241"/>
          </Part>
        </Part>
      </Part>
      <Part Type="strDalis" Nr="2" Abbr="3 str. 2 d." DocPartId="d82e87d7011e42d89a2c57d15a917e8d" PartId="5f5e6aeab92b401386058e7d846b7f25">
        <Part Type="citata" DocPartId="70c41174c4954638b1f9bdc478ba6d23" PartId="6ed1e5e3b7b14f8cb5b9b3b0ab083613">
          <Part Type="strDalis" Nr="2" Abbr="2 d." DocPartId="9c3c2f55234f46b7a756219fe73b1201" PartId="231a030fa6fe41d6b34e1bc1e58247c7"/>
        </Part>
      </Part>
    </Part>
    <Part Type="straipsnis" Nr="4" Abbr="4 str." Title="Įstatymo priedo pakeitimas" DocPartId="b1743a4d06664e949b9dccc826877705" PartId="62a49b42d1be4fb6b0dfb68bd793f4e2">
      <Part Type="strDalis" Nr="1" Abbr="4 str. 1 d." DocPartId="58438a7cf09c48cf9eae5635962c8c9b" PartId="b9b55697936243fcbce7dde1bba218fa">
        <Part Type="citata" DocPartId="1f6ee9a35ddf46bd827b3fa0a043c525" PartId="b4b01e64df0d4c2f9b486b06378af6a9">
          <Part Type="priedas" Abbr="pr." Title="ĮGYVENDINAMI EUROPOS SĄJUNGOS TEISĖS AKTAI" DocPartId="671f977ae7364df8b6e2212f59219853" PartId="41dd9a85d07a4876b299d085e942da07">
            <Part Type="punktas" Nr="1" Abbr="pr. 1 p." DocPartId="a77a1400f05c4abf8fdebc0db358a5ea" PartId="d8d92350902b42d889c379767b392aaa"/>
            <Part Type="punktas" Nr="2" Abbr="pr. 2 p." DocPartId="e3dc915218b24bb59c679209e4524cc1" PartId="2c016d87a818400fb28360165daaa2e9"/>
            <Part Type="punktas" Nr="3" Abbr="pr. 3 p." DocPartId="b6676cfa505c4ad4a9e6403b0371ac0d" PartId="c0dae5c7483d40a8a61e8a5926251b34"/>
            <Part Type="punktas" Nr="4" Abbr="pr. 4 p." DocPartId="943011a4e3794bfd8ec3698ebbaf357c" PartId="1ec849c050b64bf0abc9f1bea5577346"/>
            <Part Type="punktas" Nr="5" Abbr="pr. 5 p." DocPartId="a4ee45ff10684aa49f39fb748af40bb6" PartId="637af3e065424caba3d0cafe19ebde6d"/>
            <Part Type="punktas" Nr="6" Abbr="pr. 6 p." DocPartId="b8b69e175fe44c908e35be86e827b2de" PartId="78ffc94e74ae493482a7174f39765ded"/>
            <Part Type="pabaiga" DocPartId="25a40424807849f9b3f81c12ff286a44" PartId="845644ebd2674bcca2091d8749a57ba0"/>
          </Part>
        </Part>
      </Part>
    </Part>
    <Part Type="straipsnis" Nr="5" Abbr="5 str." Title="Įstatymo įsigaliojimas ir įgyvendinimas" DocPartId="c46911a3dcc34f79a5841c7a0692e059" PartId="09b603868c114283a559d91126592ca6">
      <Part Type="strDalis" Nr="1" Abbr="5 str. 1 d." DocPartId="32860aebf3ec4a03a34d08b913dc4fb5" PartId="3d3a5010ee1945f1a1b0ecd26f599a8b"/>
      <Part Type="strDalis" Nr="2" Abbr="5 str. 2 d." DocPartId="c2fa02782ad94c80a0b285c3c83e4933" PartId="e2aefff112314a81953eeb2391e9c0d0"/>
    </Part>
    <Part Type="signatura" DocPartId="4db89503621c4cb19f4de8320c251952" PartId="3e7f1f20e59c4477a80a1fd95aba6c4f"/>
  </Part>
</Parts>
</file>

<file path=customXml/itemProps1.xml><?xml version="1.0" encoding="utf-8"?>
<ds:datastoreItem xmlns:ds="http://schemas.openxmlformats.org/officeDocument/2006/customXml" ds:itemID="{C67243FC-DC76-465A-97D2-2DC07BD952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958</Words>
  <Characters>9247</Characters>
  <Application>Microsoft Office Word</Application>
  <DocSecurity>0</DocSecurity>
  <Lines>77</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10185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Jolanta Jūrėnienė</cp:lastModifiedBy>
  <cp:revision>3</cp:revision>
  <cp:lastPrinted>2024-11-12T08:38:00Z</cp:lastPrinted>
  <dcterms:created xsi:type="dcterms:W3CDTF">2024-11-13T13:36:00Z</dcterms:created>
  <dcterms:modified xsi:type="dcterms:W3CDTF">2024-11-19T13:18:00Z</dcterms:modified>
</cp:coreProperties>
</file>