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:rsidR="00BA4C3D" w:rsidRDefault="0027343F" w:rsidP="0027343F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5FF3629" wp14:editId="1ACD97C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3D" w:rsidRDefault="00BA4C3D">
      <w:pPr>
        <w:jc w:val="center"/>
        <w:rPr>
          <w:caps/>
          <w:sz w:val="12"/>
          <w:szCs w:val="12"/>
        </w:rPr>
      </w:pPr>
    </w:p>
    <w:p w:rsidR="00BA4C3D" w:rsidRDefault="0027343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BA4C3D" w:rsidRDefault="0027343F">
      <w:pPr>
        <w:jc w:val="center"/>
        <w:rPr>
          <w:b/>
          <w:caps/>
        </w:rPr>
      </w:pPr>
      <w:r>
        <w:rPr>
          <w:b/>
          <w:caps/>
        </w:rPr>
        <w:t>DARBO KODEKSO 179 STRAIPSNIO PAKEITIMO</w:t>
      </w:r>
    </w:p>
    <w:p w:rsidR="00BA4C3D" w:rsidRDefault="0027343F">
      <w:pPr>
        <w:jc w:val="center"/>
        <w:rPr>
          <w:caps/>
        </w:rPr>
      </w:pPr>
      <w:r>
        <w:rPr>
          <w:b/>
          <w:caps/>
        </w:rPr>
        <w:t>ĮSTATYMAS</w:t>
      </w:r>
    </w:p>
    <w:p w:rsidR="00BA4C3D" w:rsidRDefault="00BA4C3D">
      <w:pPr>
        <w:jc w:val="center"/>
        <w:rPr>
          <w:b/>
          <w:caps/>
        </w:rPr>
      </w:pPr>
    </w:p>
    <w:p w:rsidR="00BA4C3D" w:rsidRDefault="0027343F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spalio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XIII-3334</w:t>
      </w:r>
    </w:p>
    <w:p w:rsidR="00BA4C3D" w:rsidRDefault="0027343F">
      <w:pPr>
        <w:jc w:val="center"/>
        <w:rPr>
          <w:szCs w:val="24"/>
        </w:rPr>
      </w:pPr>
      <w:r>
        <w:rPr>
          <w:szCs w:val="24"/>
        </w:rPr>
        <w:t>Vilnius</w:t>
      </w:r>
    </w:p>
    <w:p w:rsidR="00BA4C3D" w:rsidRDefault="00BA4C3D">
      <w:pPr>
        <w:jc w:val="center"/>
        <w:rPr>
          <w:sz w:val="22"/>
        </w:rPr>
      </w:pPr>
    </w:p>
    <w:p w:rsidR="00BA4C3D" w:rsidRDefault="00BA4C3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BA4C3D" w:rsidRDefault="0027343F">
      <w:pPr>
        <w:spacing w:line="340" w:lineRule="atLeast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179</w:t>
      </w:r>
      <w:r>
        <w:rPr>
          <w:b/>
          <w:bCs/>
          <w:szCs w:val="24"/>
        </w:rPr>
        <w:t xml:space="preserve"> straipsnio pakeitimas</w:t>
      </w:r>
    </w:p>
    <w:p w:rsidR="00BA4C3D" w:rsidRDefault="0027343F">
      <w:pPr>
        <w:tabs>
          <w:tab w:val="left" w:pos="1134"/>
        </w:tabs>
        <w:spacing w:line="34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179 straipsnio 4 dalį ir ją išdėstyti taip:</w:t>
      </w:r>
    </w:p>
    <w:p w:rsidR="00BA4C3D" w:rsidRDefault="0027343F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</w:rPr>
        <w:t>4</w:t>
      </w:r>
      <w:r>
        <w:rPr>
          <w:szCs w:val="24"/>
        </w:rPr>
        <w:t>. Į nacionalinio lygmens profesinių sąjungų organizacijas gali jungtis šakos ir teritoriniu lygiu veikiančios profesinių sąjungų organizacijos. Nacionalin</w:t>
      </w:r>
      <w:r>
        <w:rPr>
          <w:szCs w:val="24"/>
        </w:rPr>
        <w:t>io lygmens profesinių sąjungų organizacijos turi atitikti šiuos kriterijus:</w:t>
      </w:r>
    </w:p>
    <w:p w:rsidR="00BA4C3D" w:rsidRDefault="0027343F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turi juridinio asmens statusą;</w:t>
      </w:r>
    </w:p>
    <w:p w:rsidR="00BA4C3D" w:rsidRDefault="0027343F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veikia kaip profesinių sąjungų organizacija nepertraukiamai bent trejus metus;</w:t>
      </w:r>
    </w:p>
    <w:p w:rsidR="00BA4C3D" w:rsidRDefault="0027343F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turi savarankišką organizacinę struktūrą;</w:t>
      </w:r>
    </w:p>
    <w:p w:rsidR="00BA4C3D" w:rsidRDefault="0027343F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tu</w:t>
      </w:r>
      <w:r>
        <w:rPr>
          <w:szCs w:val="24"/>
        </w:rPr>
        <w:t>ri ne mažiau kaip penkis darbuotojus, dirbančius pagal darbo sutartį;</w:t>
      </w:r>
    </w:p>
    <w:p w:rsidR="00BA4C3D" w:rsidRDefault="0027343F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organizacija jungia ne mažiau kaip 7 skirtingas šakos ir (ar) teritoriniu lygiu veikiančias profesinių sąjungų organizacijas, kurių padaliniai veikia ne mažiau kaip 2/3 Lietuvos R</w:t>
      </w:r>
      <w:r>
        <w:rPr>
          <w:szCs w:val="24"/>
        </w:rPr>
        <w:t>espublikos apskričių teritorijose;</w:t>
      </w:r>
    </w:p>
    <w:p w:rsidR="00BA4C3D" w:rsidRDefault="0027343F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</w:rPr>
        <w:t>6</w:t>
      </w:r>
      <w:r>
        <w:rPr>
          <w:szCs w:val="24"/>
        </w:rPr>
        <w:t xml:space="preserve">) </w:t>
      </w:r>
      <w:r>
        <w:rPr>
          <w:szCs w:val="24"/>
          <w:lang w:eastAsia="lt-LT"/>
        </w:rPr>
        <w:t>dėl jų nėra galiojančio apkaltinamojo teismo nuosprendžio;</w:t>
      </w:r>
    </w:p>
    <w:p w:rsidR="00BA4C3D" w:rsidRDefault="0027343F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) joms neiškelta bankroto byla arba bankroto procesas nevykdomas ne teismo tvarka, nesiekiama priverstinio likvidavimo procedūros ar susitarimo su kre</w:t>
      </w:r>
      <w:r>
        <w:rPr>
          <w:szCs w:val="24"/>
          <w:lang w:eastAsia="lt-LT"/>
        </w:rPr>
        <w:t>ditoriais;</w:t>
      </w:r>
    </w:p>
    <w:p w:rsidR="00BA4C3D" w:rsidRDefault="0027343F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) jos neturi mokestinės nepriemokos Lietuvos Respublikos valstybės biudžetui, savivaldybių biudžetams, fondams, į kuriuos mokamus mokesčius administruoja Valstybinė mokesčių inspekcija (išskyrus atvejus, kai mokesčių, delspinigių, baudų </w:t>
      </w:r>
      <w:r>
        <w:rPr>
          <w:szCs w:val="24"/>
          <w:lang w:eastAsia="lt-LT"/>
        </w:rPr>
        <w:t>mokėjimas atidėtas arba dėl nesumokėtų mokesčių, delspinigių, baudų vyksta mokestinis ginčas), ir jos nėra skolingos Valstybinio socialinio draudimo fondo biudžetui;</w:t>
      </w:r>
    </w:p>
    <w:p w:rsidR="00BA4C3D" w:rsidRDefault="0027343F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) jungia ne mažiau kaip 15 procentų visų Lietuvos profesinių sąjungų narių;</w:t>
      </w:r>
    </w:p>
    <w:p w:rsidR="00BA4C3D" w:rsidRDefault="0027343F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</w:rPr>
        <w:t>10</w:t>
      </w:r>
      <w:r>
        <w:rPr>
          <w:szCs w:val="24"/>
        </w:rPr>
        <w:t xml:space="preserve">) </w:t>
      </w:r>
      <w:r>
        <w:rPr>
          <w:color w:val="000000"/>
          <w:szCs w:val="24"/>
        </w:rPr>
        <w:t>priklauso Europos Sąjungos (toliau – ES), Europos ekonominės erdvės organizacijoms arba kitoms tarptautinėms organizacijoms, kuriose daugiau kaip pusė narių yra ES valstybės narės arba daugiau kaip pusė ES valstybių narių priklauso tarptautinei organizacij</w:t>
      </w:r>
      <w:r>
        <w:rPr>
          <w:color w:val="000000"/>
          <w:szCs w:val="24"/>
        </w:rPr>
        <w:t>ai, kuriose mokamas nario mokestis</w:t>
      </w:r>
      <w:r>
        <w:rPr>
          <w:szCs w:val="24"/>
        </w:rPr>
        <w:t>.“</w:t>
      </w:r>
    </w:p>
    <w:p w:rsidR="00BA4C3D" w:rsidRDefault="0027343F">
      <w:pPr>
        <w:spacing w:line="340" w:lineRule="atLeast"/>
        <w:ind w:firstLine="720"/>
        <w:jc w:val="both"/>
        <w:rPr>
          <w:color w:val="000000"/>
          <w:szCs w:val="24"/>
        </w:rPr>
      </w:pPr>
    </w:p>
    <w:p w:rsidR="00BA4C3D" w:rsidRDefault="0027343F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įsigaliojimas </w:t>
      </w:r>
    </w:p>
    <w:p w:rsidR="00BA4C3D" w:rsidRDefault="0027343F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2021 m. sausio 1 d.</w:t>
      </w:r>
    </w:p>
    <w:p w:rsidR="00BA4C3D" w:rsidRDefault="0027343F">
      <w:pPr>
        <w:ind w:firstLine="709"/>
        <w:jc w:val="both"/>
        <w:rPr>
          <w:rFonts w:ascii="TimesLT" w:hAnsi="TimesLT"/>
          <w:szCs w:val="24"/>
          <w:lang w:val="en-US" w:eastAsia="lt-LT"/>
        </w:rPr>
      </w:pPr>
    </w:p>
    <w:p w:rsidR="00BA4C3D" w:rsidRDefault="0027343F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BA4C3D" w:rsidRDefault="00BA4C3D">
      <w:pPr>
        <w:spacing w:line="360" w:lineRule="auto"/>
        <w:rPr>
          <w:i/>
          <w:szCs w:val="24"/>
        </w:rPr>
      </w:pPr>
    </w:p>
    <w:p w:rsidR="00BA4C3D" w:rsidRDefault="0027343F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BA4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3D" w:rsidRDefault="0027343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BA4C3D" w:rsidRDefault="0027343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D" w:rsidRDefault="0027343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BA4C3D" w:rsidRDefault="00BA4C3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D" w:rsidRDefault="0027343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:rsidR="00BA4C3D" w:rsidRDefault="00BA4C3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D" w:rsidRDefault="00BA4C3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3D" w:rsidRDefault="0027343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BA4C3D" w:rsidRDefault="0027343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D" w:rsidRDefault="0027343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BA4C3D" w:rsidRDefault="00BA4C3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D" w:rsidRDefault="0027343F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BA4C3D" w:rsidRDefault="00BA4C3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D" w:rsidRDefault="00BA4C3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27"/>
    <w:rsid w:val="0027343F"/>
    <w:rsid w:val="00BA4C3D"/>
    <w:rsid w:val="00D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2143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2020-10-27T14:43:00Z</dcterms:created>
  <dc:creator>MOZERIENĖ Dainora</dc:creator>
  <lastModifiedBy>TRAPINSKIENĖ Aušrinė</lastModifiedBy>
  <lastPrinted>2020-10-15T11:49:00Z</lastPrinted>
  <dcterms:modified xsi:type="dcterms:W3CDTF">2020-10-27T14:53:00Z</dcterms:modified>
  <revision>3</revision>
</coreProperties>
</file>