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051594f66f64c43a2a3dc76701ca28b"/>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65E4C16" wp14:editId="7A99D4E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SEIMO VALDYBA</w:t>
          </w:r>
        </w:p>
        <w:p>
          <w:pPr>
            <w:jc w:val="center"/>
            <w:rPr>
              <w:b/>
              <w:caps/>
            </w:rPr>
          </w:pPr>
        </w:p>
        <w:p>
          <w:pPr>
            <w:jc w:val="center"/>
            <w:rPr>
              <w:b/>
              <w:caps/>
            </w:rPr>
          </w:pPr>
        </w:p>
        <w:p>
          <w:pPr>
            <w:jc w:val="center"/>
            <w:rPr>
              <w:b/>
              <w:bCs/>
              <w:caps/>
            </w:rPr>
          </w:pPr>
          <w:r>
            <w:rPr>
              <w:b/>
              <w:caps/>
            </w:rPr>
            <w:t>SPRENDIMAS</w:t>
          </w:r>
        </w:p>
        <w:p>
          <w:pPr>
            <w:jc w:val="center"/>
            <w:rPr>
              <w:b/>
              <w:caps/>
            </w:rPr>
          </w:pPr>
          <w:r>
            <w:rPr>
              <w:b/>
              <w:caps/>
            </w:rPr>
            <w:t xml:space="preserve">DĖL LIETUVOS RESPUBLIKOS  FARMACIJOS ĮSTATYMO 2, 4, 5, 7, 35, 39, 76 STRAIPSNIŲ PAKEITIMO IR PAPILDYMO ĮSTATYMO NR. XI-2017 5 STRAIPSNIO PAKEITIMO  ĮSTATYMO PROJEKTO NR. XIIIP-4571(2) NEPRIKLAUSOMO EKSPERTINIO ĮVERTINIMO</w:t>
          </w:r>
        </w:p>
        <w:p>
          <w:pPr>
            <w:jc w:val="center"/>
            <w:rPr>
              <w:b/>
              <w:caps/>
            </w:rPr>
          </w:pPr>
        </w:p>
        <w:p>
          <w:pPr>
            <w:jc w:val="center"/>
            <w:rPr>
              <w:szCs w:val="24"/>
            </w:rPr>
          </w:pPr>
          <w:r>
            <w:rPr>
              <w:szCs w:val="24"/>
              <w:lang w:val="en-US"/>
            </w:rPr>
            <w:t>2020</w:t>
          </w:r>
          <w:r>
            <w:rPr>
              <w:szCs w:val="24"/>
            </w:rPr>
            <w:t xml:space="preserve"> m. </w:t>
          </w:r>
          <w:r>
            <w:rPr>
              <w:szCs w:val="24"/>
              <w:lang w:val="en-US"/>
            </w:rPr>
            <w:t>spalio</w:t>
          </w:r>
          <w:r>
            <w:rPr>
              <w:szCs w:val="24"/>
            </w:rPr>
            <w:t xml:space="preserve"> </w:t>
          </w:r>
          <w:r>
            <w:rPr>
              <w:szCs w:val="24"/>
              <w:lang w:val="en-US"/>
            </w:rPr>
            <w:t>20</w:t>
          </w:r>
          <w:r>
            <w:rPr>
              <w:szCs w:val="24"/>
            </w:rPr>
            <w:t xml:space="preserve"> d. Nr. SV-S-</w:t>
          </w:r>
          <w:r>
            <w:rPr>
              <w:szCs w:val="24"/>
              <w:lang w:val="en-US"/>
            </w:rPr>
            <w:t>1687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d6e92beff03a4c948d4e9853d3be4fa7"/>
            <w:lock w:val="sdtLocked"/>
            <w:richText/>
          </w:sdtPr>
          <w:sdtContent>
            <w:p>
              <w:pPr>
                <w:spacing w:line="360" w:lineRule="auto"/>
                <w:ind w:firstLine="709"/>
                <w:jc w:val="both"/>
                <w:rPr>
                  <w:rFonts w:ascii="TimesLT" w:hAnsi="TimesLT"/>
                </w:rPr>
              </w:pPr>
              <w:r>
                <w:rPr>
                  <w:rFonts w:ascii="TimesLT" w:hAnsi="TimesLT"/>
                </w:rPr>
                <w:t xml:space="preserve">Lietuvos Respublikos Seimo valdyba, vadovaudamasi Lietuvos Respublikos Seimo statuto 145 straipsnio 2 dalimi, </w:t>
              </w:r>
              <w:r>
                <w:rPr>
                  <w:rFonts w:ascii="TimesLT" w:hAnsi="TimesLT"/>
                  <w:spacing w:val="60"/>
                </w:rPr>
                <w:t>nusprendži</w:t>
              </w:r>
              <w:r>
                <w:rPr>
                  <w:rFonts w:ascii="TimesLT" w:hAnsi="TimesLT"/>
                </w:rPr>
                <w:t>a:</w:t>
              </w:r>
            </w:p>
          </w:sdtContent>
        </w:sdt>
        <w:sdt>
          <w:sdtPr>
            <w:alias w:val="1 p."/>
            <w:tag w:val="part_f6f57aafd28a49f794921842715fea02"/>
            <w:lock w:val="sdtLocked"/>
            <w:richText/>
          </w:sdtPr>
          <w:sdtContent>
            <w:p>
              <w:pPr>
                <w:shd w:val="clear" w:color="auto" w:fill="FFFFFF"/>
                <w:spacing w:line="360" w:lineRule="auto"/>
                <w:ind w:firstLine="709"/>
                <w:jc w:val="both"/>
                <w:rPr>
                  <w:rFonts w:ascii="TimesLT" w:hAnsi="TimesLT"/>
                  <w:sz w:val="22"/>
                  <w:szCs w:val="22"/>
                </w:rPr>
              </w:pPr>
              <w:sdt>
                <w:sdtPr>
                  <w:alias w:val="Numeris"/>
                  <w:tag w:val="nr_f6f57aafd28a49f794921842715fea02"/>
                  <w:lock w:val="sdtLocked"/>
                  <w:richText/>
                </w:sdtPr>
                <w:sdtContent>
                  <w:r>
                    <w:rPr>
                      <w:rFonts w:ascii="TimesLT" w:hAnsi="TimesLT"/>
                      <w:lang w:eastAsia="lt-LT"/>
                    </w:rPr>
                    <w:t>1</w:t>
                  </w:r>
                </w:sdtContent>
              </w:sdt>
              <w:r>
                <w:rPr>
                  <w:rFonts w:ascii="TimesLT" w:hAnsi="TimesLT"/>
                  <w:lang w:eastAsia="lt-LT"/>
                </w:rPr>
                <w:t xml:space="preserve">. Pritarti </w:t>
              </w:r>
              <w:r>
                <w:rPr>
                  <w:rFonts w:ascii="TimesLT" w:hAnsi="TimesLT"/>
                </w:rPr>
                <w:t>Seimo Sveikatos reikalų komiteto siūlymams dėl reikalavimų nepriklausomam ekspertui, kuris vertins Lietuvos Respublikos farmacijos įstatymo 2, 4, 5, 7, 35, 39, 76 straipsnių pakeitimo ir papildymo įstatymo Nr. XI-2017 5 straipsnio pakeitimo įstatymo projektą Nr. XIIIP</w:t>
                <w:noBreakHyphen/>
                <w:t>4571(2).</w:t>
              </w:r>
            </w:p>
          </w:sdtContent>
        </w:sdt>
        <w:sdt>
          <w:sdtPr>
            <w:alias w:val="2 p."/>
            <w:tag w:val="part_ae48f1b7656c494597632f306df0fc88"/>
            <w:lock w:val="sdtLocked"/>
            <w:richText/>
          </w:sdtPr>
          <w:sdtContent>
            <w:p>
              <w:pPr>
                <w:spacing w:line="360" w:lineRule="auto"/>
                <w:ind w:firstLine="709"/>
                <w:jc w:val="both"/>
                <w:rPr>
                  <w:rFonts w:ascii="TimesLT" w:hAnsi="TimesLT"/>
                  <w:lang w:eastAsia="lt-LT"/>
                </w:rPr>
              </w:pPr>
              <w:sdt>
                <w:sdtPr>
                  <w:alias w:val="Numeris"/>
                  <w:tag w:val="nr_ae48f1b7656c494597632f306df0fc88"/>
                  <w:lock w:val="sdtLocked"/>
                  <w:richText/>
                </w:sdtPr>
                <w:sdtContent>
                  <w:r>
                    <w:rPr>
                      <w:rFonts w:ascii="TimesLT" w:hAnsi="TimesLT"/>
                      <w:lang w:eastAsia="lt-LT"/>
                    </w:rPr>
                    <w:t>2</w:t>
                  </w:r>
                </w:sdtContent>
              </w:sdt>
              <w:r>
                <w:rPr>
                  <w:rFonts w:ascii="TimesLT" w:hAnsi="TimesLT"/>
                  <w:lang w:eastAsia="lt-LT"/>
                </w:rPr>
                <w:t xml:space="preserve">. Patvirtinti </w:t>
              </w:r>
              <w:r>
                <w:rPr>
                  <w:rFonts w:ascii="TimesLT" w:hAnsi="TimesLT"/>
                </w:rPr>
                <w:t>Lietuvos Respublikos farmacijos įstatymo 2, 4, 5, 7, 35, 39, 76 straipsnių pakeitimo ir papildymo įstatymo Nr. XI-2017 5 straipsnio pakeitimo įstatymo projekto Nr. XIIIP</w:t>
                <w:noBreakHyphen/>
                <w:t>4571(2) nepriklausomo ekspertinio įvertinimo paslaugų pirkimo techninę specifikaciją (pridedama).</w:t>
              </w:r>
            </w:p>
          </w:sdtContent>
        </w:sdt>
        <w:sdt>
          <w:sdtPr>
            <w:alias w:val="3 p."/>
            <w:tag w:val="part_36f803634b04452fb2d39af157809586"/>
            <w:lock w:val="sdtLocked"/>
            <w:richText/>
          </w:sdtPr>
          <w:sdtContent>
            <w:p>
              <w:pPr>
                <w:spacing w:line="360" w:lineRule="auto"/>
                <w:ind w:firstLine="709"/>
                <w:jc w:val="both"/>
                <w:rPr>
                  <w:rFonts w:ascii="TimesLT" w:hAnsi="TimesLT"/>
                  <w:sz w:val="22"/>
                  <w:szCs w:val="22"/>
                  <w:lang w:eastAsia="lt-LT"/>
                </w:rPr>
              </w:pPr>
              <w:sdt>
                <w:sdtPr>
                  <w:alias w:val="Numeris"/>
                  <w:tag w:val="nr_36f803634b04452fb2d39af157809586"/>
                  <w:lock w:val="sdtLocked"/>
                  <w:richText/>
                </w:sdtPr>
                <w:sdtContent>
                  <w:r>
                    <w:rPr>
                      <w:rFonts w:ascii="TimesLT" w:hAnsi="TimesLT"/>
                      <w:lang w:eastAsia="lt-LT"/>
                    </w:rPr>
                    <w:t>3</w:t>
                  </w:r>
                </w:sdtContent>
              </w:sdt>
              <w:r>
                <w:rPr>
                  <w:rFonts w:ascii="TimesLT" w:hAnsi="TimesLT"/>
                  <w:lang w:eastAsia="lt-LT"/>
                </w:rPr>
                <w:t xml:space="preserve">. Perduoti </w:t>
              </w:r>
              <w:r>
                <w:rPr>
                  <w:rFonts w:ascii="TimesLT" w:hAnsi="TimesLT"/>
                </w:rPr>
                <w:t>Lietuvos Respublikos Seimo kanceliarijai vykdyti nepriklausomo ekspertinio įvertinimo paslaugų viešąjį pirkimą teisės aktų nustatyta tvarka</w:t>
              </w:r>
              <w:r>
                <w:rPr>
                  <w:rFonts w:ascii="TimesLT" w:hAnsi="TimesLT"/>
                  <w:lang w:eastAsia="lt-LT"/>
                </w:rPr>
                <w:t>. </w:t>
              </w:r>
            </w:p>
            <w:p>
              <w:pPr>
                <w:spacing w:line="360" w:lineRule="auto"/>
                <w:rPr>
                  <w:i/>
                  <w:szCs w:val="24"/>
                </w:rPr>
              </w:pPr>
            </w:p>
            <w:p>
              <w:pPr>
                <w:spacing w:line="360" w:lineRule="auto"/>
                <w:rPr>
                  <w:i/>
                  <w:szCs w:val="24"/>
                </w:rPr>
              </w:pPr>
            </w:p>
            <w:p>
              <w:pPr>
                <w:spacing w:line="360" w:lineRule="auto"/>
              </w:pPr>
            </w:p>
          </w:sdtContent>
        </w:sdt>
        <w:sdt>
          <w:sdtPr>
            <w:alias w:val="signatura"/>
            <w:tag w:val="part_a2ade66b20b14c1eaeed94b45e8cf7a3"/>
            <w:lock w:val="sdtLocked"/>
            <w:richText/>
          </w:sdtPr>
          <w:sdtContent>
            <w:p>
              <w:pPr>
                <w:tabs>
                  <w:tab w:val="right" w:pos="9356"/>
                </w:tabs>
                <w:rPr>
                  <w:lang w:val="en-US"/>
                </w:rPr>
              </w:pPr>
              <w:r>
                <w:rPr>
                  <w:lang w:val="en-US"/>
                </w:rPr>
                <w:t>Seimo Pirmininko pirmoji pavaduotoja</w:t>
              </w:r>
              <w:r>
                <w:rPr>
                  <w:caps/>
                </w:rPr>
                <w:tab/>
              </w:r>
              <w:r>
                <w:rPr>
                  <w:lang w:val="en-US"/>
                </w:rPr>
                <w:t>Rima Baškienė</w:t>
              </w:r>
            </w:p>
            <w:p>
              <w:pPr>
                <w:tabs>
                  <w:tab w:val="right" w:pos="9356"/>
                </w:tabs>
                <w:rPr>
                  <w:lang w:val="en-US"/>
                </w:rPr>
              </w:pP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atvirtinta"/>
        <w:tag w:val="part_37341b8a553e49ed94fd842f5f3a647b"/>
        <w:lock w:val="sdtLocked"/>
        <w:richText/>
      </w:sdtPr>
      <w:sdtContent>
        <w:p>
          <w:pPr>
            <w:shd w:val="clear" w:color="auto" w:fill="FFFFFF"/>
            <w:ind w:firstLine="5954"/>
            <w:rPr>
              <w:bCs/>
              <w:color w:val="000000"/>
              <w:szCs w:val="24"/>
              <w:shd w:val="clear" w:color="auto" w:fill="FFFFFF"/>
              <w:lang w:eastAsia="lt-LT"/>
            </w:rPr>
          </w:pPr>
          <w:r>
            <w:rPr>
              <w:bCs/>
              <w:color w:val="000000"/>
              <w:szCs w:val="24"/>
              <w:shd w:val="clear" w:color="auto" w:fill="FFFFFF"/>
              <w:lang w:eastAsia="lt-LT"/>
            </w:rPr>
            <w:t xml:space="preserve">PATVIRTINTA </w:t>
          </w:r>
        </w:p>
        <w:p>
          <w:pPr>
            <w:shd w:val="clear" w:color="auto" w:fill="FFFFFF"/>
            <w:ind w:firstLine="5954"/>
            <w:rPr>
              <w:bCs/>
              <w:color w:val="000000"/>
              <w:szCs w:val="24"/>
              <w:shd w:val="clear" w:color="auto" w:fill="FFFFFF"/>
              <w:lang w:eastAsia="lt-LT"/>
            </w:rPr>
          </w:pPr>
          <w:r>
            <w:rPr>
              <w:bCs/>
              <w:color w:val="000000"/>
              <w:szCs w:val="24"/>
              <w:shd w:val="clear" w:color="auto" w:fill="FFFFFF"/>
              <w:lang w:eastAsia="lt-LT"/>
            </w:rPr>
            <w:t xml:space="preserve">Lietuvos Respublikos Seimo </w:t>
          </w:r>
        </w:p>
        <w:p>
          <w:pPr>
            <w:shd w:val="clear" w:color="auto" w:fill="FFFFFF"/>
            <w:ind w:firstLine="5954"/>
            <w:rPr>
              <w:bCs/>
              <w:color w:val="000000"/>
              <w:szCs w:val="24"/>
              <w:shd w:val="clear" w:color="auto" w:fill="FFFFFF"/>
              <w:lang w:eastAsia="lt-LT"/>
            </w:rPr>
          </w:pPr>
          <w:r>
            <w:rPr>
              <w:bCs/>
              <w:color w:val="000000"/>
              <w:szCs w:val="24"/>
              <w:shd w:val="clear" w:color="auto" w:fill="FFFFFF"/>
              <w:lang w:eastAsia="lt-LT"/>
            </w:rPr>
            <w:t xml:space="preserve">valdybos 2020 m. spalio 20 d. </w:t>
          </w:r>
        </w:p>
        <w:p>
          <w:pPr>
            <w:shd w:val="clear" w:color="auto" w:fill="FFFFFF"/>
            <w:ind w:firstLine="5954"/>
            <w:rPr>
              <w:bCs/>
              <w:color w:val="000000"/>
              <w:szCs w:val="24"/>
              <w:shd w:val="clear" w:color="auto" w:fill="FFFFFF"/>
              <w:lang w:val="en-US" w:eastAsia="lt-LT"/>
            </w:rPr>
          </w:pPr>
          <w:r>
            <w:rPr>
              <w:bCs/>
              <w:color w:val="000000"/>
              <w:szCs w:val="24"/>
              <w:shd w:val="clear" w:color="auto" w:fill="FFFFFF"/>
              <w:lang w:eastAsia="lt-LT"/>
            </w:rPr>
            <w:t>sprendimu Nr.</w:t>
          </w:r>
          <w:r>
            <w:rPr>
              <w:bCs/>
              <w:color w:val="000000"/>
              <w:szCs w:val="24"/>
              <w:shd w:val="clear" w:color="auto" w:fill="FFFFFF"/>
              <w:lang w:val="en-US" w:eastAsia="lt-LT"/>
            </w:rPr>
            <w:t xml:space="preserve"> SV-S-1687</w:t>
          </w:r>
        </w:p>
        <w:p>
          <w:pPr>
            <w:shd w:val="clear" w:color="auto" w:fill="FFFFFF"/>
            <w:spacing w:line="360" w:lineRule="auto"/>
            <w:jc w:val="center"/>
            <w:rPr>
              <w:b/>
              <w:bCs/>
              <w:color w:val="000000"/>
              <w:szCs w:val="24"/>
              <w:shd w:val="clear" w:color="auto" w:fill="FFFFFF"/>
              <w:lang w:val="en-US" w:eastAsia="lt-LT"/>
            </w:rPr>
          </w:pPr>
        </w:p>
        <w:p>
          <w:pPr>
            <w:shd w:val="clear" w:color="auto" w:fill="FFFFFF"/>
            <w:spacing w:line="360" w:lineRule="auto"/>
            <w:jc w:val="center"/>
            <w:rPr>
              <w:color w:val="000000"/>
              <w:szCs w:val="24"/>
              <w:lang w:val="en-US" w:eastAsia="lt-LT"/>
            </w:rPr>
          </w:pPr>
          <w:sdt>
            <w:sdtPr>
              <w:alias w:val="Pavadinimas"/>
              <w:tag w:val="title_37341b8a553e49ed94fd842f5f3a647b"/>
              <w:lock w:val="sdtLocked"/>
              <w:richText/>
            </w:sdtPr>
            <w:sdtContent>
              <w:r>
                <w:rPr>
                  <w:b/>
                  <w:bCs/>
                  <w:color w:val="000000"/>
                  <w:szCs w:val="24"/>
                  <w:shd w:val="clear" w:color="auto" w:fill="FFFFFF"/>
                  <w:lang w:val="en-US" w:eastAsia="lt-LT"/>
                </w:rPr>
                <w:t xml:space="preserve">LIETUVOS RESPUBLIKOS </w:t>
              </w:r>
              <w:r>
                <w:rPr>
                  <w:b/>
                  <w:bCs/>
                  <w:color w:val="00000A"/>
                  <w:szCs w:val="24"/>
                  <w:lang w:val="en-US"/>
                </w:rPr>
                <w:t xml:space="preserve">FARMACIJOS ĮSTATYMO 2, 4, 5, 7, 35, 39, 76 STRAIPSNIŲ PAKEITIMO IR PAPILDYMO ĮSTATYMO NR. XI-2017 5 STRAIPSNIO PAKEITIMO ĮSTATYMO PROJEKTO NR. XIIIP-4571(2) </w:t>
              </w:r>
              <w:r>
                <w:rPr>
                  <w:b/>
                  <w:bCs/>
                  <w:color w:val="000000"/>
                  <w:szCs w:val="24"/>
                  <w:lang w:val="en-US" w:eastAsia="lt-LT"/>
                </w:rPr>
                <w:t>NEPRIKLAUSOMO EKSPERTINIO ĮVERTINIMO PASLAUGŲ PIRKIMO TECHNINĖ SPECIFIKACIJA</w:t>
              </w:r>
            </w:sdtContent>
          </w:sdt>
        </w:p>
        <w:p>
          <w:pPr>
            <w:shd w:val="clear" w:color="auto" w:fill="FFFFFF"/>
            <w:spacing w:line="360" w:lineRule="auto"/>
            <w:jc w:val="center"/>
            <w:rPr>
              <w:b/>
              <w:bCs/>
              <w:color w:val="000000"/>
              <w:szCs w:val="24"/>
              <w:lang w:val="en-US" w:eastAsia="lt-LT"/>
            </w:rPr>
          </w:pPr>
        </w:p>
        <w:sdt>
          <w:sdtPr>
            <w:alias w:val="skyrius"/>
            <w:tag w:val="part_e6dcc9ef14b74ed7948fa1a1cf5cad44"/>
            <w:lock w:val="sdtLocked"/>
            <w:richText/>
          </w:sdtPr>
          <w:sdtContent>
            <w:p>
              <w:pPr>
                <w:shd w:val="clear" w:color="auto" w:fill="FFFFFF"/>
                <w:spacing w:line="360" w:lineRule="auto"/>
                <w:jc w:val="center"/>
                <w:rPr>
                  <w:color w:val="000000"/>
                  <w:szCs w:val="24"/>
                  <w:lang w:val="en-US" w:eastAsia="lt-LT"/>
                </w:rPr>
              </w:pPr>
              <w:sdt>
                <w:sdtPr>
                  <w:alias w:val="Numeris"/>
                  <w:tag w:val="nr_e6dcc9ef14b74ed7948fa1a1cf5cad44"/>
                  <w:lock w:val="sdtLocked"/>
                  <w:richText/>
                </w:sdtPr>
                <w:sdtContent>
                  <w:r>
                    <w:rPr>
                      <w:b/>
                      <w:bCs/>
                      <w:color w:val="000000"/>
                      <w:szCs w:val="24"/>
                      <w:lang w:val="en-US" w:eastAsia="lt-LT"/>
                    </w:rPr>
                    <w:t>I</w:t>
                  </w:r>
                </w:sdtContent>
              </w:sdt>
              <w:r>
                <w:rPr>
                  <w:b/>
                  <w:bCs/>
                  <w:color w:val="000000"/>
                  <w:szCs w:val="24"/>
                  <w:lang w:val="en-US" w:eastAsia="lt-LT"/>
                </w:rPr>
                <w:t xml:space="preserve"> SKYRIUS</w:t>
              </w:r>
            </w:p>
            <w:p>
              <w:pPr>
                <w:shd w:val="clear" w:color="auto" w:fill="FFFFFF"/>
                <w:spacing w:line="360" w:lineRule="auto"/>
                <w:jc w:val="center"/>
                <w:rPr>
                  <w:color w:val="000000"/>
                  <w:szCs w:val="24"/>
                  <w:lang w:val="en-US" w:eastAsia="lt-LT"/>
                </w:rPr>
              </w:pPr>
              <w:sdt>
                <w:sdtPr>
                  <w:alias w:val="Pavadinimas"/>
                  <w:tag w:val="title_e6dcc9ef14b74ed7948fa1a1cf5cad44"/>
                  <w:lock w:val="sdtLocked"/>
                  <w:richText/>
                </w:sdtPr>
                <w:sdtContent>
                  <w:r>
                    <w:rPr>
                      <w:b/>
                      <w:bCs/>
                      <w:color w:val="000000"/>
                      <w:szCs w:val="24"/>
                      <w:lang w:val="en-US" w:eastAsia="lt-LT"/>
                    </w:rPr>
                    <w:t>NEPRIKLAUSOMO EKSPERTINIO ĮVERTINIMO PASLAUGŲ OBJEKTAS, APIMTIS, REIKALAVIMAI</w:t>
                  </w:r>
                </w:sdtContent>
              </w:sdt>
            </w:p>
            <w:p>
              <w:pPr>
                <w:shd w:val="clear" w:color="auto" w:fill="FFFFFF"/>
                <w:spacing w:line="340" w:lineRule="atLeast"/>
                <w:ind w:firstLine="62"/>
                <w:jc w:val="both"/>
                <w:rPr>
                  <w:color w:val="000000"/>
                  <w:szCs w:val="24"/>
                  <w:lang w:val="en-US" w:eastAsia="lt-LT"/>
                </w:rPr>
              </w:pPr>
            </w:p>
            <w:sdt>
              <w:sdtPr>
                <w:alias w:val="1 p."/>
                <w:tag w:val="part_e97cd37e1e1e45018b9fa6b658a77d7d"/>
                <w:lock w:val="sdtLocked"/>
                <w:richText/>
              </w:sdtPr>
              <w:sdtContent>
                <w:p>
                  <w:pPr>
                    <w:shd w:val="clear" w:color="auto" w:fill="FFFFFF"/>
                    <w:spacing w:line="360" w:lineRule="auto"/>
                    <w:ind w:firstLine="720"/>
                    <w:jc w:val="both"/>
                    <w:rPr>
                      <w:color w:val="000000"/>
                      <w:szCs w:val="24"/>
                      <w:lang w:eastAsia="lt-LT"/>
                    </w:rPr>
                  </w:pPr>
                  <w:sdt>
                    <w:sdtPr>
                      <w:alias w:val="Numeris"/>
                      <w:tag w:val="nr_e97cd37e1e1e45018b9fa6b658a77d7d"/>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Pirkimo objektas – </w:t>
                  </w:r>
                  <w:r>
                    <w:rPr>
                      <w:szCs w:val="24"/>
                    </w:rPr>
                    <w:t>Lietuvos Respublikos f</w:t>
                  </w:r>
                  <w:r>
                    <w:rPr>
                      <w:bCs/>
                      <w:szCs w:val="24"/>
                    </w:rPr>
                    <w:t xml:space="preserve">armacijos įstatymo 2, 4, 5, 7, 35, 39, 76 straipsnių pakeitimo ir papildymo įstatymo Nr. XI-2017 5 straipsnio pakeitimo įstatymo projekto Nr. XIIIP-4571(2) </w:t>
                  </w:r>
                  <w:r>
                    <w:rPr>
                      <w:bCs/>
                      <w:color w:val="000000"/>
                      <w:szCs w:val="24"/>
                      <w:lang w:eastAsia="lt-LT"/>
                    </w:rPr>
                    <w:t>nepriklausomo ekspertinio įvertinimo</w:t>
                  </w:r>
                  <w:r>
                    <w:rPr>
                      <w:color w:val="000000"/>
                      <w:szCs w:val="24"/>
                      <w:lang w:eastAsia="lt-LT"/>
                    </w:rPr>
                    <w:t xml:space="preserve"> paslaugos (toliau – nepriklausomo ekspertinio įvertinimo paslaugos).</w:t>
                  </w:r>
                </w:p>
              </w:sdtContent>
            </w:sdt>
            <w:sdt>
              <w:sdtPr>
                <w:alias w:val="2 p."/>
                <w:tag w:val="part_474726df0cbe4688b5b24051ee1a92ef"/>
                <w:lock w:val="sdtLocked"/>
                <w:richText/>
              </w:sdtPr>
              <w:sdtContent>
                <w:p>
                  <w:pPr>
                    <w:shd w:val="clear" w:color="auto" w:fill="FFFFFF"/>
                    <w:spacing w:line="360" w:lineRule="auto"/>
                    <w:ind w:firstLine="720"/>
                    <w:jc w:val="both"/>
                    <w:rPr>
                      <w:color w:val="000000"/>
                      <w:szCs w:val="24"/>
                      <w:lang w:eastAsia="lt-LT"/>
                    </w:rPr>
                  </w:pPr>
                  <w:sdt>
                    <w:sdtPr>
                      <w:alias w:val="Numeris"/>
                      <w:tag w:val="nr_474726df0cbe4688b5b24051ee1a92ef"/>
                      <w:lock w:val="sdtLocked"/>
                      <w:richText/>
                    </w:sdtPr>
                    <w:sdtContent>
                      <w:r>
                        <w:rPr>
                          <w:color w:val="000000"/>
                          <w:szCs w:val="24"/>
                          <w:lang w:eastAsia="lt-LT"/>
                        </w:rPr>
                        <w:t>2</w:t>
                      </w:r>
                    </w:sdtContent>
                  </w:sdt>
                  <w:r>
                    <w:rPr>
                      <w:color w:val="000000"/>
                      <w:szCs w:val="24"/>
                      <w:lang w:eastAsia="lt-LT"/>
                    </w:rPr>
                    <w:t>. Nepriklausomo ekspertinio įvertinimo paslaugos turi būti suteiktos atliekant nepriklausomą ekspertinį įvertinimą ir pateikiant išsamią ekspertų išvadą dėl:</w:t>
                  </w:r>
                </w:p>
                <w:sdt>
                  <w:sdtPr>
                    <w:alias w:val="2.1 pp."/>
                    <w:tag w:val="part_581e655541454720958940ab8c3e9ff5"/>
                    <w:lock w:val="sdtLocked"/>
                    <w:richText/>
                  </w:sdtPr>
                  <w:sdtContent>
                    <w:p>
                      <w:pPr>
                        <w:shd w:val="clear" w:color="auto" w:fill="FFFFFF"/>
                        <w:spacing w:line="360" w:lineRule="auto"/>
                        <w:ind w:firstLine="720"/>
                        <w:jc w:val="both"/>
                        <w:rPr>
                          <w:color w:val="000000"/>
                          <w:szCs w:val="24"/>
                          <w:lang w:eastAsia="lt-LT"/>
                        </w:rPr>
                      </w:pPr>
                      <w:sdt>
                        <w:sdtPr>
                          <w:alias w:val="Numeris"/>
                          <w:tag w:val="nr_581e655541454720958940ab8c3e9ff5"/>
                          <w:lock w:val="sdtLocked"/>
                          <w:richText/>
                        </w:sdtPr>
                        <w:sdtContent>
                          <w:r>
                            <w:rPr>
                              <w:color w:val="000000"/>
                              <w:szCs w:val="24"/>
                              <w:lang w:eastAsia="lt-LT"/>
                            </w:rPr>
                            <w:t>2.1</w:t>
                          </w:r>
                        </w:sdtContent>
                      </w:sdt>
                      <w:r>
                        <w:rPr>
                          <w:color w:val="000000"/>
                          <w:szCs w:val="24"/>
                          <w:lang w:eastAsia="lt-LT"/>
                        </w:rPr>
                        <w:t xml:space="preserve">. </w:t>
                      </w:r>
                      <w:r>
                        <w:rPr>
                          <w:szCs w:val="24"/>
                        </w:rPr>
                        <w:t>Lietuvos Respublikos f</w:t>
                      </w:r>
                      <w:r>
                        <w:rPr>
                          <w:bCs/>
                          <w:szCs w:val="24"/>
                        </w:rPr>
                        <w:t xml:space="preserve">armacijos įstatymo 2, 4, 5, 7, 35, 39, 76 straipsnių pakeitimo ir papildymo įstatymo Nr. XI-2017 5 straipsnio pakeitimo įstatymo projekto Nr. XIIIP-4571(2) </w:t>
                      </w:r>
                      <w:r>
                        <w:rPr>
                          <w:szCs w:val="24"/>
                        </w:rPr>
                        <w:t>(toliau – Įstatymo projektas Nr. XIIIP-4571(2)</w:t>
                      </w:r>
                      <w:r>
                        <w:rPr>
                          <w:bCs/>
                          <w:szCs w:val="24"/>
                          <w:shd w:val="clear" w:color="auto" w:fill="FFFFFF"/>
                        </w:rPr>
                        <w:t>;</w:t>
                      </w:r>
                    </w:p>
                  </w:sdtContent>
                </w:sdt>
                <w:sdt>
                  <w:sdtPr>
                    <w:alias w:val="2.2 pp."/>
                    <w:tag w:val="part_d33930f7853b418e97d28a56e69787aa"/>
                    <w:lock w:val="sdtLocked"/>
                    <w:richText/>
                  </w:sdtPr>
                  <w:sdtContent>
                    <w:p>
                      <w:pPr>
                        <w:shd w:val="clear" w:color="auto" w:fill="FFFFFF"/>
                        <w:spacing w:line="360" w:lineRule="auto"/>
                        <w:ind w:firstLine="720"/>
                        <w:jc w:val="both"/>
                        <w:rPr>
                          <w:color w:val="000000"/>
                          <w:szCs w:val="24"/>
                          <w:lang w:eastAsia="lt-LT"/>
                        </w:rPr>
                      </w:pPr>
                      <w:sdt>
                        <w:sdtPr>
                          <w:alias w:val="Numeris"/>
                          <w:tag w:val="nr_d33930f7853b418e97d28a56e69787aa"/>
                          <w:lock w:val="sdtLocked"/>
                          <w:richText/>
                        </w:sdtPr>
                        <w:sdtContent>
                          <w:r>
                            <w:rPr>
                              <w:color w:val="000000"/>
                              <w:szCs w:val="24"/>
                              <w:lang w:eastAsia="lt-LT"/>
                            </w:rPr>
                            <w:t>2.2</w:t>
                          </w:r>
                        </w:sdtContent>
                      </w:sdt>
                      <w:r>
                        <w:rPr>
                          <w:color w:val="000000"/>
                          <w:szCs w:val="24"/>
                          <w:lang w:eastAsia="lt-LT"/>
                        </w:rPr>
                        <w:t xml:space="preserve">. Seimo narių pasiūlymų dėl Įstatymo projekto </w:t>
                      </w:r>
                      <w:r>
                        <w:rPr>
                          <w:szCs w:val="24"/>
                        </w:rPr>
                        <w:t>Nr. XIIIP-4571(2)</w:t>
                      </w:r>
                      <w:r>
                        <w:rPr>
                          <w:color w:val="000000"/>
                          <w:szCs w:val="24"/>
                          <w:lang w:eastAsia="lt-LT"/>
                        </w:rPr>
                        <w:t>, registruotų iki nepriklausomo ekspertinio įvertinimo paslaugų viešojo pirkimo sutarties sudarymo.</w:t>
                      </w:r>
                    </w:p>
                  </w:sdtContent>
                </w:sdt>
              </w:sdtContent>
            </w:sdt>
            <w:sdt>
              <w:sdtPr>
                <w:alias w:val="3 p."/>
                <w:tag w:val="part_40b701ce9fac4eaaa42cdf938a5e4436"/>
                <w:lock w:val="sdtLocked"/>
                <w:richText/>
              </w:sdtPr>
              <w:sdtContent>
                <w:p>
                  <w:pPr>
                    <w:shd w:val="clear" w:color="auto" w:fill="FFFFFF"/>
                    <w:spacing w:line="360" w:lineRule="auto"/>
                    <w:ind w:firstLine="720"/>
                    <w:jc w:val="both"/>
                    <w:rPr>
                      <w:color w:val="000000"/>
                      <w:szCs w:val="24"/>
                      <w:lang w:eastAsia="lt-LT"/>
                    </w:rPr>
                  </w:pPr>
                  <w:sdt>
                    <w:sdtPr>
                      <w:alias w:val="Numeris"/>
                      <w:tag w:val="nr_40b701ce9fac4eaaa42cdf938a5e4436"/>
                      <w:lock w:val="sdtLocked"/>
                      <w:richText/>
                    </w:sdtPr>
                    <w:sdtContent>
                      <w:r>
                        <w:rPr>
                          <w:color w:val="000000"/>
                          <w:szCs w:val="24"/>
                          <w:lang w:eastAsia="lt-LT"/>
                        </w:rPr>
                        <w:t>3</w:t>
                      </w:r>
                    </w:sdtContent>
                  </w:sdt>
                  <w:r>
                    <w:rPr>
                      <w:color w:val="000000"/>
                      <w:szCs w:val="24"/>
                      <w:lang w:eastAsia="lt-LT"/>
                    </w:rPr>
                    <w:t>. Suteikiant nepriklausomo ekspertinio įvertinimo paslaugas, taip pat turi būti motyvuotai atsakyta į šiuos klausimus:</w:t>
                  </w:r>
                </w:p>
                <w:sdt>
                  <w:sdtPr>
                    <w:alias w:val="3.1 pp."/>
                    <w:tag w:val="part_22b0d6624bb145f3a66834606b3250c7"/>
                    <w:lock w:val="sdtLocked"/>
                    <w:richText/>
                  </w:sdtPr>
                  <w:sdtContent>
                    <w:p>
                      <w:pPr>
                        <w:spacing w:line="360" w:lineRule="auto"/>
                        <w:ind w:firstLine="720"/>
                        <w:jc w:val="both"/>
                        <w:rPr>
                          <w:szCs w:val="24"/>
                          <w:lang w:eastAsia="lt-LT"/>
                        </w:rPr>
                      </w:pPr>
                      <w:sdt>
                        <w:sdtPr>
                          <w:alias w:val="Numeris"/>
                          <w:tag w:val="nr_22b0d6624bb145f3a66834606b3250c7"/>
                          <w:lock w:val="sdtLocked"/>
                          <w:richText/>
                        </w:sdtPr>
                        <w:sdtContent>
                          <w:r>
                            <w:rPr>
                              <w:szCs w:val="24"/>
                              <w:lang w:eastAsia="lt-LT"/>
                            </w:rPr>
                            <w:t>3.1</w:t>
                          </w:r>
                        </w:sdtContent>
                      </w:sdt>
                      <w:r>
                        <w:rPr>
                          <w:szCs w:val="24"/>
                          <w:lang w:eastAsia="lt-LT"/>
                        </w:rPr>
                        <w:t>. Ar Įstatymo projektu Nr. XIIIP-4571(2) siūlomas reguliavimas atitinka Europos Sąjungos teisę?</w:t>
                      </w:r>
                    </w:p>
                  </w:sdtContent>
                </w:sdt>
                <w:sdt>
                  <w:sdtPr>
                    <w:alias w:val="3.2 pp."/>
                    <w:tag w:val="part_3b06cef4bfec4c779206cdd79a595168"/>
                    <w:lock w:val="sdtLocked"/>
                    <w:richText/>
                  </w:sdtPr>
                  <w:sdtContent>
                    <w:p>
                      <w:pPr>
                        <w:spacing w:line="360" w:lineRule="auto"/>
                        <w:ind w:firstLine="720"/>
                        <w:jc w:val="both"/>
                        <w:rPr>
                          <w:szCs w:val="24"/>
                          <w:lang w:eastAsia="lt-LT"/>
                        </w:rPr>
                      </w:pPr>
                      <w:sdt>
                        <w:sdtPr>
                          <w:alias w:val="Numeris"/>
                          <w:tag w:val="nr_3b06cef4bfec4c779206cdd79a595168"/>
                          <w:lock w:val="sdtLocked"/>
                          <w:richText/>
                        </w:sdtPr>
                        <w:sdtContent>
                          <w:r>
                            <w:rPr>
                              <w:szCs w:val="24"/>
                              <w:lang w:eastAsia="lt-LT"/>
                            </w:rPr>
                            <w:t>3.2</w:t>
                          </w:r>
                        </w:sdtContent>
                      </w:sdt>
                      <w:r>
                        <w:rPr>
                          <w:szCs w:val="24"/>
                          <w:lang w:eastAsia="lt-LT"/>
                        </w:rPr>
                        <w:t>. Kokias ilgalaikes ir trumpalaikes pasekmes Įstatymo projektu Nr. XIIIP-4571(2) siūlomas reguliavimas sukeltų farmacijos sektoriui, vaistinių tinklui ir farmacijos paslaugų prieinamumui?</w:t>
                      </w:r>
                    </w:p>
                  </w:sdtContent>
                </w:sdt>
              </w:sdtContent>
            </w:sdt>
            <w:sdt>
              <w:sdtPr>
                <w:alias w:val="4 p."/>
                <w:tag w:val="part_a0f1c4b6233940f6a422cd0c164603a7"/>
                <w:lock w:val="sdtLocked"/>
                <w:richText/>
              </w:sdtPr>
              <w:sdtContent>
                <w:p>
                  <w:pPr>
                    <w:shd w:val="clear" w:color="auto" w:fill="FFFFFF"/>
                    <w:spacing w:line="360" w:lineRule="auto"/>
                    <w:ind w:firstLine="720"/>
                    <w:jc w:val="both"/>
                    <w:rPr>
                      <w:color w:val="000000"/>
                      <w:szCs w:val="24"/>
                      <w:lang w:eastAsia="lt-LT"/>
                    </w:rPr>
                  </w:pPr>
                  <w:sdt>
                    <w:sdtPr>
                      <w:alias w:val="Numeris"/>
                      <w:tag w:val="nr_a0f1c4b6233940f6a422cd0c164603a7"/>
                      <w:lock w:val="sdtLocked"/>
                      <w:richText/>
                    </w:sdtPr>
                    <w:sdtContent>
                      <w:r>
                        <w:rPr>
                          <w:color w:val="000000"/>
                          <w:szCs w:val="24"/>
                          <w:lang w:eastAsia="lt-LT"/>
                        </w:rPr>
                        <w:t>4</w:t>
                      </w:r>
                    </w:sdtContent>
                  </w:sdt>
                  <w:r>
                    <w:rPr>
                      <w:color w:val="000000"/>
                      <w:szCs w:val="24"/>
                      <w:lang w:eastAsia="lt-LT"/>
                    </w:rPr>
                    <w:t>. Jeigu teikiant nepriklausomo ekspertinio įvertinimo paslaugas analizuojama konkrečių Europos Sąjungos valstybių narių praktika, turi būti nurodyti tos šalies pasirinkto reguliavimo pranašumai, įvardyti tokio reguliavimo trūkumai ir iškilusios problemos. Paslaugų teikėjas, pateikdamas konkrečios Europos Sąjungos valstybės narės analizę, turi aprašyti taikomo reguliavimo teisinį reglamentavimą, struktūrą, apimtį.</w:t>
                  </w:r>
                </w:p>
              </w:sdtContent>
            </w:sdt>
            <w:sdt>
              <w:sdtPr>
                <w:alias w:val="5 p."/>
                <w:tag w:val="part_f4f0968787c149528e1260132ef6b1ad"/>
                <w:lock w:val="sdtLocked"/>
                <w:richText/>
              </w:sdtPr>
              <w:sdtContent>
                <w:p>
                  <w:pPr>
                    <w:shd w:val="clear" w:color="auto" w:fill="FFFFFF"/>
                    <w:spacing w:line="360" w:lineRule="auto"/>
                    <w:ind w:firstLine="720"/>
                    <w:jc w:val="both"/>
                    <w:rPr>
                      <w:color w:val="000000"/>
                      <w:szCs w:val="24"/>
                      <w:lang w:eastAsia="lt-LT"/>
                    </w:rPr>
                  </w:pPr>
                  <w:sdt>
                    <w:sdtPr>
                      <w:alias w:val="Numeris"/>
                      <w:tag w:val="nr_f4f0968787c149528e1260132ef6b1ad"/>
                      <w:lock w:val="sdtLocked"/>
                      <w:richText/>
                    </w:sdtPr>
                    <w:sdtContent>
                      <w:r>
                        <w:rPr>
                          <w:color w:val="000000"/>
                          <w:szCs w:val="24"/>
                          <w:lang w:eastAsia="lt-LT"/>
                        </w:rPr>
                        <w:t>5</w:t>
                      </w:r>
                    </w:sdtContent>
                  </w:sdt>
                  <w:r>
                    <w:rPr>
                      <w:color w:val="000000"/>
                      <w:szCs w:val="24"/>
                      <w:lang w:eastAsia="lt-LT"/>
                    </w:rPr>
                    <w:t xml:space="preserve">. </w:t>
                  </w:r>
                  <w:r>
                    <w:rPr>
                      <w:bCs/>
                      <w:szCs w:val="24"/>
                      <w:lang w:eastAsia="lt-LT"/>
                    </w:rPr>
                    <w:t>Įstatymo projekto Nr. XIIIP-4571(2)</w:t>
                  </w:r>
                  <w:r>
                    <w:rPr>
                      <w:bCs/>
                      <w:szCs w:val="24"/>
                      <w:shd w:val="clear" w:color="auto" w:fill="FFFFFF"/>
                    </w:rPr>
                    <w:t xml:space="preserve">, taip pat </w:t>
                  </w:r>
                  <w:r>
                    <w:rPr>
                      <w:color w:val="000000"/>
                      <w:szCs w:val="24"/>
                      <w:lang w:eastAsia="lt-LT"/>
                    </w:rPr>
                    <w:t>Seimo narių pasiūlymai dėl šio įstatymo projekto, registruoti iki nepriklausomo ekspertinio įvertinimo paslaugų viešojo pirkimo sutarties sudarymo, turi būti įvertinti ir pateikta galutinė nepriklausoma ekspertų išvada. Jeigu išvadoje siūloma tikslinti teisės akto projektą, turi būti suformuluoti konkretūs siūlymai (teisės akto projekto tekstas) ir pateiktas šių siūlymų pagrindimas.</w:t>
                  </w:r>
                </w:p>
                <w:p>
                  <w:pPr>
                    <w:shd w:val="clear" w:color="auto" w:fill="FFFFFF"/>
                    <w:spacing w:line="340" w:lineRule="atLeast"/>
                    <w:ind w:firstLine="782"/>
                    <w:jc w:val="both"/>
                    <w:rPr>
                      <w:color w:val="000000"/>
                      <w:szCs w:val="24"/>
                      <w:lang w:eastAsia="lt-LT"/>
                    </w:rPr>
                  </w:pPr>
                </w:p>
              </w:sdtContent>
            </w:sdt>
          </w:sdtContent>
        </w:sdt>
        <w:sdt>
          <w:sdtPr>
            <w:alias w:val="skyrius"/>
            <w:tag w:val="part_45b64f9c5e8745e09ccfae445c39ed0a"/>
            <w:lock w:val="sdtLocked"/>
            <w:richText/>
          </w:sdtPr>
          <w:sdtContent>
            <w:p>
              <w:pPr>
                <w:shd w:val="clear" w:color="auto" w:fill="FFFFFF"/>
                <w:spacing w:line="360" w:lineRule="auto"/>
                <w:jc w:val="center"/>
                <w:rPr>
                  <w:color w:val="000000"/>
                  <w:szCs w:val="24"/>
                  <w:lang w:eastAsia="lt-LT"/>
                </w:rPr>
              </w:pPr>
              <w:sdt>
                <w:sdtPr>
                  <w:alias w:val="Numeris"/>
                  <w:tag w:val="nr_45b64f9c5e8745e09ccfae445c39ed0a"/>
                  <w:lock w:val="sdtLocked"/>
                  <w:richText/>
                </w:sdtPr>
                <w:sdtContent>
                  <w:r>
                    <w:rPr>
                      <w:b/>
                      <w:bCs/>
                      <w:color w:val="000000"/>
                      <w:szCs w:val="24"/>
                      <w:lang w:eastAsia="lt-LT"/>
                    </w:rPr>
                    <w:t>II</w:t>
                  </w:r>
                </w:sdtContent>
              </w:sdt>
              <w:r>
                <w:rPr>
                  <w:b/>
                  <w:bCs/>
                  <w:color w:val="000000"/>
                  <w:szCs w:val="24"/>
                  <w:lang w:eastAsia="lt-LT"/>
                </w:rPr>
                <w:t xml:space="preserve"> SKYRIUS</w:t>
              </w:r>
            </w:p>
            <w:p>
              <w:pPr>
                <w:shd w:val="clear" w:color="auto" w:fill="FFFFFF"/>
                <w:spacing w:line="360" w:lineRule="auto"/>
                <w:jc w:val="center"/>
                <w:rPr>
                  <w:color w:val="000000"/>
                  <w:szCs w:val="24"/>
                  <w:lang w:eastAsia="lt-LT"/>
                </w:rPr>
              </w:pPr>
              <w:sdt>
                <w:sdtPr>
                  <w:alias w:val="Pavadinimas"/>
                  <w:tag w:val="title_45b64f9c5e8745e09ccfae445c39ed0a"/>
                  <w:lock w:val="sdtLocked"/>
                  <w:richText/>
                </w:sdtPr>
                <w:sdtContent>
                  <w:r>
                    <w:rPr>
                      <w:b/>
                      <w:bCs/>
                      <w:color w:val="000000"/>
                      <w:szCs w:val="24"/>
                      <w:lang w:eastAsia="lt-LT"/>
                    </w:rPr>
                    <w:t>REIKALAVIMAI EKSPERTAMS</w:t>
                  </w:r>
                </w:sdtContent>
              </w:sdt>
            </w:p>
            <w:p>
              <w:pPr>
                <w:shd w:val="clear" w:color="auto" w:fill="FFFFFF"/>
                <w:spacing w:line="340" w:lineRule="atLeast"/>
                <w:ind w:firstLine="782"/>
                <w:jc w:val="both"/>
                <w:rPr>
                  <w:color w:val="000000"/>
                  <w:szCs w:val="24"/>
                  <w:lang w:eastAsia="lt-LT"/>
                </w:rPr>
              </w:pPr>
            </w:p>
            <w:sdt>
              <w:sdtPr>
                <w:alias w:val="6 p."/>
                <w:tag w:val="part_6bc084950e0c48db976c340e1570c281"/>
                <w:lock w:val="sdtLocked"/>
                <w:richText/>
              </w:sdtPr>
              <w:sdtContent>
                <w:p>
                  <w:pPr>
                    <w:shd w:val="clear" w:color="auto" w:fill="FFFFFF"/>
                    <w:spacing w:line="360" w:lineRule="auto"/>
                    <w:ind w:firstLine="720"/>
                    <w:jc w:val="both"/>
                    <w:rPr>
                      <w:color w:val="000000"/>
                      <w:szCs w:val="24"/>
                      <w:lang w:eastAsia="lt-LT"/>
                    </w:rPr>
                  </w:pPr>
                  <w:sdt>
                    <w:sdtPr>
                      <w:alias w:val="Numeris"/>
                      <w:tag w:val="nr_6bc084950e0c48db976c340e1570c281"/>
                      <w:lock w:val="sdtLocked"/>
                      <w:richText/>
                    </w:sdtPr>
                    <w:sdtContent>
                      <w:r>
                        <w:rPr>
                          <w:color w:val="000000"/>
                          <w:szCs w:val="24"/>
                          <w:lang w:eastAsia="lt-LT"/>
                        </w:rPr>
                        <w:t>6</w:t>
                      </w:r>
                    </w:sdtContent>
                  </w:sdt>
                  <w:r>
                    <w:rPr>
                      <w:color w:val="000000"/>
                      <w:szCs w:val="24"/>
                      <w:lang w:eastAsia="lt-LT"/>
                    </w:rPr>
                    <w:t>. Ekspertas, pageidaujantis atlikti nepriklausomą ekspertinį įvertinimą, turi atitikti šiuos minimalius kvalifikacinius reikalavimus:</w:t>
                  </w:r>
                </w:p>
                <w:p>
                  <w:pPr>
                    <w:shd w:val="clear" w:color="auto" w:fill="FFFFFF"/>
                    <w:spacing w:line="360" w:lineRule="auto"/>
                    <w:ind w:firstLine="709"/>
                    <w:jc w:val="both"/>
                    <w:rPr>
                      <w:color w:val="000000"/>
                      <w:szCs w:val="24"/>
                      <w:lang w:eastAsia="lt-LT"/>
                    </w:rPr>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4707"/>
                    <w:gridCol w:w="4394"/>
                  </w:tblGrid>
                  <w:tr>
                    <w:trPr>
                      <w:tblHeader/>
                    </w:trPr>
                    <w:tc>
                      <w:tcPr>
                        <w:tcW w:w="4707" w:type="dxa"/>
                        <w:shd w:val="clear" w:color="auto" w:fill="FFFFFF"/>
                        <w:tcMar>
                          <w:top w:w="0" w:type="dxa"/>
                          <w:left w:w="108" w:type="dxa"/>
                          <w:bottom w:w="0" w:type="dxa"/>
                          <w:right w:w="108" w:type="dxa"/>
                        </w:tcMar>
                        <w:hideMark/>
                      </w:tcPr>
                      <w:p>
                        <w:pPr>
                          <w:spacing w:line="360" w:lineRule="auto"/>
                          <w:jc w:val="center"/>
                          <w:rPr>
                            <w:szCs w:val="24"/>
                            <w:lang w:eastAsia="lt-LT"/>
                          </w:rPr>
                        </w:pPr>
                        <w:r>
                          <w:rPr>
                            <w:szCs w:val="24"/>
                            <w:lang w:eastAsia="lt-LT"/>
                          </w:rPr>
                          <w:t>Kvalifikacijos reikalavimas</w:t>
                        </w:r>
                      </w:p>
                    </w:tc>
                    <w:tc>
                      <w:tcPr>
                        <w:tcW w:w="4394" w:type="dxa"/>
                        <w:shd w:val="clear" w:color="auto" w:fill="FFFFFF"/>
                        <w:tcMar>
                          <w:top w:w="0" w:type="dxa"/>
                          <w:left w:w="108" w:type="dxa"/>
                          <w:bottom w:w="0" w:type="dxa"/>
                          <w:right w:w="108" w:type="dxa"/>
                        </w:tcMar>
                        <w:hideMark/>
                      </w:tcPr>
                      <w:p>
                        <w:pPr>
                          <w:spacing w:line="360" w:lineRule="auto"/>
                          <w:jc w:val="center"/>
                          <w:rPr>
                            <w:szCs w:val="24"/>
                            <w:lang w:eastAsia="lt-LT"/>
                          </w:rPr>
                        </w:pPr>
                        <w:r>
                          <w:rPr>
                            <w:szCs w:val="24"/>
                            <w:lang w:eastAsia="lt-LT"/>
                          </w:rPr>
                          <w:t>Dokumentas, kurį reikia pateikti</w:t>
                        </w:r>
                      </w:p>
                    </w:tc>
                  </w:tr>
                  <w:tr>
                    <w:trPr>
                      <w:trHeight w:val="827"/>
                    </w:trPr>
                    <w:tc>
                      <w:tcPr>
                        <w:tcW w:w="4707" w:type="dxa"/>
                        <w:shd w:val="clear" w:color="auto" w:fill="FFFFFF"/>
                        <w:tcMar>
                          <w:top w:w="0" w:type="dxa"/>
                          <w:left w:w="108" w:type="dxa"/>
                          <w:bottom w:w="0" w:type="dxa"/>
                          <w:right w:w="108" w:type="dxa"/>
                        </w:tcMar>
                      </w:tcPr>
                      <w:p>
                        <w:pPr>
                          <w:shd w:val="clear" w:color="auto" w:fill="FFFFFF"/>
                          <w:jc w:val="both"/>
                          <w:rPr>
                            <w:szCs w:val="24"/>
                            <w:lang w:eastAsia="lt-LT"/>
                          </w:rPr>
                        </w:pPr>
                        <w:r>
                          <w:rPr>
                            <w:szCs w:val="24"/>
                            <w:lang w:eastAsia="lt-LT"/>
                          </w:rPr>
                          <w:t>T</w:t>
                        </w:r>
                        <w:r>
                          <w:rPr>
                            <w:color w:val="000000"/>
                            <w:szCs w:val="24"/>
                          </w:rPr>
                          <w:t>urėti</w:t>
                        </w:r>
                        <w:r>
                          <w:rPr>
                            <w:color w:val="212121"/>
                            <w:szCs w:val="24"/>
                          </w:rPr>
                          <w:t xml:space="preserve"> </w:t>
                        </w:r>
                        <w:r>
                          <w:rPr>
                            <w:szCs w:val="24"/>
                          </w:rPr>
                          <w:t xml:space="preserve">teisės studijų krypčių grupės aukštąjį universitetinį arba jam prilygintą išsilavinimą, socialinių mokslų studijų krypčių grupės aukštąjį universitetinį arba jam prilygintą išsilavinimą arba sveikatos mokslų studijų krypčių grupės aukštąjį universitetinį arba jam prilygintą išsilavinimą ir šių studijų krypčių grupių mokslų daktaro laipsnį bei ne mažesnę kaip 5 metų darbo patirtį teisės ir (ar) ekonomikos, ir (ar) farmacijos srityje </w:t>
                        </w:r>
                        <w:r>
                          <w:rPr>
                            <w:szCs w:val="24"/>
                            <w:lang w:eastAsia="lt-LT"/>
                          </w:rPr>
                          <w:t>(</w:t>
                        </w:r>
                        <w:r>
                          <w:rPr>
                            <w:color w:val="000000"/>
                            <w:szCs w:val="24"/>
                            <w:lang w:eastAsia="lt-LT"/>
                          </w:rPr>
                          <w:t>jeigu ekspertinį vertinimą atlieka fizinių asmenų grupė, juridinis asmuo ar juridinių asmenų grupė, šį reikalavimą turi atitikti nors vienas asmuo iš fizinių asmenų grupės arba nors vienas juridinio asmens darbuotojų (arba kitais pagrindais pasitelktų specialistų), kurie atliks ekspertinį vertinimą).</w:t>
                        </w:r>
                      </w:p>
                    </w:tc>
                    <w:tc>
                      <w:tcPr>
                        <w:tcW w:w="4394" w:type="dxa"/>
                        <w:shd w:val="clear" w:color="auto" w:fill="FFFFFF"/>
                        <w:tcMar>
                          <w:top w:w="0" w:type="dxa"/>
                          <w:left w:w="108" w:type="dxa"/>
                          <w:bottom w:w="0" w:type="dxa"/>
                          <w:right w:w="108" w:type="dxa"/>
                        </w:tcMar>
                      </w:tcPr>
                      <w:p>
                        <w:pPr>
                          <w:jc w:val="both"/>
                          <w:rPr>
                            <w:szCs w:val="24"/>
                            <w:lang w:eastAsia="lt-LT"/>
                          </w:rPr>
                        </w:pPr>
                        <w:r>
                          <w:rPr>
                            <w:szCs w:val="24"/>
                            <w:lang w:eastAsia="lt-LT"/>
                          </w:rPr>
                          <w:t>Eksperto patirties ir kvalifikacijos aprašymas, kuriame turi būti nurodyta:</w:t>
                        </w:r>
                      </w:p>
                      <w:p>
                        <w:pPr>
                          <w:ind w:firstLine="36"/>
                          <w:jc w:val="both"/>
                          <w:rPr>
                            <w:szCs w:val="24"/>
                            <w:lang w:eastAsia="lt-LT"/>
                          </w:rPr>
                        </w:pPr>
                        <w:r>
                          <w:rPr>
                            <w:szCs w:val="24"/>
                            <w:lang w:eastAsia="lt-LT"/>
                          </w:rPr>
                          <w:t>– eksperto esamos ir buvusios darbovietės (jeigu pasiūlymą teikia juridinis asmuo, nurodomos fizinių asmenų, kurie atliks ekspertizę, esamos ir buvusios darbovietės);</w:t>
                        </w:r>
                      </w:p>
                      <w:p>
                        <w:pPr>
                          <w:ind w:firstLine="36"/>
                          <w:jc w:val="both"/>
                          <w:rPr>
                            <w:szCs w:val="24"/>
                            <w:lang w:eastAsia="lt-LT"/>
                          </w:rPr>
                        </w:pPr>
                        <w:r>
                          <w:rPr>
                            <w:szCs w:val="24"/>
                            <w:lang w:eastAsia="lt-LT"/>
                          </w:rPr>
                          <w:t>– eksperto išsilavinimas (jeigu pasiūlymą teikia juridinis asmuo, nurodomas fizinių asmenų, kurie atliks ekspertizę, išsilavinimas), pridedant išsilavinimą liudijančių diplomų kopijas.</w:t>
                        </w:r>
                      </w:p>
                    </w:tc>
                  </w:tr>
                </w:tbl>
                <w:p>
                  <w:pPr>
                    <w:shd w:val="clear" w:color="auto" w:fill="FFFFFF"/>
                    <w:spacing w:line="360" w:lineRule="auto"/>
                    <w:ind w:firstLine="62"/>
                    <w:jc w:val="center"/>
                    <w:rPr>
                      <w:b/>
                      <w:bCs/>
                      <w:color w:val="000000"/>
                      <w:szCs w:val="24"/>
                      <w:lang w:eastAsia="lt-LT"/>
                    </w:rPr>
                  </w:pPr>
                </w:p>
              </w:sdtContent>
            </w:sdt>
          </w:sdtContent>
        </w:sdt>
        <w:sdt>
          <w:sdtPr>
            <w:alias w:val="skyrius"/>
            <w:tag w:val="part_75f02eed40574052b91f60c1b302d37f"/>
            <w:lock w:val="sdtLocked"/>
            <w:richText/>
          </w:sdtPr>
          <w:sdtContent>
            <w:p>
              <w:pPr>
                <w:shd w:val="clear" w:color="auto" w:fill="FFFFFF"/>
                <w:spacing w:line="360" w:lineRule="auto"/>
                <w:jc w:val="center"/>
                <w:rPr>
                  <w:color w:val="000000"/>
                  <w:szCs w:val="24"/>
                  <w:lang w:eastAsia="lt-LT"/>
                </w:rPr>
              </w:pPr>
              <w:sdt>
                <w:sdtPr>
                  <w:alias w:val="Numeris"/>
                  <w:tag w:val="nr_75f02eed40574052b91f60c1b302d37f"/>
                  <w:lock w:val="sdtLocked"/>
                  <w:richText/>
                </w:sdtPr>
                <w:sdtContent>
                  <w:r>
                    <w:rPr>
                      <w:b/>
                      <w:bCs/>
                      <w:color w:val="000000"/>
                      <w:szCs w:val="24"/>
                      <w:lang w:eastAsia="lt-LT"/>
                    </w:rPr>
                    <w:t>III</w:t>
                  </w:r>
                </w:sdtContent>
              </w:sdt>
              <w:r>
                <w:rPr>
                  <w:b/>
                  <w:bCs/>
                  <w:color w:val="000000"/>
                  <w:szCs w:val="24"/>
                  <w:lang w:eastAsia="lt-LT"/>
                </w:rPr>
                <w:t xml:space="preserve"> SKYRIUS</w:t>
              </w:r>
            </w:p>
            <w:p>
              <w:pPr>
                <w:shd w:val="clear" w:color="auto" w:fill="FFFFFF"/>
                <w:spacing w:line="360" w:lineRule="auto"/>
                <w:jc w:val="center"/>
                <w:rPr>
                  <w:color w:val="000000"/>
                  <w:szCs w:val="24"/>
                  <w:lang w:eastAsia="lt-LT"/>
                </w:rPr>
              </w:pPr>
              <w:sdt>
                <w:sdtPr>
                  <w:alias w:val="Pavadinimas"/>
                  <w:tag w:val="title_75f02eed40574052b91f60c1b302d37f"/>
                  <w:lock w:val="sdtLocked"/>
                  <w:richText/>
                </w:sdtPr>
                <w:sdtContent>
                  <w:r>
                    <w:rPr>
                      <w:b/>
                      <w:bCs/>
                      <w:color w:val="000000"/>
                      <w:szCs w:val="24"/>
                      <w:lang w:eastAsia="lt-LT"/>
                    </w:rPr>
                    <w:t>NEPRIKLAUSOMO EKSPERTINIO ĮVERTINIMO PASLAUGŲ SUTEIKIMO TVARKA IR TERMINAI</w:t>
                  </w:r>
                </w:sdtContent>
              </w:sdt>
            </w:p>
            <w:p>
              <w:pPr>
                <w:shd w:val="clear" w:color="auto" w:fill="FFFFFF"/>
                <w:spacing w:line="340" w:lineRule="atLeast"/>
                <w:ind w:firstLine="771"/>
                <w:jc w:val="center"/>
                <w:rPr>
                  <w:color w:val="000000"/>
                  <w:szCs w:val="24"/>
                  <w:lang w:eastAsia="lt-LT"/>
                </w:rPr>
              </w:pPr>
            </w:p>
            <w:sdt>
              <w:sdtPr>
                <w:alias w:val="7 p."/>
                <w:tag w:val="part_217e328f9c2547fa8a51aade77bb21e4"/>
                <w:lock w:val="sdtLocked"/>
                <w:richText/>
              </w:sdtPr>
              <w:sdtContent>
                <w:p>
                  <w:pPr>
                    <w:shd w:val="clear" w:color="auto" w:fill="FFFFFF"/>
                    <w:spacing w:line="360" w:lineRule="auto"/>
                    <w:ind w:firstLine="720"/>
                    <w:jc w:val="both"/>
                    <w:rPr>
                      <w:color w:val="000000"/>
                      <w:szCs w:val="24"/>
                      <w:lang w:eastAsia="lt-LT"/>
                    </w:rPr>
                  </w:pPr>
                  <w:sdt>
                    <w:sdtPr>
                      <w:alias w:val="Numeris"/>
                      <w:tag w:val="nr_217e328f9c2547fa8a51aade77bb21e4"/>
                      <w:lock w:val="sdtLocked"/>
                      <w:richText/>
                    </w:sdtPr>
                    <w:sdtContent>
                      <w:r>
                        <w:rPr>
                          <w:color w:val="000000"/>
                          <w:szCs w:val="24"/>
                          <w:lang w:eastAsia="lt-LT"/>
                        </w:rPr>
                        <w:t>7</w:t>
                      </w:r>
                    </w:sdtContent>
                  </w:sdt>
                  <w:r>
                    <w:rPr>
                      <w:color w:val="000000"/>
                      <w:szCs w:val="24"/>
                      <w:lang w:eastAsia="lt-LT"/>
                    </w:rPr>
                    <w:t>. Nepriklausomo ekspertinio įvertinimo paslaugos turi būti suteiktos ir išsami ekspertų išvada turi būti pateikta per 14 kalendorinių dienų nuo nepriklausomo ekspertinio įvertinimo paslaugų viešojo pirkimo sutarties sudarymo dienos. Ekspertų pasirašyta išvada (3 egzemplioriais) turi būti pateikta popierinėje laikmenoje ir kompiuterinėje laikmenoje DOC ir PDF formatais.</w:t>
                  </w:r>
                </w:p>
                <w:p>
                  <w:pPr>
                    <w:spacing w:line="360" w:lineRule="auto"/>
                    <w:jc w:val="center"/>
                    <w:rPr>
                      <w:szCs w:val="24"/>
                    </w:rPr>
                  </w:pPr>
                  <w:r>
                    <w:rPr>
                      <w:szCs w:val="24"/>
                    </w:rPr>
                    <w:t>_______________________</w:t>
                  </w:r>
                </w:p>
                <w:p>
                  <w:pPr>
                    <w:tabs>
                      <w:tab w:val="right" w:pos="9356"/>
                    </w:tabs>
                  </w:pPr>
                </w:p>
              </w:sdtContent>
            </w:sdt>
          </w:sdtContent>
        </w:sdt>
      </w:sdtContent>
    </w:sdt>
    <w:sectPr>
      <w:headerReference w:type="default" r:id="rId14"/>
      <w:pgSz w:w="11906" w:h="16838"/>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3</w:t>
    </w:r>
    <w:r>
      <w:rPr>
        <w:rFonts w:ascii="TimesLT" w:hAnsi="TimesLT"/>
        <w:lang w:val="en-US"/>
      </w:rPr>
      <w:fldChar w:fldCharType="end"/>
    </w:r>
  </w:p>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20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0adec86263f4227836e730b297a7b9c" PartId="5051594f66f64c43a2a3dc76701ca28b">
    <Part Type="preambule" DocPartId="ccc0530d68534c47bab0653bdcd755a8" PartId="d6e92beff03a4c948d4e9853d3be4fa7"/>
    <Part Type="punktas" Nr="1" Abbr="1 p." DocPartId="7360ff7e07d74c718c29da8d8bf04327" PartId="f6f57aafd28a49f794921842715fea02"/>
    <Part Type="punktas" Nr="2" Abbr="2 p." DocPartId="03aa8c04689b4c2f8f27e06abdd5e569" PartId="ae48f1b7656c494597632f306df0fc88"/>
    <Part Type="punktas" Nr="3" Abbr="3 p." DocPartId="e32c75c602b34d22a0a0fdfb712fba9e" PartId="36f803634b04452fb2d39af157809586"/>
    <Part Type="signatura" DocPartId="48006f53e8024b20a4c852823c99b76f" PartId="a2ade66b20b14c1eaeed94b45e8cf7a3"/>
  </Part>
  <Part Type="patvirtinta" Title="LIETUVOS RESPUBLIKOS FARMACIJOS ĮSTATYMO 2, 4, 5, 7, 35, 39, 76 STRAIPSNIŲ PAKEITIMO IR PAPILDYMO ĮSTATYMO NR. XI-2017 5 STRAIPSNIO PAKEITIMO ĮSTATYMO PROJEKTO NR. XIIIP-4571(2) NEPRIKLAUSOMO EKSPERTINIO ĮVERTINIMO PASLAUGŲ PIRKIMO TECHNINĖ SPECIFIKACIJA" DocPartId="50a13d714d7245eeafe682a00c9a4ea6" PartId="37341b8a553e49ed94fd842f5f3a647b">
    <Part Type="skyrius" Nr="1" Title="NEPRIKLAUSOMO EKSPERTINIO ĮVERTINIMO PASLAUGŲ OBJEKTAS, APIMTIS, REIKALAVIMAI" DocPartId="6a106d6f616e414680a851824f1389ab" PartId="e6dcc9ef14b74ed7948fa1a1cf5cad44">
      <Part Type="punktas" Nr="1" Abbr="1 p." DocPartId="480f2a920d2c42f98eb0f1ac7cfd8b8b" PartId="e97cd37e1e1e45018b9fa6b658a77d7d"/>
      <Part Type="punktas" Nr="2" Abbr="2 p." DocPartId="0d68f281c4a5479aabb94aa73f3e1123" PartId="474726df0cbe4688b5b24051ee1a92ef">
        <Part Type="papunktis" Nr="2.1" Abbr="2.1 pp." DocPartId="bb8b71277f4b42eca1cdfceb64027adb" PartId="581e655541454720958940ab8c3e9ff5"/>
        <Part Type="papunktis" Nr="2.2" Abbr="2.2 pp." DocPartId="aadf143fa3d14e1999fce68da5878096" PartId="d33930f7853b418e97d28a56e69787aa"/>
      </Part>
      <Part Type="punktas" Nr="3" Abbr="3 p." DocPartId="e5869fc9a70649f1a59b2938336394cb" PartId="40b701ce9fac4eaaa42cdf938a5e4436">
        <Part Type="papunktis" Nr="3.1" Abbr="3.1 pp." DocPartId="9b166f5d83cb429da61991a13f8a6cce" PartId="22b0d6624bb145f3a66834606b3250c7"/>
        <Part Type="papunktis" Nr="3.2" Abbr="3.2 pp." DocPartId="810ecbf42a5b47ed9583f15cff9c677c" PartId="3b06cef4bfec4c779206cdd79a595168"/>
      </Part>
      <Part Type="punktas" Nr="4" Abbr="4 p." DocPartId="da2ebd8ff15647e6951decc51768fd66" PartId="a0f1c4b6233940f6a422cd0c164603a7"/>
      <Part Type="punktas" Nr="5" Abbr="5 p." DocPartId="044df069e04a4cf6930b2c4a6d7c9855" PartId="f4f0968787c149528e1260132ef6b1ad"/>
    </Part>
    <Part Type="skyrius" Nr="2" Title="REIKALAVIMAI EKSPERTAMS" DocPartId="e5845b94b9a240938003a64dce7bd7c0" PartId="45b64f9c5e8745e09ccfae445c39ed0a">
      <Part Type="punktas" Nr="6" Abbr="6 p." DocPartId="a7728bcc332942ca91d332ac64cb77dd" PartId="6bc084950e0c48db976c340e1570c281"/>
    </Part>
    <Part Type="skyrius" Nr="3" Title="NEPRIKLAUSOMO EKSPERTINIO ĮVERTINIMO PASLAUGŲ SUTEIKIMO TVARKA IR TERMINAI" DocPartId="a264d45bf2944fc4b97114376c3750ac" PartId="75f02eed40574052b91f60c1b302d37f">
      <Part Type="punktas" Nr="7" Abbr="7 p." DocPartId="e4e7c377f6cd4ac097923a5a04a75f78" PartId="217e328f9c2547fa8a51aade77bb21e4"/>
    </Part>
  </Part>
</Parts>
</file>

<file path=customXml/itemProps1.xml><?xml version="1.0" encoding="utf-8"?>
<ds:datastoreItem xmlns:ds="http://schemas.openxmlformats.org/officeDocument/2006/customXml" ds:itemID="{780F40D5-1477-45AA-B290-E2F9444B15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689</Words>
  <Characters>5003</Characters>
  <Application>Microsoft Office Word</Application>
  <DocSecurity>4</DocSecurity>
  <Lines>128</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5648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2020-10-21T06:13:00Z</dcterms:created>
  <dc:creator>MOZERIENĖ Dainora</dc:creator>
  <lastModifiedBy>adlibuser</lastModifiedBy>
  <lastPrinted>2020-10-20T07:31:00Z</lastPrinted>
  <dcterms:modified xsi:type="dcterms:W3CDTF">2020-10-21T06:13:00Z</dcterms:modified>
  <revision>2</revision>
</coreProperties>
</file>