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360" w:lineRule="auto"/>
        <w:jc w:val="center"/>
        <w:rPr>
          <w:sz w:val="20"/>
        </w:rPr>
      </w:pPr>
      <w:r>
        <w:rPr>
          <w:sz w:val="20"/>
        </w:rPr>
        <w:object w:dxaOrig="825" w:dyaOrig="960" w14:anchorId="32190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5pt;height:40.3pt" o:ole="" fillcolor="window">
            <v:imagedata r:id="rId7" o:title=""/>
          </v:shape>
          <o:OLEObject Type="Embed" ProgID="Word.Picture.8" ShapeID="_x0000_i1025" DrawAspect="Content" ObjectID="_1676434774" r:id="rId8"/>
        </w:objec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DĖL RADVILIŠKIO–TYTUVĖNŲ APYGARDOS NR. 44 RINKIMŲ KOMISIJOS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2020 M. RUGSĖJO 21 D. SPRENDIMO „DĖL ANTANO ČEPONONIO GALIMO LIETUVOS RESPUBLIKOS SEIMO RINKIMŲ ĮSTATYMO </w:t>
      </w:r>
      <w:r>
        <w:rPr>
          <w:b/>
          <w:bCs/>
          <w:iCs/>
          <w:szCs w:val="24"/>
        </w:rPr>
        <w:t>5</w:t>
      </w:r>
      <w:r>
        <w:rPr>
          <w:b/>
          <w:bCs/>
          <w:iCs/>
          <w:szCs w:val="24"/>
          <w:vertAlign w:val="superscript"/>
        </w:rPr>
        <w:t>1</w:t>
      </w:r>
      <w:r>
        <w:rPr>
          <w:b/>
          <w:szCs w:val="24"/>
        </w:rPr>
        <w:t xml:space="preserve"> STRAIPSNIO 1 DALIES NUOSTATŲ PAŽEIDIMO“</w:t>
      </w:r>
    </w:p>
    <w:p/>
    <w:p>
      <w:pPr>
        <w:jc w:val="center"/>
        <w:rPr>
          <w:szCs w:val="24"/>
        </w:rPr>
      </w:pPr>
      <w:r>
        <w:rPr>
          <w:szCs w:val="24"/>
        </w:rPr>
        <w:t>2021 m. kovo 4 d. Nr. Sp-67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spacing w:line="360" w:lineRule="auto"/>
      </w:pPr>
    </w:p>
    <w:p>
      <w:pPr>
        <w:spacing w:line="360" w:lineRule="auto"/>
        <w:ind w:firstLine="720"/>
        <w:jc w:val="both"/>
      </w:pPr>
      <w:r>
        <w:rPr>
          <w:szCs w:val="24"/>
        </w:rPr>
        <w:t>Lietuvos Respublikos vyriausioji rinkimų komisija</w:t>
      </w:r>
      <w:r>
        <w:t xml:space="preserve">, vadovaudamasi </w:t>
      </w:r>
      <w:r>
        <w:rPr>
          <w:szCs w:val="24"/>
        </w:rPr>
        <w:t>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3 dalimi, Rinkėjų galimų papirkimo atvejų tyrimo ir vertinimo tvarkos aprašo, patvirtinto Lietuvos Respublikos vyriausiosios rinkimų komisijos 2017 m. vasario 23 d. sprendimu Nr. Sp-47 „Dėl Rinkėjų galimų papirkimo atvejų tyrimo ir vertinimo tvarkos aprašo ir Metodinių rekomendacijų patvirtinimo“, 42.1 papunkčiu</w:t>
      </w:r>
      <w:r>
        <w:t xml:space="preserve"> ir atsižvelgdama į Lietuvos Respublikos vyriausiosios rinkimų komisijos narių Jūratės Lebedevienės ir Maksimo Reznikovo 2021 m. vasario 24 d. vertinimo išvadą Nr. 3-37 (1.2) „Dėl Radviliškio–Tytuvėnų apygardos Nr. 44 rinkimų komisijos 2020 m. rugsėjo 21 d. sprendimo „Dėl Antano Čepononio galimo Lietuvos Respublikos Seimo rinkimų įstatymo </w:t>
      </w:r>
      <w:r>
        <w:rPr>
          <w:iCs/>
          <w:szCs w:val="24"/>
        </w:rPr>
        <w:t>5</w:t>
      </w:r>
      <w:r>
        <w:rPr>
          <w:iCs/>
          <w:szCs w:val="24"/>
          <w:vertAlign w:val="superscript"/>
        </w:rPr>
        <w:t>1</w:t>
      </w:r>
      <w:r>
        <w:t xml:space="preserve"> straipsnio nuostatų pažeidimo</w:t>
      </w:r>
      <w:r>
        <w:rPr>
          <w:iCs/>
          <w:szCs w:val="24"/>
        </w:rPr>
        <w:t>“</w:t>
      </w:r>
      <w:r>
        <w:t xml:space="preserve">, </w:t>
      </w:r>
      <w:r>
        <w:rPr>
          <w:spacing w:val="60"/>
        </w:rPr>
        <w:t>nusprendži</w:t>
      </w:r>
      <w:r>
        <w:t>a: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</w:t>
      </w:r>
      <w:r>
        <w:t xml:space="preserve">Radviliškio–Tytuvėnų apygardos Nr. 44 rinkimų komisijos 2020 m. rugsėjo 21 d. </w:t>
      </w:r>
      <w:r>
        <w:rPr>
          <w:szCs w:val="24"/>
        </w:rPr>
        <w:t xml:space="preserve">posėdžio protokolo Nr. P-6 </w:t>
      </w:r>
      <w:r>
        <w:t xml:space="preserve">sprendimą „Dėl Antano Čepononio galimo Lietuvos Respublikos Seimo rinkimų įstatymo </w:t>
      </w:r>
      <w:r>
        <w:rPr>
          <w:iCs/>
          <w:szCs w:val="24"/>
        </w:rPr>
        <w:t>5</w:t>
      </w:r>
      <w:r>
        <w:rPr>
          <w:iCs/>
          <w:szCs w:val="24"/>
          <w:vertAlign w:val="superscript"/>
        </w:rPr>
        <w:t>1</w:t>
      </w:r>
      <w:r>
        <w:t xml:space="preserve"> straipsnio nuostatų pažeidimo“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sprendimas gali būti skundžiamas Vilniaus apygardos administraciniam teismui per vieną mėnesį nuo sprendimo priėmimo.</w:t>
      </w:r>
    </w:p>
    <w:p>
      <w:pPr>
        <w:tabs>
          <w:tab w:val="left" w:pos="4615"/>
        </w:tabs>
        <w:spacing w:line="360" w:lineRule="auto"/>
        <w:rPr>
          <w:szCs w:val="24"/>
          <w:lang w:eastAsia="lt-LT"/>
        </w:rPr>
      </w:pPr>
    </w:p>
    <w:p>
      <w:pPr>
        <w:tabs>
          <w:tab w:val="left" w:pos="4615"/>
        </w:tabs>
        <w:spacing w:line="360" w:lineRule="auto"/>
        <w:rPr>
          <w:szCs w:val="24"/>
          <w:lang w:eastAsia="lt-LT"/>
        </w:rPr>
      </w:pPr>
    </w:p>
    <w:p>
      <w:pPr>
        <w:tabs>
          <w:tab w:val="left" w:pos="4615"/>
        </w:tabs>
        <w:spacing w:line="360" w:lineRule="auto"/>
        <w:rPr>
          <w:sz w:val="22"/>
          <w:szCs w:val="22"/>
        </w:rPr>
      </w:pPr>
      <w:r>
        <w:rPr>
          <w:szCs w:val="24"/>
          <w:lang w:eastAsia="lt-LT"/>
        </w:rPr>
        <w:t>Pirmininkė</w:t>
        <w:tab/>
        <w:tab/>
        <w:tab/>
        <w:t xml:space="preserve">                 Laura Matjošaitytė</w:t>
      </w:r>
    </w:p>
    <w:sectPr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416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3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7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2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0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45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1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23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1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70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1366</Characters>
  <Application>Microsoft Office Word</Application>
  <DocSecurity>4</DocSecurity>
  <Lines>33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2021-03-05T05:33:00Z</dcterms:created>
  <dc:creator>Tauras Rutkūnas</dc:creator>
  <lastModifiedBy>adlibuser</lastModifiedBy>
  <lastPrinted>2020-11-10T12:04:00Z</lastPrinted>
  <dcterms:modified xsi:type="dcterms:W3CDTF">2021-03-05T05:33:00Z</dcterms:modified>
  <revision>2</revision>
</coreProperties>
</file>