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832DFFA" wp14:editId="52C762F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AUTORIŲ TEISIŲ IR GRETUTINIŲ TEISIŲ ĮSTATYMO NR. VIII-1185 72</w:t>
      </w:r>
      <w:r>
        <w:rPr>
          <w:b/>
          <w:caps/>
          <w:vertAlign w:val="superscript"/>
        </w:rPr>
        <w:t>30</w:t>
      </w:r>
      <w:r>
        <w:rPr>
          <w:b/>
          <w:caps/>
        </w:rPr>
        <w:t xml:space="preserve"> IR 96 STRAIPSNIŲ PAKEITIMO</w:t>
      </w:r>
    </w:p>
    <w:p>
      <w:pPr>
        <w:jc w:val="center"/>
        <w:rPr>
          <w:caps/>
        </w:rPr>
      </w:pPr>
      <w:r>
        <w:rPr>
          <w:b/>
          <w:caps/>
        </w:rPr>
        <w:t>ĮSTATYMAS</w:t>
      </w:r>
    </w:p>
    <w:p>
      <w:pPr>
        <w:jc w:val="center"/>
        <w:rPr>
          <w:b/>
          <w:caps/>
        </w:rPr>
      </w:pPr>
    </w:p>
    <w:p>
      <w:pPr>
        <w:jc w:val="center"/>
        <w:rPr>
          <w:szCs w:val="24"/>
        </w:rPr>
      </w:pPr>
      <w:r>
        <w:rPr>
          <w:szCs w:val="24"/>
        </w:rPr>
        <w:t>2018 m. gruodžio 11 d. Nr. XIII-1758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72</w:t>
      </w:r>
      <w:r>
        <w:rPr>
          <w:b/>
          <w:szCs w:val="24"/>
          <w:vertAlign w:val="superscript"/>
          <w:lang w:eastAsia="lt-LT"/>
        </w:rPr>
        <w:t>30</w:t>
      </w:r>
      <w:r>
        <w:rPr>
          <w:b/>
          <w:szCs w:val="24"/>
          <w:lang w:eastAsia="lt-LT"/>
        </w:rPr>
        <w:t xml:space="preserve"> straipsnio pakeitimas</w:t>
      </w:r>
    </w:p>
    <w:p>
      <w:pPr>
        <w:spacing w:line="360" w:lineRule="auto"/>
        <w:ind w:firstLine="720"/>
        <w:jc w:val="both"/>
        <w:rPr>
          <w:lang w:eastAsia="lt-LT"/>
        </w:rPr>
      </w:pPr>
      <w:r>
        <w:rPr>
          <w:lang w:eastAsia="lt-LT"/>
        </w:rPr>
        <w:t>1</w:t>
      </w:r>
      <w:r>
        <w:rPr>
          <w:lang w:eastAsia="lt-LT"/>
        </w:rPr>
        <w:t>. Pakeisti 72</w:t>
      </w:r>
      <w:r>
        <w:rPr>
          <w:vertAlign w:val="superscript"/>
          <w:lang w:eastAsia="lt-LT"/>
        </w:rPr>
        <w:t>30</w:t>
      </w:r>
      <w:r>
        <w:rPr>
          <w:lang w:eastAsia="lt-LT"/>
        </w:rPr>
        <w:t xml:space="preserve"> straipsnio 5 dalį ir ją išdėstyti taip:</w:t>
      </w:r>
    </w:p>
    <w:p>
      <w:pPr>
        <w:spacing w:line="360" w:lineRule="auto"/>
        <w:ind w:firstLine="720"/>
        <w:jc w:val="both"/>
        <w:rPr>
          <w:color w:val="000000"/>
          <w:szCs w:val="24"/>
        </w:rPr>
      </w:pPr>
      <w:r>
        <w:rPr>
          <w:szCs w:val="24"/>
        </w:rPr>
        <w:t>„</w:t>
      </w:r>
      <w:r>
        <w:rPr>
          <w:szCs w:val="24"/>
        </w:rPr>
        <w:t>5</w:t>
      </w:r>
      <w:r>
        <w:rPr>
          <w:szCs w:val="24"/>
        </w:rPr>
        <w:t>. Komisija sudaroma dvejiems metams iš 7 narių</w:t>
      </w:r>
      <w:r>
        <w:rPr>
          <w:color w:val="000000"/>
          <w:szCs w:val="24"/>
        </w:rPr>
        <w:t>. Komisijos nariais gali būti fiziniai asmenys, turintys teisinį arba kitą (socialinių ar humanitarinių mokslų) aukštąjį universitetinį išsilavinimą ir ne mažesnę kaip trejų metų profesinės, ekspertinės ar mokslinės veiklos patirtį autorių teisių ir gretutinių teisių srityje arba ne mažesnę kaip trejų metų civilinių ginčų taikinamojo tarpininkavimo (mediacijos) paslaugų teikimo patirtį.“</w:t>
      </w:r>
    </w:p>
    <w:p>
      <w:pPr>
        <w:spacing w:line="360" w:lineRule="auto"/>
        <w:ind w:firstLine="720"/>
        <w:jc w:val="both"/>
        <w:rPr>
          <w:lang w:eastAsia="lt-LT"/>
        </w:rPr>
      </w:pPr>
      <w:r>
        <w:rPr>
          <w:lang w:eastAsia="lt-LT"/>
        </w:rPr>
        <w:t>2</w:t>
      </w:r>
      <w:r>
        <w:rPr>
          <w:lang w:eastAsia="lt-LT"/>
        </w:rPr>
        <w:t>. Pakeisti 72</w:t>
      </w:r>
      <w:r>
        <w:rPr>
          <w:vertAlign w:val="superscript"/>
          <w:lang w:eastAsia="lt-LT"/>
        </w:rPr>
        <w:t>30</w:t>
      </w:r>
      <w:r>
        <w:rPr>
          <w:lang w:eastAsia="lt-LT"/>
        </w:rPr>
        <w:t xml:space="preserve"> straipsnio 6 dalį ir ją išdėstyti taip:</w:t>
      </w:r>
    </w:p>
    <w:p>
      <w:pPr>
        <w:spacing w:line="360" w:lineRule="auto"/>
        <w:ind w:firstLine="720"/>
        <w:jc w:val="both"/>
        <w:rPr>
          <w:szCs w:val="24"/>
          <w:lang w:eastAsia="lt-LT"/>
        </w:rPr>
      </w:pPr>
      <w:r>
        <w:rPr>
          <w:szCs w:val="24"/>
        </w:rPr>
        <w:t>„</w:t>
      </w:r>
      <w:r>
        <w:rPr>
          <w:szCs w:val="24"/>
          <w:lang w:eastAsia="lt-LT"/>
        </w:rPr>
        <w:t>6</w:t>
      </w:r>
      <w:r>
        <w:rPr>
          <w:szCs w:val="24"/>
          <w:lang w:eastAsia="lt-LT"/>
        </w:rPr>
        <w:t>. Komisija neturi juridinio asmens statuso. Komisijos nuostatus, sudėtį ir darbo reglamentą tvirtina, jos veiklos organizacinį ir techninį aptarnavimą atlieka Vyriausybės įgaliota institucija. Komisijos narių darbas Komisijoje apmokamas Lietuvos Respublikos valstybės ir savivaldybių įstaigų darbuotojų ir komisijų narių darbo apmokėjimo įstatymo nustatyta tvarka.“</w:t>
      </w:r>
    </w:p>
    <w:p>
      <w:pPr>
        <w:spacing w:line="360" w:lineRule="auto"/>
        <w:ind w:firstLine="720"/>
        <w:jc w:val="both"/>
        <w:rPr>
          <w:szCs w:val="24"/>
        </w:rPr>
      </w:pPr>
    </w:p>
    <w:p>
      <w:pPr>
        <w:spacing w:line="360" w:lineRule="auto"/>
        <w:ind w:firstLine="720"/>
        <w:jc w:val="both"/>
        <w:rPr>
          <w:b/>
          <w:color w:val="000000"/>
          <w:szCs w:val="24"/>
          <w:lang w:eastAsia="lt-LT"/>
        </w:rPr>
      </w:pPr>
      <w:r>
        <w:rPr>
          <w:b/>
          <w:color w:val="000000"/>
          <w:szCs w:val="24"/>
          <w:lang w:eastAsia="lt-LT"/>
        </w:rPr>
        <w:t>2</w:t>
      </w:r>
      <w:r>
        <w:rPr>
          <w:b/>
          <w:color w:val="000000"/>
          <w:szCs w:val="24"/>
          <w:lang w:eastAsia="lt-LT"/>
        </w:rPr>
        <w:t xml:space="preserve"> straipsnis. </w:t>
      </w:r>
      <w:r>
        <w:rPr>
          <w:b/>
          <w:color w:val="000000"/>
          <w:szCs w:val="24"/>
          <w:lang w:eastAsia="lt-LT"/>
        </w:rPr>
        <w:t>96 straipsnio pakeitimas</w:t>
      </w:r>
    </w:p>
    <w:p>
      <w:pPr>
        <w:spacing w:line="360" w:lineRule="auto"/>
        <w:ind w:firstLine="720"/>
        <w:jc w:val="both"/>
        <w:rPr>
          <w:lang w:eastAsia="lt-LT"/>
        </w:rPr>
      </w:pPr>
      <w:r>
        <w:rPr>
          <w:lang w:eastAsia="lt-LT"/>
        </w:rPr>
        <w:t>Pakeisti 96 straipsnio 1 dalį ir ją išdėstyti taip:</w:t>
      </w:r>
    </w:p>
    <w:p>
      <w:pPr>
        <w:spacing w:line="360" w:lineRule="auto"/>
        <w:ind w:firstLine="720"/>
        <w:jc w:val="both"/>
        <w:rPr>
          <w:lang w:eastAsia="lt-LT"/>
        </w:rPr>
      </w:pPr>
      <w:r>
        <w:t>„</w:t>
      </w:r>
      <w:r>
        <w:t>1</w:t>
      </w:r>
      <w:r>
        <w:t>. Šio Įstatymo 95 straipsnio 1 dalyje nustatyta tvarka panaikinus nenustatytų teisių turėtojų kūrinio statusą, teisių turėtojai turi teisę gauti vienkartinę kompensaciją už buvusio nenustatytų teisių turėtojų kūrinio naudojimą šio Įstatymo 94 straipsnio 1 dalyje nustatytais būdais. Prašymus išmokėti šią kompensaciją teisių turėtojai pateikia Vyriausybės įgaliotai institucijai. Sprendimą dėl kompensacijos išmokėjimo ir jos dydžio Vyriausybės įgaliota institucija priima atsižvelgdama į kompensavimo už nenustatytų teisių turėtojų kūrinių naudojimą ekspertų komisijos (toliau – ekspertų komisija) rekomendacines išvadas. Vyriausybės įgaliotos institucijos sprendimas ir ekspertų komisijos išvados priimamos įvertinus konkretaus buvusio nenustatytų teisių turėtojų kūrinio nekomercines naudojimo sąlygas (kūrinio ar fonogramos viešą prieinamumą, naudojimo būdus, poreikį išsaugoti arba atgaminti prarastus, sunaikintus arba tapusius netinkamus naudoti egzempliorius, nenustatytų teisių turėtojų kūrinių naudotojo siekiamų viešojo intereso tikslų svarbą, galimą padarytą žalą teisių turėtojams). Ekspertų komisiją iš 7 narių – Lietuvos meno kūrėjų asociacijos, kolektyvinio administravimo organizacijų</w:t>
      </w:r>
      <w:r>
        <w:rPr>
          <w:b/>
          <w:bCs/>
        </w:rPr>
        <w:t xml:space="preserve"> </w:t>
      </w:r>
      <w:r>
        <w:t>ir Vyriausybės įgaliotos institucijos atstovų – 2 metams sudaro ir jos nuostatus tvirtina Vyriausybės įgaliota institucija.</w:t>
      </w:r>
      <w:r>
        <w:rPr>
          <w:b/>
          <w:lang w:eastAsia="lt-LT"/>
        </w:rPr>
        <w:t xml:space="preserve"> </w:t>
      </w:r>
      <w:r>
        <w:rPr>
          <w:lang w:eastAsia="lt-LT"/>
        </w:rPr>
        <w:t>Darbas ekspertų komisijoje apmokamas Lietuvos Respublikos valstybės ir savivaldybių įstaigų darbuotojų ir komisijų narių darbo apmokėjimo įstatymo nustatyta tvarka.“</w:t>
      </w:r>
    </w:p>
    <w:p>
      <w:pPr>
        <w:tabs>
          <w:tab w:val="left" w:pos="1134"/>
          <w:tab w:val="left" w:pos="1276"/>
          <w:tab w:val="left" w:pos="1985"/>
        </w:tabs>
        <w:spacing w:line="360" w:lineRule="auto"/>
        <w:ind w:firstLine="720"/>
        <w:jc w:val="both"/>
        <w:rPr>
          <w:szCs w:val="24"/>
          <w:lang w:eastAsia="lt-LT"/>
        </w:rPr>
      </w:pPr>
    </w:p>
    <w:p>
      <w:pPr>
        <w:tabs>
          <w:tab w:val="left" w:pos="1134"/>
          <w:tab w:val="left" w:pos="1276"/>
          <w:tab w:val="left" w:pos="1985"/>
        </w:tabs>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Įstatymo įsigaliojimas ir įgyvendinimas</w:t>
      </w:r>
    </w:p>
    <w:p>
      <w:pPr>
        <w:tabs>
          <w:tab w:val="left" w:pos="709"/>
          <w:tab w:val="left" w:pos="993"/>
        </w:tabs>
        <w:spacing w:line="360" w:lineRule="auto"/>
        <w:ind w:firstLine="720"/>
        <w:rPr>
          <w:szCs w:val="24"/>
          <w:lang w:eastAsia="zh-CN"/>
        </w:rPr>
      </w:pPr>
      <w:r>
        <w:rPr>
          <w:szCs w:val="24"/>
          <w:lang w:eastAsia="zh-CN"/>
        </w:rPr>
        <w:t>1</w:t>
      </w:r>
      <w:r>
        <w:rPr>
          <w:szCs w:val="24"/>
          <w:lang w:eastAsia="zh-CN"/>
        </w:rPr>
        <w:t>. Šis įstatymas, išskyrus šio straipsnio 2 dalį, įsigalioja 2019 m. liepos 1 d.</w:t>
      </w:r>
    </w:p>
    <w:p>
      <w:pPr>
        <w:spacing w:line="360" w:lineRule="auto"/>
        <w:ind w:firstLine="720"/>
        <w:jc w:val="both"/>
        <w:rPr>
          <w:bCs/>
          <w:szCs w:val="24"/>
          <w:lang w:eastAsia="lt-LT"/>
        </w:rPr>
      </w:pPr>
      <w:r>
        <w:rPr>
          <w:bCs/>
          <w:szCs w:val="24"/>
          <w:lang w:eastAsia="lt-LT"/>
        </w:rPr>
        <w:t>2</w:t>
      </w:r>
      <w:r>
        <w:rPr>
          <w:bCs/>
          <w:szCs w:val="24"/>
          <w:lang w:eastAsia="lt-LT"/>
        </w:rPr>
        <w:t>. Lietuvos Respublikos Vyriausybė ar jos įgaliota institucija iki 2019 m. birželio 28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2716</Characters>
  <Application>Microsoft Office Word</Application>
  <DocSecurity>4</DocSecurity>
  <Lines>55</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3084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2018-12-18T12:44:00Z</dcterms:created>
  <dc:creator>MANIUŠKIENĖ Violeta</dc:creator>
  <lastModifiedBy>adlibuser</lastModifiedBy>
  <lastPrinted>2004-12-10T05:45:00Z</lastPrinted>
  <dcterms:modified xsi:type="dcterms:W3CDTF">2018-12-18T12:44:00Z</dcterms:modified>
  <revision>2</revision>
</coreProperties>
</file>