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8C0AC" w14:textId="7ED711F7" w:rsidR="00154D10" w:rsidRDefault="00154D10">
      <w:pPr>
        <w:tabs>
          <w:tab w:val="center" w:pos="4153"/>
          <w:tab w:val="right" w:pos="8306"/>
        </w:tabs>
        <w:rPr>
          <w:lang w:eastAsia="lt-LT"/>
        </w:rPr>
      </w:pPr>
    </w:p>
    <w:p w14:paraId="0268C0AD" w14:textId="77777777" w:rsidR="00154D10" w:rsidRDefault="005002D8">
      <w:pPr>
        <w:jc w:val="center"/>
        <w:rPr>
          <w:lang w:eastAsia="lt-LT"/>
        </w:rPr>
      </w:pPr>
      <w:r>
        <w:rPr>
          <w:noProof/>
          <w:lang w:eastAsia="lt-LT"/>
        </w:rPr>
        <w:drawing>
          <wp:inline distT="0" distB="0" distL="0" distR="0" wp14:anchorId="0268C0C5" wp14:editId="0268C0C6">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14:paraId="0268C0AE" w14:textId="77777777" w:rsidR="00154D10" w:rsidRDefault="005002D8">
      <w:pPr>
        <w:jc w:val="center"/>
        <w:rPr>
          <w:b/>
          <w:lang w:eastAsia="lt-LT"/>
        </w:rPr>
      </w:pPr>
      <w:r>
        <w:rPr>
          <w:b/>
          <w:lang w:eastAsia="lt-LT"/>
        </w:rPr>
        <w:t>LIETUVOS RESPUBLIKOS FINANSŲ MINISTRAS</w:t>
      </w:r>
    </w:p>
    <w:p w14:paraId="0268C0AF" w14:textId="77777777" w:rsidR="00154D10" w:rsidRDefault="00154D10">
      <w:pPr>
        <w:jc w:val="center"/>
        <w:rPr>
          <w:b/>
          <w:lang w:eastAsia="lt-LT"/>
        </w:rPr>
      </w:pPr>
    </w:p>
    <w:p w14:paraId="0268C0B0" w14:textId="77777777" w:rsidR="00154D10" w:rsidRDefault="005002D8">
      <w:pPr>
        <w:jc w:val="center"/>
        <w:rPr>
          <w:b/>
          <w:lang w:eastAsia="lt-LT"/>
        </w:rPr>
      </w:pPr>
      <w:r>
        <w:rPr>
          <w:b/>
          <w:lang w:eastAsia="lt-LT"/>
        </w:rPr>
        <w:t>ĮSAKYMAS</w:t>
      </w:r>
    </w:p>
    <w:p w14:paraId="0268C0B1" w14:textId="77777777" w:rsidR="00154D10" w:rsidRDefault="005002D8">
      <w:pPr>
        <w:jc w:val="center"/>
        <w:rPr>
          <w:lang w:eastAsia="lt-LT"/>
        </w:rPr>
      </w:pPr>
      <w:r>
        <w:rPr>
          <w:b/>
          <w:lang w:eastAsia="lt-LT"/>
        </w:rPr>
        <w:t>DĖL FINANSŲ MINISTRO 2016 M. GEGUŽĖS 26 D. ĮSAKYMO NR. 1K-213 „DĖL DOTACIJŲ SAVIVALDYBĖMS SKYRIMO IR GRĄŽINIMO TVARKOS APRAŠO PATVIRTINIMO“ PAKEITIMO</w:t>
      </w:r>
    </w:p>
    <w:p w14:paraId="0268C0B2" w14:textId="77777777" w:rsidR="00154D10" w:rsidRDefault="00154D10">
      <w:pPr>
        <w:jc w:val="center"/>
        <w:rPr>
          <w:lang w:eastAsia="lt-LT"/>
        </w:rPr>
      </w:pPr>
    </w:p>
    <w:p w14:paraId="0268C0B3" w14:textId="77777777" w:rsidR="00154D10" w:rsidRDefault="005002D8">
      <w:pPr>
        <w:jc w:val="center"/>
        <w:rPr>
          <w:lang w:eastAsia="lt-LT"/>
        </w:rPr>
      </w:pPr>
      <w:r>
        <w:rPr>
          <w:lang w:eastAsia="lt-LT"/>
        </w:rPr>
        <w:t>2019 m. vasario 27 d. Nr. 1K-62</w:t>
      </w:r>
    </w:p>
    <w:p w14:paraId="0268C0B4" w14:textId="77777777" w:rsidR="00154D10" w:rsidRDefault="005002D8">
      <w:pPr>
        <w:jc w:val="center"/>
        <w:rPr>
          <w:lang w:eastAsia="lt-LT"/>
        </w:rPr>
      </w:pPr>
      <w:r>
        <w:rPr>
          <w:lang w:eastAsia="lt-LT"/>
        </w:rPr>
        <w:t>Vilnius</w:t>
      </w:r>
    </w:p>
    <w:p w14:paraId="0268C0B5" w14:textId="77777777" w:rsidR="00154D10" w:rsidRDefault="00154D10">
      <w:pPr>
        <w:jc w:val="center"/>
        <w:rPr>
          <w:lang w:eastAsia="lt-LT"/>
        </w:rPr>
      </w:pPr>
    </w:p>
    <w:p w14:paraId="367D529A" w14:textId="77777777" w:rsidR="00154D10" w:rsidRDefault="00154D10">
      <w:pPr>
        <w:jc w:val="center"/>
        <w:rPr>
          <w:lang w:eastAsia="lt-LT"/>
        </w:rPr>
      </w:pPr>
    </w:p>
    <w:p w14:paraId="0268C0B6" w14:textId="77777777" w:rsidR="00154D10" w:rsidRDefault="005002D8">
      <w:pPr>
        <w:spacing w:line="276" w:lineRule="auto"/>
        <w:ind w:firstLine="360"/>
        <w:jc w:val="both"/>
        <w:rPr>
          <w:szCs w:val="24"/>
          <w:lang w:eastAsia="lt-LT"/>
        </w:rPr>
      </w:pPr>
      <w:r>
        <w:rPr>
          <w:szCs w:val="24"/>
        </w:rPr>
        <w:t>1</w:t>
      </w:r>
      <w:r>
        <w:rPr>
          <w:szCs w:val="24"/>
        </w:rPr>
        <w:t>.</w:t>
      </w:r>
      <w:r>
        <w:rPr>
          <w:szCs w:val="24"/>
        </w:rPr>
        <w:tab/>
      </w:r>
      <w:r>
        <w:rPr>
          <w:spacing w:val="60"/>
          <w:szCs w:val="24"/>
          <w:lang w:eastAsia="lt-LT"/>
        </w:rPr>
        <w:t>Pakeičiu</w:t>
      </w:r>
      <w:r>
        <w:rPr>
          <w:szCs w:val="24"/>
          <w:lang w:eastAsia="lt-LT"/>
        </w:rPr>
        <w:t xml:space="preserve"> Lietuvos Respublikos finansų ministro 2016 m. gegužės 26 d. įsakymą Nr. 1K-213 „Dėl Dotacijų savivaldybėms skyrimo ir grąžinimo tvarkos aprašo patvirtinimo“:</w:t>
      </w:r>
    </w:p>
    <w:p w14:paraId="0268C0B7" w14:textId="77777777" w:rsidR="00154D10" w:rsidRDefault="005002D8">
      <w:pPr>
        <w:spacing w:line="276" w:lineRule="auto"/>
        <w:ind w:firstLine="360"/>
        <w:jc w:val="both"/>
        <w:rPr>
          <w:szCs w:val="24"/>
        </w:rPr>
      </w:pPr>
      <w:r>
        <w:rPr>
          <w:szCs w:val="24"/>
        </w:rPr>
        <w:t>1.1</w:t>
      </w:r>
      <w:r>
        <w:rPr>
          <w:szCs w:val="24"/>
        </w:rPr>
        <w:t xml:space="preserve">. Pakeičiu nurodytu įsakymu patvirtintą Dotacijų savivaldybėms skyrimo ir grąžinimo </w:t>
      </w:r>
      <w:r>
        <w:rPr>
          <w:szCs w:val="24"/>
        </w:rPr>
        <w:t>tvarkos aprašą ir jį išdėstau nauja redakcija (pridedama).</w:t>
      </w:r>
    </w:p>
    <w:p w14:paraId="0268C0B8" w14:textId="77777777" w:rsidR="00154D10" w:rsidRDefault="005002D8">
      <w:pPr>
        <w:spacing w:line="276" w:lineRule="auto"/>
        <w:ind w:firstLine="360"/>
        <w:jc w:val="both"/>
        <w:rPr>
          <w:szCs w:val="24"/>
        </w:rPr>
      </w:pPr>
      <w:r>
        <w:rPr>
          <w:szCs w:val="24"/>
        </w:rPr>
        <w:t>1.2</w:t>
      </w:r>
      <w:r>
        <w:rPr>
          <w:szCs w:val="24"/>
        </w:rPr>
        <w:t>. Pakeičiu nurodytu įsakymu patvirtinto Dotacijų savivaldybėms skyrimo ir grąžinimo tvarkos aprašo priedą ir 5 punktą išdėstau taip:</w:t>
      </w:r>
    </w:p>
    <w:p w14:paraId="0268C0B9" w14:textId="77777777" w:rsidR="00154D10" w:rsidRDefault="00154D10">
      <w:pPr>
        <w:spacing w:line="276" w:lineRule="auto"/>
        <w:ind w:left="360"/>
        <w:jc w:val="both"/>
        <w:rPr>
          <w:szCs w:val="24"/>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87"/>
        <w:gridCol w:w="1984"/>
      </w:tblGrid>
      <w:tr w:rsidR="00154D10" w14:paraId="0268C0BD" w14:textId="77777777">
        <w:tc>
          <w:tcPr>
            <w:tcW w:w="2263" w:type="dxa"/>
            <w:tcBorders>
              <w:top w:val="single" w:sz="4" w:space="0" w:color="auto"/>
              <w:left w:val="single" w:sz="4" w:space="0" w:color="auto"/>
              <w:bottom w:val="single" w:sz="4" w:space="0" w:color="auto"/>
              <w:right w:val="single" w:sz="4" w:space="0" w:color="auto"/>
            </w:tcBorders>
            <w:hideMark/>
          </w:tcPr>
          <w:p w14:paraId="0268C0BA" w14:textId="77777777" w:rsidR="00154D10" w:rsidRDefault="005002D8">
            <w:pPr>
              <w:tabs>
                <w:tab w:val="left" w:pos="443"/>
              </w:tabs>
              <w:spacing w:line="276" w:lineRule="auto"/>
              <w:ind w:left="29" w:firstLine="141"/>
              <w:rPr>
                <w:szCs w:val="24"/>
                <w:lang w:eastAsia="lt-LT"/>
              </w:rPr>
            </w:pPr>
            <w:r>
              <w:rPr>
                <w:szCs w:val="24"/>
                <w:lang w:eastAsia="lt-LT"/>
              </w:rPr>
              <w:t>„5.</w:t>
            </w:r>
            <w:r>
              <w:rPr>
                <w:szCs w:val="24"/>
                <w:lang w:eastAsia="lt-LT"/>
              </w:rPr>
              <w:tab/>
              <w:t>Savivaldybės dalyvavimas įgyvendinant finansines pri</w:t>
            </w:r>
            <w:r>
              <w:rPr>
                <w:szCs w:val="24"/>
                <w:lang w:eastAsia="lt-LT"/>
              </w:rPr>
              <w:t>emones</w:t>
            </w:r>
          </w:p>
        </w:tc>
        <w:tc>
          <w:tcPr>
            <w:tcW w:w="5387" w:type="dxa"/>
            <w:tcBorders>
              <w:top w:val="single" w:sz="4" w:space="0" w:color="auto"/>
              <w:left w:val="single" w:sz="4" w:space="0" w:color="auto"/>
              <w:bottom w:val="single" w:sz="4" w:space="0" w:color="auto"/>
              <w:right w:val="single" w:sz="4" w:space="0" w:color="auto"/>
            </w:tcBorders>
            <w:hideMark/>
          </w:tcPr>
          <w:p w14:paraId="0268C0BB" w14:textId="77777777" w:rsidR="00154D10" w:rsidRDefault="005002D8">
            <w:pPr>
              <w:spacing w:line="276" w:lineRule="auto"/>
              <w:jc w:val="both"/>
              <w:rPr>
                <w:szCs w:val="24"/>
                <w:lang w:eastAsia="lt-LT"/>
              </w:rPr>
            </w:pPr>
            <w:r>
              <w:rPr>
                <w:szCs w:val="24"/>
                <w:lang w:eastAsia="lt-LT"/>
              </w:rPr>
              <w:t>Jei nuo 2014 m. iki projekto pabaigos nebuvo priimtas teigiamas finansinės priemonės fondo valdytojo arba fondo valdytojo atrinkto finansinio tarpininko sprendimas dėl finansavimo suteikimo savivaldybei ar savivaldybės kontroliuojamai įmonei įgyvend</w:t>
            </w:r>
            <w:r>
              <w:rPr>
                <w:szCs w:val="24"/>
                <w:lang w:eastAsia="lt-LT"/>
              </w:rPr>
              <w:t>inant finansinę (-</w:t>
            </w:r>
            <w:proofErr w:type="spellStart"/>
            <w:r>
              <w:rPr>
                <w:szCs w:val="24"/>
                <w:lang w:eastAsia="lt-LT"/>
              </w:rPr>
              <w:t>es</w:t>
            </w:r>
            <w:proofErr w:type="spellEnd"/>
            <w:r>
              <w:rPr>
                <w:szCs w:val="24"/>
                <w:lang w:eastAsia="lt-LT"/>
              </w:rPr>
              <w:t>) priemonę (-</w:t>
            </w:r>
            <w:proofErr w:type="spellStart"/>
            <w:r>
              <w:rPr>
                <w:szCs w:val="24"/>
                <w:lang w:eastAsia="lt-LT"/>
              </w:rPr>
              <w:t>es</w:t>
            </w:r>
            <w:proofErr w:type="spellEnd"/>
            <w:r>
              <w:rPr>
                <w:szCs w:val="24"/>
                <w:lang w:eastAsia="lt-LT"/>
              </w:rPr>
              <w:t>), kai galutine naudos gavėja yra savivaldybė, savivaldybės kontroliuojama įmonė ar įstaiga.</w:t>
            </w:r>
          </w:p>
        </w:tc>
        <w:tc>
          <w:tcPr>
            <w:tcW w:w="1984" w:type="dxa"/>
            <w:tcBorders>
              <w:top w:val="single" w:sz="4" w:space="0" w:color="auto"/>
              <w:left w:val="single" w:sz="4" w:space="0" w:color="auto"/>
              <w:bottom w:val="single" w:sz="4" w:space="0" w:color="auto"/>
              <w:right w:val="single" w:sz="4" w:space="0" w:color="auto"/>
            </w:tcBorders>
            <w:hideMark/>
          </w:tcPr>
          <w:p w14:paraId="0268C0BC" w14:textId="77777777" w:rsidR="00154D10" w:rsidRDefault="005002D8">
            <w:pPr>
              <w:spacing w:line="276" w:lineRule="auto"/>
              <w:jc w:val="center"/>
              <w:rPr>
                <w:szCs w:val="24"/>
                <w:lang w:eastAsia="lt-LT"/>
              </w:rPr>
            </w:pPr>
            <w:r>
              <w:rPr>
                <w:szCs w:val="24"/>
                <w:lang w:eastAsia="lt-LT"/>
              </w:rPr>
              <w:t>100 proc.“</w:t>
            </w:r>
          </w:p>
        </w:tc>
      </w:tr>
    </w:tbl>
    <w:p w14:paraId="0268C0BE" w14:textId="77777777" w:rsidR="00154D10" w:rsidRDefault="005002D8">
      <w:pPr>
        <w:spacing w:line="276" w:lineRule="auto"/>
        <w:jc w:val="both"/>
        <w:rPr>
          <w:szCs w:val="24"/>
        </w:rPr>
      </w:pPr>
    </w:p>
    <w:p w14:paraId="0268C0BF" w14:textId="77777777" w:rsidR="00154D10" w:rsidRDefault="005002D8">
      <w:pPr>
        <w:tabs>
          <w:tab w:val="left" w:pos="9639"/>
        </w:tabs>
        <w:ind w:left="720" w:hanging="360"/>
        <w:jc w:val="both"/>
        <w:rPr>
          <w:lang w:eastAsia="lt-LT"/>
        </w:rPr>
      </w:pPr>
      <w:r>
        <w:t>2</w:t>
      </w:r>
      <w:r>
        <w:t>.</w:t>
      </w:r>
      <w:r>
        <w:tab/>
      </w:r>
      <w:r>
        <w:rPr>
          <w:spacing w:val="60"/>
          <w:szCs w:val="24"/>
          <w:lang w:eastAsia="lt-LT"/>
        </w:rPr>
        <w:t>Nustatau</w:t>
      </w:r>
      <w:r>
        <w:rPr>
          <w:lang w:eastAsia="lt-LT"/>
        </w:rPr>
        <w:t>, kad:</w:t>
      </w:r>
    </w:p>
    <w:p w14:paraId="0268C0C0" w14:textId="6377E9D3" w:rsidR="00154D10" w:rsidRDefault="005002D8">
      <w:pPr>
        <w:tabs>
          <w:tab w:val="left" w:pos="9639"/>
        </w:tabs>
        <w:ind w:left="720" w:hanging="360"/>
        <w:jc w:val="both"/>
        <w:rPr>
          <w:lang w:eastAsia="lt-LT"/>
        </w:rPr>
      </w:pPr>
      <w:r>
        <w:t>2.1</w:t>
      </w:r>
      <w:r>
        <w:t>.</w:t>
      </w:r>
      <w:r>
        <w:rPr>
          <w:lang w:eastAsia="lt-LT"/>
        </w:rPr>
        <w:t xml:space="preserve"> šis įsakymas, išskyrus šio įsakymo 1.2 papunktį, įsigalioja 2019 m. kovo 1 d.;</w:t>
      </w:r>
    </w:p>
    <w:p w14:paraId="0268C0C3" w14:textId="669383F0" w:rsidR="00154D10" w:rsidRDefault="005002D8">
      <w:pPr>
        <w:tabs>
          <w:tab w:val="left" w:pos="9639"/>
        </w:tabs>
        <w:ind w:left="720" w:hanging="360"/>
        <w:jc w:val="both"/>
        <w:rPr>
          <w:lang w:eastAsia="lt-LT"/>
        </w:rPr>
      </w:pPr>
      <w:r>
        <w:t>2.2</w:t>
      </w:r>
      <w:r>
        <w:t>.</w:t>
      </w:r>
      <w:r>
        <w:rPr>
          <w:lang w:eastAsia="lt-LT"/>
        </w:rPr>
        <w:t xml:space="preserve"> šio įsakymo 1.2 papunktis įsigalioja 2019 m. rugsėjo 1 d.</w:t>
      </w:r>
    </w:p>
    <w:p w14:paraId="1BD91A02" w14:textId="77777777" w:rsidR="005002D8" w:rsidRDefault="005002D8"/>
    <w:p w14:paraId="69A5B8DA" w14:textId="77777777" w:rsidR="005002D8" w:rsidRDefault="005002D8"/>
    <w:p w14:paraId="15B1741D" w14:textId="77777777" w:rsidR="005002D8" w:rsidRDefault="005002D8"/>
    <w:p w14:paraId="0268C0C4" w14:textId="72C77A24" w:rsidR="00154D10" w:rsidRDefault="005002D8">
      <w:r>
        <w:rPr>
          <w:szCs w:val="24"/>
          <w:lang w:eastAsia="lt-LT"/>
        </w:rPr>
        <w:t>Finansų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Vilius Šapoka</w:t>
      </w:r>
    </w:p>
    <w:p w14:paraId="658E933A" w14:textId="77777777" w:rsidR="005002D8" w:rsidRDefault="005002D8">
      <w:pPr>
        <w:tabs>
          <w:tab w:val="left" w:pos="916"/>
          <w:tab w:val="left" w:pos="1832"/>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firstLine="5954"/>
        <w:sectPr w:rsidR="005002D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sectPr>
      </w:pPr>
    </w:p>
    <w:p w14:paraId="621301C7" w14:textId="1334A444" w:rsidR="00154D10" w:rsidRDefault="005002D8">
      <w:pPr>
        <w:tabs>
          <w:tab w:val="left" w:pos="916"/>
          <w:tab w:val="left" w:pos="1832"/>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firstLine="5954"/>
        <w:rPr>
          <w:szCs w:val="24"/>
          <w:lang w:eastAsia="lt-LT"/>
        </w:rPr>
      </w:pPr>
      <w:r>
        <w:rPr>
          <w:szCs w:val="24"/>
          <w:lang w:eastAsia="lt-LT"/>
        </w:rPr>
        <w:lastRenderedPageBreak/>
        <w:t>PATVIRTINTA</w:t>
      </w:r>
    </w:p>
    <w:p w14:paraId="0E382AA1" w14:textId="77777777" w:rsidR="00154D10" w:rsidRDefault="005002D8">
      <w:pPr>
        <w:tabs>
          <w:tab w:val="left" w:pos="916"/>
          <w:tab w:val="left" w:pos="1832"/>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firstLine="5954"/>
        <w:rPr>
          <w:szCs w:val="24"/>
          <w:lang w:eastAsia="lt-LT"/>
        </w:rPr>
      </w:pPr>
      <w:r>
        <w:rPr>
          <w:szCs w:val="24"/>
          <w:lang w:eastAsia="lt-LT"/>
        </w:rPr>
        <w:t xml:space="preserve">Lietuvos Respublikos finansų </w:t>
      </w:r>
    </w:p>
    <w:p w14:paraId="1BC81538" w14:textId="77777777" w:rsidR="00154D10" w:rsidRDefault="005002D8">
      <w:pPr>
        <w:tabs>
          <w:tab w:val="left" w:pos="916"/>
          <w:tab w:val="left" w:pos="1832"/>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firstLine="5954"/>
        <w:rPr>
          <w:szCs w:val="24"/>
          <w:lang w:eastAsia="lt-LT"/>
        </w:rPr>
      </w:pPr>
      <w:r>
        <w:rPr>
          <w:szCs w:val="24"/>
          <w:lang w:eastAsia="lt-LT"/>
        </w:rPr>
        <w:t xml:space="preserve">ministro 2016 m. gegužės 26 d. </w:t>
      </w:r>
    </w:p>
    <w:p w14:paraId="65E2B7B2" w14:textId="77777777" w:rsidR="00154D10" w:rsidRDefault="005002D8">
      <w:pPr>
        <w:tabs>
          <w:tab w:val="left" w:pos="1832"/>
          <w:tab w:val="left" w:pos="3664"/>
          <w:tab w:val="left" w:pos="4580"/>
          <w:tab w:val="left" w:pos="5496"/>
          <w:tab w:val="left" w:pos="6237"/>
          <w:tab w:val="left" w:pos="6412"/>
          <w:tab w:val="left" w:pos="7328"/>
          <w:tab w:val="left" w:pos="7371"/>
          <w:tab w:val="left" w:pos="8244"/>
          <w:tab w:val="left" w:pos="9160"/>
          <w:tab w:val="left" w:pos="10076"/>
          <w:tab w:val="left" w:pos="10992"/>
          <w:tab w:val="left" w:pos="11908"/>
          <w:tab w:val="left" w:pos="12824"/>
          <w:tab w:val="left" w:pos="13740"/>
          <w:tab w:val="left" w:pos="14656"/>
        </w:tabs>
        <w:ind w:left="5954"/>
        <w:rPr>
          <w:szCs w:val="24"/>
          <w:lang w:eastAsia="lt-LT"/>
        </w:rPr>
      </w:pPr>
      <w:r>
        <w:rPr>
          <w:szCs w:val="24"/>
          <w:lang w:eastAsia="lt-LT"/>
        </w:rPr>
        <w:t>įsakymu Nr. 1K-213</w:t>
      </w:r>
    </w:p>
    <w:p w14:paraId="45AE03E7" w14:textId="77777777" w:rsidR="00154D10" w:rsidRDefault="005002D8">
      <w:pPr>
        <w:tabs>
          <w:tab w:val="left" w:pos="916"/>
          <w:tab w:val="left" w:pos="1832"/>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firstLine="5954"/>
        <w:rPr>
          <w:szCs w:val="24"/>
          <w:lang w:eastAsia="lt-LT"/>
        </w:rPr>
      </w:pPr>
      <w:r>
        <w:rPr>
          <w:szCs w:val="24"/>
          <w:lang w:eastAsia="lt-LT"/>
        </w:rPr>
        <w:t xml:space="preserve">(Lietuvos Respublikos finansų </w:t>
      </w:r>
    </w:p>
    <w:p w14:paraId="3FD87F66" w14:textId="77777777" w:rsidR="00154D10" w:rsidRDefault="005002D8">
      <w:pPr>
        <w:tabs>
          <w:tab w:val="left" w:pos="916"/>
          <w:tab w:val="left" w:pos="1832"/>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left="5954"/>
        <w:rPr>
          <w:szCs w:val="24"/>
          <w:lang w:eastAsia="lt-LT"/>
        </w:rPr>
      </w:pPr>
      <w:r>
        <w:rPr>
          <w:szCs w:val="24"/>
          <w:lang w:eastAsia="lt-LT"/>
        </w:rPr>
        <w:t xml:space="preserve">ministro 2019 m. vasario 27 d. įsakymo Nr. 1K-62 redakcija)  </w:t>
      </w:r>
    </w:p>
    <w:p w14:paraId="6F9C34A8" w14:textId="77777777" w:rsidR="00154D10" w:rsidRDefault="00154D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69D119B" w14:textId="77777777" w:rsidR="00154D10" w:rsidRDefault="005002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DOTACIJŲ SAVIVALDYBĖMS SKYRIMO IR GRĄŽINIMO</w:t>
      </w:r>
    </w:p>
    <w:p w14:paraId="62B95BD2" w14:textId="77777777" w:rsidR="00154D10" w:rsidRDefault="005002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TVARKOS APRAŠAS</w:t>
      </w:r>
    </w:p>
    <w:p w14:paraId="7C04726F" w14:textId="77777777" w:rsidR="00154D10" w:rsidRDefault="00154D10">
      <w:pPr>
        <w:rPr>
          <w:szCs w:val="24"/>
        </w:rPr>
      </w:pPr>
    </w:p>
    <w:p w14:paraId="51A702C9" w14:textId="77777777" w:rsidR="00154D10" w:rsidRDefault="005002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w:t>
      </w:r>
      <w:r>
        <w:rPr>
          <w:b/>
          <w:szCs w:val="24"/>
          <w:lang w:eastAsia="lt-LT"/>
        </w:rPr>
        <w:t xml:space="preserve"> SKYRIUS</w:t>
      </w:r>
    </w:p>
    <w:p w14:paraId="0F22B99B" w14:textId="77777777" w:rsidR="00154D10" w:rsidRDefault="005002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BENDROSIOS NUOSTATOS</w:t>
      </w:r>
    </w:p>
    <w:p w14:paraId="423727F4" w14:textId="77777777" w:rsidR="00154D10" w:rsidRDefault="00154D10">
      <w:pPr>
        <w:rPr>
          <w:szCs w:val="24"/>
        </w:rPr>
      </w:pPr>
    </w:p>
    <w:p w14:paraId="5904A1C4"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w:t>
      </w:r>
      <w:r>
        <w:rPr>
          <w:szCs w:val="24"/>
          <w:lang w:eastAsia="lt-LT"/>
        </w:rPr>
        <w:t>.</w:t>
      </w:r>
      <w:r>
        <w:rPr>
          <w:szCs w:val="24"/>
          <w:lang w:eastAsia="lt-LT"/>
        </w:rPr>
        <w:tab/>
      </w:r>
      <w:r>
        <w:rPr>
          <w:szCs w:val="24"/>
          <w:lang w:eastAsia="lt-LT"/>
        </w:rPr>
        <w:t>Dotacijų savivaldybėms skyrimo ir grąžinimo tvarkos aprašas (toliau – Aprašas) nustato iš Europos Sąjungos (toliau – ES) struktūrinių fondų lėšų bendrai finansuojamų projektų (toliau – projektas), įgyvendinamų pagal 2014–2020 metų Europos Sąjungos fondų in</w:t>
      </w:r>
      <w:r>
        <w:rPr>
          <w:szCs w:val="24"/>
          <w:lang w:eastAsia="lt-LT"/>
        </w:rPr>
        <w:t xml:space="preserve">vesticijų veiksmų programą, patvirtintą </w:t>
      </w:r>
      <w:r>
        <w:rPr>
          <w:szCs w:val="24"/>
        </w:rPr>
        <w:t>2014 m. rugsėjo 8 d. Europos Komisijos įgyvendinimo sprendimu, kuriuo patvirtinami tam tikri „2014–2020 metų Europos Sąjungos fondų investicijų veiksmų programos“ elementai, kad, siekiant investicijų į ekonomikos aug</w:t>
      </w:r>
      <w:r>
        <w:rPr>
          <w:szCs w:val="24"/>
        </w:rPr>
        <w:t>imą ir darbo vietų kūrimą tikslo, iš Europos regioninės plėtros fondo, Sanglaudos fondo, Europos socialinio fondo ir specialaus asignavimo Jaunimo užimtumo iniciatyvai būtų teikiama parama Lietuvai (apie nurodytą sprendimą Europos Komisija pranešė dokument</w:t>
      </w:r>
      <w:r>
        <w:rPr>
          <w:szCs w:val="24"/>
        </w:rPr>
        <w:t>u Nr. C(2014) 6397)</w:t>
      </w:r>
      <w:r>
        <w:rPr>
          <w:szCs w:val="24"/>
          <w:lang w:eastAsia="lt-LT"/>
        </w:rPr>
        <w:t xml:space="preserve"> (toliau – veiksmų programa),</w:t>
      </w:r>
      <w:r>
        <w:rPr>
          <w:szCs w:val="24"/>
        </w:rPr>
        <w:t xml:space="preserve"> </w:t>
      </w:r>
      <w:r>
        <w:rPr>
          <w:szCs w:val="24"/>
          <w:lang w:eastAsia="lt-LT"/>
        </w:rPr>
        <w:t>savivaldybių nuosavų lėšų indėlio, kuris turi būti naudojamas projekto tinkamoms finansuoti išlaidoms apmokėti, finansavimo skiriant dotacijas, šių dotacijų grąžinimo tvarką ir grąžintinos sumos nustatymo me</w:t>
      </w:r>
      <w:r>
        <w:rPr>
          <w:szCs w:val="24"/>
          <w:lang w:eastAsia="lt-LT"/>
        </w:rPr>
        <w:t>todiką.</w:t>
      </w:r>
    </w:p>
    <w:p w14:paraId="21BECC26"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w:t>
      </w:r>
      <w:r>
        <w:rPr>
          <w:szCs w:val="24"/>
          <w:lang w:eastAsia="lt-LT"/>
        </w:rPr>
        <w:t>.</w:t>
      </w:r>
      <w:r>
        <w:rPr>
          <w:szCs w:val="24"/>
          <w:lang w:eastAsia="lt-LT"/>
        </w:rPr>
        <w:tab/>
        <w:t>Apraše vartojamos sąvokos suprantamos taip, kaip jos apibrėžtos Atsakomybės ir funkcijų paskirstymo tarp institucijų, įgyvendinant 2014–2020 metų Europos Sąjungos fondų investicijų veiksmų programą, taisyklėse, patvirtintose Lietuvos Respubl</w:t>
      </w:r>
      <w:r>
        <w:rPr>
          <w:szCs w:val="24"/>
          <w:lang w:eastAsia="lt-LT"/>
        </w:rPr>
        <w:t>ikos Vyriausybės 2014 m. birželio 4 d. nutarimu Nr. 528 „Dėl atsakomybės ir funkcijų paskirstymo tarp institucijų, įgyvendinant 2014–2020 metų Europos Sąjungos fondų investicijų veiksmų programą“ (toliau – Atsakomybės ir funkcijų paskirstymo tarp instituci</w:t>
      </w:r>
      <w:r>
        <w:rPr>
          <w:szCs w:val="24"/>
          <w:lang w:eastAsia="lt-LT"/>
        </w:rPr>
        <w:t>jų taisyklės), ir 2014–2020 metų Europos Sąjungos fondų investicijų veiksmų programos administravimo taisyklėse, patvirtintose Lietuvos Respublikos Vyriausybės 2014 m. spalio 3 d. nutarimu Nr. 1090 „Dėl 2014–2020 metų Europos Sąjungos fondų investicijų vei</w:t>
      </w:r>
      <w:r>
        <w:rPr>
          <w:szCs w:val="24"/>
          <w:lang w:eastAsia="lt-LT"/>
        </w:rPr>
        <w:t>ksmų programos administravimo taisyklių patvirtinimo“.</w:t>
      </w:r>
    </w:p>
    <w:p w14:paraId="2FAA8F85" w14:textId="77777777" w:rsidR="00154D10" w:rsidRDefault="005002D8">
      <w:pPr>
        <w:rPr>
          <w:szCs w:val="24"/>
        </w:rPr>
      </w:pPr>
    </w:p>
    <w:p w14:paraId="3D50A042" w14:textId="77777777" w:rsidR="00154D10" w:rsidRDefault="0050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w:t>
      </w:r>
      <w:r>
        <w:rPr>
          <w:b/>
          <w:szCs w:val="24"/>
          <w:lang w:eastAsia="lt-LT"/>
        </w:rPr>
        <w:t xml:space="preserve"> SKYRIUS</w:t>
      </w:r>
    </w:p>
    <w:p w14:paraId="5920CDA1" w14:textId="77777777" w:rsidR="00154D10" w:rsidRDefault="0050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DOTACIJOS SKYRIMAS</w:t>
      </w:r>
    </w:p>
    <w:p w14:paraId="5A7D8888" w14:textId="77777777" w:rsidR="00154D10" w:rsidRDefault="00154D10">
      <w:pPr>
        <w:rPr>
          <w:szCs w:val="24"/>
        </w:rPr>
      </w:pPr>
    </w:p>
    <w:p w14:paraId="1CEBAA97"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w:t>
      </w:r>
      <w:r>
        <w:rPr>
          <w:szCs w:val="24"/>
          <w:lang w:eastAsia="lt-LT"/>
        </w:rPr>
        <w:t>. Kai paraiška finansuoti iš ES struktūrinių fondų lėšų bendrai finansuojamą projektą (toliau – paraiška) pateikiama įgyvendinančiajai institucijai, savivaldy</w:t>
      </w:r>
      <w:r>
        <w:rPr>
          <w:szCs w:val="24"/>
          <w:lang w:eastAsia="lt-LT"/>
        </w:rPr>
        <w:t>bė po einamųjų metų savivaldybės biudžeto patvirtinimo dienos, bet ne anksčiau kaip sausio 15 d., tačiau ne vėliau kaip lapkričio 30 d. ir ne vėliau kaip likus 6 mėnesiams iki projekto veiklų įgyvendinimo pabaigos, uždarajai akcinei bendrovei Viešųjų inves</w:t>
      </w:r>
      <w:r>
        <w:rPr>
          <w:szCs w:val="24"/>
          <w:lang w:eastAsia="lt-LT"/>
        </w:rPr>
        <w:t xml:space="preserve">ticijų plėtros agentūrai (toliau – UAB VIPA) pateikia UAB VIPA nustatytos ir su Lietuvos Respublikos finansų ministerija suderintos formos prašymą skirti dotaciją, nurodydama, ar laikėsi Lietuvos Respublikos fiskalinės sutarties įgyvendinimo konstitucinio </w:t>
      </w:r>
      <w:r>
        <w:rPr>
          <w:szCs w:val="24"/>
          <w:lang w:eastAsia="lt-LT"/>
        </w:rPr>
        <w:t xml:space="preserve">įstatymo 4 straipsnio 2 ar 4 dalyje nustatytų reikalavimų. Jei savivaldybė paskutiniais pasibaigusiais metais nesilaikė minėtų Fiskalinės sutarties įgyvendinimo konstitucinio įstatymo reikalavimų, prašymas skirti dotaciją atmetamas. </w:t>
      </w:r>
    </w:p>
    <w:p w14:paraId="17FC2CE3"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Jeigu prašymas skirti </w:t>
      </w:r>
      <w:r>
        <w:rPr>
          <w:szCs w:val="24"/>
          <w:lang w:eastAsia="lt-LT"/>
        </w:rPr>
        <w:t xml:space="preserve">dotaciją UAB VIPA pateikiamas laikotarpiu nuo einamųjų metų gruodžio 1 d. iki ateinančių metų sausio 14 d. ar likus mažiau nei 6 mėnesiams iki projekto veiklų įgyvendinimo pabaigos, prašymas skirti dotaciją atmetamas. </w:t>
      </w:r>
    </w:p>
    <w:p w14:paraId="4052C5A0"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rPr>
        <w:t>4</w:t>
      </w:r>
      <w:r>
        <w:rPr>
          <w:szCs w:val="24"/>
        </w:rPr>
        <w:t>.</w:t>
      </w:r>
      <w:r>
        <w:rPr>
          <w:szCs w:val="24"/>
        </w:rPr>
        <w:tab/>
      </w:r>
      <w:r>
        <w:rPr>
          <w:szCs w:val="24"/>
          <w:lang w:eastAsia="lt-LT"/>
        </w:rPr>
        <w:t>UAB VIPA per 20 darbo dienų nu</w:t>
      </w:r>
      <w:r>
        <w:rPr>
          <w:szCs w:val="24"/>
          <w:lang w:eastAsia="lt-LT"/>
        </w:rPr>
        <w:t>o prašymo skirti dotaciją gavimo dienos įvertina, ar savivaldybei gali būti skiriama dotacija pagal Lietuvos Respublikos Vyriausybės 2014 m. lapkričio 26 d. nutarimo Nr. 1326 „Dėl 2014–2020 metų Europos Sąjungos fondų investicijų veiksmų programos priedo p</w:t>
      </w:r>
      <w:r>
        <w:rPr>
          <w:szCs w:val="24"/>
          <w:lang w:eastAsia="lt-LT"/>
        </w:rPr>
        <w:t>atvirtinimo“ 2</w:t>
      </w:r>
      <w:r>
        <w:rPr>
          <w:szCs w:val="24"/>
          <w:vertAlign w:val="superscript"/>
          <w:lang w:eastAsia="lt-LT"/>
        </w:rPr>
        <w:t>1</w:t>
      </w:r>
      <w:r>
        <w:rPr>
          <w:szCs w:val="24"/>
          <w:lang w:eastAsia="lt-LT"/>
        </w:rPr>
        <w:t xml:space="preserve"> punkte nurodytus reikalavimus, parengia ir teikia Finansų ministerijai išvadą dėl dotacijos skyrimo. UAB VIPA ne vėliau kaip per 3 darbo dienas apie priimtą išvadą dėl dotacijos skyrimo (neskyrimo) kartu su motyvuotu paaiškinimu, jei dotaci</w:t>
      </w:r>
      <w:r>
        <w:rPr>
          <w:szCs w:val="24"/>
          <w:lang w:eastAsia="lt-LT"/>
        </w:rPr>
        <w:t>ja neskiriama, informuoja savivaldybę.</w:t>
      </w:r>
      <w:r>
        <w:t xml:space="preserve"> </w:t>
      </w:r>
    </w:p>
    <w:p w14:paraId="427457B4"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w:t>
      </w:r>
      <w:r>
        <w:t xml:space="preserve">. </w:t>
      </w:r>
      <w:r>
        <w:rPr>
          <w:szCs w:val="24"/>
          <w:lang w:eastAsia="lt-LT"/>
        </w:rPr>
        <w:t xml:space="preserve">Lietuvos Respublikos Vyriausybės 2014 m. lapkričio 26 d. nutarimo Nr. 1326 </w:t>
      </w:r>
      <w:r>
        <w:t>2</w:t>
      </w:r>
      <w:r>
        <w:rPr>
          <w:vertAlign w:val="superscript"/>
        </w:rPr>
        <w:t>1</w:t>
      </w:r>
      <w:r>
        <w:t>.5.1</w:t>
      </w:r>
      <w:r>
        <w:rPr>
          <w:lang w:val="en-US"/>
        </w:rPr>
        <w:t>–</w:t>
      </w:r>
      <w:r>
        <w:t>2</w:t>
      </w:r>
      <w:r>
        <w:rPr>
          <w:vertAlign w:val="superscript"/>
        </w:rPr>
        <w:t>1</w:t>
      </w:r>
      <w:r>
        <w:t xml:space="preserve">.5.3 papunkčiuose nurodyta savivaldybės nuosavų lėšų indėlio suma apskaičiuojama pagal formulę </w:t>
      </w:r>
      <w:proofErr w:type="spellStart"/>
      <w:r>
        <w:t>L</w:t>
      </w:r>
      <w:r>
        <w:rPr>
          <w:vertAlign w:val="subscript"/>
        </w:rPr>
        <w:t>i</w:t>
      </w:r>
      <w:proofErr w:type="spellEnd"/>
      <w:r>
        <w:rPr>
          <w:vertAlign w:val="subscript"/>
        </w:rPr>
        <w:t xml:space="preserve"> </w:t>
      </w:r>
      <w:r>
        <w:t xml:space="preserve">= </w:t>
      </w:r>
      <w:proofErr w:type="spellStart"/>
      <w:r>
        <w:t>P</w:t>
      </w:r>
      <w:r>
        <w:rPr>
          <w:vertAlign w:val="subscript"/>
        </w:rPr>
        <w:t>ip</w:t>
      </w:r>
      <w:proofErr w:type="spellEnd"/>
      <w:r>
        <w:rPr>
          <w:vertAlign w:val="subscript"/>
        </w:rPr>
        <w:t xml:space="preserve"> </w:t>
      </w:r>
      <w:r>
        <w:t>· [K</w:t>
      </w:r>
      <w:r>
        <w:rPr>
          <w:vertAlign w:val="subscript"/>
        </w:rPr>
        <w:t xml:space="preserve">(5; 10; 15) </w:t>
      </w:r>
      <w:r>
        <w:t xml:space="preserve">· </w:t>
      </w:r>
      <w:proofErr w:type="spellStart"/>
      <w:r>
        <w:t>N</w:t>
      </w:r>
      <w:r>
        <w:rPr>
          <w:vertAlign w:val="subscript"/>
        </w:rPr>
        <w:t>ip</w:t>
      </w:r>
      <w:proofErr w:type="spellEnd"/>
      <w:r>
        <w:rPr>
          <w:vertAlign w:val="subscript"/>
        </w:rPr>
        <w:t xml:space="preserve"> </w:t>
      </w:r>
      <w:r>
        <w:t>+ y</w:t>
      </w:r>
      <w:r>
        <w:rPr>
          <w:vertAlign w:val="subscript"/>
        </w:rPr>
        <w:t>ip(5; 10; 15)</w:t>
      </w:r>
      <w:r>
        <w:t>], kur:</w:t>
      </w:r>
    </w:p>
    <w:p w14:paraId="0455604C"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t>L</w:t>
      </w:r>
      <w:r>
        <w:rPr>
          <w:vertAlign w:val="subscript"/>
        </w:rPr>
        <w:t>i</w:t>
      </w:r>
      <w:proofErr w:type="spellEnd"/>
      <w:r>
        <w:rPr>
          <w:vertAlign w:val="subscript"/>
        </w:rPr>
        <w:t xml:space="preserve"> </w:t>
      </w:r>
      <w:r>
        <w:t>– i-</w:t>
      </w:r>
      <w:proofErr w:type="spellStart"/>
      <w:r>
        <w:t>osios</w:t>
      </w:r>
      <w:proofErr w:type="spellEnd"/>
      <w:r>
        <w:t xml:space="preserve"> savivaldybės nuosavų lėšų indėlio suma;</w:t>
      </w:r>
    </w:p>
    <w:p w14:paraId="5A5BF729"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t>P</w:t>
      </w:r>
      <w:r>
        <w:rPr>
          <w:vertAlign w:val="subscript"/>
        </w:rPr>
        <w:t>ip</w:t>
      </w:r>
      <w:proofErr w:type="spellEnd"/>
      <w:r>
        <w:t xml:space="preserve"> – i-</w:t>
      </w:r>
      <w:proofErr w:type="spellStart"/>
      <w:r>
        <w:t>osios</w:t>
      </w:r>
      <w:proofErr w:type="spellEnd"/>
      <w:r>
        <w:t xml:space="preserve"> savivaldybės Lietuvos Respublikos atitinkamų metų valstybės biudžeto ir savivaldybių biudžetų finansinių rodiklių patvirtinimo įstatyme nurodytų pajamų be kintamo</w:t>
      </w:r>
      <w:r>
        <w:t>sios gyventojų pajamų mokesčio dalies išlaidų pokyčiams kompensuoti (toliau – biudžeto įstatyme nurodytos pajamos) padidėjimo, palyginti su paskutinių pasibaigusių metų biudžeto įstatyme nurodytomis pajamomis, suma (toliau – padidėjimo suma);</w:t>
      </w:r>
    </w:p>
    <w:p w14:paraId="1525B88A"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t>N</w:t>
      </w:r>
      <w:r>
        <w:rPr>
          <w:vertAlign w:val="subscript"/>
        </w:rPr>
        <w:t>ip</w:t>
      </w:r>
      <w:proofErr w:type="spellEnd"/>
      <w:r>
        <w:t xml:space="preserve"> – i-</w:t>
      </w:r>
      <w:proofErr w:type="spellStart"/>
      <w:r>
        <w:t>osios</w:t>
      </w:r>
      <w:proofErr w:type="spellEnd"/>
      <w:r>
        <w:t xml:space="preserve"> savivaldybės pajamų (P</w:t>
      </w:r>
      <w:r>
        <w:rPr>
          <w:vertAlign w:val="subscript"/>
        </w:rPr>
        <w:t>i</w:t>
      </w:r>
      <w:r>
        <w:t>) nuokrypis nuo visų savivaldybių vidutinių biudžeto įstatyme nurodytų pajamų (</w:t>
      </w:r>
      <w:proofErr w:type="spellStart"/>
      <w:r>
        <w:t>x</w:t>
      </w:r>
      <w:r>
        <w:rPr>
          <w:vertAlign w:val="subscript"/>
        </w:rPr>
        <w:t>vp</w:t>
      </w:r>
      <w:proofErr w:type="spellEnd"/>
      <w:r>
        <w:t xml:space="preserve">), apskaičiuojamas pagal formulę </w:t>
      </w:r>
      <w:proofErr w:type="spellStart"/>
      <w:r>
        <w:t>N</w:t>
      </w:r>
      <w:r>
        <w:rPr>
          <w:vertAlign w:val="subscript"/>
        </w:rPr>
        <w:t>ip</w:t>
      </w:r>
      <w:proofErr w:type="spellEnd"/>
      <w:r>
        <w:t> = (P</w:t>
      </w:r>
      <w:r>
        <w:rPr>
          <w:vertAlign w:val="subscript"/>
        </w:rPr>
        <w:t xml:space="preserve">i </w:t>
      </w:r>
      <w:r>
        <w:t xml:space="preserve">– </w:t>
      </w:r>
      <w:proofErr w:type="spellStart"/>
      <w:r>
        <w:t>x</w:t>
      </w:r>
      <w:r>
        <w:rPr>
          <w:vertAlign w:val="subscript"/>
        </w:rPr>
        <w:t>vp</w:t>
      </w:r>
      <w:proofErr w:type="spellEnd"/>
      <w:r>
        <w:t xml:space="preserve">) / </w:t>
      </w:r>
      <w:proofErr w:type="spellStart"/>
      <w:r>
        <w:t>x</w:t>
      </w:r>
      <w:r>
        <w:rPr>
          <w:vertAlign w:val="subscript"/>
        </w:rPr>
        <w:t>vp</w:t>
      </w:r>
      <w:proofErr w:type="spellEnd"/>
      <w:r>
        <w:t>, kur P</w:t>
      </w:r>
      <w:r>
        <w:rPr>
          <w:vertAlign w:val="subscript"/>
        </w:rPr>
        <w:t>i</w:t>
      </w:r>
      <w:r>
        <w:t xml:space="preserve"> – i-</w:t>
      </w:r>
      <w:proofErr w:type="spellStart"/>
      <w:r>
        <w:t>osios</w:t>
      </w:r>
      <w:proofErr w:type="spellEnd"/>
      <w:r>
        <w:t xml:space="preserve"> savivaldybės biudžeto įstatyme nurodytos pajamos, </w:t>
      </w:r>
      <w:proofErr w:type="spellStart"/>
      <w:r>
        <w:t>x</w:t>
      </w:r>
      <w:r>
        <w:rPr>
          <w:vertAlign w:val="subscript"/>
        </w:rPr>
        <w:t>vp</w:t>
      </w:r>
      <w:proofErr w:type="spellEnd"/>
      <w:r>
        <w:rPr>
          <w:vertAlign w:val="subscript"/>
        </w:rPr>
        <w:t xml:space="preserve"> </w:t>
      </w:r>
      <w:r>
        <w:t>– visų savivaldybių vi</w:t>
      </w:r>
      <w:r>
        <w:t>dutinės biudžeto įstatyme nurodytos pajamos;</w:t>
      </w:r>
    </w:p>
    <w:p w14:paraId="63253509"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y</w:t>
      </w:r>
      <w:r>
        <w:rPr>
          <w:vertAlign w:val="subscript"/>
        </w:rPr>
        <w:t>ip(5; 10; 15)</w:t>
      </w:r>
      <w:r>
        <w:t xml:space="preserve"> – i-</w:t>
      </w:r>
      <w:proofErr w:type="spellStart"/>
      <w:r>
        <w:t>osios</w:t>
      </w:r>
      <w:proofErr w:type="spellEnd"/>
      <w:r>
        <w:t xml:space="preserve"> savivaldybės nuosavų lėšų indėlio dalis procentais nuo biudžeto įstatyme nurodytų pajamų padidėjimo sumos, lygi 5, 10 arba 15, kaip nurodyta </w:t>
      </w:r>
      <w:r>
        <w:rPr>
          <w:szCs w:val="24"/>
          <w:lang w:eastAsia="lt-LT"/>
        </w:rPr>
        <w:t>Lietuvos Respublikos Vyriausybės 2014 m. lapk</w:t>
      </w:r>
      <w:r>
        <w:rPr>
          <w:szCs w:val="24"/>
          <w:lang w:eastAsia="lt-LT"/>
        </w:rPr>
        <w:t xml:space="preserve">ričio 26 d. nutarimo Nr. 1326 </w:t>
      </w:r>
      <w:r>
        <w:t>2</w:t>
      </w:r>
      <w:r>
        <w:rPr>
          <w:vertAlign w:val="superscript"/>
        </w:rPr>
        <w:t>1</w:t>
      </w:r>
      <w:r>
        <w:t>.5.1–2</w:t>
      </w:r>
      <w:r>
        <w:rPr>
          <w:vertAlign w:val="superscript"/>
        </w:rPr>
        <w:t>1</w:t>
      </w:r>
      <w:r>
        <w:t>.5.3 papunkčiuose;</w:t>
      </w:r>
    </w:p>
    <w:p w14:paraId="25708F3C"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en-US"/>
        </w:rPr>
      </w:pPr>
      <w:r>
        <w:t>K</w:t>
      </w:r>
      <w:r>
        <w:rPr>
          <w:vertAlign w:val="subscript"/>
        </w:rPr>
        <w:t xml:space="preserve">(5; 10; 15) </w:t>
      </w:r>
      <w:r>
        <w:t>– koeficientai, rodantys skirtumą tarp didžiausios ir mažiausios nuosavų lėšų indėlio procentinių dalių, kuriomis savivaldybė turi prisidėti nuo biudžeto įstatyme nurodytų pajamų padidė</w:t>
      </w:r>
      <w:r>
        <w:t>jimo sumos, apskaičiuojami pagal formules: K</w:t>
      </w:r>
      <w:r>
        <w:rPr>
          <w:vertAlign w:val="subscript"/>
          <w:lang w:val="en-US"/>
        </w:rPr>
        <w:t>5 </w:t>
      </w:r>
      <w:r>
        <w:rPr>
          <w:lang w:val="en-US"/>
        </w:rPr>
        <w:t>= y</w:t>
      </w:r>
      <w:r>
        <w:rPr>
          <w:vertAlign w:val="subscript"/>
          <w:lang w:val="en-US"/>
        </w:rPr>
        <w:t>ip(5) </w:t>
      </w:r>
      <w:r>
        <w:rPr>
          <w:lang w:val="en-US"/>
        </w:rPr>
        <w:t>– 0; K</w:t>
      </w:r>
      <w:r>
        <w:rPr>
          <w:vertAlign w:val="subscript"/>
          <w:lang w:val="en-US"/>
        </w:rPr>
        <w:t>10</w:t>
      </w:r>
      <w:r>
        <w:rPr>
          <w:lang w:val="en-US"/>
        </w:rPr>
        <w:t xml:space="preserve"> = y</w:t>
      </w:r>
      <w:r>
        <w:rPr>
          <w:vertAlign w:val="subscript"/>
          <w:lang w:val="en-US"/>
        </w:rPr>
        <w:t xml:space="preserve">ip(10) </w:t>
      </w:r>
      <w:r>
        <w:rPr>
          <w:lang w:val="en-US"/>
        </w:rPr>
        <w:t>– 5; K</w:t>
      </w:r>
      <w:r>
        <w:rPr>
          <w:vertAlign w:val="subscript"/>
          <w:lang w:val="en-US"/>
        </w:rPr>
        <w:t xml:space="preserve">15 </w:t>
      </w:r>
      <w:r>
        <w:rPr>
          <w:lang w:val="en-US"/>
        </w:rPr>
        <w:t>= y</w:t>
      </w:r>
      <w:r>
        <w:rPr>
          <w:vertAlign w:val="subscript"/>
          <w:lang w:val="en-US"/>
        </w:rPr>
        <w:t xml:space="preserve">ip(15) </w:t>
      </w:r>
      <w:r>
        <w:rPr>
          <w:lang w:val="en-US"/>
        </w:rPr>
        <w:t xml:space="preserve">– 10. </w:t>
      </w:r>
    </w:p>
    <w:p w14:paraId="6A33B907" w14:textId="77777777" w:rsidR="00154D10" w:rsidRDefault="005002D8">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6</w:t>
      </w:r>
      <w:r>
        <w:rPr>
          <w:szCs w:val="24"/>
          <w:lang w:eastAsia="lt-LT"/>
        </w:rPr>
        <w:t xml:space="preserve">. UAB VIPA, teikdama Finansų ministerijai išvadą dėl dotacijos skyrimo, </w:t>
      </w:r>
      <w:r>
        <w:t>kartu su išvada pateikia informaciją apie vertinamas dotacijų paraiškas, nurody</w:t>
      </w:r>
      <w:r>
        <w:t xml:space="preserve">dama vertinamų paraiškų skaičių ir prašomą dotacijų sumą. </w:t>
      </w:r>
    </w:p>
    <w:p w14:paraId="5D4E1F47"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rPr>
      </w:pPr>
      <w:r>
        <w:t>7</w:t>
      </w:r>
      <w:r>
        <w:t xml:space="preserve">. Finansų ministerija, atsižvelgdama į </w:t>
      </w:r>
      <w:r>
        <w:rPr>
          <w:szCs w:val="24"/>
          <w:lang w:eastAsia="lt-LT"/>
        </w:rPr>
        <w:t>UAB VIPA</w:t>
      </w:r>
      <w:r>
        <w:t xml:space="preserve"> išvadą dėl dotacijos skyrimo, priima sprendimą skirti dotaciją ne vėliau kaip per 10 darbo dienų nuo UAB VIPA išvados dėl dotacijos skyrimo gavi</w:t>
      </w:r>
      <w:r>
        <w:t xml:space="preserve">mo dienos. Apie priimtą sprendimą skirti dotaciją arba </w:t>
      </w:r>
      <w:r>
        <w:rPr>
          <w:szCs w:val="24"/>
          <w:lang w:eastAsia="lt-LT"/>
        </w:rPr>
        <w:t>motyvuotą paaiškinimą, kodėl sprendimas skirti dotaciją nepriimamas,</w:t>
      </w:r>
      <w:r>
        <w:t xml:space="preserve"> Finansų ministerija informuoja </w:t>
      </w:r>
      <w:r>
        <w:rPr>
          <w:szCs w:val="24"/>
          <w:lang w:eastAsia="lt-LT"/>
        </w:rPr>
        <w:t>UAB VIPA ir savivaldybę per 3 darbo dienas nuo sprendimo priėmimo arba atsisakymo priimti sprendimą d</w:t>
      </w:r>
      <w:r>
        <w:rPr>
          <w:szCs w:val="24"/>
          <w:lang w:eastAsia="lt-LT"/>
        </w:rPr>
        <w:t xml:space="preserve">ienos. </w:t>
      </w:r>
    </w:p>
    <w:p w14:paraId="1912C98D" w14:textId="77777777" w:rsidR="00154D10" w:rsidRDefault="005002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8</w:t>
      </w:r>
      <w:r>
        <w:rPr>
          <w:szCs w:val="24"/>
          <w:lang w:eastAsia="lt-LT"/>
        </w:rPr>
        <w:t xml:space="preserve">. Sutartį dėl dotacijos skyrimo (toliau – Sutartis) UAB VIPA ir savivaldybė pasirašo, kai yra pasirašyta projekto finansavimo sutartis. Apie pasirašytą projekto, kuriam reikalinga dotacija, finansavimo sutartį savivaldybė informuoja UAB VIPA </w:t>
      </w:r>
      <w:r>
        <w:rPr>
          <w:szCs w:val="24"/>
          <w:lang w:eastAsia="lt-LT"/>
        </w:rPr>
        <w:t>ne vėliau kaip per 5 darbo dienas nuo projekto finansavimo sutarties pasirašymo dienos. UAB VIPA pagal su Finansų ministerija suderintą formą ne vėliau kaip per 10 darbo dienų nuo Finansų ministerijos sprendimo skirti dotaciją priėmimo dienos arba nuo savi</w:t>
      </w:r>
      <w:r>
        <w:rPr>
          <w:szCs w:val="24"/>
          <w:lang w:eastAsia="lt-LT"/>
        </w:rPr>
        <w:t>valdybės informacijos apie pasirašytą projekto finansavimo sutartį gavimo dienos, jei sutartis pasirašyta vėliau, nei priimtas sprendimas skirti dotaciją, parengia ir savivaldybei pateikia sutarties projektą, nurodydama pasiūlymo pasirašyti sutartį galioji</w:t>
      </w:r>
      <w:r>
        <w:rPr>
          <w:szCs w:val="24"/>
          <w:lang w:eastAsia="lt-LT"/>
        </w:rPr>
        <w:t>mo terminą, kuris turi būti ne trumpesnis nei 14 darbo dienų. Savivaldybei per UAB VIPA nustatytą pasiūlymo galiojimo terminą nepasirašius Sutarties, pasiūlymas pasirašyti Sutartį netenka galios.</w:t>
      </w:r>
      <w:r>
        <w:t xml:space="preserve"> </w:t>
      </w:r>
    </w:p>
    <w:p w14:paraId="00CAE923" w14:textId="77777777" w:rsidR="00154D10" w:rsidRDefault="005002D8">
      <w:pPr>
        <w:tabs>
          <w:tab w:val="left" w:pos="709"/>
          <w:tab w:val="left" w:pos="993"/>
        </w:tabs>
        <w:ind w:firstLine="709"/>
        <w:jc w:val="both"/>
        <w:rPr>
          <w:szCs w:val="24"/>
          <w:lang w:eastAsia="lt-LT"/>
        </w:rPr>
      </w:pPr>
      <w:r>
        <w:rPr>
          <w:szCs w:val="24"/>
          <w:lang w:eastAsia="lt-LT"/>
        </w:rPr>
        <w:t>9</w:t>
      </w:r>
      <w:r>
        <w:rPr>
          <w:szCs w:val="24"/>
          <w:lang w:eastAsia="lt-LT"/>
        </w:rPr>
        <w:t xml:space="preserve">. Sutartyje nurodoma konkreti savivaldybei skiriama </w:t>
      </w:r>
      <w:r>
        <w:rPr>
          <w:szCs w:val="24"/>
          <w:lang w:eastAsia="lt-LT"/>
        </w:rPr>
        <w:t>dotacijos suma, jos išmokėjimo tvarka, sąlygos, kurių neįvykdžius dotacija ar jos dalis turi būti grąžinama, dotacijos grąžinimo tvarka, Sutarties keitimo ir nutraukimo sąlygos.</w:t>
      </w:r>
    </w:p>
    <w:p w14:paraId="035E9F10" w14:textId="77777777" w:rsidR="00154D10" w:rsidRDefault="005002D8">
      <w:pPr>
        <w:tabs>
          <w:tab w:val="left" w:pos="709"/>
          <w:tab w:val="left" w:pos="993"/>
        </w:tabs>
        <w:ind w:firstLine="709"/>
        <w:jc w:val="both"/>
      </w:pPr>
      <w:r>
        <w:t>10</w:t>
      </w:r>
      <w:r>
        <w:t xml:space="preserve">. </w:t>
      </w:r>
      <w:r>
        <w:rPr>
          <w:szCs w:val="24"/>
          <w:lang w:eastAsia="lt-LT"/>
        </w:rPr>
        <w:t xml:space="preserve">Informaciją apie pasirašytą Sutartį UAB VIPA savo interneto </w:t>
      </w:r>
      <w:r>
        <w:t xml:space="preserve">puslapyje </w:t>
      </w:r>
      <w:r>
        <w:rPr>
          <w:szCs w:val="24"/>
          <w:lang w:eastAsia="lt-LT"/>
        </w:rPr>
        <w:t xml:space="preserve">paskelbia </w:t>
      </w:r>
      <w:r>
        <w:t>per 3 darbo dienas nuo pasirašytos Sutarties gavimo dienos.</w:t>
      </w:r>
    </w:p>
    <w:p w14:paraId="6008D6E5" w14:textId="77777777" w:rsidR="00154D10" w:rsidRDefault="005002D8">
      <w:pPr>
        <w:tabs>
          <w:tab w:val="left" w:pos="709"/>
          <w:tab w:val="left" w:pos="1134"/>
        </w:tabs>
        <w:ind w:firstLine="709"/>
        <w:jc w:val="both"/>
      </w:pPr>
      <w:r>
        <w:t>11</w:t>
      </w:r>
      <w:r>
        <w:t>. Didžiausia galima skirti dotacijos suma negali viršyti savivaldybei tenkančios mažiausios projektų finansavimo sąlygų apraše (toliau – PFSA) nurodytos pareiškėjo ir (arba) partne</w:t>
      </w:r>
      <w:r>
        <w:t xml:space="preserve">rio privalomos prisidėti prie projekto tinkamų finansuoti išlaidų nuosavų lėšų dalies (toliau – </w:t>
      </w:r>
      <w:r>
        <w:lastRenderedPageBreak/>
        <w:t>mažiausia nuosavų lėšų dalis), iš jos atskaičius numatomas gauti grynąsias pajamas, apskaičiuotas vadovaujantis Projektų administravimo ir finansavimo taisyklėm</w:t>
      </w:r>
      <w:r>
        <w:t>is, patvirtintomis Lietuvos Respublikos finansų ministro 2014 m. spalio 8 d. įsakymu Nr. 1K-316 „Dėl Projektų administravimo ir finansavimo taisyklių patvirtinimo“. Numatomos gauti grynosios pajamos proporcingai atimamos iš pripažintų tinkamomis finansuoti</w:t>
      </w:r>
      <w:r>
        <w:t xml:space="preserve"> išlaidų, apmokamų iš projekto vykdytojo lėšų, sumos pirmiausia atimant numatomų gauti grynųjų pajamų sumą iš privačių lėšų ir kitų viešųjų lėšų ir tik jeigu numatomų gauti grynųjų pajamų suma viršija privačias ir kitas viešąsias lėšas, atimant likusią paj</w:t>
      </w:r>
      <w:r>
        <w:t xml:space="preserve">amų sumą iš savivaldybės biudžeto lėšų. </w:t>
      </w:r>
    </w:p>
    <w:p w14:paraId="4E28E95E" w14:textId="77777777" w:rsidR="00154D10" w:rsidRDefault="005002D8">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12</w:t>
      </w:r>
      <w:r>
        <w:rPr>
          <w:szCs w:val="24"/>
          <w:lang w:eastAsia="lt-LT"/>
        </w:rPr>
        <w:t>. UAB VIPA, teikdama Finansų ministerijai išvadas dėl dotacijų skyrimo, kartu teikia informaciją apie einamųjų ir artimiausių trejų metų valstybės biudžeto lėšų poreikį dotacijoms savivaldybių projektų nuosava</w:t>
      </w:r>
      <w:r>
        <w:rPr>
          <w:szCs w:val="24"/>
          <w:lang w:eastAsia="lt-LT"/>
        </w:rPr>
        <w:t>m lėšų indėliui padengti.</w:t>
      </w:r>
    </w:p>
    <w:p w14:paraId="128D9909" w14:textId="77777777" w:rsidR="00154D10" w:rsidRDefault="005002D8">
      <w:pPr>
        <w:tabs>
          <w:tab w:val="left" w:pos="709"/>
          <w:tab w:val="left" w:pos="1134"/>
        </w:tabs>
        <w:ind w:firstLine="709"/>
        <w:jc w:val="both"/>
        <w:rPr>
          <w:szCs w:val="24"/>
          <w:lang w:eastAsia="lt-LT"/>
        </w:rPr>
      </w:pPr>
      <w:r>
        <w:rPr>
          <w:szCs w:val="24"/>
          <w:lang w:eastAsia="lt-LT"/>
        </w:rPr>
        <w:t>13</w:t>
      </w:r>
      <w:r>
        <w:rPr>
          <w:szCs w:val="24"/>
          <w:lang w:eastAsia="lt-LT"/>
        </w:rPr>
        <w:t xml:space="preserve">. </w:t>
      </w:r>
      <w:r>
        <w:t>Jei padidėja mažiausia savivaldybės nuosavų lėšų indėlio dalis</w:t>
      </w:r>
      <w:r>
        <w:rPr>
          <w:szCs w:val="24"/>
          <w:lang w:eastAsia="lt-LT"/>
        </w:rPr>
        <w:t>, savivaldybė dėl papildomos dotacijos gali kreiptis į UAB VIPA Aprašo 3–12 punktuose nustatyta tvarka.</w:t>
      </w:r>
    </w:p>
    <w:p w14:paraId="5D34B899" w14:textId="77777777" w:rsidR="00154D10" w:rsidRDefault="005002D8">
      <w:pPr>
        <w:rPr>
          <w:szCs w:val="24"/>
        </w:rPr>
      </w:pPr>
    </w:p>
    <w:p w14:paraId="4A9AA69D" w14:textId="77777777" w:rsidR="00154D10" w:rsidRDefault="0050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w:t>
      </w:r>
      <w:r>
        <w:rPr>
          <w:b/>
          <w:szCs w:val="24"/>
          <w:lang w:eastAsia="lt-LT"/>
        </w:rPr>
        <w:t xml:space="preserve"> SKYRIUS</w:t>
      </w:r>
    </w:p>
    <w:p w14:paraId="29F6B77E" w14:textId="77777777" w:rsidR="00154D10" w:rsidRDefault="0050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DOTACIJOS IŠMOKĖJIMAS</w:t>
      </w:r>
    </w:p>
    <w:p w14:paraId="78EA2A2C" w14:textId="77777777" w:rsidR="00154D10" w:rsidRDefault="00154D10">
      <w:pPr>
        <w:rPr>
          <w:szCs w:val="24"/>
        </w:rPr>
      </w:pPr>
    </w:p>
    <w:p w14:paraId="4A60CC2D" w14:textId="77777777" w:rsidR="00154D10" w:rsidRDefault="005002D8">
      <w:pPr>
        <w:tabs>
          <w:tab w:val="left" w:pos="993"/>
        </w:tabs>
        <w:ind w:firstLine="709"/>
        <w:jc w:val="both"/>
        <w:rPr>
          <w:szCs w:val="24"/>
          <w:lang w:eastAsia="lt-LT"/>
        </w:rPr>
      </w:pPr>
      <w:r>
        <w:rPr>
          <w:szCs w:val="24"/>
          <w:lang w:eastAsia="lt-LT"/>
        </w:rPr>
        <w:t>14</w:t>
      </w:r>
      <w:r>
        <w:rPr>
          <w:szCs w:val="24"/>
          <w:lang w:eastAsia="lt-LT"/>
        </w:rPr>
        <w:t>. Kai įg</w:t>
      </w:r>
      <w:r>
        <w:rPr>
          <w:szCs w:val="24"/>
          <w:lang w:eastAsia="lt-LT"/>
        </w:rPr>
        <w:t>yvendinančioji institucija patvirtina mokėjimo prašymą ir (arba) paraišką asignavimų valdytojui, UAB VIPA, per</w:t>
      </w:r>
      <w:r>
        <w:t xml:space="preserve"> </w:t>
      </w:r>
      <w:r>
        <w:rPr>
          <w:szCs w:val="24"/>
          <w:lang w:eastAsia="lt-LT"/>
        </w:rPr>
        <w:t>ES struktūrinės paramos kompiuterinės informacinės valdymo ir priežiūros sistemos 2014–2020 metų ES struktūrinių fondų posistemį (toliau – SFMIS2</w:t>
      </w:r>
      <w:r>
        <w:rPr>
          <w:szCs w:val="24"/>
          <w:lang w:eastAsia="lt-LT"/>
        </w:rPr>
        <w:t>014) gavusi apie tai pranešimą, peržiūri informaciją apie įgyvendinančiosios institucijos patvirtintame mokėjimo prašyme nurodytą savivaldybei pripažintų tinkamomis finansuoti išlaidų sumą ir per 5 darbo dienas patvirtina dotacijos lėšomis mokėtiną sumą, a</w:t>
      </w:r>
      <w:r>
        <w:rPr>
          <w:szCs w:val="24"/>
          <w:lang w:eastAsia="lt-LT"/>
        </w:rPr>
        <w:t xml:space="preserve">pskaičiavusi ją pagal įgyvendinančiosios institucijos patvirtintų tinkamų finansuoti išlaidų sumai tenkančią iš dotacijos finansuojamų nuosavų lėšų dalį, ir Finansų ministerijai pateikia paraišką asignavimų valdytojui. </w:t>
      </w:r>
    </w:p>
    <w:p w14:paraId="7E85AD4A" w14:textId="77777777" w:rsidR="00154D10" w:rsidRDefault="005002D8">
      <w:pPr>
        <w:tabs>
          <w:tab w:val="left" w:pos="993"/>
        </w:tabs>
        <w:ind w:firstLine="709"/>
        <w:jc w:val="both"/>
        <w:rPr>
          <w:szCs w:val="24"/>
        </w:rPr>
      </w:pPr>
      <w:r>
        <w:rPr>
          <w:szCs w:val="24"/>
          <w:lang w:eastAsia="lt-LT"/>
        </w:rPr>
        <w:t>15</w:t>
      </w:r>
      <w:r>
        <w:rPr>
          <w:szCs w:val="24"/>
          <w:lang w:eastAsia="lt-LT"/>
        </w:rPr>
        <w:t>. UAB VIPA, per SFMIS2014 gavu</w:t>
      </w:r>
      <w:r>
        <w:rPr>
          <w:szCs w:val="24"/>
          <w:lang w:eastAsia="lt-LT"/>
        </w:rPr>
        <w:t>si pranešimą apie įgyvendinančiosios institucijos nustatytą savivaldybei tenkančią projekto netinkamų finansuoti išlaidų sumą, inicijuoja savivaldybei išmokėtos dotacijos sumos, tenkančios netinkamų finansuoti išlaidų nuosavų lėšų daliai, grąžinimą į nurod</w:t>
      </w:r>
      <w:r>
        <w:rPr>
          <w:szCs w:val="24"/>
          <w:lang w:eastAsia="lt-LT"/>
        </w:rPr>
        <w:t xml:space="preserve">ytą Finansų ministerijos sąskaitą. Šios lėšos ne vėliau kaip per 5 darbo dienas nuo lėšų grąžinimo dienos pervedamos į valstybės iždo sąskaitą, iš kurios dotacijos lėšos buvo išmokėtos. Išmokama dotacijos suma negali viršyti savivaldybei tenkančios </w:t>
      </w:r>
      <w:r>
        <w:rPr>
          <w:lang w:eastAsia="lt-LT"/>
        </w:rPr>
        <w:t>pripaži</w:t>
      </w:r>
      <w:r>
        <w:rPr>
          <w:lang w:eastAsia="lt-LT"/>
        </w:rPr>
        <w:t xml:space="preserve">ntų deklaruotinomis Europos Komisijai išlaidų </w:t>
      </w:r>
      <w:r>
        <w:rPr>
          <w:szCs w:val="24"/>
          <w:lang w:eastAsia="lt-LT"/>
        </w:rPr>
        <w:t xml:space="preserve">nuosavų lėšų dalies, </w:t>
      </w:r>
      <w:r>
        <w:rPr>
          <w:lang w:eastAsia="lt-LT"/>
        </w:rPr>
        <w:t>iš jos atskaičius numatomas gauti grynąsias pajamas</w:t>
      </w:r>
      <w:r>
        <w:rPr>
          <w:szCs w:val="24"/>
          <w:lang w:eastAsia="lt-LT"/>
        </w:rPr>
        <w:t>.</w:t>
      </w:r>
      <w:r>
        <w:t xml:space="preserve"> </w:t>
      </w:r>
    </w:p>
    <w:p w14:paraId="6955F301" w14:textId="77777777" w:rsidR="00154D10" w:rsidRDefault="005002D8">
      <w:pPr>
        <w:tabs>
          <w:tab w:val="left" w:pos="851"/>
          <w:tab w:val="left" w:pos="993"/>
        </w:tabs>
        <w:ind w:firstLine="709"/>
        <w:jc w:val="both"/>
      </w:pPr>
      <w:r>
        <w:rPr>
          <w:szCs w:val="24"/>
          <w:lang w:eastAsia="lt-LT"/>
        </w:rPr>
        <w:t>16</w:t>
      </w:r>
      <w:r>
        <w:rPr>
          <w:szCs w:val="24"/>
          <w:lang w:eastAsia="lt-LT"/>
        </w:rPr>
        <w:t xml:space="preserve">. Per 5 darbo dienas nuo paraiškos asignavimų valdytojui iš UAB VIPA gavimo dienos Finansų ministerijos Veiklos valdymo </w:t>
      </w:r>
      <w:r>
        <w:rPr>
          <w:szCs w:val="24"/>
          <w:lang w:eastAsia="lt-LT"/>
        </w:rPr>
        <w:t>departamentas (toliau – Veiklos valdymo departamentas) Nacionaliniam bendrųjų funkcijų centrui (toliau – NBFC) pateikia dotacijai išmokėti pagal gautą paraišką ir apskaitai tvarkyti reikalingus dokumentus. Per 3 darbo dienas nuo šių dokumentų gavimo dienos</w:t>
      </w:r>
      <w:r>
        <w:rPr>
          <w:szCs w:val="24"/>
          <w:lang w:eastAsia="lt-LT"/>
        </w:rPr>
        <w:t xml:space="preserve"> NBFC parengia ir Valstybės iždo departamentui pateikia mokėjimo paraišką dėl dotacijos lėšų pervedimo savivaldybei.</w:t>
      </w:r>
      <w:r>
        <w:rPr>
          <w:lang w:eastAsia="lt-LT"/>
        </w:rPr>
        <w:t xml:space="preserve"> </w:t>
      </w:r>
      <w:r>
        <w:rPr>
          <w:szCs w:val="24"/>
          <w:lang w:eastAsia="lt-LT"/>
        </w:rPr>
        <w:t>Lėšas pagal mokėjimo paraiškas Valstybės iždo departamentas išmoka vadovaudamasis Valstybės biudžeto lėšų iš valstybės iždo sąskaitos išdav</w:t>
      </w:r>
      <w:r>
        <w:rPr>
          <w:szCs w:val="24"/>
          <w:lang w:eastAsia="lt-LT"/>
        </w:rPr>
        <w:t>imo taisyklėmis, patvirtintomis Lietuvos Respublikos finansų ministro 2000 m. liepos 21 d. įsakymu Nr. 195 „Dėl Valstybės biudžeto lėšų išdavimo iš valstybės iždo sąskaitos taisyklių patvirtinimo“. Pasibaigus ketvirčiui per 5 darbo dienas Veiklos valdymo d</w:t>
      </w:r>
      <w:r>
        <w:rPr>
          <w:szCs w:val="24"/>
          <w:lang w:eastAsia="lt-LT"/>
        </w:rPr>
        <w:t>epartamentas UAB VIPA ir Finansų ministerijos Investicijų departamento (toliau – Investicijų departamentas) nurodytais elektroninio pašto adresais informuoja UAB VIPA ir Investicijų departamentą apie išmokėtas lėšas.</w:t>
      </w:r>
      <w:r>
        <w:t xml:space="preserve"> </w:t>
      </w:r>
    </w:p>
    <w:p w14:paraId="2158689F" w14:textId="77777777" w:rsidR="00154D10" w:rsidRDefault="005002D8">
      <w:pPr>
        <w:tabs>
          <w:tab w:val="left" w:pos="851"/>
          <w:tab w:val="left" w:pos="993"/>
        </w:tabs>
        <w:ind w:firstLine="709"/>
        <w:jc w:val="both"/>
      </w:pPr>
      <w:r>
        <w:t>17</w:t>
      </w:r>
      <w:r>
        <w:t>. Dotacija gali būti išmokėta ti</w:t>
      </w:r>
      <w:r>
        <w:t>k toms projekto išlaidoms padengti, kurios buvo patirtos ne anksčiau nei prašymo skirti dotaciją pateikimo metais.</w:t>
      </w:r>
    </w:p>
    <w:p w14:paraId="57B26DE2" w14:textId="77777777" w:rsidR="00154D10" w:rsidRDefault="005002D8">
      <w:pPr>
        <w:tabs>
          <w:tab w:val="left" w:pos="851"/>
          <w:tab w:val="left" w:pos="993"/>
        </w:tabs>
        <w:ind w:firstLine="709"/>
        <w:jc w:val="both"/>
        <w:rPr>
          <w:szCs w:val="24"/>
          <w:lang w:eastAsia="lt-LT"/>
        </w:rPr>
      </w:pPr>
      <w:r>
        <w:t>18</w:t>
      </w:r>
      <w:r>
        <w:t>. Išmokėjus visas einamųjų metų valstybės biudžete dotacijoms numatytas lėšas, gautose paraiškose nurodytos dotacijų sumos savivaldybėm</w:t>
      </w:r>
      <w:r>
        <w:t>s bus išmokamos ateinančiais metais iš tų metų valstybės biudžete šiam tikslui patvirtintų asignavimų.</w:t>
      </w:r>
    </w:p>
    <w:p w14:paraId="4AC392B9" w14:textId="77777777" w:rsidR="00154D10" w:rsidRDefault="0050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4BE0A06B" w14:textId="77777777" w:rsidR="00154D10" w:rsidRDefault="0050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w:t>
      </w:r>
      <w:r>
        <w:rPr>
          <w:b/>
          <w:szCs w:val="24"/>
          <w:lang w:eastAsia="lt-LT"/>
        </w:rPr>
        <w:t xml:space="preserve"> SKYRIUS</w:t>
      </w:r>
    </w:p>
    <w:p w14:paraId="03770137" w14:textId="77777777" w:rsidR="00154D10" w:rsidRDefault="0050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DOTACIJOS GRĄŽINIMAS</w:t>
      </w:r>
    </w:p>
    <w:p w14:paraId="07765461" w14:textId="77777777" w:rsidR="00154D10" w:rsidRDefault="00154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18FC5F5" w14:textId="77777777" w:rsidR="00154D10" w:rsidRDefault="005002D8">
      <w:pPr>
        <w:tabs>
          <w:tab w:val="left" w:pos="709"/>
          <w:tab w:val="left" w:pos="851"/>
        </w:tabs>
        <w:ind w:firstLine="709"/>
        <w:jc w:val="both"/>
        <w:rPr>
          <w:sz w:val="23"/>
          <w:szCs w:val="23"/>
          <w:lang w:eastAsia="lt-LT"/>
        </w:rPr>
      </w:pPr>
      <w:r>
        <w:rPr>
          <w:szCs w:val="24"/>
          <w:lang w:eastAsia="lt-LT"/>
        </w:rPr>
        <w:t>19</w:t>
      </w:r>
      <w:r>
        <w:rPr>
          <w:szCs w:val="24"/>
          <w:lang w:eastAsia="lt-LT"/>
        </w:rPr>
        <w:t xml:space="preserve">. Įgyvendinus projektą, grąžintiną dotacijos sumą nustato UAB VIPA vadovaudamasi Aprašo priede nustatyta </w:t>
      </w:r>
      <w:r>
        <w:rPr>
          <w:szCs w:val="24"/>
          <w:lang w:eastAsia="lt-LT"/>
        </w:rPr>
        <w:t>vertinimo metodika. Savivaldybė ne vėliau kaip per 14 darbo dienų po projekto įgyvendinimo dienos pateikia UAB VIPA dokumentus, kuriais pagrindžiamas kriterijų reikšmių pasiekimas. Atlikusi savivaldybės ir projekto atitikties Lietuvos Respublikos Vyriausyb</w:t>
      </w:r>
      <w:r>
        <w:rPr>
          <w:szCs w:val="24"/>
          <w:lang w:eastAsia="lt-LT"/>
        </w:rPr>
        <w:t>ės 2014 m. lapkričio 26 d. nutarimo Nr. 1326 2</w:t>
      </w:r>
      <w:r>
        <w:rPr>
          <w:szCs w:val="24"/>
          <w:vertAlign w:val="superscript"/>
          <w:lang w:eastAsia="lt-LT"/>
        </w:rPr>
        <w:t>2</w:t>
      </w:r>
      <w:r>
        <w:rPr>
          <w:szCs w:val="24"/>
          <w:lang w:eastAsia="lt-LT"/>
        </w:rPr>
        <w:t xml:space="preserve"> punkte nustatytiems kriterijams vertinimą, UAB VIPA per 20 darbo dienų nuo pagrindimo dokumentų gavimo dienos priima sprendimą dėl </w:t>
      </w:r>
      <w:r>
        <w:rPr>
          <w:sz w:val="23"/>
          <w:szCs w:val="23"/>
          <w:lang w:eastAsia="lt-LT"/>
        </w:rPr>
        <w:t>grąžintinos dotacijos sumos dydžio ir jos grąžinimo grafiko ir apie tai per 5</w:t>
      </w:r>
      <w:r>
        <w:rPr>
          <w:sz w:val="23"/>
          <w:szCs w:val="23"/>
          <w:lang w:eastAsia="lt-LT"/>
        </w:rPr>
        <w:t xml:space="preserve"> darbo dienas nuo sprendimo priėmimo dienos informuoja raštu savivaldybę ir Finansų ministeriją. Savivaldybė, per </w:t>
      </w:r>
      <w:r>
        <w:rPr>
          <w:sz w:val="23"/>
          <w:szCs w:val="23"/>
        </w:rPr>
        <w:t xml:space="preserve">Savivaldybių dotacijų ir grąžinamosios subsidijos informacinę sistemą </w:t>
      </w:r>
      <w:r>
        <w:rPr>
          <w:sz w:val="23"/>
          <w:szCs w:val="23"/>
          <w:lang w:eastAsia="lt-LT"/>
        </w:rPr>
        <w:t xml:space="preserve">gavusi grąžintinos dotacijos sumos grąžinimo grafiką, jį pasirašo per 5 </w:t>
      </w:r>
      <w:r>
        <w:rPr>
          <w:sz w:val="23"/>
          <w:szCs w:val="23"/>
          <w:lang w:eastAsia="lt-LT"/>
        </w:rPr>
        <w:t xml:space="preserve">darbo dienas nuo grafiko gavimo dienos. Jei savivaldybė nevykdo šiame punkte nurodytų įsipareigojimų, UAB VIPA sudaro visos savivaldybei išmokėtos dotacijos sumos grąžinimo grafiką ir apie tai informuoja savivaldybę ir Finansų ministeriją. </w:t>
      </w:r>
    </w:p>
    <w:p w14:paraId="63AA3519" w14:textId="77777777" w:rsidR="00154D10" w:rsidRDefault="005002D8">
      <w:pPr>
        <w:tabs>
          <w:tab w:val="left" w:pos="709"/>
          <w:tab w:val="left" w:pos="851"/>
        </w:tabs>
        <w:ind w:firstLine="709"/>
        <w:jc w:val="both"/>
        <w:rPr>
          <w:szCs w:val="24"/>
          <w:lang w:eastAsia="lt-LT"/>
        </w:rPr>
      </w:pPr>
      <w:r>
        <w:rPr>
          <w:szCs w:val="24"/>
          <w:lang w:eastAsia="lt-LT"/>
        </w:rPr>
        <w:t>20</w:t>
      </w:r>
      <w:r>
        <w:rPr>
          <w:szCs w:val="24"/>
          <w:lang w:eastAsia="lt-LT"/>
        </w:rPr>
        <w:t xml:space="preserve">. Bendra </w:t>
      </w:r>
      <w:r>
        <w:rPr>
          <w:szCs w:val="24"/>
          <w:lang w:eastAsia="lt-LT"/>
        </w:rPr>
        <w:t xml:space="preserve">grąžintina dotacijos suma negali viršyti visos projektui įgyvendinti išmokėtos dotacijos sumos. </w:t>
      </w:r>
    </w:p>
    <w:p w14:paraId="13C3EBE8" w14:textId="77777777" w:rsidR="00154D10" w:rsidRDefault="005002D8">
      <w:pPr>
        <w:tabs>
          <w:tab w:val="left" w:pos="709"/>
          <w:tab w:val="left" w:pos="851"/>
        </w:tabs>
        <w:ind w:firstLine="709"/>
        <w:jc w:val="both"/>
        <w:rPr>
          <w:szCs w:val="24"/>
          <w:lang w:eastAsia="lt-LT"/>
        </w:rPr>
      </w:pPr>
      <w:r>
        <w:rPr>
          <w:szCs w:val="24"/>
          <w:lang w:eastAsia="lt-LT"/>
        </w:rPr>
        <w:t>21</w:t>
      </w:r>
      <w:r>
        <w:rPr>
          <w:szCs w:val="24"/>
          <w:lang w:eastAsia="lt-LT"/>
        </w:rPr>
        <w:t>. Dotacija grąžinama du kartus per metus pradedant ją grąžinti ateinančiais metais po projekto įgyvendinimo pabaigos iki einamųjų metų birželio 30 dienos</w:t>
      </w:r>
      <w:r>
        <w:rPr>
          <w:szCs w:val="24"/>
          <w:lang w:eastAsia="lt-LT"/>
        </w:rPr>
        <w:t xml:space="preserve"> ir gruodžio 10 dienos.</w:t>
      </w:r>
    </w:p>
    <w:p w14:paraId="5E3DE55E" w14:textId="77777777" w:rsidR="00154D10" w:rsidRDefault="005002D8">
      <w:pPr>
        <w:tabs>
          <w:tab w:val="left" w:pos="851"/>
        </w:tabs>
        <w:ind w:firstLine="709"/>
        <w:jc w:val="both"/>
        <w:rPr>
          <w:sz w:val="23"/>
          <w:szCs w:val="23"/>
          <w:lang w:eastAsia="lt-LT"/>
        </w:rPr>
      </w:pPr>
      <w:r>
        <w:rPr>
          <w:sz w:val="23"/>
          <w:szCs w:val="23"/>
          <w:lang w:eastAsia="lt-LT"/>
        </w:rPr>
        <w:t>22</w:t>
      </w:r>
      <w:r>
        <w:rPr>
          <w:sz w:val="23"/>
          <w:szCs w:val="23"/>
          <w:lang w:eastAsia="lt-LT"/>
        </w:rPr>
        <w:t>. Grąžinamos dotacijos lėšos pervedamos į dotacijos grąžinimo grafike nurodytą Finansų ministerijos sąskaitą, o iš jos ne vėliau kaip per 5 darbo dienas nuo lėšų grąžinimo dienos pervedamos į valstybės iždo sąskaitą, iš kurios</w:t>
      </w:r>
      <w:r>
        <w:rPr>
          <w:sz w:val="23"/>
          <w:szCs w:val="23"/>
          <w:lang w:eastAsia="lt-LT"/>
        </w:rPr>
        <w:t xml:space="preserve"> dotacijos lėšos buvo išmokėtos. Savivaldybė UAB VIPA ir Veiklos valdymo departamento nurodytais elektroninio pašto adresais informuoja UAB VIPA ir  Veiklos valdymo departamentą apie atliktą lėšų pervedimą per 5 darbo dienas. Pasibaigus ketvirčiui per 5 da</w:t>
      </w:r>
      <w:r>
        <w:rPr>
          <w:sz w:val="23"/>
          <w:szCs w:val="23"/>
          <w:lang w:eastAsia="lt-LT"/>
        </w:rPr>
        <w:t>rbo dienas Veiklos valdymo departamentas UAB VIPA ir Investicijų departamento nurodytais elektroninio pašto adresais informuoja UAB VIPA ir Investicijų departamentą apie grąžintas lėšas.</w:t>
      </w:r>
      <w:r>
        <w:rPr>
          <w:sz w:val="23"/>
          <w:szCs w:val="23"/>
        </w:rPr>
        <w:t xml:space="preserve"> </w:t>
      </w:r>
    </w:p>
    <w:p w14:paraId="079528EF" w14:textId="77777777" w:rsidR="00154D10" w:rsidRDefault="005002D8">
      <w:pPr>
        <w:tabs>
          <w:tab w:val="left" w:pos="709"/>
          <w:tab w:val="left" w:pos="851"/>
        </w:tabs>
        <w:ind w:firstLine="709"/>
        <w:jc w:val="both"/>
      </w:pPr>
      <w:r>
        <w:rPr>
          <w:szCs w:val="24"/>
          <w:lang w:eastAsia="lt-LT"/>
        </w:rPr>
        <w:t>23</w:t>
      </w:r>
      <w:r>
        <w:rPr>
          <w:szCs w:val="24"/>
          <w:lang w:eastAsia="lt-LT"/>
        </w:rPr>
        <w:t>. Jeigu įgyvendinus projektą nustatoma netinkamų finansuoti iš</w:t>
      </w:r>
      <w:r>
        <w:rPr>
          <w:szCs w:val="24"/>
          <w:lang w:eastAsia="lt-LT"/>
        </w:rPr>
        <w:t>laidų, įgyvendinančioji institucija apie netinkamų finansuoti išlaidų sumą ir jai tenkančią savivaldybės nuosavų lėšų indėlio dalį informuoja UAB VIPA per SFMIS2014, jei yra tokios funkcinės galimybės, arba kitais informacijos perdavimo būdais. UAB VIPA, j</w:t>
      </w:r>
      <w:r>
        <w:rPr>
          <w:szCs w:val="24"/>
          <w:lang w:eastAsia="lt-LT"/>
        </w:rPr>
        <w:t>eigu yra priimtas sprendimas dėl dotacijos grąžintinos sumos dydžio, patikslina grąžinimo grafiką, atitinkamai padidindama dotacijos grąžintiną sumą. Jeigu sprendimas dėl dotacijos grąžintinos sumos dydžio nebuvo priimtas, UAB VIPA priima sprendimą dėl dot</w:t>
      </w:r>
      <w:r>
        <w:rPr>
          <w:szCs w:val="24"/>
          <w:lang w:eastAsia="lt-LT"/>
        </w:rPr>
        <w:t>acijos grąžintinos sumos, susijusios su nustatytomis netinkamomis finansuoti išlaidomis, dydžio ir grąžinimo grafiko ir apie tai per 5 darbo dienas nuo sprendimo priėmimo dienos informuoja raštu savivaldybę.</w:t>
      </w:r>
      <w:r>
        <w:t xml:space="preserve"> </w:t>
      </w:r>
    </w:p>
    <w:p w14:paraId="00500DE1" w14:textId="77777777" w:rsidR="00154D10" w:rsidRDefault="005002D8">
      <w:pPr>
        <w:tabs>
          <w:tab w:val="left" w:pos="709"/>
          <w:tab w:val="left" w:pos="851"/>
        </w:tabs>
        <w:ind w:firstLine="709"/>
        <w:jc w:val="both"/>
        <w:rPr>
          <w:sz w:val="23"/>
          <w:szCs w:val="23"/>
          <w:lang w:eastAsia="lt-LT"/>
        </w:rPr>
      </w:pPr>
      <w:r>
        <w:rPr>
          <w:sz w:val="23"/>
          <w:szCs w:val="23"/>
        </w:rPr>
        <w:t>24</w:t>
      </w:r>
      <w:r>
        <w:rPr>
          <w:sz w:val="23"/>
          <w:szCs w:val="23"/>
        </w:rPr>
        <w:t xml:space="preserve">. </w:t>
      </w:r>
      <w:r>
        <w:rPr>
          <w:sz w:val="23"/>
          <w:szCs w:val="23"/>
          <w:lang w:eastAsia="lt-LT"/>
        </w:rPr>
        <w:t>Jeigu įgyvendinus projektą UAB VIPA nus</w:t>
      </w:r>
      <w:r>
        <w:rPr>
          <w:sz w:val="23"/>
          <w:szCs w:val="23"/>
          <w:lang w:eastAsia="lt-LT"/>
        </w:rPr>
        <w:t xml:space="preserve">tato, </w:t>
      </w:r>
      <w:r>
        <w:rPr>
          <w:bCs/>
          <w:sz w:val="23"/>
          <w:szCs w:val="23"/>
        </w:rPr>
        <w:t xml:space="preserve">kad išmokėta dotacijos suma viršija mažiausią nuosavų lėšų dalį, ji inicijuoja viršijančios dotacijos sumos grąžinimą į </w:t>
      </w:r>
      <w:r>
        <w:rPr>
          <w:sz w:val="23"/>
          <w:szCs w:val="23"/>
          <w:lang w:eastAsia="lt-LT"/>
        </w:rPr>
        <w:t xml:space="preserve">Finansų ministerijos sąskaitą. Šios lėšos ne vėliau kaip per 5 darbo dienas nuo lėšų grąžinimo dienos pervedamos į </w:t>
      </w:r>
      <w:r>
        <w:rPr>
          <w:bCs/>
          <w:sz w:val="23"/>
          <w:szCs w:val="23"/>
        </w:rPr>
        <w:t xml:space="preserve">valstybės iždo </w:t>
      </w:r>
      <w:r>
        <w:rPr>
          <w:bCs/>
          <w:sz w:val="23"/>
          <w:szCs w:val="23"/>
        </w:rPr>
        <w:t xml:space="preserve">sąskaitą, </w:t>
      </w:r>
      <w:r>
        <w:rPr>
          <w:sz w:val="23"/>
          <w:szCs w:val="23"/>
          <w:lang w:eastAsia="lt-LT"/>
        </w:rPr>
        <w:t>iš kurios dotacijos lėšos buvo išmokėtos</w:t>
      </w:r>
      <w:r>
        <w:rPr>
          <w:bCs/>
          <w:sz w:val="23"/>
          <w:szCs w:val="23"/>
        </w:rPr>
        <w:t xml:space="preserve">. Šiame punkte nustatytu atveju išmokėtą dotaciją savivaldybė turi grąžinti į </w:t>
      </w:r>
      <w:r>
        <w:rPr>
          <w:sz w:val="23"/>
          <w:szCs w:val="23"/>
          <w:lang w:eastAsia="lt-LT"/>
        </w:rPr>
        <w:t>Finansų ministerijos sąskaitą</w:t>
      </w:r>
      <w:r>
        <w:rPr>
          <w:bCs/>
          <w:sz w:val="23"/>
          <w:szCs w:val="23"/>
        </w:rPr>
        <w:t xml:space="preserve"> pagal UAB VIPA sudarytą grafiką Aprašo 21 punkte nustatyta tvarka.</w:t>
      </w:r>
    </w:p>
    <w:p w14:paraId="1A3114EE" w14:textId="77777777" w:rsidR="00154D10" w:rsidRDefault="005002D8">
      <w:pPr>
        <w:tabs>
          <w:tab w:val="left" w:pos="709"/>
          <w:tab w:val="left" w:pos="851"/>
        </w:tabs>
        <w:ind w:firstLine="709"/>
        <w:jc w:val="both"/>
        <w:rPr>
          <w:szCs w:val="24"/>
          <w:lang w:eastAsia="lt-LT"/>
        </w:rPr>
      </w:pPr>
      <w:r>
        <w:rPr>
          <w:szCs w:val="24"/>
          <w:lang w:eastAsia="lt-LT"/>
        </w:rPr>
        <w:t>25</w:t>
      </w:r>
      <w:r>
        <w:rPr>
          <w:szCs w:val="24"/>
          <w:lang w:eastAsia="lt-LT"/>
        </w:rPr>
        <w:t>. Jeigu UAB VIPA nustato,</w:t>
      </w:r>
      <w:r>
        <w:rPr>
          <w:szCs w:val="24"/>
          <w:lang w:eastAsia="lt-LT"/>
        </w:rPr>
        <w:t xml:space="preserve"> kad finansiniai įsipareigojimai, susiję su dotacijos grąžinimu, yra nevykdomi ilgiau negu 30 darbo dienų, apie tai ji raštu informuoja savivaldybę ir numato papildomą ne ilgesnį kaip 30 darbo dienų dotacijos grąžinimo terminą. Jeigu ir po papildomo termin</w:t>
      </w:r>
      <w:r>
        <w:rPr>
          <w:szCs w:val="24"/>
          <w:lang w:eastAsia="lt-LT"/>
        </w:rPr>
        <w:t xml:space="preserve">o savivaldybės administracija negrąžina dotacijos, UAB VIPA imasi veiksmų dėl lėšų išieškojimo, vadovaudamasi </w:t>
      </w:r>
      <w:proofErr w:type="spellStart"/>
      <w:r>
        <w:rPr>
          <w:i/>
          <w:szCs w:val="24"/>
          <w:lang w:eastAsia="lt-LT"/>
        </w:rPr>
        <w:t>mutatis</w:t>
      </w:r>
      <w:proofErr w:type="spellEnd"/>
      <w:r>
        <w:rPr>
          <w:i/>
          <w:szCs w:val="24"/>
          <w:lang w:eastAsia="lt-LT"/>
        </w:rPr>
        <w:t xml:space="preserve"> </w:t>
      </w:r>
      <w:proofErr w:type="spellStart"/>
      <w:r>
        <w:rPr>
          <w:i/>
          <w:szCs w:val="24"/>
          <w:lang w:eastAsia="lt-LT"/>
        </w:rPr>
        <w:t>mutandis</w:t>
      </w:r>
      <w:proofErr w:type="spellEnd"/>
      <w:r>
        <w:rPr>
          <w:szCs w:val="24"/>
          <w:lang w:eastAsia="lt-LT"/>
        </w:rPr>
        <w:t xml:space="preserve"> Finansinės paramos ir bendrojo finansavimo lėšų grąžinimo į Lietuvos Respublikos valstybės biudžetą taisyklėmis, patvirtintomis L</w:t>
      </w:r>
      <w:r>
        <w:rPr>
          <w:szCs w:val="24"/>
          <w:lang w:eastAsia="lt-LT"/>
        </w:rPr>
        <w:t xml:space="preserve">ietuvos Respublikos Vyriausybės 2005 m. gegužės 30 d. nutarimu Nr. 590 „Dėl Finansinės paramos ir bendrojo finansavimo lėšų grąžinimo į Lietuvos Respublikos valstybės biudžetą taisyklių patvirtinimo“. </w:t>
      </w:r>
    </w:p>
    <w:p w14:paraId="67FCBE09" w14:textId="77777777" w:rsidR="00154D10" w:rsidRDefault="005002D8">
      <w:pPr>
        <w:tabs>
          <w:tab w:val="left" w:pos="709"/>
          <w:tab w:val="left" w:pos="851"/>
        </w:tabs>
        <w:ind w:firstLine="709"/>
        <w:jc w:val="both"/>
        <w:rPr>
          <w:szCs w:val="24"/>
          <w:lang w:eastAsia="lt-LT"/>
        </w:rPr>
      </w:pPr>
      <w:r>
        <w:rPr>
          <w:szCs w:val="24"/>
          <w:lang w:eastAsia="lt-LT"/>
        </w:rPr>
        <w:t>26</w:t>
      </w:r>
      <w:r>
        <w:rPr>
          <w:szCs w:val="24"/>
          <w:lang w:eastAsia="lt-LT"/>
        </w:rPr>
        <w:t>. Savivaldybei nevykdant Aprašo 19, 21 ir 24 pun</w:t>
      </w:r>
      <w:r>
        <w:rPr>
          <w:szCs w:val="24"/>
          <w:lang w:eastAsia="lt-LT"/>
        </w:rPr>
        <w:t>ktuose nurodytų įsipareigojimų, visų savivaldybei skirtų dotacijų mokėjimai stabdomi, o naujus prašymus skirti dotacijas UAB VIPA šiuo pagrindu atmeta, kol bus įvykdyti nurodyti įsipareigojimai.</w:t>
      </w:r>
    </w:p>
    <w:p w14:paraId="661343BA" w14:textId="77777777" w:rsidR="00154D10" w:rsidRDefault="005002D8">
      <w:pPr>
        <w:tabs>
          <w:tab w:val="left" w:pos="709"/>
          <w:tab w:val="left" w:pos="851"/>
        </w:tabs>
        <w:ind w:firstLine="709"/>
        <w:jc w:val="center"/>
      </w:pPr>
      <w:r>
        <w:rPr>
          <w:szCs w:val="24"/>
          <w:lang w:eastAsia="lt-LT"/>
        </w:rPr>
        <w:t>_______________</w:t>
      </w:r>
    </w:p>
    <w:p w14:paraId="5FF1D295" w14:textId="77777777" w:rsidR="005002D8" w:rsidRDefault="005002D8">
      <w:pPr>
        <w:widowControl w:val="0"/>
        <w:tabs>
          <w:tab w:val="left" w:pos="4395"/>
        </w:tabs>
        <w:suppressAutoHyphens/>
        <w:ind w:left="4395" w:firstLine="310"/>
        <w:sectPr w:rsidR="005002D8" w:rsidSect="005002D8">
          <w:pgSz w:w="11906" w:h="16838" w:code="9"/>
          <w:pgMar w:top="993" w:right="567" w:bottom="993" w:left="1701" w:header="560" w:footer="686" w:gutter="0"/>
          <w:pgNumType w:start="1"/>
          <w:cols w:space="1296"/>
          <w:formProt w:val="0"/>
          <w:titlePg/>
        </w:sectPr>
      </w:pPr>
    </w:p>
    <w:p w14:paraId="4101730F" w14:textId="62227BBC" w:rsidR="00154D10" w:rsidRDefault="005002D8">
      <w:pPr>
        <w:widowControl w:val="0"/>
        <w:tabs>
          <w:tab w:val="left" w:pos="4395"/>
        </w:tabs>
        <w:suppressAutoHyphens/>
        <w:ind w:left="4395" w:firstLine="310"/>
        <w:rPr>
          <w:color w:val="000000"/>
        </w:rPr>
      </w:pPr>
      <w:r>
        <w:rPr>
          <w:color w:val="000000"/>
        </w:rPr>
        <w:lastRenderedPageBreak/>
        <w:t xml:space="preserve">Dotacijų skyrimo savivaldybėms </w:t>
      </w:r>
      <w:r>
        <w:rPr>
          <w:color w:val="000000"/>
        </w:rPr>
        <w:t>tvarkos aprašo</w:t>
      </w:r>
    </w:p>
    <w:p w14:paraId="6FA7DAE4" w14:textId="77777777" w:rsidR="00154D10" w:rsidRDefault="005002D8">
      <w:pPr>
        <w:widowControl w:val="0"/>
        <w:tabs>
          <w:tab w:val="left" w:pos="4395"/>
        </w:tabs>
        <w:suppressAutoHyphens/>
        <w:ind w:left="4678"/>
        <w:rPr>
          <w:color w:val="000000"/>
        </w:rPr>
      </w:pPr>
      <w:r>
        <w:rPr>
          <w:color w:val="000000"/>
        </w:rPr>
        <w:t>priedas</w:t>
      </w:r>
    </w:p>
    <w:p w14:paraId="158551DE" w14:textId="77777777" w:rsidR="00154D10" w:rsidRDefault="00154D10">
      <w:pPr>
        <w:widowControl w:val="0"/>
        <w:suppressAutoHyphens/>
        <w:jc w:val="center"/>
        <w:rPr>
          <w:b/>
          <w:bCs/>
          <w:color w:val="000000"/>
        </w:rPr>
      </w:pPr>
    </w:p>
    <w:p w14:paraId="36A280D9" w14:textId="77777777" w:rsidR="00154D10" w:rsidRDefault="005002D8">
      <w:pPr>
        <w:widowControl w:val="0"/>
        <w:suppressAutoHyphens/>
        <w:jc w:val="center"/>
        <w:rPr>
          <w:color w:val="000000"/>
        </w:rPr>
      </w:pPr>
      <w:r>
        <w:rPr>
          <w:b/>
          <w:bCs/>
          <w:color w:val="000000"/>
        </w:rPr>
        <w:t>GRĄŽINTINOS DOTACIJOS SUMOS NUSTATYMO METODIKA</w:t>
      </w:r>
    </w:p>
    <w:tbl>
      <w:tblPr>
        <w:tblW w:w="5000" w:type="pct"/>
        <w:tblLook w:val="04A0" w:firstRow="1" w:lastRow="0" w:firstColumn="1" w:lastColumn="0" w:noHBand="0" w:noVBand="1"/>
      </w:tblPr>
      <w:tblGrid>
        <w:gridCol w:w="9854"/>
      </w:tblGrid>
      <w:tr w:rsidR="00154D10" w14:paraId="6293B745" w14:textId="77777777">
        <w:trPr>
          <w:trHeight w:val="20"/>
        </w:trPr>
        <w:tc>
          <w:tcPr>
            <w:tcW w:w="5000" w:type="pct"/>
          </w:tcPr>
          <w:p w14:paraId="1335DE73" w14:textId="77777777" w:rsidR="00154D10" w:rsidRDefault="00154D10">
            <w:pPr>
              <w:spacing w:line="276" w:lineRule="auto"/>
              <w:ind w:right="373"/>
              <w:rPr>
                <w:rFonts w:eastAsia="Calibri"/>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87"/>
              <w:gridCol w:w="1984"/>
            </w:tblGrid>
            <w:tr w:rsidR="005002D8" w:rsidRPr="005002D8" w14:paraId="6176A185" w14:textId="77777777">
              <w:trPr>
                <w:trHeight w:val="562"/>
              </w:trPr>
              <w:tc>
                <w:tcPr>
                  <w:tcW w:w="2263" w:type="dxa"/>
                  <w:tcBorders>
                    <w:top w:val="single" w:sz="4" w:space="0" w:color="auto"/>
                    <w:left w:val="single" w:sz="4" w:space="0" w:color="auto"/>
                    <w:bottom w:val="single" w:sz="4" w:space="0" w:color="auto"/>
                    <w:right w:val="single" w:sz="4" w:space="0" w:color="auto"/>
                  </w:tcBorders>
                  <w:hideMark/>
                </w:tcPr>
                <w:p w14:paraId="14A39E8C" w14:textId="77777777" w:rsidR="00154D10" w:rsidRPr="005002D8" w:rsidRDefault="005002D8">
                  <w:pPr>
                    <w:keepNext/>
                    <w:spacing w:line="276" w:lineRule="auto"/>
                    <w:jc w:val="center"/>
                    <w:rPr>
                      <w:rFonts w:eastAsia="Calibri"/>
                      <w:b/>
                      <w:bCs/>
                      <w:caps/>
                      <w:szCs w:val="24"/>
                    </w:rPr>
                  </w:pPr>
                  <w:r w:rsidRPr="005002D8">
                    <w:rPr>
                      <w:rFonts w:eastAsia="Calibri"/>
                      <w:b/>
                      <w:bCs/>
                      <w:szCs w:val="24"/>
                    </w:rPr>
                    <w:t>Vertinimo kriterijus</w:t>
                  </w:r>
                </w:p>
              </w:tc>
              <w:tc>
                <w:tcPr>
                  <w:tcW w:w="5387" w:type="dxa"/>
                  <w:tcBorders>
                    <w:top w:val="single" w:sz="4" w:space="0" w:color="auto"/>
                    <w:left w:val="single" w:sz="4" w:space="0" w:color="auto"/>
                    <w:bottom w:val="single" w:sz="4" w:space="0" w:color="auto"/>
                    <w:right w:val="single" w:sz="4" w:space="0" w:color="auto"/>
                  </w:tcBorders>
                </w:tcPr>
                <w:p w14:paraId="6406203F" w14:textId="77777777" w:rsidR="00154D10" w:rsidRPr="005002D8" w:rsidRDefault="005002D8">
                  <w:pPr>
                    <w:keepNext/>
                    <w:spacing w:line="276" w:lineRule="auto"/>
                    <w:jc w:val="center"/>
                    <w:rPr>
                      <w:rFonts w:eastAsia="Calibri"/>
                      <w:b/>
                      <w:bCs/>
                      <w:szCs w:val="24"/>
                    </w:rPr>
                  </w:pPr>
                  <w:r w:rsidRPr="005002D8">
                    <w:rPr>
                      <w:rFonts w:eastAsia="Calibri"/>
                      <w:b/>
                      <w:bCs/>
                      <w:szCs w:val="24"/>
                    </w:rPr>
                    <w:t>Kriterijaus paaiškinimai ir reikšmė</w:t>
                  </w:r>
                </w:p>
                <w:p w14:paraId="5A10045A" w14:textId="77777777" w:rsidR="00154D10" w:rsidRPr="005002D8" w:rsidRDefault="00154D10">
                  <w:pPr>
                    <w:keepNext/>
                    <w:spacing w:line="276" w:lineRule="auto"/>
                    <w:jc w:val="center"/>
                    <w:rPr>
                      <w:rFonts w:eastAsia="Calibri"/>
                      <w:b/>
                      <w:bCs/>
                      <w:i/>
                      <w:caps/>
                      <w:szCs w:val="24"/>
                    </w:rPr>
                  </w:pPr>
                </w:p>
              </w:tc>
              <w:tc>
                <w:tcPr>
                  <w:tcW w:w="1984" w:type="dxa"/>
                  <w:tcBorders>
                    <w:top w:val="single" w:sz="4" w:space="0" w:color="auto"/>
                    <w:left w:val="single" w:sz="4" w:space="0" w:color="auto"/>
                    <w:bottom w:val="single" w:sz="4" w:space="0" w:color="auto"/>
                    <w:right w:val="single" w:sz="4" w:space="0" w:color="auto"/>
                  </w:tcBorders>
                  <w:hideMark/>
                </w:tcPr>
                <w:p w14:paraId="3383C704" w14:textId="77777777" w:rsidR="00154D10" w:rsidRPr="005002D8" w:rsidRDefault="005002D8">
                  <w:pPr>
                    <w:keepNext/>
                    <w:spacing w:line="276" w:lineRule="auto"/>
                    <w:jc w:val="center"/>
                    <w:rPr>
                      <w:rFonts w:eastAsia="Calibri"/>
                      <w:b/>
                      <w:bCs/>
                      <w:szCs w:val="24"/>
                    </w:rPr>
                  </w:pPr>
                  <w:r w:rsidRPr="005002D8">
                    <w:rPr>
                      <w:rFonts w:eastAsia="Calibri"/>
                      <w:b/>
                      <w:bCs/>
                      <w:szCs w:val="24"/>
                    </w:rPr>
                    <w:t>Kriterijaus reikšmingumas*</w:t>
                  </w:r>
                </w:p>
              </w:tc>
            </w:tr>
            <w:tr w:rsidR="005002D8" w:rsidRPr="005002D8" w14:paraId="02EC18F3" w14:textId="77777777">
              <w:tc>
                <w:tcPr>
                  <w:tcW w:w="2263" w:type="dxa"/>
                  <w:tcBorders>
                    <w:top w:val="single" w:sz="4" w:space="0" w:color="auto"/>
                    <w:left w:val="single" w:sz="4" w:space="0" w:color="auto"/>
                    <w:bottom w:val="single" w:sz="4" w:space="0" w:color="auto"/>
                    <w:right w:val="single" w:sz="4" w:space="0" w:color="auto"/>
                  </w:tcBorders>
                  <w:hideMark/>
                </w:tcPr>
                <w:p w14:paraId="1F1F4695" w14:textId="77777777" w:rsidR="00154D10" w:rsidRPr="005002D8" w:rsidRDefault="005002D8">
                  <w:pPr>
                    <w:tabs>
                      <w:tab w:val="left" w:pos="443"/>
                    </w:tabs>
                    <w:spacing w:line="276" w:lineRule="auto"/>
                    <w:ind w:left="29" w:firstLine="141"/>
                    <w:rPr>
                      <w:rFonts w:eastAsia="Calibri"/>
                      <w:b/>
                      <w:bCs/>
                      <w:caps/>
                      <w:szCs w:val="24"/>
                    </w:rPr>
                  </w:pPr>
                  <w:r w:rsidRPr="005002D8">
                    <w:rPr>
                      <w:b/>
                      <w:bCs/>
                      <w:caps/>
                      <w:szCs w:val="24"/>
                    </w:rPr>
                    <w:t>1.</w:t>
                  </w:r>
                  <w:r w:rsidRPr="005002D8">
                    <w:rPr>
                      <w:b/>
                      <w:bCs/>
                      <w:caps/>
                      <w:szCs w:val="24"/>
                    </w:rPr>
                    <w:tab/>
                  </w:r>
                  <w:r w:rsidRPr="005002D8">
                    <w:rPr>
                      <w:b/>
                      <w:szCs w:val="24"/>
                      <w:lang w:eastAsia="lt-LT"/>
                    </w:rPr>
                    <w:t xml:space="preserve">Projekto poveikis savivaldybės ir (arba) jos įmonių ar įstaigų išlaidų sumažėjimui arba </w:t>
                  </w:r>
                  <w:r w:rsidRPr="005002D8">
                    <w:rPr>
                      <w:b/>
                      <w:szCs w:val="24"/>
                      <w:lang w:eastAsia="lt-LT"/>
                    </w:rPr>
                    <w:t>pajamų padidėjimui</w:t>
                  </w:r>
                </w:p>
              </w:tc>
              <w:tc>
                <w:tcPr>
                  <w:tcW w:w="5387" w:type="dxa"/>
                  <w:tcBorders>
                    <w:top w:val="single" w:sz="4" w:space="0" w:color="auto"/>
                    <w:left w:val="single" w:sz="4" w:space="0" w:color="auto"/>
                    <w:bottom w:val="single" w:sz="4" w:space="0" w:color="auto"/>
                    <w:right w:val="single" w:sz="4" w:space="0" w:color="auto"/>
                  </w:tcBorders>
                </w:tcPr>
                <w:p w14:paraId="0DE37EC0" w14:textId="77777777" w:rsidR="00154D10" w:rsidRPr="005002D8" w:rsidRDefault="005002D8">
                  <w:pPr>
                    <w:spacing w:line="276" w:lineRule="auto"/>
                    <w:jc w:val="both"/>
                    <w:rPr>
                      <w:szCs w:val="24"/>
                      <w:lang w:eastAsia="lt-LT"/>
                    </w:rPr>
                  </w:pPr>
                  <w:r w:rsidRPr="005002D8">
                    <w:rPr>
                      <w:szCs w:val="24"/>
                    </w:rPr>
                    <w:t>Savivaldybės ir (arba) jos įmonių ar įstaigų</w:t>
                  </w:r>
                  <w:r w:rsidRPr="005002D8">
                    <w:rPr>
                      <w:szCs w:val="24"/>
                      <w:lang w:eastAsia="lt-LT"/>
                    </w:rPr>
                    <w:t xml:space="preserve"> išlaidoms priskiriamos darbo užmokesčio, energinių išteklių, eksploatacinės, kanceliarinės, prekių, paslaugų pirkimo išlaidos ir kitos kasmet patiriamos veiklos išlaidos (neįskaitant išlaidų i</w:t>
                  </w:r>
                  <w:r w:rsidRPr="005002D8">
                    <w:rPr>
                      <w:szCs w:val="24"/>
                      <w:lang w:eastAsia="lt-LT"/>
                    </w:rPr>
                    <w:t>lgalaikiam turtui įsigyti), kurių patyrimas yra tiesiogiai susijęs su įgyvendinamu iš Europos Sąjungos (toliau – ES) struktūrinių fondų lėšų bendrai finansuojamu projektu (toliau – projektas), tačiau neapima paties projekto išlaidų. Pajamos apima bet kokia</w:t>
                  </w:r>
                  <w:r w:rsidRPr="005002D8">
                    <w:rPr>
                      <w:szCs w:val="24"/>
                      <w:lang w:eastAsia="lt-LT"/>
                    </w:rPr>
                    <w:t xml:space="preserve">s </w:t>
                  </w:r>
                  <w:r w:rsidRPr="005002D8">
                    <w:rPr>
                      <w:szCs w:val="24"/>
                    </w:rPr>
                    <w:t>savivaldybės ir (arba) jos įmonių ar įstaigų gaunamas pajamas, kurios tiesiogiai susijusios su įgyvendinamu projektu. Vertinant išlaidų sumažėjimą arba pajamų padidėjimą apskaičiuojamos grynosios pajamos, kurios yra lygios dėl projekto įgyvendinimo padid</w:t>
                  </w:r>
                  <w:r w:rsidRPr="005002D8">
                    <w:rPr>
                      <w:szCs w:val="24"/>
                    </w:rPr>
                    <w:t>ėjusių pajamų ir sumažėjusių išlaidų skirtumui.</w:t>
                  </w:r>
                </w:p>
                <w:p w14:paraId="6B823D33" w14:textId="77777777" w:rsidR="00154D10" w:rsidRPr="005002D8" w:rsidRDefault="005002D8">
                  <w:pPr>
                    <w:spacing w:line="276" w:lineRule="auto"/>
                    <w:jc w:val="both"/>
                    <w:rPr>
                      <w:szCs w:val="24"/>
                      <w:lang w:eastAsia="lt-LT"/>
                    </w:rPr>
                  </w:pPr>
                  <w:r w:rsidRPr="005002D8">
                    <w:rPr>
                      <w:szCs w:val="24"/>
                      <w:lang w:eastAsia="lt-LT"/>
                    </w:rPr>
                    <w:t xml:space="preserve">Jeigu projektui įgyvendinti buvo rengiamas investicijų projektas, vadovaujantis viešosios įstaigos Centrinės projektų valdymo agentūros patvirtinta Investicijų projektų, kuriems siekiama gauti finansavimą iš </w:t>
                  </w:r>
                  <w:r w:rsidRPr="005002D8">
                    <w:rPr>
                      <w:szCs w:val="24"/>
                      <w:lang w:eastAsia="lt-LT"/>
                    </w:rPr>
                    <w:t xml:space="preserve">ES struktūrinės paramos ir/ar valstybės biudžeto lėšų, rengimo metodika (skelbiama Finansų ministerijos interneto svetainėje </w:t>
                  </w:r>
                  <w:proofErr w:type="spellStart"/>
                  <w:r w:rsidRPr="005002D8">
                    <w:t>www.finmin.lrv.lt</w:t>
                  </w:r>
                  <w:proofErr w:type="spellEnd"/>
                  <w:r w:rsidRPr="005002D8">
                    <w:rPr>
                      <w:szCs w:val="24"/>
                      <w:lang w:eastAsia="lt-LT"/>
                    </w:rPr>
                    <w:t xml:space="preserve"> ir interneto svetainės </w:t>
                  </w:r>
                  <w:proofErr w:type="spellStart"/>
                  <w:r w:rsidRPr="005002D8">
                    <w:t>www.ppplietuva.lt</w:t>
                  </w:r>
                  <w:proofErr w:type="spellEnd"/>
                  <w:r w:rsidRPr="005002D8">
                    <w:rPr>
                      <w:szCs w:val="24"/>
                      <w:lang w:eastAsia="lt-LT"/>
                    </w:rPr>
                    <w:t xml:space="preserve"> skiltyje „Teisinė ir metodinė informacija“), pajamų ir išlaidų pokyčiai </w:t>
                  </w:r>
                  <w:r w:rsidRPr="005002D8">
                    <w:rPr>
                      <w:szCs w:val="24"/>
                      <w:lang w:eastAsia="lt-LT"/>
                    </w:rPr>
                    <w:t>vertinami pagal pateiktą investicijų projekto informaciją. Jeigu investicijų projektas nebuvo rengiamas, kriterijus vertinamas pagal savivaldybės pateiktą informaciją apie prognozuojamus išlaidų ir pajamų srautus 5 metų laikotarpiui įgyvendinus projektą.</w:t>
                  </w:r>
                </w:p>
                <w:p w14:paraId="7E72C93B" w14:textId="77777777" w:rsidR="00154D10" w:rsidRPr="005002D8" w:rsidRDefault="00154D10">
                  <w:pPr>
                    <w:spacing w:line="276" w:lineRule="auto"/>
                    <w:jc w:val="both"/>
                    <w:rPr>
                      <w:szCs w:val="24"/>
                      <w:lang w:eastAsia="lt-LT"/>
                    </w:rPr>
                  </w:pPr>
                </w:p>
                <w:p w14:paraId="149ED871" w14:textId="77777777" w:rsidR="00154D10" w:rsidRPr="005002D8" w:rsidRDefault="005002D8">
                  <w:pPr>
                    <w:spacing w:line="276" w:lineRule="auto"/>
                    <w:jc w:val="both"/>
                    <w:rPr>
                      <w:szCs w:val="24"/>
                      <w:lang w:eastAsia="lt-LT"/>
                    </w:rPr>
                  </w:pPr>
                  <w:r w:rsidRPr="005002D8">
                    <w:rPr>
                      <w:szCs w:val="24"/>
                      <w:lang w:eastAsia="lt-LT"/>
                    </w:rPr>
                    <w:t xml:space="preserve">Jei įgyvendinus projektą nepasiekiamas </w:t>
                  </w:r>
                  <w:r w:rsidRPr="005002D8">
                    <w:rPr>
                      <w:szCs w:val="24"/>
                    </w:rPr>
                    <w:t>savivaldybės ir (arba) jos įmonių ar įstaigų išlaidų</w:t>
                  </w:r>
                  <w:r w:rsidRPr="005002D8">
                    <w:rPr>
                      <w:szCs w:val="24"/>
                      <w:lang w:eastAsia="lt-LT"/>
                    </w:rPr>
                    <w:t xml:space="preserve"> sumažėjimas</w:t>
                  </w:r>
                  <w:r w:rsidRPr="005002D8">
                    <w:t xml:space="preserve"> ir (arba) </w:t>
                  </w:r>
                  <w:r w:rsidRPr="005002D8">
                    <w:rPr>
                      <w:szCs w:val="24"/>
                      <w:lang w:eastAsia="lt-LT"/>
                    </w:rPr>
                    <w:t>nepasiekiamas pajamų padidėjimas, t. y. bendrai grynųjų pajamų padidėjimas, tiesiogiai susijęs su įgyvendinamu projektu, tai grąžintina dotaci</w:t>
                  </w:r>
                  <w:r w:rsidRPr="005002D8">
                    <w:rPr>
                      <w:szCs w:val="24"/>
                      <w:lang w:eastAsia="lt-LT"/>
                    </w:rPr>
                    <w:t>jos suma nustatoma taip:</w:t>
                  </w:r>
                </w:p>
                <w:p w14:paraId="2CE23235"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t xml:space="preserve">jei grynosios pajamos padidėja 95 proc. ar daugiau, apskaičiuojant grąžinamos dotacijos </w:t>
                  </w:r>
                  <w:r w:rsidRPr="005002D8">
                    <w:lastRenderedPageBreak/>
                    <w:t>sumą taikomas 0 proc. koeficientas;</w:t>
                  </w:r>
                </w:p>
                <w:p w14:paraId="7CACD5D8"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t>jei grynosios pajamos padidėja 75 proc. ar daugiau, bet ne daugiau kaip 95 proc., apskaičiuojant grąžin</w:t>
                  </w:r>
                  <w:r w:rsidRPr="005002D8">
                    <w:t>amos dotacijos sumą taikomas 20 proc. koeficientas;</w:t>
                  </w:r>
                </w:p>
                <w:p w14:paraId="0D94C153"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t>jei grynosios pajamos padidėja 50 proc. ar daugiau, bet ne daugiau kaip 75 proc., apskaičiuojant grąžinamos dotacijos sumą taikomas 40 proc. koeficientas;</w:t>
                  </w:r>
                </w:p>
                <w:p w14:paraId="1EC93863"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t xml:space="preserve">jei grynosios pajamos padidėja 25 proc. ar </w:t>
                  </w:r>
                  <w:r w:rsidRPr="005002D8">
                    <w:t>daugiau, bet ne daugiau kaip 50 proc., apskaičiuojant grąžinamos dotacijos sumą taikomas 60 proc. koeficientas;</w:t>
                  </w:r>
                </w:p>
                <w:p w14:paraId="28850063"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t>jei grynosios pajamos padidėja 5 proc. ar daugiau, bet ne daugiau kaip 25 proc., apskaičiuojant grąžinamos dotacijos sumą taikomas 80 proc. ko</w:t>
                  </w:r>
                  <w:r w:rsidRPr="005002D8">
                    <w:t>eficientas;</w:t>
                  </w:r>
                </w:p>
                <w:p w14:paraId="116CA850" w14:textId="77777777" w:rsidR="00154D10" w:rsidRPr="005002D8" w:rsidRDefault="005002D8">
                  <w:pPr>
                    <w:widowControl w:val="0"/>
                    <w:suppressAutoHyphens/>
                    <w:spacing w:line="276" w:lineRule="auto"/>
                    <w:ind w:firstLine="720"/>
                    <w:jc w:val="both"/>
                    <w:rPr>
                      <w:rFonts w:eastAsia="Calibri"/>
                      <w:szCs w:val="24"/>
                      <w:lang w:eastAsia="lt-LT"/>
                    </w:rPr>
                  </w:pPr>
                  <w:r w:rsidRPr="005002D8">
                    <w:rPr>
                      <w:rFonts w:ascii="Symbol" w:hAnsi="Symbol"/>
                      <w:szCs w:val="24"/>
                      <w:lang w:eastAsia="lt-LT"/>
                    </w:rPr>
                    <w:t></w:t>
                  </w:r>
                  <w:r w:rsidRPr="005002D8">
                    <w:rPr>
                      <w:rFonts w:ascii="Symbol" w:hAnsi="Symbol"/>
                      <w:szCs w:val="24"/>
                      <w:lang w:eastAsia="lt-LT"/>
                    </w:rPr>
                    <w:tab/>
                  </w:r>
                  <w:r w:rsidRPr="005002D8">
                    <w:t>jei grynosios pajamos padidėja 0 proc. ar daugiau, bet ne daugiau kaip 5 proc., apskaičiuojant grąžinamos dotacijos sumą taikomas 100 proc. koeficientas.</w:t>
                  </w:r>
                </w:p>
              </w:tc>
              <w:tc>
                <w:tcPr>
                  <w:tcW w:w="1984" w:type="dxa"/>
                  <w:tcBorders>
                    <w:top w:val="single" w:sz="4" w:space="0" w:color="auto"/>
                    <w:left w:val="single" w:sz="4" w:space="0" w:color="auto"/>
                    <w:bottom w:val="single" w:sz="4" w:space="0" w:color="auto"/>
                    <w:right w:val="single" w:sz="4" w:space="0" w:color="auto"/>
                  </w:tcBorders>
                </w:tcPr>
                <w:p w14:paraId="1081D072" w14:textId="77777777" w:rsidR="00154D10" w:rsidRPr="005002D8" w:rsidRDefault="005002D8">
                  <w:pPr>
                    <w:widowControl w:val="0"/>
                    <w:suppressAutoHyphens/>
                    <w:spacing w:line="276" w:lineRule="auto"/>
                    <w:ind w:left="720"/>
                  </w:pPr>
                  <w:r w:rsidRPr="005002D8">
                    <w:lastRenderedPageBreak/>
                    <w:t>20 proc.</w:t>
                  </w:r>
                </w:p>
                <w:p w14:paraId="5F264E8C" w14:textId="77777777" w:rsidR="00154D10" w:rsidRPr="005002D8" w:rsidRDefault="00154D10">
                  <w:pPr>
                    <w:widowControl w:val="0"/>
                    <w:suppressAutoHyphens/>
                    <w:spacing w:line="276" w:lineRule="auto"/>
                    <w:ind w:left="720"/>
                  </w:pPr>
                </w:p>
                <w:p w14:paraId="5BA04658" w14:textId="77777777" w:rsidR="00154D10" w:rsidRPr="005002D8" w:rsidRDefault="00154D10">
                  <w:pPr>
                    <w:widowControl w:val="0"/>
                    <w:suppressAutoHyphens/>
                    <w:spacing w:line="276" w:lineRule="auto"/>
                    <w:ind w:left="720"/>
                  </w:pPr>
                </w:p>
                <w:p w14:paraId="2EB796FB" w14:textId="77777777" w:rsidR="00154D10" w:rsidRPr="005002D8" w:rsidRDefault="00154D10">
                  <w:pPr>
                    <w:widowControl w:val="0"/>
                    <w:suppressAutoHyphens/>
                    <w:spacing w:line="276" w:lineRule="auto"/>
                    <w:ind w:left="720"/>
                  </w:pPr>
                </w:p>
                <w:p w14:paraId="5427DC12" w14:textId="77777777" w:rsidR="00154D10" w:rsidRPr="005002D8" w:rsidRDefault="00154D10">
                  <w:pPr>
                    <w:widowControl w:val="0"/>
                    <w:suppressAutoHyphens/>
                    <w:spacing w:line="276" w:lineRule="auto"/>
                    <w:ind w:left="720"/>
                  </w:pPr>
                </w:p>
                <w:p w14:paraId="183283EB" w14:textId="77777777" w:rsidR="00154D10" w:rsidRPr="005002D8" w:rsidRDefault="00154D10">
                  <w:pPr>
                    <w:widowControl w:val="0"/>
                    <w:suppressAutoHyphens/>
                    <w:spacing w:line="276" w:lineRule="auto"/>
                    <w:ind w:left="720"/>
                  </w:pPr>
                </w:p>
                <w:p w14:paraId="64FB9EFE" w14:textId="77777777" w:rsidR="00154D10" w:rsidRPr="005002D8" w:rsidRDefault="00154D10">
                  <w:pPr>
                    <w:widowControl w:val="0"/>
                    <w:suppressAutoHyphens/>
                    <w:spacing w:line="276" w:lineRule="auto"/>
                    <w:ind w:left="720"/>
                  </w:pPr>
                </w:p>
                <w:p w14:paraId="240F6133" w14:textId="77777777" w:rsidR="00154D10" w:rsidRPr="005002D8" w:rsidRDefault="00154D10">
                  <w:pPr>
                    <w:widowControl w:val="0"/>
                    <w:suppressAutoHyphens/>
                    <w:spacing w:line="276" w:lineRule="auto"/>
                    <w:ind w:left="720"/>
                  </w:pPr>
                </w:p>
                <w:p w14:paraId="7D109CB8" w14:textId="77777777" w:rsidR="00154D10" w:rsidRPr="005002D8" w:rsidRDefault="00154D10">
                  <w:pPr>
                    <w:widowControl w:val="0"/>
                    <w:suppressAutoHyphens/>
                    <w:spacing w:line="276" w:lineRule="auto"/>
                    <w:ind w:left="720"/>
                  </w:pPr>
                </w:p>
                <w:p w14:paraId="01592BB8" w14:textId="77777777" w:rsidR="00154D10" w:rsidRPr="005002D8" w:rsidRDefault="00154D10">
                  <w:pPr>
                    <w:widowControl w:val="0"/>
                    <w:suppressAutoHyphens/>
                    <w:spacing w:line="276" w:lineRule="auto"/>
                    <w:ind w:left="720"/>
                  </w:pPr>
                </w:p>
                <w:p w14:paraId="54EEE279" w14:textId="77777777" w:rsidR="00154D10" w:rsidRPr="005002D8" w:rsidRDefault="00154D10">
                  <w:pPr>
                    <w:widowControl w:val="0"/>
                    <w:suppressAutoHyphens/>
                    <w:spacing w:line="276" w:lineRule="auto"/>
                    <w:ind w:left="720"/>
                  </w:pPr>
                </w:p>
                <w:p w14:paraId="6B731160" w14:textId="77777777" w:rsidR="00154D10" w:rsidRPr="005002D8" w:rsidRDefault="00154D10">
                  <w:pPr>
                    <w:widowControl w:val="0"/>
                    <w:suppressAutoHyphens/>
                    <w:spacing w:line="276" w:lineRule="auto"/>
                    <w:ind w:left="720"/>
                  </w:pPr>
                </w:p>
                <w:p w14:paraId="386E77E0" w14:textId="77777777" w:rsidR="00154D10" w:rsidRPr="005002D8" w:rsidRDefault="00154D10">
                  <w:pPr>
                    <w:widowControl w:val="0"/>
                    <w:suppressAutoHyphens/>
                    <w:spacing w:line="276" w:lineRule="auto"/>
                    <w:ind w:left="720"/>
                  </w:pPr>
                </w:p>
                <w:p w14:paraId="00F9AAB7" w14:textId="77777777" w:rsidR="00154D10" w:rsidRPr="005002D8" w:rsidRDefault="00154D10">
                  <w:pPr>
                    <w:widowControl w:val="0"/>
                    <w:suppressAutoHyphens/>
                    <w:spacing w:line="276" w:lineRule="auto"/>
                    <w:ind w:left="720"/>
                  </w:pPr>
                </w:p>
                <w:p w14:paraId="0516D5E6" w14:textId="77777777" w:rsidR="00154D10" w:rsidRPr="005002D8" w:rsidRDefault="00154D10">
                  <w:pPr>
                    <w:widowControl w:val="0"/>
                    <w:suppressAutoHyphens/>
                    <w:spacing w:line="276" w:lineRule="auto"/>
                    <w:ind w:left="720"/>
                  </w:pPr>
                </w:p>
                <w:p w14:paraId="58187A7F" w14:textId="77777777" w:rsidR="00154D10" w:rsidRPr="005002D8" w:rsidRDefault="00154D10">
                  <w:pPr>
                    <w:widowControl w:val="0"/>
                    <w:suppressAutoHyphens/>
                    <w:spacing w:line="276" w:lineRule="auto"/>
                    <w:ind w:left="720"/>
                  </w:pPr>
                </w:p>
                <w:p w14:paraId="3E204A58" w14:textId="77777777" w:rsidR="00154D10" w:rsidRPr="005002D8" w:rsidRDefault="00154D10">
                  <w:pPr>
                    <w:widowControl w:val="0"/>
                    <w:suppressAutoHyphens/>
                    <w:spacing w:line="276" w:lineRule="auto"/>
                    <w:ind w:left="720"/>
                  </w:pPr>
                </w:p>
                <w:p w14:paraId="77D0D8EC" w14:textId="77777777" w:rsidR="00154D10" w:rsidRPr="005002D8" w:rsidRDefault="00154D10">
                  <w:pPr>
                    <w:widowControl w:val="0"/>
                    <w:suppressAutoHyphens/>
                    <w:spacing w:line="276" w:lineRule="auto"/>
                    <w:ind w:left="720"/>
                  </w:pPr>
                </w:p>
                <w:p w14:paraId="221ED677" w14:textId="77777777" w:rsidR="00154D10" w:rsidRPr="005002D8" w:rsidRDefault="00154D10">
                  <w:pPr>
                    <w:widowControl w:val="0"/>
                    <w:suppressAutoHyphens/>
                    <w:spacing w:line="276" w:lineRule="auto"/>
                    <w:ind w:left="720"/>
                  </w:pPr>
                </w:p>
                <w:p w14:paraId="141648F5" w14:textId="77777777" w:rsidR="00154D10" w:rsidRPr="005002D8" w:rsidRDefault="00154D10">
                  <w:pPr>
                    <w:widowControl w:val="0"/>
                    <w:suppressAutoHyphens/>
                    <w:spacing w:line="276" w:lineRule="auto"/>
                    <w:ind w:left="720"/>
                  </w:pPr>
                </w:p>
                <w:p w14:paraId="35F99B8C" w14:textId="77777777" w:rsidR="00154D10" w:rsidRPr="005002D8" w:rsidRDefault="00154D10">
                  <w:pPr>
                    <w:widowControl w:val="0"/>
                    <w:suppressAutoHyphens/>
                    <w:spacing w:line="276" w:lineRule="auto"/>
                    <w:ind w:left="720"/>
                  </w:pPr>
                </w:p>
                <w:p w14:paraId="43D11AB5" w14:textId="77777777" w:rsidR="00154D10" w:rsidRPr="005002D8" w:rsidRDefault="00154D10">
                  <w:pPr>
                    <w:widowControl w:val="0"/>
                    <w:suppressAutoHyphens/>
                    <w:spacing w:line="276" w:lineRule="auto"/>
                    <w:ind w:left="720"/>
                  </w:pPr>
                </w:p>
                <w:p w14:paraId="47FA6B38" w14:textId="77777777" w:rsidR="00154D10" w:rsidRPr="005002D8" w:rsidRDefault="00154D10">
                  <w:pPr>
                    <w:widowControl w:val="0"/>
                    <w:suppressAutoHyphens/>
                    <w:spacing w:line="276" w:lineRule="auto"/>
                    <w:ind w:left="720"/>
                  </w:pPr>
                </w:p>
                <w:p w14:paraId="6CF01889" w14:textId="77777777" w:rsidR="00154D10" w:rsidRPr="005002D8" w:rsidRDefault="00154D10">
                  <w:pPr>
                    <w:widowControl w:val="0"/>
                    <w:suppressAutoHyphens/>
                    <w:spacing w:line="276" w:lineRule="auto"/>
                    <w:ind w:left="720"/>
                  </w:pPr>
                </w:p>
                <w:p w14:paraId="51EA2DC3" w14:textId="77777777" w:rsidR="00154D10" w:rsidRPr="005002D8" w:rsidRDefault="00154D10">
                  <w:pPr>
                    <w:widowControl w:val="0"/>
                    <w:suppressAutoHyphens/>
                    <w:spacing w:line="276" w:lineRule="auto"/>
                    <w:ind w:left="720"/>
                  </w:pPr>
                </w:p>
                <w:p w14:paraId="1FEA848F" w14:textId="77777777" w:rsidR="00154D10" w:rsidRPr="005002D8" w:rsidRDefault="00154D10">
                  <w:pPr>
                    <w:widowControl w:val="0"/>
                    <w:suppressAutoHyphens/>
                    <w:spacing w:line="276" w:lineRule="auto"/>
                    <w:ind w:left="720"/>
                    <w:rPr>
                      <w:szCs w:val="24"/>
                      <w:lang w:eastAsia="lt-LT"/>
                    </w:rPr>
                  </w:pPr>
                </w:p>
              </w:tc>
            </w:tr>
            <w:tr w:rsidR="005002D8" w:rsidRPr="005002D8" w14:paraId="13DEE91C" w14:textId="77777777">
              <w:trPr>
                <w:trHeight w:val="5098"/>
              </w:trPr>
              <w:tc>
                <w:tcPr>
                  <w:tcW w:w="2263" w:type="dxa"/>
                  <w:vMerge w:val="restart"/>
                  <w:tcBorders>
                    <w:top w:val="single" w:sz="4" w:space="0" w:color="auto"/>
                    <w:left w:val="single" w:sz="4" w:space="0" w:color="auto"/>
                    <w:bottom w:val="single" w:sz="4" w:space="0" w:color="auto"/>
                    <w:right w:val="single" w:sz="4" w:space="0" w:color="auto"/>
                  </w:tcBorders>
                  <w:hideMark/>
                </w:tcPr>
                <w:p w14:paraId="3685E231" w14:textId="77777777" w:rsidR="00154D10" w:rsidRPr="005002D8" w:rsidRDefault="005002D8">
                  <w:pPr>
                    <w:tabs>
                      <w:tab w:val="left" w:pos="443"/>
                    </w:tabs>
                    <w:spacing w:line="276" w:lineRule="auto"/>
                    <w:ind w:left="29" w:firstLine="141"/>
                    <w:rPr>
                      <w:rFonts w:eastAsia="Calibri"/>
                      <w:b/>
                      <w:bCs/>
                      <w:caps/>
                      <w:szCs w:val="24"/>
                    </w:rPr>
                  </w:pPr>
                  <w:r w:rsidRPr="005002D8">
                    <w:rPr>
                      <w:b/>
                      <w:bCs/>
                      <w:caps/>
                      <w:szCs w:val="24"/>
                    </w:rPr>
                    <w:lastRenderedPageBreak/>
                    <w:t>2.</w:t>
                  </w:r>
                  <w:r w:rsidRPr="005002D8">
                    <w:rPr>
                      <w:b/>
                      <w:bCs/>
                      <w:caps/>
                      <w:szCs w:val="24"/>
                    </w:rPr>
                    <w:tab/>
                  </w:r>
                  <w:r w:rsidRPr="005002D8">
                    <w:rPr>
                      <w:b/>
                      <w:szCs w:val="24"/>
                      <w:lang w:eastAsia="lt-LT"/>
                    </w:rPr>
                    <w:t xml:space="preserve">Darbo vietų kūrimas ir privačių investicijų </w:t>
                  </w:r>
                  <w:r w:rsidRPr="005002D8">
                    <w:rPr>
                      <w:b/>
                      <w:szCs w:val="24"/>
                      <w:lang w:eastAsia="lt-LT"/>
                    </w:rPr>
                    <w:t>pritraukimas</w:t>
                  </w:r>
                </w:p>
              </w:tc>
              <w:tc>
                <w:tcPr>
                  <w:tcW w:w="5387" w:type="dxa"/>
                  <w:tcBorders>
                    <w:top w:val="single" w:sz="4" w:space="0" w:color="auto"/>
                    <w:left w:val="single" w:sz="4" w:space="0" w:color="auto"/>
                    <w:bottom w:val="single" w:sz="4" w:space="0" w:color="auto"/>
                    <w:right w:val="single" w:sz="4" w:space="0" w:color="auto"/>
                  </w:tcBorders>
                </w:tcPr>
                <w:p w14:paraId="49434952" w14:textId="77777777" w:rsidR="00154D10" w:rsidRPr="005002D8" w:rsidRDefault="005002D8">
                  <w:pPr>
                    <w:widowControl w:val="0"/>
                    <w:suppressAutoHyphens/>
                    <w:spacing w:line="276" w:lineRule="auto"/>
                    <w:ind w:firstLine="360"/>
                    <w:jc w:val="both"/>
                  </w:pPr>
                  <w:r w:rsidRPr="005002D8">
                    <w:t>A</w:t>
                  </w:r>
                  <w:r w:rsidRPr="005002D8">
                    <w:rPr>
                      <w:szCs w:val="24"/>
                      <w:lang w:eastAsia="lt-LT"/>
                    </w:rPr>
                    <w:t xml:space="preserve">kcinė bendrovė Viešųjų investicijų plėtros agentūra (toliau – </w:t>
                  </w:r>
                  <w:r w:rsidRPr="005002D8">
                    <w:t>UAB VIPA) sprendimą dėl grąžintinos dotacijos sumos priima įvertinusi projekto pabaigos metais:</w:t>
                  </w:r>
                </w:p>
                <w:p w14:paraId="35609F43" w14:textId="77777777" w:rsidR="00154D10" w:rsidRPr="005002D8" w:rsidRDefault="005002D8">
                  <w:pPr>
                    <w:spacing w:line="276" w:lineRule="auto"/>
                    <w:ind w:firstLine="360"/>
                    <w:jc w:val="both"/>
                    <w:rPr>
                      <w:sz w:val="22"/>
                      <w:szCs w:val="22"/>
                    </w:rPr>
                  </w:pPr>
                  <w:r w:rsidRPr="005002D8">
                    <w:rPr>
                      <w:szCs w:val="24"/>
                    </w:rPr>
                    <w:t xml:space="preserve">a) projekto prisidėjimą prie privačių investicijų pritraukimo; </w:t>
                  </w:r>
                  <w:r w:rsidRPr="005002D8">
                    <w:t>Privačios investicijo</w:t>
                  </w:r>
                  <w:r w:rsidRPr="005002D8">
                    <w:t>s</w:t>
                  </w:r>
                  <w:r w:rsidRPr="005002D8">
                    <w:t xml:space="preserve"> </w:t>
                  </w:r>
                  <w:r w:rsidRPr="005002D8">
                    <w:t>– privačių juridinių asmenų materialusis, nematerialusis ir finansinis turtas, kuris investuojamas siekiant iš investavimo objekto gauti pelno (pajamų), socialinį rezultatą (švietimo, kultūros, mokslo, sveikatos ir socialinės apsaugos bei kitose panašios</w:t>
                  </w:r>
                  <w:r w:rsidRPr="005002D8">
                    <w:t>e srityse) arba užtikrinti valstybės funkcijų įgyvendinimą. Taip pat įskaičiuojamos ir planuojamos pritraukti privačios investicijos, jeigu yra pasirašyti konkretūs susitarimai su privačiais investuotojais.</w:t>
                  </w:r>
                </w:p>
                <w:p w14:paraId="56CAAA53" w14:textId="77777777" w:rsidR="00154D10" w:rsidRPr="005002D8" w:rsidRDefault="005002D8">
                  <w:pPr>
                    <w:widowControl w:val="0"/>
                    <w:suppressAutoHyphens/>
                    <w:spacing w:line="276" w:lineRule="auto"/>
                    <w:ind w:firstLine="360"/>
                    <w:jc w:val="both"/>
                  </w:pPr>
                  <w:r w:rsidRPr="005002D8">
                    <w:t>Savivaldybė turi pagrįsti, kaip įgyvendinus proje</w:t>
                  </w:r>
                  <w:r w:rsidRPr="005002D8">
                    <w:t>ktą prisidėta prie privačių investicijų pritraukimo. Įgyvendinus projektą, grąžintinų lėšų dydis nustatomas remiantis faktiniu kiekybinių rodiklių reikšmių pasiekimu:</w:t>
                  </w:r>
                </w:p>
                <w:p w14:paraId="37F51BF4"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t>jei pritrauktų privačių investicijų suma sudaro 25 proc. ir daugiau projekto tinkamų fi</w:t>
                  </w:r>
                  <w:r w:rsidRPr="005002D8">
                    <w:t>nansuoti išlaidų sumos, apskaičiuojant grąžinamos dotacijos sumą taikomas 0 proc. koeficientas;</w:t>
                  </w:r>
                </w:p>
                <w:p w14:paraId="513E2566"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t xml:space="preserve">jei pritrauktų privačių investicijų suma </w:t>
                  </w:r>
                  <w:r w:rsidRPr="005002D8">
                    <w:lastRenderedPageBreak/>
                    <w:t>sudaro 15 proc. ar daugiau, bet ne daugiau kaip 25 proc. projekto tinkamų finansuoti išlaidų sumos, apskaičiuojant gr</w:t>
                  </w:r>
                  <w:r w:rsidRPr="005002D8">
                    <w:t>ąžinamos dotacijos sumą taikomas 20 proc. koeficientas;</w:t>
                  </w:r>
                </w:p>
                <w:p w14:paraId="582D9803"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t>jei pritrauktų privačių investicijų suma sudaro 10 proc. ar daugiau, bet ne daugiau kaip 15 proc. projekto tinkamų finansuoti išlaidų sumos, apskaičiuojant grąžinamos dotacijos sumą taikomas 40 proc</w:t>
                  </w:r>
                  <w:r w:rsidRPr="005002D8">
                    <w:t>. koeficientas;</w:t>
                  </w:r>
                </w:p>
                <w:p w14:paraId="682DA2C0"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t>jei pritrauktų privačių investicijų suma sudaro 5 proc. ar daugiau, bet ne daugiau kaip 10 proc. projekto tinkamų finansuoti išlaidų sumos, apskaičiuojant grąžinamos dotacijos sumą taikomas 60 proc. koeficientas;</w:t>
                  </w:r>
                </w:p>
                <w:p w14:paraId="39C97CA9"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t>jei pritrauktų privačių</w:t>
                  </w:r>
                  <w:r w:rsidRPr="005002D8">
                    <w:t xml:space="preserve"> investicijų suma sudaro daugiau kaip 0 proc., bet ne daugiau kaip 5 proc. projekto tinkamų finansuoti išlaidų sumos, apskaičiuojant grąžinamos dotacijos sumą taikomas 80 proc. koeficientas;</w:t>
                  </w:r>
                </w:p>
                <w:p w14:paraId="01C0423B"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t>jei įgyvendinus projektą privačių investicijų nepritraukiama, a</w:t>
                  </w:r>
                  <w:r w:rsidRPr="005002D8">
                    <w:t>pskaičiuojant grąžinamos dotacijos sumą taikomas 100 proc. koeficientas.</w:t>
                  </w:r>
                </w:p>
                <w:p w14:paraId="47B974F3" w14:textId="77777777" w:rsidR="00154D10" w:rsidRPr="005002D8" w:rsidRDefault="00154D10">
                  <w:pPr>
                    <w:spacing w:line="276" w:lineRule="auto"/>
                    <w:jc w:val="both"/>
                    <w:rPr>
                      <w:rFonts w:eastAsia="Calibri"/>
                      <w:szCs w:val="24"/>
                      <w:lang w:eastAsia="lt-LT"/>
                    </w:rPr>
                  </w:pPr>
                </w:p>
              </w:tc>
              <w:tc>
                <w:tcPr>
                  <w:tcW w:w="1984" w:type="dxa"/>
                  <w:tcBorders>
                    <w:top w:val="single" w:sz="4" w:space="0" w:color="auto"/>
                    <w:left w:val="single" w:sz="4" w:space="0" w:color="auto"/>
                    <w:bottom w:val="single" w:sz="4" w:space="0" w:color="auto"/>
                    <w:right w:val="single" w:sz="4" w:space="0" w:color="auto"/>
                  </w:tcBorders>
                  <w:hideMark/>
                </w:tcPr>
                <w:p w14:paraId="30C86BDE" w14:textId="77777777" w:rsidR="00154D10" w:rsidRPr="005002D8" w:rsidRDefault="005002D8">
                  <w:pPr>
                    <w:widowControl w:val="0"/>
                    <w:suppressAutoHyphens/>
                    <w:spacing w:line="276" w:lineRule="auto"/>
                    <w:ind w:left="720"/>
                  </w:pPr>
                  <w:r w:rsidRPr="005002D8">
                    <w:lastRenderedPageBreak/>
                    <w:t>10 proc.</w:t>
                  </w:r>
                </w:p>
              </w:tc>
            </w:tr>
            <w:tr w:rsidR="005002D8" w:rsidRPr="005002D8" w14:paraId="18346A31" w14:textId="77777777">
              <w:trPr>
                <w:trHeight w:val="50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19942" w14:textId="77777777" w:rsidR="00154D10" w:rsidRPr="005002D8" w:rsidRDefault="00154D10">
                  <w:pPr>
                    <w:rPr>
                      <w:rFonts w:eastAsia="Calibri"/>
                      <w:b/>
                      <w:bCs/>
                      <w:caps/>
                      <w:szCs w:val="24"/>
                    </w:rPr>
                  </w:pPr>
                </w:p>
              </w:tc>
              <w:tc>
                <w:tcPr>
                  <w:tcW w:w="5387" w:type="dxa"/>
                  <w:tcBorders>
                    <w:top w:val="single" w:sz="4" w:space="0" w:color="auto"/>
                    <w:left w:val="single" w:sz="4" w:space="0" w:color="auto"/>
                    <w:bottom w:val="single" w:sz="4" w:space="0" w:color="auto"/>
                    <w:right w:val="single" w:sz="4" w:space="0" w:color="auto"/>
                  </w:tcBorders>
                </w:tcPr>
                <w:p w14:paraId="77815AC1" w14:textId="77777777" w:rsidR="00154D10" w:rsidRPr="005002D8" w:rsidRDefault="005002D8">
                  <w:pPr>
                    <w:spacing w:line="276" w:lineRule="auto"/>
                    <w:ind w:firstLine="360"/>
                    <w:jc w:val="both"/>
                    <w:rPr>
                      <w:sz w:val="22"/>
                      <w:szCs w:val="24"/>
                    </w:rPr>
                  </w:pPr>
                  <w:r w:rsidRPr="005002D8">
                    <w:rPr>
                      <w:szCs w:val="24"/>
                    </w:rPr>
                    <w:t>b)</w:t>
                  </w:r>
                  <w:r w:rsidRPr="005002D8">
                    <w:rPr>
                      <w:szCs w:val="24"/>
                    </w:rPr>
                    <w:t xml:space="preserve"> projekto prisidėjimą prie naujų darbo vietų </w:t>
                  </w:r>
                  <w:r w:rsidRPr="005002D8">
                    <w:rPr>
                      <w:szCs w:val="24"/>
                    </w:rPr>
                    <w:t>kūrimo.</w:t>
                  </w:r>
                </w:p>
                <w:p w14:paraId="38839FE4" w14:textId="77777777" w:rsidR="00154D10" w:rsidRPr="005002D8" w:rsidRDefault="005002D8">
                  <w:pPr>
                    <w:spacing w:line="276" w:lineRule="auto"/>
                    <w:ind w:firstLine="360"/>
                    <w:jc w:val="both"/>
                    <w:rPr>
                      <w:szCs w:val="24"/>
                    </w:rPr>
                  </w:pPr>
                  <w:r w:rsidRPr="005002D8">
                    <w:rPr>
                      <w:szCs w:val="24"/>
                    </w:rPr>
                    <w:t>Į šio rodiklio vertinimą neįskaičiuojamos projekto veikloms vykdyti naujai sukurtos darbo vietos. Darbo vietos gali būti visos darbo dienos, ne visos darbo dienos arba sezoninės. Sezoninės ir ne visos darbo dienos darbo vietos turi būti konvertuojamos į vi</w:t>
                  </w:r>
                  <w:r w:rsidRPr="005002D8">
                    <w:rPr>
                      <w:szCs w:val="24"/>
                    </w:rPr>
                    <w:t xml:space="preserve">sos darbo dienos ekvivalentus. </w:t>
                  </w:r>
                </w:p>
                <w:p w14:paraId="2C99B862" w14:textId="77777777" w:rsidR="00154D10" w:rsidRPr="005002D8" w:rsidRDefault="005002D8">
                  <w:pPr>
                    <w:spacing w:line="276" w:lineRule="auto"/>
                    <w:ind w:firstLine="360"/>
                    <w:jc w:val="both"/>
                    <w:rPr>
                      <w:sz w:val="22"/>
                      <w:szCs w:val="24"/>
                    </w:rPr>
                  </w:pPr>
                  <w:r w:rsidRPr="005002D8">
                    <w:rPr>
                      <w:szCs w:val="24"/>
                    </w:rPr>
                    <w:t>Savivaldybė turi pagrįsti, kaip įgyvendinus projektą prisidėta prie naujų darbo vietų sukūrimo. Įgyvendinus projektą, grąžintinų lėšų dydis nustatomas remiantis faktiniu kiekybinių rodiklių reikšmių pasiekimu:</w:t>
                  </w:r>
                </w:p>
                <w:p w14:paraId="2043572D" w14:textId="77777777" w:rsidR="00154D10" w:rsidRPr="005002D8" w:rsidRDefault="005002D8">
                  <w:pPr>
                    <w:widowControl w:val="0"/>
                    <w:suppressAutoHyphens/>
                    <w:spacing w:line="276" w:lineRule="auto"/>
                    <w:ind w:firstLine="720"/>
                    <w:jc w:val="both"/>
                    <w:rPr>
                      <w:szCs w:val="24"/>
                    </w:rPr>
                  </w:pPr>
                  <w:r w:rsidRPr="005002D8">
                    <w:rPr>
                      <w:rFonts w:ascii="Symbol" w:hAnsi="Symbol"/>
                      <w:szCs w:val="24"/>
                    </w:rPr>
                    <w:t></w:t>
                  </w:r>
                  <w:r w:rsidRPr="005002D8">
                    <w:rPr>
                      <w:rFonts w:ascii="Symbol" w:hAnsi="Symbol"/>
                      <w:szCs w:val="24"/>
                    </w:rPr>
                    <w:tab/>
                  </w:r>
                  <w:r w:rsidRPr="005002D8">
                    <w:rPr>
                      <w:szCs w:val="24"/>
                    </w:rPr>
                    <w:t xml:space="preserve">jei projekto įgyvendinimo metu  sukuriama daugiau nei 1,25 darbo vietos už kiekvieną 300 tūkst. </w:t>
                  </w:r>
                  <w:proofErr w:type="spellStart"/>
                  <w:r w:rsidRPr="005002D8">
                    <w:rPr>
                      <w:szCs w:val="24"/>
                    </w:rPr>
                    <w:t>Eur</w:t>
                  </w:r>
                  <w:proofErr w:type="spellEnd"/>
                  <w:r w:rsidRPr="005002D8">
                    <w:rPr>
                      <w:szCs w:val="24"/>
                    </w:rPr>
                    <w:t xml:space="preserve"> sumą, pripažintą tinkama deklaruoti Europos Komisijai nuo projekto tinkamų finansuoti išlaidų sumos, </w:t>
                  </w:r>
                  <w:r w:rsidRPr="005002D8">
                    <w:t>apskaičiuojant grąžinamos dotacijos sumą taikomas</w:t>
                  </w:r>
                  <w:r w:rsidRPr="005002D8">
                    <w:rPr>
                      <w:szCs w:val="24"/>
                    </w:rPr>
                    <w:t xml:space="preserve"> 0 pro</w:t>
                  </w:r>
                  <w:r w:rsidRPr="005002D8">
                    <w:rPr>
                      <w:szCs w:val="24"/>
                    </w:rPr>
                    <w:t xml:space="preserve">c. </w:t>
                  </w:r>
                  <w:r w:rsidRPr="005002D8">
                    <w:t>koeficientas</w:t>
                  </w:r>
                  <w:r w:rsidRPr="005002D8">
                    <w:rPr>
                      <w:szCs w:val="24"/>
                    </w:rPr>
                    <w:t>;</w:t>
                  </w:r>
                </w:p>
                <w:p w14:paraId="52742F71" w14:textId="77777777" w:rsidR="00154D10" w:rsidRPr="005002D8" w:rsidRDefault="005002D8">
                  <w:pPr>
                    <w:widowControl w:val="0"/>
                    <w:suppressAutoHyphens/>
                    <w:spacing w:line="276" w:lineRule="auto"/>
                    <w:ind w:firstLine="720"/>
                    <w:jc w:val="both"/>
                    <w:rPr>
                      <w:szCs w:val="24"/>
                    </w:rPr>
                  </w:pPr>
                  <w:r w:rsidRPr="005002D8">
                    <w:rPr>
                      <w:rFonts w:ascii="Symbol" w:hAnsi="Symbol"/>
                      <w:szCs w:val="24"/>
                    </w:rPr>
                    <w:t></w:t>
                  </w:r>
                  <w:r w:rsidRPr="005002D8">
                    <w:rPr>
                      <w:rFonts w:ascii="Symbol" w:hAnsi="Symbol"/>
                      <w:szCs w:val="24"/>
                    </w:rPr>
                    <w:tab/>
                  </w:r>
                  <w:r w:rsidRPr="005002D8">
                    <w:rPr>
                      <w:szCs w:val="24"/>
                    </w:rPr>
                    <w:t xml:space="preserve">jei projekto įgyvendinimo metu sukuriama 1 darbo vieta </w:t>
                  </w:r>
                  <w:r w:rsidRPr="005002D8">
                    <w:t>ar daugiau, bet ne daugiau kaip</w:t>
                  </w:r>
                  <w:r w:rsidRPr="005002D8">
                    <w:rPr>
                      <w:szCs w:val="24"/>
                    </w:rPr>
                    <w:t xml:space="preserve"> 1,25 darbo vietos už kiekvieną 300 tūkst. </w:t>
                  </w:r>
                  <w:proofErr w:type="spellStart"/>
                  <w:r w:rsidRPr="005002D8">
                    <w:rPr>
                      <w:szCs w:val="24"/>
                    </w:rPr>
                    <w:t>Eur</w:t>
                  </w:r>
                  <w:proofErr w:type="spellEnd"/>
                  <w:r w:rsidRPr="005002D8">
                    <w:rPr>
                      <w:szCs w:val="24"/>
                    </w:rPr>
                    <w:t xml:space="preserve"> </w:t>
                  </w:r>
                  <w:r w:rsidRPr="005002D8">
                    <w:rPr>
                      <w:szCs w:val="24"/>
                    </w:rPr>
                    <w:lastRenderedPageBreak/>
                    <w:t xml:space="preserve">sumą, pripažintą tinkama deklaruoti Europos Komisijai nuo projekto tinkamų finansuoti išlaidų sumos, </w:t>
                  </w:r>
                  <w:r w:rsidRPr="005002D8">
                    <w:t>aps</w:t>
                  </w:r>
                  <w:r w:rsidRPr="005002D8">
                    <w:t>kaičiuojant grąžinamos dotacijos sumą taikomas</w:t>
                  </w:r>
                  <w:r w:rsidRPr="005002D8">
                    <w:rPr>
                      <w:szCs w:val="24"/>
                    </w:rPr>
                    <w:t xml:space="preserve"> 20 proc. </w:t>
                  </w:r>
                  <w:r w:rsidRPr="005002D8">
                    <w:t>koeficientas</w:t>
                  </w:r>
                  <w:r w:rsidRPr="005002D8">
                    <w:rPr>
                      <w:szCs w:val="24"/>
                    </w:rPr>
                    <w:t>;</w:t>
                  </w:r>
                </w:p>
                <w:p w14:paraId="4E4CD093" w14:textId="77777777" w:rsidR="00154D10" w:rsidRPr="005002D8" w:rsidRDefault="005002D8">
                  <w:pPr>
                    <w:widowControl w:val="0"/>
                    <w:suppressAutoHyphens/>
                    <w:spacing w:line="276" w:lineRule="auto"/>
                    <w:ind w:firstLine="720"/>
                    <w:jc w:val="both"/>
                    <w:rPr>
                      <w:szCs w:val="24"/>
                    </w:rPr>
                  </w:pPr>
                  <w:r w:rsidRPr="005002D8">
                    <w:rPr>
                      <w:rFonts w:ascii="Symbol" w:hAnsi="Symbol"/>
                      <w:szCs w:val="24"/>
                    </w:rPr>
                    <w:t></w:t>
                  </w:r>
                  <w:r w:rsidRPr="005002D8">
                    <w:rPr>
                      <w:rFonts w:ascii="Symbol" w:hAnsi="Symbol"/>
                      <w:szCs w:val="24"/>
                    </w:rPr>
                    <w:tab/>
                  </w:r>
                  <w:r w:rsidRPr="005002D8">
                    <w:rPr>
                      <w:szCs w:val="24"/>
                    </w:rPr>
                    <w:t xml:space="preserve">jei projekto įgyvendinimo metu  sukuriama 0,75 </w:t>
                  </w:r>
                  <w:r w:rsidRPr="005002D8">
                    <w:t>ar daugiau darbo vietų, bet ne daugiau kaip</w:t>
                  </w:r>
                  <w:r w:rsidRPr="005002D8">
                    <w:rPr>
                      <w:szCs w:val="24"/>
                    </w:rPr>
                    <w:t xml:space="preserve"> 1 darbo vieta už kiekvieną 300 tūkst. </w:t>
                  </w:r>
                  <w:proofErr w:type="spellStart"/>
                  <w:r w:rsidRPr="005002D8">
                    <w:rPr>
                      <w:szCs w:val="24"/>
                    </w:rPr>
                    <w:t>Eur</w:t>
                  </w:r>
                  <w:proofErr w:type="spellEnd"/>
                  <w:r w:rsidRPr="005002D8">
                    <w:rPr>
                      <w:szCs w:val="24"/>
                    </w:rPr>
                    <w:t xml:space="preserve"> sumą, pripažintą tinkama deklaruoti Europos Komisij</w:t>
                  </w:r>
                  <w:r w:rsidRPr="005002D8">
                    <w:rPr>
                      <w:szCs w:val="24"/>
                    </w:rPr>
                    <w:t xml:space="preserve">ai nuo projekto tinkamų finansuoti išlaidų sumos, </w:t>
                  </w:r>
                  <w:r w:rsidRPr="005002D8">
                    <w:t>apskaičiuojant grąžinamos dotacijos sumą taikomas</w:t>
                  </w:r>
                  <w:r w:rsidRPr="005002D8">
                    <w:rPr>
                      <w:szCs w:val="24"/>
                    </w:rPr>
                    <w:t xml:space="preserve"> 40 proc. </w:t>
                  </w:r>
                  <w:r w:rsidRPr="005002D8">
                    <w:t>koeficientas</w:t>
                  </w:r>
                  <w:r w:rsidRPr="005002D8">
                    <w:rPr>
                      <w:szCs w:val="24"/>
                    </w:rPr>
                    <w:t>;</w:t>
                  </w:r>
                </w:p>
                <w:p w14:paraId="73EA7F06" w14:textId="77777777" w:rsidR="00154D10" w:rsidRPr="005002D8" w:rsidRDefault="005002D8">
                  <w:pPr>
                    <w:widowControl w:val="0"/>
                    <w:suppressAutoHyphens/>
                    <w:spacing w:line="276" w:lineRule="auto"/>
                    <w:ind w:firstLine="720"/>
                    <w:jc w:val="both"/>
                    <w:rPr>
                      <w:szCs w:val="24"/>
                    </w:rPr>
                  </w:pPr>
                  <w:r w:rsidRPr="005002D8">
                    <w:rPr>
                      <w:rFonts w:ascii="Symbol" w:hAnsi="Symbol"/>
                      <w:szCs w:val="24"/>
                    </w:rPr>
                    <w:t></w:t>
                  </w:r>
                  <w:r w:rsidRPr="005002D8">
                    <w:rPr>
                      <w:rFonts w:ascii="Symbol" w:hAnsi="Symbol"/>
                      <w:szCs w:val="24"/>
                    </w:rPr>
                    <w:tab/>
                  </w:r>
                  <w:r w:rsidRPr="005002D8">
                    <w:rPr>
                      <w:szCs w:val="24"/>
                    </w:rPr>
                    <w:t xml:space="preserve">jei projekto įgyvendinimo metu  sukuriama 0,5 </w:t>
                  </w:r>
                  <w:r w:rsidRPr="005002D8">
                    <w:t>ar daugiau darbo vietų, bet ne daugiau kaip</w:t>
                  </w:r>
                  <w:r w:rsidRPr="005002D8">
                    <w:rPr>
                      <w:szCs w:val="24"/>
                    </w:rPr>
                    <w:t xml:space="preserve"> 0,75 darbo vietos už kiekvieną 300 tūkst.</w:t>
                  </w:r>
                  <w:r w:rsidRPr="005002D8">
                    <w:rPr>
                      <w:szCs w:val="24"/>
                    </w:rPr>
                    <w:t xml:space="preserve"> </w:t>
                  </w:r>
                  <w:proofErr w:type="spellStart"/>
                  <w:r w:rsidRPr="005002D8">
                    <w:rPr>
                      <w:szCs w:val="24"/>
                    </w:rPr>
                    <w:t>Eur</w:t>
                  </w:r>
                  <w:proofErr w:type="spellEnd"/>
                  <w:r w:rsidRPr="005002D8">
                    <w:rPr>
                      <w:szCs w:val="24"/>
                    </w:rPr>
                    <w:t xml:space="preserve"> sumą, pripažintą tinkama deklaruoti Europos Komisijai nuo projekto tinkamų finansuoti išlaidų sumos, </w:t>
                  </w:r>
                  <w:r w:rsidRPr="005002D8">
                    <w:t>apskaičiuojant grąžinamos dotacijos sumą taikomas</w:t>
                  </w:r>
                  <w:r w:rsidRPr="005002D8">
                    <w:rPr>
                      <w:szCs w:val="24"/>
                    </w:rPr>
                    <w:t xml:space="preserve"> 60 proc. </w:t>
                  </w:r>
                  <w:r w:rsidRPr="005002D8">
                    <w:t>koeficientas</w:t>
                  </w:r>
                  <w:r w:rsidRPr="005002D8">
                    <w:rPr>
                      <w:szCs w:val="24"/>
                    </w:rPr>
                    <w:t>;</w:t>
                  </w:r>
                </w:p>
                <w:p w14:paraId="06181167" w14:textId="77777777" w:rsidR="00154D10" w:rsidRPr="005002D8" w:rsidRDefault="005002D8">
                  <w:pPr>
                    <w:widowControl w:val="0"/>
                    <w:suppressAutoHyphens/>
                    <w:spacing w:line="276" w:lineRule="auto"/>
                    <w:ind w:firstLine="720"/>
                    <w:jc w:val="both"/>
                    <w:rPr>
                      <w:szCs w:val="24"/>
                    </w:rPr>
                  </w:pPr>
                  <w:r w:rsidRPr="005002D8">
                    <w:rPr>
                      <w:rFonts w:ascii="Symbol" w:hAnsi="Symbol"/>
                      <w:szCs w:val="24"/>
                    </w:rPr>
                    <w:t></w:t>
                  </w:r>
                  <w:r w:rsidRPr="005002D8">
                    <w:rPr>
                      <w:rFonts w:ascii="Symbol" w:hAnsi="Symbol"/>
                      <w:szCs w:val="24"/>
                    </w:rPr>
                    <w:tab/>
                  </w:r>
                  <w:r w:rsidRPr="005002D8">
                    <w:rPr>
                      <w:szCs w:val="24"/>
                    </w:rPr>
                    <w:t>jei projekto įgyvendinimo metu  sukuriama daugiau kaip 0 darbo vietų,</w:t>
                  </w:r>
                  <w:r w:rsidRPr="005002D8">
                    <w:t xml:space="preserve"> bet n</w:t>
                  </w:r>
                  <w:r w:rsidRPr="005002D8">
                    <w:t>e daugiau kaip</w:t>
                  </w:r>
                  <w:r w:rsidRPr="005002D8">
                    <w:rPr>
                      <w:szCs w:val="24"/>
                    </w:rPr>
                    <w:t xml:space="preserve"> 0,5 darbo vietos už kiekvieną 300 tūkst. </w:t>
                  </w:r>
                  <w:proofErr w:type="spellStart"/>
                  <w:r w:rsidRPr="005002D8">
                    <w:rPr>
                      <w:szCs w:val="24"/>
                    </w:rPr>
                    <w:t>Eur</w:t>
                  </w:r>
                  <w:proofErr w:type="spellEnd"/>
                  <w:r w:rsidRPr="005002D8">
                    <w:rPr>
                      <w:szCs w:val="24"/>
                    </w:rPr>
                    <w:t xml:space="preserve"> sumą, pripažintą tinkama deklaruoti Europos Komisijai nuo projekto tinkamų finansuoti išlaidų sumos, </w:t>
                  </w:r>
                  <w:r w:rsidRPr="005002D8">
                    <w:t>apskaičiuojant grąžinamos dotacijos sumą taikomas</w:t>
                  </w:r>
                  <w:r w:rsidRPr="005002D8">
                    <w:rPr>
                      <w:szCs w:val="24"/>
                    </w:rPr>
                    <w:t xml:space="preserve"> 80 proc. </w:t>
                  </w:r>
                  <w:r w:rsidRPr="005002D8">
                    <w:t>koeficientas</w:t>
                  </w:r>
                  <w:r w:rsidRPr="005002D8">
                    <w:rPr>
                      <w:szCs w:val="24"/>
                    </w:rPr>
                    <w:t>;</w:t>
                  </w:r>
                </w:p>
                <w:p w14:paraId="6460586F" w14:textId="77777777" w:rsidR="00154D10" w:rsidRPr="005002D8" w:rsidRDefault="005002D8">
                  <w:pPr>
                    <w:widowControl w:val="0"/>
                    <w:suppressAutoHyphens/>
                    <w:spacing w:line="276" w:lineRule="auto"/>
                    <w:ind w:firstLine="720"/>
                    <w:jc w:val="both"/>
                    <w:rPr>
                      <w:szCs w:val="24"/>
                    </w:rPr>
                  </w:pPr>
                  <w:r w:rsidRPr="005002D8">
                    <w:rPr>
                      <w:rFonts w:ascii="Symbol" w:hAnsi="Symbol"/>
                      <w:szCs w:val="24"/>
                    </w:rPr>
                    <w:t></w:t>
                  </w:r>
                  <w:r w:rsidRPr="005002D8">
                    <w:rPr>
                      <w:rFonts w:ascii="Symbol" w:hAnsi="Symbol"/>
                      <w:szCs w:val="24"/>
                    </w:rPr>
                    <w:tab/>
                  </w:r>
                  <w:r w:rsidRPr="005002D8">
                    <w:rPr>
                      <w:szCs w:val="24"/>
                    </w:rPr>
                    <w:t>jei projekto įgyvend</w:t>
                  </w:r>
                  <w:r w:rsidRPr="005002D8">
                    <w:rPr>
                      <w:szCs w:val="24"/>
                    </w:rPr>
                    <w:t xml:space="preserve">inimo metu  nesukuriama darbo vietų, </w:t>
                  </w:r>
                  <w:r w:rsidRPr="005002D8">
                    <w:t>apskaičiuojant grąžinamos dotacijos sumą taikomas</w:t>
                  </w:r>
                  <w:r w:rsidRPr="005002D8">
                    <w:rPr>
                      <w:szCs w:val="24"/>
                    </w:rPr>
                    <w:t xml:space="preserve"> 100 proc. </w:t>
                  </w:r>
                  <w:r w:rsidRPr="005002D8">
                    <w:t>koeficientas</w:t>
                  </w:r>
                  <w:r w:rsidRPr="005002D8">
                    <w:rPr>
                      <w:szCs w:val="24"/>
                    </w:rPr>
                    <w:t>.</w:t>
                  </w:r>
                </w:p>
                <w:p w14:paraId="5F2D871E" w14:textId="77777777" w:rsidR="00154D10" w:rsidRPr="005002D8" w:rsidRDefault="00154D10">
                  <w:pPr>
                    <w:widowControl w:val="0"/>
                    <w:suppressAutoHyphens/>
                    <w:spacing w:line="276" w:lineRule="auto"/>
                    <w:jc w:val="both"/>
                    <w:rPr>
                      <w:szCs w:val="24"/>
                    </w:rPr>
                  </w:pPr>
                </w:p>
              </w:tc>
              <w:tc>
                <w:tcPr>
                  <w:tcW w:w="1984" w:type="dxa"/>
                  <w:tcBorders>
                    <w:top w:val="single" w:sz="4" w:space="0" w:color="auto"/>
                    <w:left w:val="single" w:sz="4" w:space="0" w:color="auto"/>
                    <w:bottom w:val="single" w:sz="4" w:space="0" w:color="auto"/>
                    <w:right w:val="single" w:sz="4" w:space="0" w:color="auto"/>
                  </w:tcBorders>
                  <w:hideMark/>
                </w:tcPr>
                <w:p w14:paraId="70A58035" w14:textId="77777777" w:rsidR="00154D10" w:rsidRPr="005002D8" w:rsidRDefault="005002D8">
                  <w:pPr>
                    <w:widowControl w:val="0"/>
                    <w:suppressAutoHyphens/>
                    <w:spacing w:line="276" w:lineRule="auto"/>
                    <w:ind w:left="720"/>
                  </w:pPr>
                  <w:r w:rsidRPr="005002D8">
                    <w:lastRenderedPageBreak/>
                    <w:t>10 proc.</w:t>
                  </w:r>
                </w:p>
              </w:tc>
            </w:tr>
            <w:tr w:rsidR="005002D8" w:rsidRPr="005002D8" w14:paraId="37DB293B" w14:textId="77777777">
              <w:tc>
                <w:tcPr>
                  <w:tcW w:w="2263" w:type="dxa"/>
                  <w:tcBorders>
                    <w:top w:val="single" w:sz="4" w:space="0" w:color="auto"/>
                    <w:left w:val="single" w:sz="4" w:space="0" w:color="auto"/>
                    <w:bottom w:val="single" w:sz="4" w:space="0" w:color="auto"/>
                    <w:right w:val="single" w:sz="4" w:space="0" w:color="auto"/>
                  </w:tcBorders>
                  <w:hideMark/>
                </w:tcPr>
                <w:p w14:paraId="2DDA93B9" w14:textId="77777777" w:rsidR="00154D10" w:rsidRPr="005002D8" w:rsidRDefault="005002D8">
                  <w:pPr>
                    <w:tabs>
                      <w:tab w:val="left" w:pos="443"/>
                    </w:tabs>
                    <w:spacing w:line="276" w:lineRule="auto"/>
                    <w:ind w:left="29" w:firstLine="141"/>
                    <w:rPr>
                      <w:b/>
                      <w:szCs w:val="24"/>
                      <w:lang w:eastAsia="lt-LT"/>
                    </w:rPr>
                  </w:pPr>
                  <w:r w:rsidRPr="005002D8">
                    <w:rPr>
                      <w:b/>
                      <w:szCs w:val="24"/>
                      <w:lang w:eastAsia="lt-LT"/>
                    </w:rPr>
                    <w:lastRenderedPageBreak/>
                    <w:t>3.</w:t>
                  </w:r>
                  <w:r w:rsidRPr="005002D8">
                    <w:rPr>
                      <w:b/>
                      <w:szCs w:val="24"/>
                      <w:lang w:eastAsia="lt-LT"/>
                    </w:rPr>
                    <w:tab/>
                    <w:t>Savivaldybės nuosavo indėlio dalis</w:t>
                  </w:r>
                </w:p>
              </w:tc>
              <w:tc>
                <w:tcPr>
                  <w:tcW w:w="5387" w:type="dxa"/>
                  <w:tcBorders>
                    <w:top w:val="single" w:sz="4" w:space="0" w:color="auto"/>
                    <w:left w:val="single" w:sz="4" w:space="0" w:color="auto"/>
                    <w:bottom w:val="single" w:sz="4" w:space="0" w:color="auto"/>
                    <w:right w:val="single" w:sz="4" w:space="0" w:color="auto"/>
                  </w:tcBorders>
                </w:tcPr>
                <w:p w14:paraId="3561E358" w14:textId="77777777" w:rsidR="00154D10" w:rsidRPr="005002D8" w:rsidRDefault="005002D8">
                  <w:pPr>
                    <w:spacing w:line="276" w:lineRule="auto"/>
                    <w:jc w:val="both"/>
                    <w:rPr>
                      <w:szCs w:val="24"/>
                      <w:lang w:eastAsia="lt-LT"/>
                    </w:rPr>
                  </w:pPr>
                  <w:r w:rsidRPr="005002D8">
                    <w:rPr>
                      <w:szCs w:val="24"/>
                      <w:lang w:eastAsia="lt-LT"/>
                    </w:rPr>
                    <w:t>Jei įgyvendinus projektą projekto pabaigos metais visų įgyvendinamų ir planuojamų įgyvendinti (pateiktas projektinis pasiūlymas dėl regiono projektų įgyvendinimo, pateikta paraiška finansuoti projektą arba priimtas sprendimas finansuoti projektą) projektų,</w:t>
                  </w:r>
                  <w:r w:rsidRPr="005002D8">
                    <w:rPr>
                      <w:szCs w:val="24"/>
                      <w:lang w:eastAsia="lt-LT"/>
                    </w:rPr>
                    <w:t xml:space="preserve"> prie kurių įgyvendinimo savivaldybė prisideda nuosavomis lėšomis, nuosavo indėlio, kurį sudaro savivaldybės turimos ar skolintos lėšos, </w:t>
                  </w:r>
                  <w:r w:rsidRPr="005002D8">
                    <w:rPr>
                      <w:szCs w:val="24"/>
                    </w:rPr>
                    <w:t>numatyto visam projektų įgyvendinimo laikotarpiui,</w:t>
                  </w:r>
                  <w:r w:rsidRPr="005002D8">
                    <w:rPr>
                      <w:szCs w:val="24"/>
                      <w:lang w:eastAsia="lt-LT"/>
                    </w:rPr>
                    <w:t xml:space="preserve"> dalies santykis nuo visų įgyvendinamų ir planuojamų įgyvendinti projektų ES struktūrinių fondų lėšomis tinkamų finansuoti išlaidų yra mažesnis nei 15 proc., grąžinama atitinkama dotacijos dalis:</w:t>
                  </w:r>
                </w:p>
                <w:p w14:paraId="075B7739"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rPr>
                      <w:szCs w:val="24"/>
                      <w:lang w:eastAsia="lt-LT"/>
                    </w:rPr>
                    <w:t>jei nuosavo indėlio dalis sudaro 15 ir daugiau procentų,</w:t>
                  </w:r>
                  <w:r w:rsidRPr="005002D8">
                    <w:t xml:space="preserve"> a</w:t>
                  </w:r>
                  <w:r w:rsidRPr="005002D8">
                    <w:t>pskaičiuojant grąžinamos dotacijos sumą taikomas 0 proc. koeficientas;</w:t>
                  </w:r>
                </w:p>
                <w:p w14:paraId="5AF9676C"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rPr>
                      <w:szCs w:val="24"/>
                      <w:lang w:eastAsia="lt-LT"/>
                    </w:rPr>
                    <w:t>jei nuosavo indėlio dalis sudaro 10</w:t>
                  </w:r>
                  <w:r w:rsidRPr="005002D8">
                    <w:t xml:space="preserve"> </w:t>
                  </w:r>
                  <w:r w:rsidRPr="005002D8">
                    <w:lastRenderedPageBreak/>
                    <w:t>proc.</w:t>
                  </w:r>
                  <w:r w:rsidRPr="005002D8">
                    <w:rPr>
                      <w:szCs w:val="24"/>
                      <w:lang w:eastAsia="lt-LT"/>
                    </w:rPr>
                    <w:t xml:space="preserve"> </w:t>
                  </w:r>
                  <w:r w:rsidRPr="005002D8">
                    <w:t xml:space="preserve">ar daugiau, bet ne daugiau kaip </w:t>
                  </w:r>
                  <w:r w:rsidRPr="005002D8">
                    <w:rPr>
                      <w:szCs w:val="24"/>
                      <w:lang w:eastAsia="lt-LT"/>
                    </w:rPr>
                    <w:t>15 proc.,</w:t>
                  </w:r>
                  <w:r w:rsidRPr="005002D8">
                    <w:t xml:space="preserve"> apskaičiuojant grąžinamos dotacijos sumą taikomas 5 proc. koeficientas;</w:t>
                  </w:r>
                </w:p>
                <w:p w14:paraId="2D019066"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rPr>
                      <w:szCs w:val="24"/>
                      <w:lang w:eastAsia="lt-LT"/>
                    </w:rPr>
                    <w:t>jei nuosavo indėlio dalis</w:t>
                  </w:r>
                  <w:r w:rsidRPr="005002D8">
                    <w:rPr>
                      <w:szCs w:val="24"/>
                      <w:lang w:eastAsia="lt-LT"/>
                    </w:rPr>
                    <w:t xml:space="preserve"> sudaro 5</w:t>
                  </w:r>
                  <w:r w:rsidRPr="005002D8">
                    <w:t xml:space="preserve"> proc.</w:t>
                  </w:r>
                  <w:r w:rsidRPr="005002D8">
                    <w:rPr>
                      <w:szCs w:val="24"/>
                      <w:lang w:eastAsia="lt-LT"/>
                    </w:rPr>
                    <w:t xml:space="preserve"> </w:t>
                  </w:r>
                  <w:r w:rsidRPr="005002D8">
                    <w:t>ar daugiau, bet ne daugiau kaip</w:t>
                  </w:r>
                  <w:r w:rsidRPr="005002D8">
                    <w:rPr>
                      <w:szCs w:val="24"/>
                      <w:lang w:eastAsia="lt-LT"/>
                    </w:rPr>
                    <w:t xml:space="preserve"> 10 proc.,</w:t>
                  </w:r>
                  <w:r w:rsidRPr="005002D8">
                    <w:t xml:space="preserve"> apskaičiuojant grąžinamos dotacijos sumą taikomas 30 proc. koeficientas;</w:t>
                  </w:r>
                </w:p>
                <w:p w14:paraId="300D5DB1"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rPr>
                      <w:szCs w:val="24"/>
                      <w:lang w:eastAsia="lt-LT"/>
                    </w:rPr>
                    <w:t>jei nuosavo indėlio dalis sudaro 2,5</w:t>
                  </w:r>
                  <w:r w:rsidRPr="005002D8">
                    <w:t xml:space="preserve"> proc.</w:t>
                  </w:r>
                  <w:r w:rsidRPr="005002D8">
                    <w:rPr>
                      <w:szCs w:val="24"/>
                      <w:lang w:eastAsia="lt-LT"/>
                    </w:rPr>
                    <w:t xml:space="preserve"> </w:t>
                  </w:r>
                  <w:r w:rsidRPr="005002D8">
                    <w:t>ar daugiau, bet ne daugiau kaip</w:t>
                  </w:r>
                  <w:r w:rsidRPr="005002D8">
                    <w:rPr>
                      <w:szCs w:val="24"/>
                      <w:lang w:eastAsia="lt-LT"/>
                    </w:rPr>
                    <w:t xml:space="preserve"> 5 proc.,</w:t>
                  </w:r>
                  <w:r w:rsidRPr="005002D8">
                    <w:t xml:space="preserve"> apskaičiuojant grąžinamos dotacijos sum</w:t>
                  </w:r>
                  <w:r w:rsidRPr="005002D8">
                    <w:t>ą taikomas 50 proc. koeficientas;</w:t>
                  </w:r>
                </w:p>
                <w:p w14:paraId="0BD01177" w14:textId="77777777" w:rsidR="00154D10" w:rsidRPr="005002D8" w:rsidRDefault="005002D8">
                  <w:pPr>
                    <w:widowControl w:val="0"/>
                    <w:suppressAutoHyphens/>
                    <w:spacing w:line="276" w:lineRule="auto"/>
                    <w:ind w:firstLine="720"/>
                    <w:jc w:val="both"/>
                  </w:pPr>
                  <w:r w:rsidRPr="005002D8">
                    <w:rPr>
                      <w:rFonts w:ascii="Symbol" w:hAnsi="Symbol"/>
                    </w:rPr>
                    <w:t></w:t>
                  </w:r>
                  <w:r w:rsidRPr="005002D8">
                    <w:rPr>
                      <w:rFonts w:ascii="Symbol" w:hAnsi="Symbol"/>
                    </w:rPr>
                    <w:tab/>
                  </w:r>
                  <w:r w:rsidRPr="005002D8">
                    <w:rPr>
                      <w:szCs w:val="24"/>
                      <w:lang w:eastAsia="lt-LT"/>
                    </w:rPr>
                    <w:t>jei nuosavo indėlio dalis sudaro 0</w:t>
                  </w:r>
                  <w:r w:rsidRPr="005002D8">
                    <w:t xml:space="preserve"> proc.</w:t>
                  </w:r>
                  <w:r w:rsidRPr="005002D8">
                    <w:rPr>
                      <w:szCs w:val="24"/>
                      <w:lang w:eastAsia="lt-LT"/>
                    </w:rPr>
                    <w:t xml:space="preserve"> </w:t>
                  </w:r>
                  <w:r w:rsidRPr="005002D8">
                    <w:t xml:space="preserve">ar daugiau, bet ne daugiau kaip </w:t>
                  </w:r>
                  <w:r w:rsidRPr="005002D8">
                    <w:rPr>
                      <w:szCs w:val="24"/>
                      <w:lang w:eastAsia="lt-LT"/>
                    </w:rPr>
                    <w:t>2,5 proc.,</w:t>
                  </w:r>
                  <w:r w:rsidRPr="005002D8">
                    <w:t xml:space="preserve"> apskaičiuojant grąžinamos dotacijos sumą taikomas 100 proc. koeficientas.</w:t>
                  </w:r>
                </w:p>
                <w:p w14:paraId="483AC49E" w14:textId="77777777" w:rsidR="00154D10" w:rsidRPr="005002D8" w:rsidRDefault="00154D10">
                  <w:pPr>
                    <w:spacing w:line="276" w:lineRule="auto"/>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hideMark/>
                </w:tcPr>
                <w:p w14:paraId="1195B8B1" w14:textId="77777777" w:rsidR="00154D10" w:rsidRPr="005002D8" w:rsidRDefault="005002D8">
                  <w:pPr>
                    <w:spacing w:line="276" w:lineRule="auto"/>
                    <w:jc w:val="center"/>
                    <w:rPr>
                      <w:szCs w:val="24"/>
                      <w:lang w:eastAsia="lt-LT"/>
                    </w:rPr>
                  </w:pPr>
                  <w:r w:rsidRPr="005002D8">
                    <w:rPr>
                      <w:szCs w:val="24"/>
                      <w:lang w:eastAsia="lt-LT"/>
                    </w:rPr>
                    <w:lastRenderedPageBreak/>
                    <w:t>10 proc.</w:t>
                  </w:r>
                </w:p>
              </w:tc>
            </w:tr>
            <w:tr w:rsidR="005002D8" w:rsidRPr="005002D8" w14:paraId="3D5C35A9" w14:textId="77777777">
              <w:tc>
                <w:tcPr>
                  <w:tcW w:w="2263" w:type="dxa"/>
                  <w:tcBorders>
                    <w:top w:val="single" w:sz="4" w:space="0" w:color="auto"/>
                    <w:left w:val="single" w:sz="4" w:space="0" w:color="auto"/>
                    <w:bottom w:val="single" w:sz="4" w:space="0" w:color="auto"/>
                    <w:right w:val="single" w:sz="4" w:space="0" w:color="auto"/>
                  </w:tcBorders>
                  <w:hideMark/>
                </w:tcPr>
                <w:p w14:paraId="6DC9887C" w14:textId="77777777" w:rsidR="00154D10" w:rsidRPr="005002D8" w:rsidRDefault="005002D8">
                  <w:pPr>
                    <w:tabs>
                      <w:tab w:val="left" w:pos="443"/>
                    </w:tabs>
                    <w:spacing w:line="276" w:lineRule="auto"/>
                    <w:ind w:left="29" w:firstLine="141"/>
                    <w:rPr>
                      <w:b/>
                      <w:szCs w:val="24"/>
                      <w:lang w:eastAsia="lt-LT"/>
                    </w:rPr>
                  </w:pPr>
                  <w:r w:rsidRPr="005002D8">
                    <w:rPr>
                      <w:b/>
                      <w:szCs w:val="24"/>
                      <w:lang w:eastAsia="lt-LT"/>
                    </w:rPr>
                    <w:lastRenderedPageBreak/>
                    <w:t>4.</w:t>
                  </w:r>
                  <w:r w:rsidRPr="005002D8">
                    <w:rPr>
                      <w:b/>
                      <w:szCs w:val="24"/>
                      <w:lang w:eastAsia="lt-LT"/>
                    </w:rPr>
                    <w:tab/>
                  </w:r>
                  <w:r w:rsidRPr="005002D8">
                    <w:rPr>
                      <w:b/>
                      <w:szCs w:val="24"/>
                      <w:lang w:eastAsia="lt-LT"/>
                    </w:rPr>
                    <w:t xml:space="preserve">Lietuvos Respublikos fiskalinės sutarties įgyvendinimo konstitucinio įstatymo reikalavimai </w:t>
                  </w:r>
                </w:p>
              </w:tc>
              <w:tc>
                <w:tcPr>
                  <w:tcW w:w="5387" w:type="dxa"/>
                  <w:tcBorders>
                    <w:top w:val="single" w:sz="4" w:space="0" w:color="auto"/>
                    <w:left w:val="single" w:sz="4" w:space="0" w:color="auto"/>
                    <w:bottom w:val="single" w:sz="4" w:space="0" w:color="auto"/>
                    <w:right w:val="single" w:sz="4" w:space="0" w:color="auto"/>
                  </w:tcBorders>
                  <w:hideMark/>
                </w:tcPr>
                <w:p w14:paraId="6785E4E5" w14:textId="77777777" w:rsidR="00154D10" w:rsidRPr="005002D8" w:rsidRDefault="005002D8">
                  <w:pPr>
                    <w:jc w:val="both"/>
                    <w:rPr>
                      <w:szCs w:val="24"/>
                      <w:lang w:eastAsia="lt-LT"/>
                    </w:rPr>
                  </w:pPr>
                  <w:r w:rsidRPr="005002D8">
                    <w:rPr>
                      <w:szCs w:val="24"/>
                      <w:lang w:eastAsia="lt-LT"/>
                    </w:rPr>
                    <w:t>Savivaldybė kartu su dokumentais, kuriais pagrindžiamas dotacijos grąžinimo kriterijų reikšmių pasiekimas, UAB VIPA nurodo, ar laikėsi Fiskalinės sutarties įgyvendi</w:t>
                  </w:r>
                  <w:r w:rsidRPr="005002D8">
                    <w:rPr>
                      <w:szCs w:val="24"/>
                      <w:lang w:eastAsia="lt-LT"/>
                    </w:rPr>
                    <w:t>nimo konstitucinio įstatymo 4 straipsnio 2 ar 4 dalyje nustatytų reikalavimų. Jei savivaldybė paskutiniais pasibaigusiais metais įgyvendinus projektą nesilaikė minėtų Fiskalinės sutarties įgyvendinimo konstitucinio įstatymo reikalavimų, apskaičiuojant grąž</w:t>
                  </w:r>
                  <w:r w:rsidRPr="005002D8">
                    <w:rPr>
                      <w:szCs w:val="24"/>
                      <w:lang w:eastAsia="lt-LT"/>
                    </w:rPr>
                    <w:t xml:space="preserve">inamos dotacijos sumą taikomas 100 proc. koeficientas. </w:t>
                  </w:r>
                  <w:r w:rsidRPr="005002D8">
                    <w:rPr>
                      <w:szCs w:val="24"/>
                    </w:rPr>
                    <w:t>UAB VIPA patikrina, ar savivaldybės nurodyta informacija apie minėtų Fiskalinės sutarties įgyvendinimo konstitucinio įstatymo reikalavimų laikymąsi atitinka Valstybės kontrolės atliktą savivaldybių fis</w:t>
                  </w:r>
                  <w:r w:rsidRPr="005002D8">
                    <w:rPr>
                      <w:szCs w:val="24"/>
                    </w:rPr>
                    <w:t xml:space="preserve">kalinės drausmės vertinimą, pateiktą interneto svetainėje </w:t>
                  </w:r>
                  <w:proofErr w:type="spellStart"/>
                  <w:r w:rsidRPr="005002D8">
                    <w:rPr>
                      <w:szCs w:val="24"/>
                    </w:rPr>
                    <w:t>www.ifi.lt</w:t>
                  </w:r>
                  <w:proofErr w:type="spellEnd"/>
                  <w:r w:rsidRPr="005002D8">
                    <w:rPr>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16AB1BF5" w14:textId="77777777" w:rsidR="00154D10" w:rsidRPr="005002D8" w:rsidRDefault="005002D8">
                  <w:pPr>
                    <w:spacing w:line="276" w:lineRule="auto"/>
                    <w:jc w:val="center"/>
                    <w:rPr>
                      <w:szCs w:val="24"/>
                      <w:lang w:eastAsia="lt-LT"/>
                    </w:rPr>
                  </w:pPr>
                  <w:r w:rsidRPr="005002D8">
                    <w:rPr>
                      <w:szCs w:val="24"/>
                      <w:lang w:eastAsia="lt-LT"/>
                    </w:rPr>
                    <w:t>50 proc.</w:t>
                  </w:r>
                </w:p>
              </w:tc>
            </w:tr>
            <w:tr w:rsidR="005002D8" w:rsidRPr="005002D8" w14:paraId="7694D15E" w14:textId="77777777">
              <w:tc>
                <w:tcPr>
                  <w:tcW w:w="2263" w:type="dxa"/>
                  <w:tcBorders>
                    <w:top w:val="single" w:sz="4" w:space="0" w:color="auto"/>
                    <w:left w:val="single" w:sz="4" w:space="0" w:color="auto"/>
                    <w:bottom w:val="single" w:sz="4" w:space="0" w:color="auto"/>
                    <w:right w:val="single" w:sz="4" w:space="0" w:color="auto"/>
                  </w:tcBorders>
                  <w:hideMark/>
                </w:tcPr>
                <w:p w14:paraId="15835BF4" w14:textId="77777777" w:rsidR="00154D10" w:rsidRPr="005002D8" w:rsidRDefault="005002D8">
                  <w:pPr>
                    <w:tabs>
                      <w:tab w:val="left" w:pos="443"/>
                    </w:tabs>
                    <w:spacing w:line="276" w:lineRule="auto"/>
                    <w:ind w:left="29" w:firstLine="141"/>
                    <w:rPr>
                      <w:b/>
                      <w:szCs w:val="24"/>
                      <w:lang w:eastAsia="lt-LT"/>
                    </w:rPr>
                  </w:pPr>
                  <w:r w:rsidRPr="005002D8">
                    <w:rPr>
                      <w:b/>
                      <w:szCs w:val="24"/>
                      <w:lang w:eastAsia="lt-LT"/>
                    </w:rPr>
                    <w:t>5.</w:t>
                  </w:r>
                  <w:r w:rsidRPr="005002D8">
                    <w:rPr>
                      <w:b/>
                      <w:szCs w:val="24"/>
                      <w:lang w:eastAsia="lt-LT"/>
                    </w:rPr>
                    <w:tab/>
                    <w:t>Savivaldybės dalyvavimas įgyvendinant finansines priemones</w:t>
                  </w:r>
                </w:p>
              </w:tc>
              <w:tc>
                <w:tcPr>
                  <w:tcW w:w="5387" w:type="dxa"/>
                  <w:tcBorders>
                    <w:top w:val="single" w:sz="4" w:space="0" w:color="auto"/>
                    <w:left w:val="single" w:sz="4" w:space="0" w:color="auto"/>
                    <w:bottom w:val="single" w:sz="4" w:space="0" w:color="auto"/>
                    <w:right w:val="single" w:sz="4" w:space="0" w:color="auto"/>
                  </w:tcBorders>
                  <w:hideMark/>
                </w:tcPr>
                <w:p w14:paraId="6B6B6506" w14:textId="77777777" w:rsidR="00154D10" w:rsidRPr="005002D8" w:rsidRDefault="005002D8">
                  <w:pPr>
                    <w:spacing w:line="276" w:lineRule="auto"/>
                    <w:jc w:val="both"/>
                    <w:rPr>
                      <w:szCs w:val="24"/>
                      <w:lang w:eastAsia="lt-LT"/>
                    </w:rPr>
                  </w:pPr>
                  <w:r w:rsidRPr="005002D8">
                    <w:rPr>
                      <w:szCs w:val="24"/>
                      <w:lang w:eastAsia="lt-LT"/>
                    </w:rPr>
                    <w:t xml:space="preserve">Jei savivaldybė nuo 2014 m. iki projekto pabaigos nedalyvauja ir nedalyvavo (nėra arba nebuvo pasirašyta </w:t>
                  </w:r>
                  <w:r w:rsidRPr="005002D8">
                    <w:rPr>
                      <w:szCs w:val="24"/>
                      <w:lang w:eastAsia="lt-LT"/>
                    </w:rPr>
                    <w:t>finansavimo sutarčių, nėra ar nebuvo priimto savivaldybės tarybos sprendimo dėl finansinių priemonių projektų įgyvendinimo) įgyvendinant kvartalų energinio efektyvumo didinimo programą arba finansines priemones, kurių galutine naudos gavėja yra savivaldybė</w:t>
                  </w:r>
                  <w:r w:rsidRPr="005002D8">
                    <w:rPr>
                      <w:szCs w:val="24"/>
                      <w:lang w:eastAsia="lt-LT"/>
                    </w:rPr>
                    <w:t>, savivaldybės įmonė ar įstaiga.</w:t>
                  </w:r>
                </w:p>
              </w:tc>
              <w:tc>
                <w:tcPr>
                  <w:tcW w:w="1984" w:type="dxa"/>
                  <w:tcBorders>
                    <w:top w:val="single" w:sz="4" w:space="0" w:color="auto"/>
                    <w:left w:val="single" w:sz="4" w:space="0" w:color="auto"/>
                    <w:bottom w:val="single" w:sz="4" w:space="0" w:color="auto"/>
                    <w:right w:val="single" w:sz="4" w:space="0" w:color="auto"/>
                  </w:tcBorders>
                  <w:hideMark/>
                </w:tcPr>
                <w:p w14:paraId="120F78AA" w14:textId="77777777" w:rsidR="00154D10" w:rsidRPr="005002D8" w:rsidRDefault="005002D8">
                  <w:pPr>
                    <w:spacing w:line="276" w:lineRule="auto"/>
                    <w:jc w:val="center"/>
                    <w:rPr>
                      <w:szCs w:val="24"/>
                      <w:lang w:eastAsia="lt-LT"/>
                    </w:rPr>
                  </w:pPr>
                  <w:r w:rsidRPr="005002D8">
                    <w:rPr>
                      <w:szCs w:val="24"/>
                      <w:lang w:eastAsia="lt-LT"/>
                    </w:rPr>
                    <w:t>100 proc.</w:t>
                  </w:r>
                </w:p>
              </w:tc>
            </w:tr>
          </w:tbl>
          <w:p w14:paraId="46310B85" w14:textId="77777777" w:rsidR="00154D10" w:rsidRDefault="00154D10">
            <w:pPr>
              <w:spacing w:line="276" w:lineRule="auto"/>
              <w:jc w:val="center"/>
              <w:rPr>
                <w:rFonts w:eastAsia="Calibri"/>
                <w:caps/>
                <w:szCs w:val="24"/>
              </w:rPr>
            </w:pPr>
          </w:p>
        </w:tc>
      </w:tr>
    </w:tbl>
    <w:p w14:paraId="57EAB69E" w14:textId="77777777" w:rsidR="00154D10" w:rsidRDefault="00154D10">
      <w:pPr>
        <w:ind w:firstLine="709"/>
        <w:jc w:val="both"/>
        <w:rPr>
          <w:sz w:val="22"/>
        </w:rPr>
      </w:pPr>
    </w:p>
    <w:p w14:paraId="626CC275" w14:textId="77777777" w:rsidR="00154D10" w:rsidRDefault="005002D8">
      <w:pPr>
        <w:ind w:firstLine="709"/>
        <w:jc w:val="both"/>
        <w:rPr>
          <w:sz w:val="22"/>
        </w:rPr>
      </w:pPr>
      <w:r>
        <w:rPr>
          <w:sz w:val="22"/>
        </w:rPr>
        <w:t>* Grąžintina dotacijos suma apskaičiuojama pagal formulę</w:t>
      </w:r>
      <m:oMath>
        <m:r>
          <w:rPr>
            <w:rFonts w:ascii="Cambria Math" w:hAnsi="Cambria Math"/>
            <w:szCs w:val="24"/>
          </w:rPr>
          <m:t xml:space="preserve"> </m:t>
        </m:r>
        <m:r>
          <w:rPr>
            <w:rFonts w:ascii="Cambria Math" w:hAnsi="Cambria Math"/>
            <w:szCs w:val="24"/>
          </w:rPr>
          <m:t>GS</m:t>
        </m:r>
        <m:r>
          <w:rPr>
            <w:rFonts w:ascii="Cambria Math" w:eastAsia="Cambria Math" w:hAnsi="Cambria Math"/>
            <w:szCs w:val="24"/>
          </w:rPr>
          <m:t>=</m:t>
        </m:r>
        <m:r>
          <w:rPr>
            <w:rFonts w:ascii="Cambria Math" w:eastAsia="Cambria Math" w:hAnsi="Cambria Math"/>
            <w:szCs w:val="24"/>
          </w:rPr>
          <m:t>S</m:t>
        </m:r>
        <m:r>
          <w:rPr>
            <w:rFonts w:ascii="Cambria Math" w:eastAsia="Cambria Math" w:hAnsi="Cambria Math"/>
            <w:szCs w:val="24"/>
          </w:rPr>
          <m:t>∙</m:t>
        </m:r>
        <m:nary>
          <m:naryPr>
            <m:chr m:val="∑"/>
            <m:grow m:val="1"/>
            <m:ctrlPr>
              <w:rPr>
                <w:rFonts w:ascii="Cambria Math" w:hAnsi="Cambria Math"/>
                <w:szCs w:val="24"/>
              </w:rPr>
            </m:ctrlPr>
          </m:naryPr>
          <m:sub>
            <m:r>
              <w:rPr>
                <w:rFonts w:ascii="Cambria Math" w:eastAsia="Cambria Math" w:hAnsi="Cambria Math"/>
                <w:szCs w:val="24"/>
              </w:rPr>
              <m:t>n</m:t>
            </m:r>
            <m:r>
              <w:rPr>
                <w:rFonts w:ascii="Cambria Math" w:eastAsia="Cambria Math" w:hAnsi="Cambria Math"/>
                <w:szCs w:val="24"/>
              </w:rPr>
              <m:t>=1</m:t>
            </m:r>
          </m:sub>
          <m:sup>
            <m:r>
              <w:rPr>
                <w:rFonts w:ascii="Cambria Math" w:eastAsia="Cambria Math" w:hAnsi="Cambria Math"/>
                <w:szCs w:val="24"/>
              </w:rPr>
              <m:t>5</m:t>
            </m:r>
          </m:sup>
          <m:e>
            <m:r>
              <w:rPr>
                <w:rFonts w:ascii="Cambria Math" w:hAnsi="Cambria Math"/>
                <w:szCs w:val="24"/>
              </w:rPr>
              <m:t>(</m:t>
            </m:r>
            <m:f>
              <m:fPr>
                <m:ctrlPr>
                  <w:rPr>
                    <w:rFonts w:ascii="Cambria Math" w:eastAsia="Cambria Math" w:hAnsi="Cambria Math"/>
                    <w:i/>
                    <w:szCs w:val="24"/>
                  </w:rPr>
                </m:ctrlPr>
              </m:fPr>
              <m:num>
                <m:sSub>
                  <m:sSubPr>
                    <m:ctrlPr>
                      <w:rPr>
                        <w:rFonts w:ascii="Cambria Math" w:eastAsia="Cambria Math" w:hAnsi="Cambria Math"/>
                        <w:i/>
                        <w:szCs w:val="24"/>
                      </w:rPr>
                    </m:ctrlPr>
                  </m:sSubPr>
                  <m:e>
                    <m:r>
                      <w:rPr>
                        <w:rFonts w:ascii="Cambria Math" w:eastAsia="Cambria Math" w:hAnsi="Cambria Math"/>
                        <w:szCs w:val="24"/>
                      </w:rPr>
                      <m:t>K</m:t>
                    </m:r>
                  </m:e>
                  <m:sub>
                    <m:r>
                      <w:rPr>
                        <w:rFonts w:ascii="Cambria Math" w:eastAsia="Cambria Math" w:hAnsi="Cambria Math"/>
                        <w:szCs w:val="24"/>
                      </w:rPr>
                      <m:t>n</m:t>
                    </m:r>
                  </m:sub>
                </m:sSub>
              </m:num>
              <m:den>
                <m:r>
                  <w:rPr>
                    <w:rFonts w:ascii="Cambria Math" w:eastAsia="Cambria Math" w:hAnsi="Cambria Math"/>
                    <w:szCs w:val="24"/>
                  </w:rPr>
                  <m:t>100</m:t>
                </m:r>
              </m:den>
            </m:f>
            <m:r>
              <w:rPr>
                <w:rFonts w:ascii="Cambria Math" w:eastAsia="Cambria Math" w:hAnsi="Cambria Math"/>
                <w:szCs w:val="24"/>
              </w:rPr>
              <m:t>∙</m:t>
            </m:r>
            <m:f>
              <m:fPr>
                <m:ctrlPr>
                  <w:rPr>
                    <w:rFonts w:ascii="Cambria Math" w:eastAsia="Cambria Math" w:hAnsi="Cambria Math"/>
                    <w:i/>
                    <w:szCs w:val="24"/>
                  </w:rPr>
                </m:ctrlPr>
              </m:fPr>
              <m:num>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n</m:t>
                    </m:r>
                  </m:sub>
                </m:sSub>
              </m:num>
              <m:den>
                <m:r>
                  <w:rPr>
                    <w:rFonts w:ascii="Cambria Math" w:eastAsia="Cambria Math" w:hAnsi="Cambria Math"/>
                    <w:szCs w:val="24"/>
                  </w:rPr>
                  <m:t>100</m:t>
                </m:r>
              </m:den>
            </m:f>
            <m:r>
              <w:rPr>
                <w:rFonts w:ascii="Cambria Math" w:eastAsia="Cambria Math" w:hAnsi="Cambria Math"/>
                <w:szCs w:val="24"/>
              </w:rPr>
              <m:t>)</m:t>
            </m:r>
          </m:e>
        </m:nary>
      </m:oMath>
      <w:r>
        <w:rPr>
          <w:sz w:val="22"/>
        </w:rPr>
        <w:t>, kur:</w:t>
      </w:r>
    </w:p>
    <w:bookmarkStart w:id="0" w:name="_GoBack" w:displacedByCustomXml="prev"/>
    <w:p w14:paraId="016CF466" w14:textId="77777777" w:rsidR="00154D10" w:rsidRDefault="005002D8">
      <w:pPr>
        <w:ind w:firstLine="709"/>
        <w:jc w:val="both"/>
        <w:rPr>
          <w:sz w:val="22"/>
        </w:rPr>
      </w:pPr>
      <w:r>
        <w:rPr>
          <w:sz w:val="22"/>
        </w:rPr>
        <w:t>1</w:t>
      </w:r>
      <w:r>
        <w:rPr>
          <w:sz w:val="22"/>
        </w:rPr>
        <w:t>) GS – grąžintina dotacijos suma;</w:t>
      </w:r>
    </w:p>
    <w:bookmarkEnd w:id="0" w:displacedByCustomXml="next"/>
    <w:p w14:paraId="4BE8A420" w14:textId="77777777" w:rsidR="00154D10" w:rsidRDefault="005002D8">
      <w:pPr>
        <w:ind w:firstLine="709"/>
        <w:jc w:val="both"/>
        <w:rPr>
          <w:sz w:val="22"/>
        </w:rPr>
      </w:pPr>
      <w:r>
        <w:rPr>
          <w:sz w:val="22"/>
        </w:rPr>
        <w:t>2</w:t>
      </w:r>
      <w:r>
        <w:rPr>
          <w:sz w:val="22"/>
        </w:rPr>
        <w:t>) S – skirtos dotacijos dydis;</w:t>
      </w:r>
    </w:p>
    <w:p w14:paraId="36ED4CDF" w14:textId="77777777" w:rsidR="00154D10" w:rsidRDefault="005002D8">
      <w:pPr>
        <w:spacing w:line="360" w:lineRule="auto"/>
        <w:ind w:firstLine="720"/>
        <w:jc w:val="both"/>
        <w:rPr>
          <w:sz w:val="22"/>
          <w:szCs w:val="22"/>
        </w:rPr>
      </w:pPr>
      <w:r>
        <w:rPr>
          <w:sz w:val="22"/>
          <w:szCs w:val="22"/>
        </w:rPr>
        <w:t>3</w:t>
      </w:r>
      <w:r>
        <w:rPr>
          <w:sz w:val="22"/>
          <w:szCs w:val="22"/>
        </w:rPr>
        <w:t xml:space="preserve">) </w:t>
      </w:r>
      <w:proofErr w:type="spellStart"/>
      <w:r>
        <w:rPr>
          <w:sz w:val="22"/>
          <w:szCs w:val="22"/>
        </w:rPr>
        <w:t>K</w:t>
      </w:r>
      <w:r>
        <w:rPr>
          <w:sz w:val="22"/>
          <w:szCs w:val="22"/>
          <w:vertAlign w:val="subscript"/>
        </w:rPr>
        <w:t>n</w:t>
      </w:r>
      <w:proofErr w:type="spellEnd"/>
      <w:r>
        <w:rPr>
          <w:sz w:val="22"/>
          <w:szCs w:val="22"/>
        </w:rPr>
        <w:t xml:space="preserve"> – atlikus vertinimą gauta 1–4 vertinimo kriterijų reikšmė;</w:t>
      </w:r>
    </w:p>
    <w:p w14:paraId="48AAE5DF" w14:textId="77777777" w:rsidR="00154D10" w:rsidRDefault="005002D8">
      <w:pPr>
        <w:spacing w:line="360" w:lineRule="auto"/>
        <w:ind w:firstLine="720"/>
        <w:jc w:val="both"/>
        <w:rPr>
          <w:sz w:val="22"/>
          <w:szCs w:val="22"/>
        </w:rPr>
      </w:pPr>
      <w:r>
        <w:rPr>
          <w:sz w:val="22"/>
          <w:szCs w:val="22"/>
        </w:rPr>
        <w:t>4</w:t>
      </w:r>
      <w:r>
        <w:rPr>
          <w:sz w:val="22"/>
          <w:szCs w:val="22"/>
        </w:rPr>
        <w:t xml:space="preserve">) </w:t>
      </w:r>
      <w:proofErr w:type="spellStart"/>
      <w:r>
        <w:rPr>
          <w:sz w:val="22"/>
          <w:szCs w:val="22"/>
        </w:rPr>
        <w:t>R</w:t>
      </w:r>
      <w:r>
        <w:rPr>
          <w:sz w:val="22"/>
          <w:szCs w:val="22"/>
          <w:vertAlign w:val="subscript"/>
        </w:rPr>
        <w:t>n</w:t>
      </w:r>
      <w:proofErr w:type="spellEnd"/>
      <w:r>
        <w:rPr>
          <w:sz w:val="22"/>
          <w:szCs w:val="22"/>
        </w:rPr>
        <w:t xml:space="preserve"> – vertinimo kriterijaus reikšmingumas.</w:t>
      </w:r>
    </w:p>
    <w:p w14:paraId="5F417433" w14:textId="77777777" w:rsidR="00154D10" w:rsidRDefault="005002D8">
      <w:pPr>
        <w:spacing w:line="360" w:lineRule="auto"/>
        <w:ind w:firstLine="720"/>
        <w:jc w:val="both"/>
        <w:rPr>
          <w:sz w:val="22"/>
          <w:szCs w:val="22"/>
        </w:rPr>
      </w:pPr>
      <w:r>
        <w:rPr>
          <w:szCs w:val="24"/>
          <w:lang w:eastAsia="lt-LT"/>
        </w:rPr>
        <w:lastRenderedPageBreak/>
        <w:t>Jeigu savivaldybė atitinka penktojo kriterijaus reikšmę, kiti kriterijai nevertinami ir grąžinama 100 proc. dotacijos sumos. Jeigu savivaldybė neat</w:t>
      </w:r>
      <w:r>
        <w:rPr>
          <w:szCs w:val="24"/>
          <w:lang w:eastAsia="lt-LT"/>
        </w:rPr>
        <w:t>itinka penktojo kriterijaus reikšmės, grąžinama dotacijos suma nustatoma pagal 1–4 kriterijus taikant nurodytą formulę.</w:t>
      </w:r>
    </w:p>
    <w:p w14:paraId="1F3E310F" w14:textId="68A5F478" w:rsidR="00154D10" w:rsidRDefault="005002D8">
      <w:pPr>
        <w:tabs>
          <w:tab w:val="left" w:pos="9639"/>
        </w:tabs>
        <w:jc w:val="center"/>
        <w:rPr>
          <w:b/>
          <w:sz w:val="20"/>
        </w:rPr>
      </w:pPr>
      <w:r>
        <w:t>____________________________</w:t>
      </w:r>
    </w:p>
    <w:sectPr w:rsidR="00154D10" w:rsidSect="005002D8">
      <w:pgSz w:w="11906" w:h="16838" w:code="9"/>
      <w:pgMar w:top="993" w:right="567" w:bottom="993" w:left="1701" w:header="560" w:footer="686" w:gutter="0"/>
      <w:pgNumType w:start="1"/>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C0C9" w14:textId="77777777" w:rsidR="00154D10" w:rsidRDefault="005002D8">
      <w:pPr>
        <w:rPr>
          <w:lang w:eastAsia="lt-LT"/>
        </w:rPr>
      </w:pPr>
      <w:r>
        <w:rPr>
          <w:lang w:eastAsia="lt-LT"/>
        </w:rPr>
        <w:separator/>
      </w:r>
    </w:p>
  </w:endnote>
  <w:endnote w:type="continuationSeparator" w:id="0">
    <w:p w14:paraId="0268C0CA" w14:textId="77777777" w:rsidR="00154D10" w:rsidRDefault="005002D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C0CF" w14:textId="77777777" w:rsidR="00154D10" w:rsidRDefault="00154D1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C0D0" w14:textId="77777777" w:rsidR="00154D10" w:rsidRDefault="00154D10">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C0D2" w14:textId="77777777" w:rsidR="00154D10" w:rsidRDefault="00154D1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8C0C7" w14:textId="77777777" w:rsidR="00154D10" w:rsidRDefault="005002D8">
      <w:pPr>
        <w:rPr>
          <w:lang w:eastAsia="lt-LT"/>
        </w:rPr>
      </w:pPr>
      <w:r>
        <w:rPr>
          <w:lang w:eastAsia="lt-LT"/>
        </w:rPr>
        <w:separator/>
      </w:r>
    </w:p>
  </w:footnote>
  <w:footnote w:type="continuationSeparator" w:id="0">
    <w:p w14:paraId="0268C0C8" w14:textId="77777777" w:rsidR="00154D10" w:rsidRDefault="005002D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C0CB" w14:textId="77777777" w:rsidR="00154D10" w:rsidRDefault="005002D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268C0CC" w14:textId="77777777" w:rsidR="00154D10" w:rsidRDefault="00154D10">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C0CD" w14:textId="77777777" w:rsidR="00154D10" w:rsidRDefault="005002D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6</w:t>
    </w:r>
    <w:r>
      <w:rPr>
        <w:lang w:eastAsia="lt-LT"/>
      </w:rPr>
      <w:fldChar w:fldCharType="end"/>
    </w:r>
  </w:p>
  <w:p w14:paraId="0268C0CE" w14:textId="77777777" w:rsidR="00154D10" w:rsidRDefault="00154D10">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C0D1" w14:textId="77777777" w:rsidR="00154D10" w:rsidRDefault="00154D1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AF"/>
    <w:rsid w:val="00154D10"/>
    <w:rsid w:val="005002D8"/>
    <w:rsid w:val="00AC4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8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65739">
      <w:bodyDiv w:val="1"/>
      <w:marLeft w:val="0"/>
      <w:marRight w:val="0"/>
      <w:marTop w:val="0"/>
      <w:marBottom w:val="0"/>
      <w:divBdr>
        <w:top w:val="none" w:sz="0" w:space="0" w:color="auto"/>
        <w:left w:val="none" w:sz="0" w:space="0" w:color="auto"/>
        <w:bottom w:val="none" w:sz="0" w:space="0" w:color="auto"/>
        <w:right w:val="none" w:sz="0" w:space="0" w:color="auto"/>
      </w:divBdr>
    </w:div>
    <w:div w:id="19603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3595</Words>
  <Characters>24973</Characters>
  <Application>Microsoft Office Word</Application>
  <DocSecurity>0</DocSecurity>
  <Lines>208</Lines>
  <Paragraphs>57</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28511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2019-02-27T14:35:00Z</dcterms:created>
  <dc:creator>Daiva Navikienė</dc:creator>
  <lastModifiedBy>ŠAULYTĖ SKAIRIENĖ Dalia</lastModifiedBy>
  <lastPrinted>2008-12-29T11:20:00Z</lastPrinted>
  <dcterms:modified xsi:type="dcterms:W3CDTF">2019-02-27T14:40:00Z</dcterms:modified>
  <revision>3</revision>
</coreProperties>
</file>