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7f24c35846284927ad142c389a126e17"/>
        <w:id w:val="-1698686245"/>
        <w:lock w:val="sdtLocked"/>
      </w:sdtPr>
      <w:sdtEndPr/>
      <w:sdtContent>
        <w:p w14:paraId="412A8194" w14:textId="77777777" w:rsidR="00C67672" w:rsidRDefault="005F6966">
          <w:pPr>
            <w:tabs>
              <w:tab w:val="center" w:pos="4153"/>
            </w:tabs>
            <w:ind w:left="4253"/>
            <w:rPr>
              <w:b/>
              <w:szCs w:val="24"/>
            </w:rPr>
          </w:pPr>
          <w:r>
            <w:rPr>
              <w:b/>
              <w:noProof/>
              <w:szCs w:val="24"/>
              <w:lang w:eastAsia="lt-LT"/>
            </w:rPr>
            <w:drawing>
              <wp:inline distT="0" distB="0" distL="0" distR="0" wp14:anchorId="40CB5FCE" wp14:editId="55272D10">
                <wp:extent cx="476250" cy="552450"/>
                <wp:effectExtent l="0" t="0" r="0" b="0"/>
                <wp:docPr id="2"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76250" cy="552450"/>
                        </a:xfrm>
                        <a:prstGeom prst="rect">
                          <a:avLst/>
                        </a:prstGeom>
                        <a:noFill/>
                      </pic:spPr>
                    </pic:pic>
                  </a:graphicData>
                </a:graphic>
              </wp:inline>
            </w:drawing>
          </w:r>
        </w:p>
        <w:p w14:paraId="16B9F2FE" w14:textId="77777777" w:rsidR="00C67672" w:rsidRDefault="00C67672">
          <w:pPr>
            <w:tabs>
              <w:tab w:val="center" w:pos="4153"/>
              <w:tab w:val="right" w:pos="8306"/>
            </w:tabs>
            <w:rPr>
              <w:b/>
              <w:szCs w:val="24"/>
            </w:rPr>
          </w:pPr>
        </w:p>
        <w:p w14:paraId="76ABC726" w14:textId="77777777" w:rsidR="00C67672" w:rsidRDefault="005F6966">
          <w:pPr>
            <w:tabs>
              <w:tab w:val="center" w:pos="4153"/>
              <w:tab w:val="right" w:pos="8306"/>
            </w:tabs>
            <w:jc w:val="center"/>
            <w:rPr>
              <w:b/>
              <w:szCs w:val="24"/>
            </w:rPr>
          </w:pPr>
          <w:r>
            <w:rPr>
              <w:b/>
              <w:szCs w:val="24"/>
            </w:rPr>
            <w:t>LIETUVOS RESPUBLIKOS SVEIKATOS APSAUGOS MINISTRAS</w:t>
          </w:r>
        </w:p>
        <w:p w14:paraId="3703E495" w14:textId="77777777" w:rsidR="00C67672" w:rsidRDefault="00C67672">
          <w:pPr>
            <w:tabs>
              <w:tab w:val="center" w:pos="4153"/>
              <w:tab w:val="right" w:pos="8306"/>
            </w:tabs>
            <w:jc w:val="center"/>
            <w:rPr>
              <w:b/>
              <w:szCs w:val="24"/>
            </w:rPr>
          </w:pPr>
        </w:p>
        <w:p w14:paraId="2B64F1A3" w14:textId="77777777" w:rsidR="00C67672" w:rsidRDefault="005F6966">
          <w:pPr>
            <w:tabs>
              <w:tab w:val="center" w:pos="4153"/>
              <w:tab w:val="right" w:pos="8306"/>
            </w:tabs>
            <w:jc w:val="center"/>
            <w:rPr>
              <w:b/>
              <w:szCs w:val="24"/>
            </w:rPr>
          </w:pPr>
          <w:r>
            <w:rPr>
              <w:b/>
              <w:szCs w:val="24"/>
            </w:rPr>
            <w:t>ĮSAKYMAS</w:t>
          </w:r>
        </w:p>
        <w:p w14:paraId="5A96B4F5" w14:textId="77777777" w:rsidR="00C67672" w:rsidRDefault="005F6966">
          <w:pPr>
            <w:jc w:val="center"/>
            <w:rPr>
              <w:b/>
              <w:szCs w:val="24"/>
            </w:rPr>
          </w:pPr>
          <w:r>
            <w:rPr>
              <w:b/>
              <w:szCs w:val="24"/>
            </w:rPr>
            <w:t>DĖL LIETUVOS RESPUBLIKOS SVEIKATOS APSAUGOS MINISTRO 2005 M. GEGUŽĖS 9</w:t>
          </w:r>
          <w:r>
            <w:rPr>
              <w:szCs w:val="24"/>
            </w:rPr>
            <w:t> </w:t>
          </w:r>
          <w:r>
            <w:rPr>
              <w:b/>
              <w:szCs w:val="24"/>
            </w:rPr>
            <w:t xml:space="preserve">D. ĮSAKYMO NR. V-374 „DĖL VARDINIŲ VAISTINIŲ </w:t>
          </w:r>
          <w:r>
            <w:rPr>
              <w:b/>
              <w:szCs w:val="24"/>
            </w:rPr>
            <w:t>PREPARATŲ ĮSIGIJIMO TAISYKLIŲ PATVIRTINIMO“ PAKEITIMO</w:t>
          </w:r>
        </w:p>
        <w:p w14:paraId="62A9046D" w14:textId="77777777" w:rsidR="00C67672" w:rsidRDefault="00C67672">
          <w:pPr>
            <w:jc w:val="center"/>
            <w:rPr>
              <w:szCs w:val="24"/>
            </w:rPr>
          </w:pPr>
        </w:p>
        <w:p w14:paraId="091BB93F" w14:textId="77777777" w:rsidR="00C67672" w:rsidRDefault="005F6966">
          <w:pPr>
            <w:jc w:val="center"/>
            <w:rPr>
              <w:szCs w:val="24"/>
            </w:rPr>
          </w:pPr>
          <w:r>
            <w:rPr>
              <w:szCs w:val="24"/>
            </w:rPr>
            <w:t>2019 m. gruodžio 9 d. Nr. V-1408</w:t>
          </w:r>
        </w:p>
        <w:p w14:paraId="079E4BBB" w14:textId="77777777" w:rsidR="00C67672" w:rsidRDefault="005F6966">
          <w:pPr>
            <w:jc w:val="center"/>
            <w:rPr>
              <w:szCs w:val="24"/>
            </w:rPr>
          </w:pPr>
          <w:r>
            <w:rPr>
              <w:szCs w:val="24"/>
            </w:rPr>
            <w:t>Vilnius</w:t>
          </w:r>
        </w:p>
        <w:p w14:paraId="5ECBEDFE" w14:textId="77777777" w:rsidR="00C67672" w:rsidRDefault="00C67672" w:rsidP="005F6966">
          <w:pPr>
            <w:rPr>
              <w:i/>
              <w:szCs w:val="24"/>
            </w:rPr>
          </w:pPr>
        </w:p>
        <w:p w14:paraId="507617CB" w14:textId="77777777" w:rsidR="005F6966" w:rsidRDefault="005F6966" w:rsidP="005F6966">
          <w:pPr>
            <w:rPr>
              <w:i/>
              <w:szCs w:val="24"/>
            </w:rPr>
          </w:pPr>
        </w:p>
        <w:sdt>
          <w:sdtPr>
            <w:alias w:val="1 p."/>
            <w:tag w:val="part_69c36032a82b4c2ca3322d7a5f33e44a"/>
            <w:id w:val="1259098659"/>
            <w:lock w:val="sdtLocked"/>
          </w:sdtPr>
          <w:sdtEndPr/>
          <w:sdtContent>
            <w:p w14:paraId="5D7B9D83" w14:textId="77777777" w:rsidR="00C67672" w:rsidRDefault="005F6966">
              <w:pPr>
                <w:ind w:firstLine="851"/>
                <w:jc w:val="both"/>
                <w:rPr>
                  <w:szCs w:val="24"/>
                </w:rPr>
              </w:pPr>
              <w:sdt>
                <w:sdtPr>
                  <w:alias w:val="Numeris"/>
                  <w:tag w:val="nr_69c36032a82b4c2ca3322d7a5f33e44a"/>
                  <w:id w:val="-594175196"/>
                  <w:lock w:val="sdtLocked"/>
                </w:sdtPr>
                <w:sdtEndPr/>
                <w:sdtContent>
                  <w:r>
                    <w:rPr>
                      <w:szCs w:val="24"/>
                    </w:rPr>
                    <w:t>1</w:t>
                  </w:r>
                </w:sdtContent>
              </w:sdt>
              <w:r>
                <w:rPr>
                  <w:szCs w:val="24"/>
                </w:rPr>
                <w:t xml:space="preserve">. P a k e i č i u Vardinių vaistinių preparatų įsigijimo taisykles, patvirtintas Lietuvos Respublikos sveikatos apsaugos ministro </w:t>
              </w:r>
              <w:smartTag w:uri="schemas-tilde-lv/tildestengine" w:element="metric">
                <w:smartTagPr>
                  <w:attr w:name="metric_text" w:val="m"/>
                  <w:attr w:name="metric_value" w:val="2005"/>
                </w:smartTagPr>
                <w:smartTag w:uri="schemas-tilde-lv/tildestengine" w:element="metric2">
                  <w:smartTagPr>
                    <w:attr w:name="metric_text" w:val="m"/>
                    <w:attr w:name="metric_value" w:val="2005"/>
                  </w:smartTagPr>
                  <w:r>
                    <w:rPr>
                      <w:szCs w:val="24"/>
                    </w:rPr>
                    <w:t>2005 m</w:t>
                  </w:r>
                </w:smartTag>
              </w:smartTag>
              <w:r>
                <w:rPr>
                  <w:szCs w:val="24"/>
                </w:rPr>
                <w:t>. gegužės 9 d. įsaky</w:t>
              </w:r>
              <w:r>
                <w:rPr>
                  <w:szCs w:val="24"/>
                </w:rPr>
                <w:t>mu Nr. V-374 „Dėl Vardinių vaistinių preparatų įsigijimo taisyklių patvirtinimo“:</w:t>
              </w:r>
            </w:p>
            <w:sdt>
              <w:sdtPr>
                <w:alias w:val="1.1 pp."/>
                <w:tag w:val="part_e83940e90aa8484192a47b333ee2e27e"/>
                <w:id w:val="-2026935474"/>
                <w:lock w:val="sdtLocked"/>
              </w:sdtPr>
              <w:sdtEndPr/>
              <w:sdtContent>
                <w:p w14:paraId="6A569177" w14:textId="77777777" w:rsidR="00C67672" w:rsidRDefault="005F6966">
                  <w:pPr>
                    <w:ind w:firstLine="851"/>
                    <w:jc w:val="both"/>
                    <w:rPr>
                      <w:szCs w:val="24"/>
                    </w:rPr>
                  </w:pPr>
                  <w:sdt>
                    <w:sdtPr>
                      <w:alias w:val="Numeris"/>
                      <w:tag w:val="nr_e83940e90aa8484192a47b333ee2e27e"/>
                      <w:id w:val="306525103"/>
                      <w:lock w:val="sdtLocked"/>
                    </w:sdtPr>
                    <w:sdtEndPr/>
                    <w:sdtContent>
                      <w:r>
                        <w:rPr>
                          <w:szCs w:val="24"/>
                        </w:rPr>
                        <w:t>1.1</w:t>
                      </w:r>
                    </w:sdtContent>
                  </w:sdt>
                  <w:r>
                    <w:rPr>
                      <w:szCs w:val="24"/>
                    </w:rPr>
                    <w:t>. Pakeičiu 4 punktą ir jį išdėstau taip:</w:t>
                  </w:r>
                </w:p>
                <w:sdt>
                  <w:sdtPr>
                    <w:alias w:val="citata"/>
                    <w:tag w:val="part_d442089112df4fd187fd7bcc21a55bec"/>
                    <w:id w:val="-1873601175"/>
                    <w:lock w:val="sdtLocked"/>
                  </w:sdtPr>
                  <w:sdtEndPr/>
                  <w:sdtContent>
                    <w:sdt>
                      <w:sdtPr>
                        <w:alias w:val="4 p."/>
                        <w:tag w:val="part_b5ea8c852077496bb1673e8cd8722049"/>
                        <w:id w:val="1733896177"/>
                        <w:lock w:val="sdtLocked"/>
                      </w:sdtPr>
                      <w:sdtEndPr/>
                      <w:sdtContent>
                        <w:p w14:paraId="16176B22" w14:textId="77777777" w:rsidR="00C67672" w:rsidRDefault="005F6966">
                          <w:pPr>
                            <w:ind w:firstLine="851"/>
                            <w:jc w:val="both"/>
                            <w:rPr>
                              <w:szCs w:val="24"/>
                            </w:rPr>
                          </w:pPr>
                          <w:r>
                            <w:rPr>
                              <w:szCs w:val="24"/>
                            </w:rPr>
                            <w:t>„</w:t>
                          </w:r>
                          <w:sdt>
                            <w:sdtPr>
                              <w:alias w:val="Numeris"/>
                              <w:tag w:val="nr_b5ea8c852077496bb1673e8cd8722049"/>
                              <w:id w:val="521132749"/>
                              <w:lock w:val="sdtLocked"/>
                            </w:sdtPr>
                            <w:sdtEndPr/>
                            <w:sdtContent>
                              <w:r>
                                <w:rPr>
                                  <w:szCs w:val="24"/>
                                </w:rPr>
                                <w:t>4</w:t>
                              </w:r>
                            </w:sdtContent>
                          </w:sdt>
                          <w:r>
                            <w:rPr>
                              <w:szCs w:val="24"/>
                            </w:rPr>
                            <w:t>. Vardinis vaistinis preparatas turi būti registruotas bent vienoje kitoje EEE valstybėje arba gamintojo valstybėje.“</w:t>
                          </w:r>
                        </w:p>
                      </w:sdtContent>
                    </w:sdt>
                  </w:sdtContent>
                </w:sdt>
              </w:sdtContent>
            </w:sdt>
            <w:sdt>
              <w:sdtPr>
                <w:alias w:val="1.2 pp."/>
                <w:tag w:val="part_548106e05da94eb0b8d2f42011e7c303"/>
                <w:id w:val="1628354866"/>
                <w:lock w:val="sdtLocked"/>
              </w:sdtPr>
              <w:sdtEndPr/>
              <w:sdtContent>
                <w:p w14:paraId="1B75B638" w14:textId="77777777" w:rsidR="00C67672" w:rsidRDefault="005F6966">
                  <w:pPr>
                    <w:ind w:firstLine="851"/>
                    <w:jc w:val="both"/>
                    <w:rPr>
                      <w:szCs w:val="24"/>
                    </w:rPr>
                  </w:pPr>
                  <w:sdt>
                    <w:sdtPr>
                      <w:alias w:val="Numeris"/>
                      <w:tag w:val="nr_548106e05da94eb0b8d2f42011e7c303"/>
                      <w:id w:val="-381791732"/>
                      <w:lock w:val="sdtLocked"/>
                    </w:sdtPr>
                    <w:sdtEndPr/>
                    <w:sdtContent>
                      <w:r>
                        <w:rPr>
                          <w:szCs w:val="24"/>
                        </w:rPr>
                        <w:t>1.2</w:t>
                      </w:r>
                    </w:sdtContent>
                  </w:sdt>
                  <w:r>
                    <w:rPr>
                      <w:szCs w:val="24"/>
                    </w:rPr>
                    <w:t>. Pakeičiu 8 punktą ir jį išdėstau taip:</w:t>
                  </w:r>
                </w:p>
                <w:sdt>
                  <w:sdtPr>
                    <w:alias w:val="citata"/>
                    <w:tag w:val="part_b69086a116a7457489af02227bf1f6e2"/>
                    <w:id w:val="-1314405171"/>
                    <w:lock w:val="sdtLocked"/>
                  </w:sdtPr>
                  <w:sdtEndPr/>
                  <w:sdtContent>
                    <w:sdt>
                      <w:sdtPr>
                        <w:alias w:val="8 p."/>
                        <w:tag w:val="part_4c39020dac10416b83d38e690c0005f9"/>
                        <w:id w:val="2115471747"/>
                        <w:lock w:val="sdtLocked"/>
                      </w:sdtPr>
                      <w:sdtEndPr/>
                      <w:sdtContent>
                        <w:p w14:paraId="0DDC4509" w14:textId="77777777" w:rsidR="00C67672" w:rsidRDefault="005F6966">
                          <w:pPr>
                            <w:ind w:firstLine="851"/>
                            <w:jc w:val="both"/>
                            <w:rPr>
                              <w:szCs w:val="24"/>
                            </w:rPr>
                          </w:pPr>
                          <w:r>
                            <w:rPr>
                              <w:szCs w:val="24"/>
                            </w:rPr>
                            <w:t>„</w:t>
                          </w:r>
                          <w:sdt>
                            <w:sdtPr>
                              <w:alias w:val="Numeris"/>
                              <w:tag w:val="nr_4c39020dac10416b83d38e690c0005f9"/>
                              <w:id w:val="-218524173"/>
                              <w:lock w:val="sdtLocked"/>
                            </w:sdtPr>
                            <w:sdtEndPr/>
                            <w:sdtContent>
                              <w:r>
                                <w:rPr>
                                  <w:szCs w:val="24"/>
                                </w:rPr>
                                <w:t>8</w:t>
                              </w:r>
                            </w:sdtContent>
                          </w:sdt>
                          <w:r>
                            <w:rPr>
                              <w:szCs w:val="24"/>
                            </w:rPr>
                            <w:t>. Vadovaujantis šiomis Taisyklėmis taip pat gali būti skiriami šie vaistiniai preparatai:</w:t>
                          </w:r>
                        </w:p>
                        <w:sdt>
                          <w:sdtPr>
                            <w:alias w:val="8.1 pp."/>
                            <w:tag w:val="part_c95df6b719c648718f1391fdcc26a6b4"/>
                            <w:id w:val="153817439"/>
                            <w:lock w:val="sdtLocked"/>
                          </w:sdtPr>
                          <w:sdtEndPr/>
                          <w:sdtContent>
                            <w:p w14:paraId="565110B5" w14:textId="77777777" w:rsidR="00C67672" w:rsidRDefault="005F6966">
                              <w:pPr>
                                <w:ind w:firstLine="851"/>
                                <w:jc w:val="both"/>
                                <w:rPr>
                                  <w:szCs w:val="24"/>
                                </w:rPr>
                              </w:pPr>
                              <w:sdt>
                                <w:sdtPr>
                                  <w:alias w:val="Numeris"/>
                                  <w:tag w:val="nr_c95df6b719c648718f1391fdcc26a6b4"/>
                                  <w:id w:val="-113839578"/>
                                  <w:lock w:val="sdtLocked"/>
                                </w:sdtPr>
                                <w:sdtEndPr/>
                                <w:sdtContent>
                                  <w:r>
                                    <w:rPr>
                                      <w:szCs w:val="24"/>
                                    </w:rPr>
                                    <w:t>8.1</w:t>
                                  </w:r>
                                </w:sdtContent>
                              </w:sdt>
                              <w:r>
                                <w:rPr>
                                  <w:szCs w:val="24"/>
                                </w:rPr>
                                <w:t>.  registruoti vaistiniai preparatai, kurių pakuotė ir (ar) pakuotės lapelis parengti ne lietuvių kalba (išskyrus teisės aktų nustatytus atvejus, kai pakuotė ir (ar) pakuotės lapelis gali būti parengtas tik užsienio kalba) (toliau – registracijos sąlygų ne</w:t>
                              </w:r>
                              <w:r>
                                <w:rPr>
                                  <w:szCs w:val="24"/>
                                </w:rPr>
                                <w:t>atitinkantis vaistinis preparatas), išskyrus kompensuojamuosius ir centralizuotai perkamus registruotus vaistinius preparatus;</w:t>
                              </w:r>
                            </w:p>
                          </w:sdtContent>
                        </w:sdt>
                        <w:sdt>
                          <w:sdtPr>
                            <w:alias w:val="8.2 pp."/>
                            <w:tag w:val="part_57cfa29bb0424362966967696ce9ce9c"/>
                            <w:id w:val="-1740938989"/>
                            <w:lock w:val="sdtLocked"/>
                          </w:sdtPr>
                          <w:sdtEndPr/>
                          <w:sdtContent>
                            <w:p w14:paraId="7EFAD08F" w14:textId="77777777" w:rsidR="00C67672" w:rsidRDefault="005F6966">
                              <w:pPr>
                                <w:ind w:firstLine="851"/>
                                <w:jc w:val="both"/>
                                <w:rPr>
                                  <w:szCs w:val="24"/>
                                </w:rPr>
                              </w:pPr>
                              <w:sdt>
                                <w:sdtPr>
                                  <w:alias w:val="Numeris"/>
                                  <w:tag w:val="nr_57cfa29bb0424362966967696ce9ce9c"/>
                                  <w:id w:val="-1023940736"/>
                                  <w:lock w:val="sdtLocked"/>
                                </w:sdtPr>
                                <w:sdtEndPr/>
                                <w:sdtContent>
                                  <w:r>
                                    <w:rPr>
                                      <w:szCs w:val="24"/>
                                    </w:rPr>
                                    <w:t>8.2</w:t>
                                  </w:r>
                                </w:sdtContent>
                              </w:sdt>
                              <w:r>
                                <w:rPr>
                                  <w:szCs w:val="24"/>
                                </w:rPr>
                                <w:t xml:space="preserve">. kompensuojamieji ir centralizuotai perkami neregistruoti vaistiniai preparatai.“ </w:t>
                              </w:r>
                            </w:p>
                          </w:sdtContent>
                        </w:sdt>
                      </w:sdtContent>
                    </w:sdt>
                  </w:sdtContent>
                </w:sdt>
              </w:sdtContent>
            </w:sdt>
            <w:sdt>
              <w:sdtPr>
                <w:alias w:val="1.3 pp."/>
                <w:tag w:val="part_c5f727b518584642817d220a869c92b6"/>
                <w:id w:val="966864162"/>
                <w:lock w:val="sdtLocked"/>
              </w:sdtPr>
              <w:sdtEndPr/>
              <w:sdtContent>
                <w:p w14:paraId="771FF1DC" w14:textId="77777777" w:rsidR="00C67672" w:rsidRDefault="005F6966">
                  <w:pPr>
                    <w:ind w:firstLine="851"/>
                    <w:jc w:val="both"/>
                    <w:rPr>
                      <w:szCs w:val="24"/>
                    </w:rPr>
                  </w:pPr>
                  <w:sdt>
                    <w:sdtPr>
                      <w:alias w:val="Numeris"/>
                      <w:tag w:val="nr_c5f727b518584642817d220a869c92b6"/>
                      <w:id w:val="362331524"/>
                      <w:lock w:val="sdtLocked"/>
                    </w:sdtPr>
                    <w:sdtEndPr/>
                    <w:sdtContent>
                      <w:r>
                        <w:rPr>
                          <w:szCs w:val="24"/>
                        </w:rPr>
                        <w:t>1.3</w:t>
                      </w:r>
                    </w:sdtContent>
                  </w:sdt>
                  <w:r>
                    <w:rPr>
                      <w:szCs w:val="24"/>
                    </w:rPr>
                    <w:t>. Papildau 8</w:t>
                  </w:r>
                  <w:r>
                    <w:rPr>
                      <w:szCs w:val="24"/>
                      <w:vertAlign w:val="superscript"/>
                    </w:rPr>
                    <w:t xml:space="preserve">1 </w:t>
                  </w:r>
                  <w:r>
                    <w:rPr>
                      <w:szCs w:val="24"/>
                    </w:rPr>
                    <w:t>punktu:</w:t>
                  </w:r>
                </w:p>
                <w:sdt>
                  <w:sdtPr>
                    <w:alias w:val="citata"/>
                    <w:tag w:val="part_ea7d6fca58284752a3689486ec0084c3"/>
                    <w:id w:val="-231925432"/>
                    <w:lock w:val="sdtLocked"/>
                  </w:sdtPr>
                  <w:sdtEndPr/>
                  <w:sdtContent>
                    <w:sdt>
                      <w:sdtPr>
                        <w:alias w:val="8-1 p."/>
                        <w:tag w:val="part_e0859caa5873495c873daf7e622d9976"/>
                        <w:id w:val="-1399503999"/>
                        <w:lock w:val="sdtLocked"/>
                      </w:sdtPr>
                      <w:sdtEndPr/>
                      <w:sdtContent>
                        <w:p w14:paraId="1F8E8520" w14:textId="77777777" w:rsidR="00C67672" w:rsidRDefault="005F6966">
                          <w:pPr>
                            <w:ind w:firstLine="851"/>
                            <w:jc w:val="both"/>
                            <w:rPr>
                              <w:color w:val="000000"/>
                              <w:szCs w:val="24"/>
                              <w:lang w:eastAsia="lt-LT"/>
                            </w:rPr>
                          </w:pPr>
                          <w:r>
                            <w:rPr>
                              <w:szCs w:val="24"/>
                            </w:rPr>
                            <w:t>„</w:t>
                          </w:r>
                          <w:sdt>
                            <w:sdtPr>
                              <w:alias w:val="Numeris"/>
                              <w:tag w:val="nr_e0859caa5873495c873daf7e622d9976"/>
                              <w:id w:val="-863354112"/>
                              <w:lock w:val="sdtLocked"/>
                            </w:sdtPr>
                            <w:sdtEndPr/>
                            <w:sdtContent>
                              <w:r>
                                <w:rPr>
                                  <w:szCs w:val="24"/>
                                </w:rPr>
                                <w:t>8</w:t>
                              </w:r>
                              <w:r>
                                <w:rPr>
                                  <w:szCs w:val="24"/>
                                  <w:vertAlign w:val="superscript"/>
                                </w:rPr>
                                <w:t>1</w:t>
                              </w:r>
                            </w:sdtContent>
                          </w:sdt>
                          <w:r>
                            <w:rPr>
                              <w:szCs w:val="24"/>
                            </w:rPr>
                            <w:t>. Taisyklių 8.1 papunktyje nurodytas registracijos sąlygų neatitinkantis vaistinis preparatas, kuris įrašytas į Lietuvos Respublikos vaistinių preparatų registrą ar Lygiagrečiai importuojamų vaistinių preparatų sąrašą, pagal šias Taisykles gali būti tiek</w:t>
                          </w:r>
                          <w:r>
                            <w:rPr>
                              <w:szCs w:val="24"/>
                            </w:rPr>
                            <w:t>iamas ir skiriamas tik tiekimo sutrikimo laikotarpiu, kai Valstybinė vaistų kontrolės tarnyba prie Lietuvos Respublikos sveikatos apsaugos ministerijos (toliau – Tarnyba) savo interneto svetainėje skelbia informaciją apie vaistinio preparato laikiną arba v</w:t>
                          </w:r>
                          <w:r>
                            <w:rPr>
                              <w:szCs w:val="24"/>
                            </w:rPr>
                            <w:t>isišką tiekimo rinkai nutraukimą ir nėra galimybės šį vaistinį preparatą pakeisti kitu registruotu vaistiniu preparatu, atitinkančiu registracijos sąlygas. Registracijos sąlygų neatitinkantis vaistinis preparatas, kuris įrašytas į Bendrijos vaistinių prepa</w:t>
                          </w:r>
                          <w:r>
                            <w:rPr>
                              <w:szCs w:val="24"/>
                            </w:rPr>
                            <w:t>ratų registrą, gali būti tiekiamas ir skiriamas vadovaujantis šiomis Taisyklėmis, jeigu nėra galimybės šį vaistinį preparatą pakeisti kitu registruotu vaistiniu preparatu, atitinkančiu registracijos sąlygas. Registracijos sąlygų neatitinkantys imuniniai ir</w:t>
                          </w:r>
                          <w:r>
                            <w:rPr>
                              <w:szCs w:val="24"/>
                            </w:rPr>
                            <w:t xml:space="preserve"> (ar) kraujo vaistiniai preparatai gali būti tiekiami rinkai tik kai atitinka Lietuvos Respublikos farmacijos įstatymo 15 straipsnio 9 dalyje </w:t>
                          </w:r>
                          <w:r>
                            <w:rPr>
                              <w:bCs/>
                              <w:szCs w:val="24"/>
                            </w:rPr>
                            <w:t xml:space="preserve">ir 17 straipsnio 12 dalies 3 punkte nustatytus </w:t>
                          </w:r>
                          <w:r>
                            <w:rPr>
                              <w:szCs w:val="24"/>
                            </w:rPr>
                            <w:t>reikalavimus.“</w:t>
                          </w:r>
                          <w:r>
                            <w:rPr>
                              <w:color w:val="000000"/>
                              <w:szCs w:val="24"/>
                              <w:lang w:eastAsia="lt-LT"/>
                            </w:rPr>
                            <w:t xml:space="preserve">  </w:t>
                          </w:r>
                        </w:p>
                      </w:sdtContent>
                    </w:sdt>
                  </w:sdtContent>
                </w:sdt>
              </w:sdtContent>
            </w:sdt>
            <w:sdt>
              <w:sdtPr>
                <w:alias w:val="1.4 pp."/>
                <w:tag w:val="part_cbc31a2ccf3d46419c562d70d3b3202e"/>
                <w:id w:val="24527556"/>
                <w:lock w:val="sdtLocked"/>
              </w:sdtPr>
              <w:sdtEndPr/>
              <w:sdtContent>
                <w:p w14:paraId="3995EE5F" w14:textId="77777777" w:rsidR="00C67672" w:rsidRDefault="005F6966">
                  <w:pPr>
                    <w:ind w:firstLine="851"/>
                    <w:jc w:val="both"/>
                    <w:rPr>
                      <w:bCs/>
                      <w:color w:val="000000"/>
                      <w:szCs w:val="24"/>
                    </w:rPr>
                  </w:pPr>
                  <w:sdt>
                    <w:sdtPr>
                      <w:alias w:val="Numeris"/>
                      <w:tag w:val="nr_cbc31a2ccf3d46419c562d70d3b3202e"/>
                      <w:id w:val="-1180424600"/>
                      <w:lock w:val="sdtLocked"/>
                    </w:sdtPr>
                    <w:sdtEndPr/>
                    <w:sdtContent>
                      <w:r>
                        <w:rPr>
                          <w:szCs w:val="24"/>
                        </w:rPr>
                        <w:t>1.</w:t>
                      </w:r>
                      <w:r>
                        <w:rPr>
                          <w:bCs/>
                          <w:color w:val="000000"/>
                          <w:szCs w:val="24"/>
                        </w:rPr>
                        <w:t>4</w:t>
                      </w:r>
                    </w:sdtContent>
                  </w:sdt>
                  <w:r>
                    <w:rPr>
                      <w:bCs/>
                      <w:color w:val="000000"/>
                      <w:szCs w:val="24"/>
                    </w:rPr>
                    <w:t>. Papildau 8</w:t>
                  </w:r>
                  <w:r>
                    <w:rPr>
                      <w:bCs/>
                      <w:color w:val="000000"/>
                      <w:szCs w:val="24"/>
                      <w:vertAlign w:val="superscript"/>
                    </w:rPr>
                    <w:t>2</w:t>
                  </w:r>
                  <w:r>
                    <w:rPr>
                      <w:bCs/>
                      <w:color w:val="000000"/>
                      <w:szCs w:val="24"/>
                    </w:rPr>
                    <w:t xml:space="preserve"> punktu:</w:t>
                  </w:r>
                </w:p>
                <w:sdt>
                  <w:sdtPr>
                    <w:alias w:val="citata"/>
                    <w:tag w:val="part_724727a1c9b7412c8c5a0d194aeb48e2"/>
                    <w:id w:val="-450934233"/>
                    <w:lock w:val="sdtLocked"/>
                  </w:sdtPr>
                  <w:sdtEndPr/>
                  <w:sdtContent>
                    <w:sdt>
                      <w:sdtPr>
                        <w:alias w:val="8-2 p."/>
                        <w:tag w:val="part_95228a75db784e32a5e15cdc57f26b2a"/>
                        <w:id w:val="-149290917"/>
                        <w:lock w:val="sdtLocked"/>
                      </w:sdtPr>
                      <w:sdtEndPr/>
                      <w:sdtContent>
                        <w:p w14:paraId="47E692DF" w14:textId="77777777" w:rsidR="00C67672" w:rsidRDefault="005F6966">
                          <w:pPr>
                            <w:ind w:firstLine="851"/>
                            <w:jc w:val="both"/>
                            <w:rPr>
                              <w:bCs/>
                              <w:szCs w:val="24"/>
                            </w:rPr>
                          </w:pPr>
                          <w:r>
                            <w:rPr>
                              <w:bCs/>
                              <w:color w:val="000000"/>
                              <w:szCs w:val="24"/>
                            </w:rPr>
                            <w:t>„</w:t>
                          </w:r>
                          <w:sdt>
                            <w:sdtPr>
                              <w:alias w:val="Numeris"/>
                              <w:tag w:val="nr_95228a75db784e32a5e15cdc57f26b2a"/>
                              <w:id w:val="-1581826973"/>
                              <w:lock w:val="sdtLocked"/>
                            </w:sdtPr>
                            <w:sdtEndPr/>
                            <w:sdtContent>
                              <w:r>
                                <w:rPr>
                                  <w:bCs/>
                                  <w:color w:val="000000"/>
                                  <w:szCs w:val="24"/>
                                </w:rPr>
                                <w:t>8</w:t>
                              </w:r>
                              <w:r>
                                <w:rPr>
                                  <w:bCs/>
                                  <w:color w:val="000000"/>
                                  <w:szCs w:val="24"/>
                                  <w:vertAlign w:val="superscript"/>
                                </w:rPr>
                                <w:t>2</w:t>
                              </w:r>
                            </w:sdtContent>
                          </w:sdt>
                          <w:r>
                            <w:rPr>
                              <w:bCs/>
                              <w:color w:val="000000"/>
                              <w:szCs w:val="24"/>
                            </w:rPr>
                            <w:t>.</w:t>
                          </w:r>
                          <w:r>
                            <w:rPr>
                              <w:bCs/>
                              <w:szCs w:val="24"/>
                            </w:rPr>
                            <w:t xml:space="preserve"> Registracijos sąlygų neatitinkantys kompensuojamieji ir centralizuotai perkami vaistiniai preparatai gali būti tiekiami Lietuvos rinkai pakuotėmis užsienio kalba ir su pakuotės lapeliais, parengtais užsienio kalba, tik gavus Tarnybos leidimą tiekti vaisti</w:t>
                          </w:r>
                          <w:r>
                            <w:rPr>
                              <w:bCs/>
                              <w:szCs w:val="24"/>
                            </w:rPr>
                            <w:t>nį preparatą pakuotėmis užsienio kalba su pakuotės lapeliais užsienio kalba pagal Lietuvos Respublikos farmacijos įstatymo 8 straipsnio 16 dalies nuostatas arba gali būti tiekiami vadovaujantis Lietuvos Respublikos farmacijos įstatymo 8 straipsnio 16</w:t>
                          </w:r>
                          <w:r>
                            <w:rPr>
                              <w:bCs/>
                              <w:szCs w:val="24"/>
                              <w:vertAlign w:val="superscript"/>
                            </w:rPr>
                            <w:t>1</w:t>
                          </w:r>
                          <w:r>
                            <w:rPr>
                              <w:bCs/>
                              <w:szCs w:val="24"/>
                            </w:rPr>
                            <w:t xml:space="preserve"> dali</w:t>
                          </w:r>
                          <w:r>
                            <w:rPr>
                              <w:bCs/>
                              <w:szCs w:val="24"/>
                            </w:rPr>
                            <w:t>es nuostatomis.“</w:t>
                          </w:r>
                        </w:p>
                      </w:sdtContent>
                    </w:sdt>
                  </w:sdtContent>
                </w:sdt>
              </w:sdtContent>
            </w:sdt>
            <w:sdt>
              <w:sdtPr>
                <w:alias w:val="1.5 pp."/>
                <w:tag w:val="part_214145fc79c74f7bbf8182f0c687684b"/>
                <w:id w:val="1924910756"/>
                <w:lock w:val="sdtLocked"/>
              </w:sdtPr>
              <w:sdtEndPr/>
              <w:sdtContent>
                <w:p w14:paraId="739D3F1D" w14:textId="77777777" w:rsidR="00C67672" w:rsidRDefault="005F6966">
                  <w:pPr>
                    <w:ind w:firstLine="851"/>
                    <w:jc w:val="both"/>
                    <w:rPr>
                      <w:bCs/>
                      <w:color w:val="000000"/>
                      <w:szCs w:val="24"/>
                    </w:rPr>
                  </w:pPr>
                  <w:sdt>
                    <w:sdtPr>
                      <w:alias w:val="Numeris"/>
                      <w:tag w:val="nr_214145fc79c74f7bbf8182f0c687684b"/>
                      <w:id w:val="-1514602124"/>
                      <w:lock w:val="sdtLocked"/>
                    </w:sdtPr>
                    <w:sdtEndPr/>
                    <w:sdtContent>
                      <w:r>
                        <w:rPr>
                          <w:bCs/>
                          <w:color w:val="000000"/>
                          <w:szCs w:val="24"/>
                        </w:rPr>
                        <w:t>1.5</w:t>
                      </w:r>
                    </w:sdtContent>
                  </w:sdt>
                  <w:r>
                    <w:rPr>
                      <w:bCs/>
                      <w:color w:val="000000"/>
                      <w:szCs w:val="24"/>
                    </w:rPr>
                    <w:t>. Papildau 8</w:t>
                  </w:r>
                  <w:r>
                    <w:rPr>
                      <w:bCs/>
                      <w:color w:val="000000"/>
                      <w:szCs w:val="24"/>
                      <w:vertAlign w:val="superscript"/>
                    </w:rPr>
                    <w:t>3</w:t>
                  </w:r>
                  <w:r>
                    <w:rPr>
                      <w:bCs/>
                      <w:color w:val="000000"/>
                      <w:szCs w:val="24"/>
                    </w:rPr>
                    <w:t xml:space="preserve"> punktu:</w:t>
                  </w:r>
                </w:p>
                <w:sdt>
                  <w:sdtPr>
                    <w:alias w:val="citata"/>
                    <w:tag w:val="part_e969a79fe2934699af03767aeec58102"/>
                    <w:id w:val="1795090344"/>
                    <w:lock w:val="sdtLocked"/>
                  </w:sdtPr>
                  <w:sdtEndPr/>
                  <w:sdtContent>
                    <w:sdt>
                      <w:sdtPr>
                        <w:alias w:val="8-3 p."/>
                        <w:tag w:val="part_36f339177db24e62bbb6c91233e5a3fd"/>
                        <w:id w:val="-550684327"/>
                        <w:lock w:val="sdtLocked"/>
                      </w:sdtPr>
                      <w:sdtEndPr/>
                      <w:sdtContent>
                        <w:p w14:paraId="728B2E06" w14:textId="77777777" w:rsidR="00C67672" w:rsidRDefault="005F6966">
                          <w:pPr>
                            <w:ind w:firstLine="851"/>
                            <w:jc w:val="both"/>
                            <w:rPr>
                              <w:bCs/>
                              <w:color w:val="000000"/>
                              <w:szCs w:val="24"/>
                            </w:rPr>
                          </w:pPr>
                          <w:r>
                            <w:rPr>
                              <w:bCs/>
                              <w:color w:val="000000"/>
                              <w:szCs w:val="24"/>
                            </w:rPr>
                            <w:t>„</w:t>
                          </w:r>
                          <w:sdt>
                            <w:sdtPr>
                              <w:alias w:val="Numeris"/>
                              <w:tag w:val="nr_36f339177db24e62bbb6c91233e5a3fd"/>
                              <w:id w:val="36627967"/>
                              <w:lock w:val="sdtLocked"/>
                            </w:sdtPr>
                            <w:sdtEndPr/>
                            <w:sdtContent>
                              <w:r>
                                <w:rPr>
                                  <w:bCs/>
                                  <w:color w:val="000000"/>
                                  <w:szCs w:val="24"/>
                                </w:rPr>
                                <w:t>8</w:t>
                              </w:r>
                              <w:r>
                                <w:rPr>
                                  <w:bCs/>
                                  <w:color w:val="000000"/>
                                  <w:szCs w:val="24"/>
                                  <w:vertAlign w:val="superscript"/>
                                </w:rPr>
                                <w:t>3</w:t>
                              </w:r>
                            </w:sdtContent>
                          </w:sdt>
                          <w:r>
                            <w:rPr>
                              <w:bCs/>
                              <w:color w:val="000000"/>
                              <w:szCs w:val="24"/>
                            </w:rPr>
                            <w:t>. Taisyklių 8.2 papunktyje nurodytas neregistruotas vaistinis preparatas gali būti įrašomas į Kompensuojamųjų vaistinių preparatų kainyną ar centralizuotai perkamas tik tais atvejais, kai nėra galimybi</w:t>
                          </w:r>
                          <w:r>
                            <w:rPr>
                              <w:bCs/>
                              <w:color w:val="000000"/>
                              <w:szCs w:val="24"/>
                            </w:rPr>
                            <w:t>ų į Kompensuojamųjų vaistinių preparatų kainyną įrašyti ar centralizuotai nupirkti registruotą vaistinį preparatą lietuviškomis pakuotėmis ir su pakuotės lapeliais lietuvių kalba, o jei tokio nėra, – Taisyklių 8</w:t>
                          </w:r>
                          <w:r>
                            <w:rPr>
                              <w:bCs/>
                              <w:color w:val="000000"/>
                              <w:szCs w:val="24"/>
                              <w:vertAlign w:val="superscript"/>
                            </w:rPr>
                            <w:t>2</w:t>
                          </w:r>
                          <w:r>
                            <w:rPr>
                              <w:bCs/>
                              <w:color w:val="000000"/>
                              <w:szCs w:val="24"/>
                            </w:rPr>
                            <w:t xml:space="preserve"> punktą atitinkantį registruotą vaistinį pre</w:t>
                          </w:r>
                          <w:r>
                            <w:rPr>
                              <w:bCs/>
                              <w:color w:val="000000"/>
                              <w:szCs w:val="24"/>
                            </w:rPr>
                            <w:t>paratą užsienio kalba paženklintomis pakuotėmis ir su pakuotės lapeliais, parengtais užsienio kalba. Jeigu į Kompensuojamųjų vaistinių preparatų kainyną įrašomas ar centralizuotai perkamas neregistruotas vaistinis preparatas, jis turi būti registruotas ben</w:t>
                          </w:r>
                          <w:r>
                            <w:rPr>
                              <w:bCs/>
                              <w:color w:val="000000"/>
                              <w:szCs w:val="24"/>
                            </w:rPr>
                            <w:t xml:space="preserve">t vienoje kitoje EEE valstybėje, o jeigu nėra registruoto kitoje EEE valstybėje, jis turi būti registruotas trečiojoje šalyje, kurioje yra pagamintas. Neregistruoti vaistiniai preparatai negali būti įrašomi į Kompensuojamųjų vaistinių preparatų kainyną ar </w:t>
                          </w:r>
                          <w:r>
                            <w:rPr>
                              <w:bCs/>
                              <w:color w:val="000000"/>
                              <w:szCs w:val="24"/>
                            </w:rPr>
                            <w:t xml:space="preserve">centralizuotai perkami remiantis vien tik finansiniais sumetimais.“ </w:t>
                          </w:r>
                        </w:p>
                      </w:sdtContent>
                    </w:sdt>
                  </w:sdtContent>
                </w:sdt>
              </w:sdtContent>
            </w:sdt>
            <w:sdt>
              <w:sdtPr>
                <w:alias w:val="1.6 pp."/>
                <w:tag w:val="part_3e114353e33c4d0098c345d94662049a"/>
                <w:id w:val="-49918403"/>
                <w:lock w:val="sdtLocked"/>
              </w:sdtPr>
              <w:sdtEndPr/>
              <w:sdtContent>
                <w:p w14:paraId="60718AFF" w14:textId="77777777" w:rsidR="00C67672" w:rsidRDefault="005F6966">
                  <w:pPr>
                    <w:ind w:firstLine="851"/>
                    <w:jc w:val="both"/>
                    <w:rPr>
                      <w:bCs/>
                      <w:color w:val="000000"/>
                      <w:szCs w:val="24"/>
                    </w:rPr>
                  </w:pPr>
                  <w:sdt>
                    <w:sdtPr>
                      <w:alias w:val="Numeris"/>
                      <w:tag w:val="nr_3e114353e33c4d0098c345d94662049a"/>
                      <w:id w:val="-940756228"/>
                      <w:lock w:val="sdtLocked"/>
                    </w:sdtPr>
                    <w:sdtEndPr/>
                    <w:sdtContent>
                      <w:r>
                        <w:rPr>
                          <w:bCs/>
                          <w:color w:val="000000"/>
                          <w:szCs w:val="24"/>
                        </w:rPr>
                        <w:t>1.6</w:t>
                      </w:r>
                    </w:sdtContent>
                  </w:sdt>
                  <w:r>
                    <w:rPr>
                      <w:bCs/>
                      <w:color w:val="000000"/>
                      <w:szCs w:val="24"/>
                    </w:rPr>
                    <w:t>. Papildau 8</w:t>
                  </w:r>
                  <w:r>
                    <w:rPr>
                      <w:bCs/>
                      <w:color w:val="000000"/>
                      <w:szCs w:val="24"/>
                      <w:vertAlign w:val="superscript"/>
                    </w:rPr>
                    <w:t>4</w:t>
                  </w:r>
                  <w:r>
                    <w:rPr>
                      <w:bCs/>
                      <w:color w:val="000000"/>
                      <w:szCs w:val="24"/>
                    </w:rPr>
                    <w:t xml:space="preserve"> punktu:</w:t>
                  </w:r>
                </w:p>
                <w:sdt>
                  <w:sdtPr>
                    <w:alias w:val="citata"/>
                    <w:tag w:val="part_a741f316a6a54b5d8153e752306a991b"/>
                    <w:id w:val="-905146166"/>
                    <w:lock w:val="sdtLocked"/>
                  </w:sdtPr>
                  <w:sdtEndPr/>
                  <w:sdtContent>
                    <w:sdt>
                      <w:sdtPr>
                        <w:alias w:val="8-4 p."/>
                        <w:tag w:val="part_a921c2fbdd284b349c75188da0c51c11"/>
                        <w:id w:val="1598367076"/>
                        <w:lock w:val="sdtLocked"/>
                      </w:sdtPr>
                      <w:sdtEndPr/>
                      <w:sdtContent>
                        <w:p w14:paraId="7EEE4B59" w14:textId="77777777" w:rsidR="00C67672" w:rsidRDefault="005F6966">
                          <w:pPr>
                            <w:widowControl w:val="0"/>
                            <w:suppressAutoHyphens/>
                            <w:ind w:firstLine="851"/>
                            <w:jc w:val="both"/>
                            <w:rPr>
                              <w:strike/>
                              <w:szCs w:val="24"/>
                            </w:rPr>
                          </w:pPr>
                          <w:r>
                            <w:rPr>
                              <w:szCs w:val="24"/>
                            </w:rPr>
                            <w:t>„</w:t>
                          </w:r>
                          <w:sdt>
                            <w:sdtPr>
                              <w:alias w:val="Numeris"/>
                              <w:tag w:val="nr_a921c2fbdd284b349c75188da0c51c11"/>
                              <w:id w:val="1232658983"/>
                              <w:lock w:val="sdtLocked"/>
                            </w:sdtPr>
                            <w:sdtEndPr/>
                            <w:sdtContent>
                              <w:r>
                                <w:rPr>
                                  <w:szCs w:val="24"/>
                                </w:rPr>
                                <w:t>8</w:t>
                              </w:r>
                              <w:r>
                                <w:rPr>
                                  <w:szCs w:val="24"/>
                                  <w:vertAlign w:val="superscript"/>
                                </w:rPr>
                                <w:t>4</w:t>
                              </w:r>
                            </w:sdtContent>
                          </w:sdt>
                          <w:r>
                            <w:rPr>
                              <w:szCs w:val="24"/>
                            </w:rPr>
                            <w:t xml:space="preserve">. </w:t>
                          </w:r>
                          <w:r>
                            <w:rPr>
                              <w:color w:val="000000"/>
                              <w:szCs w:val="24"/>
                            </w:rPr>
                            <w:t>Kai vadovaujantis šiomis Taisyklėmis skiriami Taisyklių 8.2 papunktyje nurodyti kompensuojamieji ar centralizuotai perkami neregistruoti vaistiniai</w:t>
                          </w:r>
                          <w:r>
                            <w:rPr>
                              <w:color w:val="000000"/>
                              <w:szCs w:val="24"/>
                            </w:rPr>
                            <w:t xml:space="preserve"> preparatai, jiems netaikomi Taisyklių 3, 10, 12 (išskyrus reikalavimą gydytojui pateikti informaciją apie skiriamą vaistinį preparatą), 14, 15.1–15.3, 16, 17–23, 25 punktų reikalavimai, o išrašant, tiekiant ir parduodant (išduodant) šiuos vaistinius prepa</w:t>
                          </w:r>
                          <w:r>
                            <w:rPr>
                              <w:color w:val="000000"/>
                              <w:szCs w:val="24"/>
                            </w:rPr>
                            <w:t>ratus vadovaujamasi Lietuvos Respublikos teisės aktais, reglamentuojančiais kompensuojamuosius ir centralizuotai perkamus vaistinius preparatus.</w:t>
                          </w:r>
                          <w:r>
                            <w:rPr>
                              <w:szCs w:val="24"/>
                            </w:rPr>
                            <w:t>“</w:t>
                          </w:r>
                        </w:p>
                      </w:sdtContent>
                    </w:sdt>
                  </w:sdtContent>
                </w:sdt>
              </w:sdtContent>
            </w:sdt>
            <w:sdt>
              <w:sdtPr>
                <w:alias w:val="1.7 pp."/>
                <w:tag w:val="part_94ea7c0db450487384ab9198a03ed41c"/>
                <w:id w:val="2033907200"/>
                <w:lock w:val="sdtLocked"/>
              </w:sdtPr>
              <w:sdtEndPr/>
              <w:sdtContent>
                <w:p w14:paraId="16CD990F" w14:textId="77777777" w:rsidR="00C67672" w:rsidRDefault="005F6966">
                  <w:pPr>
                    <w:ind w:firstLine="851"/>
                    <w:jc w:val="both"/>
                    <w:rPr>
                      <w:szCs w:val="24"/>
                    </w:rPr>
                  </w:pPr>
                  <w:sdt>
                    <w:sdtPr>
                      <w:alias w:val="Numeris"/>
                      <w:tag w:val="nr_94ea7c0db450487384ab9198a03ed41c"/>
                      <w:id w:val="-938365684"/>
                      <w:lock w:val="sdtLocked"/>
                    </w:sdtPr>
                    <w:sdtEndPr/>
                    <w:sdtContent>
                      <w:r>
                        <w:rPr>
                          <w:szCs w:val="24"/>
                        </w:rPr>
                        <w:t>1.7</w:t>
                      </w:r>
                    </w:sdtContent>
                  </w:sdt>
                  <w:r>
                    <w:rPr>
                      <w:szCs w:val="24"/>
                    </w:rPr>
                    <w:t>. Pakeičiu 9.2 papunktį ir jį išdėstau taip:</w:t>
                  </w:r>
                </w:p>
                <w:sdt>
                  <w:sdtPr>
                    <w:alias w:val="citata"/>
                    <w:tag w:val="part_52ec3b540f034792aaac90783c8b3488"/>
                    <w:id w:val="-552540956"/>
                    <w:lock w:val="sdtLocked"/>
                  </w:sdtPr>
                  <w:sdtEndPr/>
                  <w:sdtContent>
                    <w:sdt>
                      <w:sdtPr>
                        <w:alias w:val="9.2 pp."/>
                        <w:tag w:val="part_61fc9c4f889c4ca89a75531c009dd975"/>
                        <w:id w:val="-911084078"/>
                        <w:lock w:val="sdtLocked"/>
                      </w:sdtPr>
                      <w:sdtEndPr/>
                      <w:sdtContent>
                        <w:p w14:paraId="6875945C" w14:textId="77777777" w:rsidR="00C67672" w:rsidRDefault="005F6966">
                          <w:pPr>
                            <w:ind w:firstLine="851"/>
                            <w:jc w:val="both"/>
                            <w:rPr>
                              <w:szCs w:val="24"/>
                            </w:rPr>
                          </w:pPr>
                          <w:r>
                            <w:rPr>
                              <w:szCs w:val="24"/>
                            </w:rPr>
                            <w:t>„</w:t>
                          </w:r>
                          <w:sdt>
                            <w:sdtPr>
                              <w:alias w:val="Numeris"/>
                              <w:tag w:val="nr_61fc9c4f889c4ca89a75531c009dd975"/>
                              <w:id w:val="34552603"/>
                              <w:lock w:val="sdtLocked"/>
                            </w:sdtPr>
                            <w:sdtEndPr/>
                            <w:sdtContent>
                              <w:r>
                                <w:rPr>
                                  <w:szCs w:val="24"/>
                                </w:rPr>
                                <w:t>9.2</w:t>
                              </w:r>
                            </w:sdtContent>
                          </w:sdt>
                          <w:r>
                            <w:rPr>
                              <w:szCs w:val="24"/>
                            </w:rPr>
                            <w:t xml:space="preserve">. </w:t>
                          </w:r>
                          <w:r>
                            <w:rPr>
                              <w:b/>
                              <w:bCs/>
                              <w:szCs w:val="24"/>
                            </w:rPr>
                            <w:t>Neregistruoti vaistiniai preparatai</w:t>
                          </w:r>
                          <w:r>
                            <w:rPr>
                              <w:szCs w:val="24"/>
                            </w:rPr>
                            <w:t xml:space="preserve"> – vaistini</w:t>
                          </w:r>
                          <w:r>
                            <w:rPr>
                              <w:szCs w:val="24"/>
                            </w:rPr>
                            <w:t xml:space="preserve">ai preparatai, neįrašyti į Lietuvos Respublikos ar Bendrijos vaistinių preparatų registrą </w:t>
                          </w:r>
                          <w:r>
                            <w:rPr>
                              <w:bCs/>
                              <w:szCs w:val="24"/>
                            </w:rPr>
                            <w:t>arba Lygiagrečiai importuojamų vaistinių preparatų sąrašą.“</w:t>
                          </w:r>
                        </w:p>
                      </w:sdtContent>
                    </w:sdt>
                  </w:sdtContent>
                </w:sdt>
              </w:sdtContent>
            </w:sdt>
            <w:sdt>
              <w:sdtPr>
                <w:alias w:val="1.8 pp."/>
                <w:tag w:val="part_2030023aa87344f784301d3c3cfbd896"/>
                <w:id w:val="-1700467243"/>
                <w:lock w:val="sdtLocked"/>
              </w:sdtPr>
              <w:sdtEndPr/>
              <w:sdtContent>
                <w:p w14:paraId="01C98B4E" w14:textId="77777777" w:rsidR="00C67672" w:rsidRDefault="005F6966">
                  <w:pPr>
                    <w:ind w:firstLine="851"/>
                    <w:jc w:val="both"/>
                    <w:rPr>
                      <w:szCs w:val="24"/>
                    </w:rPr>
                  </w:pPr>
                  <w:sdt>
                    <w:sdtPr>
                      <w:alias w:val="Numeris"/>
                      <w:tag w:val="nr_2030023aa87344f784301d3c3cfbd896"/>
                      <w:id w:val="-676201967"/>
                      <w:lock w:val="sdtLocked"/>
                    </w:sdtPr>
                    <w:sdtEndPr/>
                    <w:sdtContent>
                      <w:r>
                        <w:rPr>
                          <w:szCs w:val="24"/>
                        </w:rPr>
                        <w:t>1.8</w:t>
                      </w:r>
                    </w:sdtContent>
                  </w:sdt>
                  <w:r>
                    <w:rPr>
                      <w:szCs w:val="24"/>
                    </w:rPr>
                    <w:t>. Pakeičiu 20 punktą ir jį išdėstau taip:</w:t>
                  </w:r>
                </w:p>
                <w:sdt>
                  <w:sdtPr>
                    <w:alias w:val="citata"/>
                    <w:tag w:val="part_b86cff2995ac438eacf8bb78dd983ff1"/>
                    <w:id w:val="-495877992"/>
                    <w:lock w:val="sdtLocked"/>
                  </w:sdtPr>
                  <w:sdtEndPr/>
                  <w:sdtContent>
                    <w:sdt>
                      <w:sdtPr>
                        <w:alias w:val="20 p."/>
                        <w:tag w:val="part_cd7985800f1449f8b7850f03105d9032"/>
                        <w:id w:val="-796063840"/>
                        <w:lock w:val="sdtLocked"/>
                      </w:sdtPr>
                      <w:sdtEndPr/>
                      <w:sdtContent>
                        <w:p w14:paraId="2BF1E8CF" w14:textId="77777777" w:rsidR="00C67672" w:rsidRDefault="005F6966">
                          <w:pPr>
                            <w:ind w:firstLine="851"/>
                            <w:jc w:val="both"/>
                            <w:rPr>
                              <w:szCs w:val="24"/>
                            </w:rPr>
                          </w:pPr>
                          <w:r>
                            <w:rPr>
                              <w:szCs w:val="24"/>
                            </w:rPr>
                            <w:t>„</w:t>
                          </w:r>
                          <w:sdt>
                            <w:sdtPr>
                              <w:alias w:val="Numeris"/>
                              <w:tag w:val="nr_cd7985800f1449f8b7850f03105d9032"/>
                              <w:id w:val="-1150669487"/>
                              <w:lock w:val="sdtLocked"/>
                            </w:sdtPr>
                            <w:sdtEndPr/>
                            <w:sdtContent>
                              <w:r>
                                <w:rPr>
                                  <w:szCs w:val="24"/>
                                </w:rPr>
                                <w:t>20</w:t>
                              </w:r>
                            </w:sdtContent>
                          </w:sdt>
                          <w:r>
                            <w:rPr>
                              <w:szCs w:val="24"/>
                            </w:rPr>
                            <w:t>. Platinimo įmonė, gavusi vardinio vaistinio pre</w:t>
                          </w:r>
                          <w:r>
                            <w:rPr>
                              <w:szCs w:val="24"/>
                            </w:rPr>
                            <w:t xml:space="preserve">parato užsakymo patvirtinimą, turi jį kuo skubiau įvežti / importuoti bei pateikti užsakiusiai vaistinei ar asmens sveikatos priežiūros įstaigai. Vaistiniai preparatai turi atitikti Taisyklių 4 punkto </w:t>
                          </w:r>
                          <w:r>
                            <w:rPr>
                              <w:bCs/>
                              <w:szCs w:val="24"/>
                            </w:rPr>
                            <w:t>ir III</w:t>
                          </w:r>
                          <w:r>
                            <w:rPr>
                              <w:bCs/>
                              <w:szCs w:val="24"/>
                              <w:vertAlign w:val="superscript"/>
                            </w:rPr>
                            <w:t>1</w:t>
                          </w:r>
                          <w:r>
                            <w:rPr>
                              <w:bCs/>
                              <w:szCs w:val="24"/>
                            </w:rPr>
                            <w:t xml:space="preserve"> skyriaus</w:t>
                          </w:r>
                          <w:r>
                            <w:rPr>
                              <w:szCs w:val="24"/>
                            </w:rPr>
                            <w:t xml:space="preserve"> reikalavimus, juos galima įvežti / importuoti tik iš juridinių asmenų, turinčių teisę gaminti ar platinti vaistinius preparatus pagal šalies, kurioje jie vykdo savo veiklą, teisės aktus.“</w:t>
                          </w:r>
                        </w:p>
                      </w:sdtContent>
                    </w:sdt>
                  </w:sdtContent>
                </w:sdt>
              </w:sdtContent>
            </w:sdt>
            <w:sdt>
              <w:sdtPr>
                <w:alias w:val="1.9 pp."/>
                <w:tag w:val="part_181b818cd98045b69b9b1f17b8b3f1f6"/>
                <w:id w:val="-1999181824"/>
                <w:lock w:val="sdtLocked"/>
              </w:sdtPr>
              <w:sdtEndPr/>
              <w:sdtContent>
                <w:p w14:paraId="7A7D0CE3" w14:textId="77777777" w:rsidR="00C67672" w:rsidRDefault="005F6966">
                  <w:pPr>
                    <w:ind w:firstLine="851"/>
                    <w:jc w:val="both"/>
                    <w:rPr>
                      <w:szCs w:val="24"/>
                    </w:rPr>
                  </w:pPr>
                  <w:sdt>
                    <w:sdtPr>
                      <w:alias w:val="Numeris"/>
                      <w:tag w:val="nr_181b818cd98045b69b9b1f17b8b3f1f6"/>
                      <w:id w:val="2042005338"/>
                      <w:lock w:val="sdtLocked"/>
                    </w:sdtPr>
                    <w:sdtEndPr/>
                    <w:sdtContent>
                      <w:r>
                        <w:rPr>
                          <w:szCs w:val="24"/>
                        </w:rPr>
                        <w:t>1.9</w:t>
                      </w:r>
                    </w:sdtContent>
                  </w:sdt>
                  <w:r>
                    <w:rPr>
                      <w:szCs w:val="24"/>
                    </w:rPr>
                    <w:t>. Papildau III</w:t>
                  </w:r>
                  <w:r>
                    <w:rPr>
                      <w:szCs w:val="24"/>
                      <w:vertAlign w:val="superscript"/>
                    </w:rPr>
                    <w:t>1</w:t>
                  </w:r>
                  <w:r>
                    <w:rPr>
                      <w:szCs w:val="24"/>
                    </w:rPr>
                    <w:t xml:space="preserve"> skyriumi:</w:t>
                  </w:r>
                </w:p>
                <w:sdt>
                  <w:sdtPr>
                    <w:alias w:val="citata"/>
                    <w:tag w:val="part_d0ef3e55c1934043b76c71f101335d21"/>
                    <w:id w:val="-1509437783"/>
                    <w:lock w:val="sdtLocked"/>
                  </w:sdtPr>
                  <w:sdtEndPr/>
                  <w:sdtContent>
                    <w:sdt>
                      <w:sdtPr>
                        <w:alias w:val="skyrius"/>
                        <w:tag w:val="part_185b6a29eced4918b182844f49337c45"/>
                        <w:id w:val="1258014297"/>
                        <w:lock w:val="sdtLocked"/>
                      </w:sdtPr>
                      <w:sdtEndPr/>
                      <w:sdtContent>
                        <w:p w14:paraId="2A646072" w14:textId="77777777" w:rsidR="00C67672" w:rsidRDefault="005F6966">
                          <w:pPr>
                            <w:jc w:val="center"/>
                            <w:rPr>
                              <w:b/>
                              <w:szCs w:val="24"/>
                            </w:rPr>
                          </w:pPr>
                          <w:r>
                            <w:rPr>
                              <w:bCs/>
                              <w:szCs w:val="24"/>
                            </w:rPr>
                            <w:t>„</w:t>
                          </w:r>
                          <w:sdt>
                            <w:sdtPr>
                              <w:alias w:val="Numeris"/>
                              <w:tag w:val="nr_185b6a29eced4918b182844f49337c45"/>
                              <w:id w:val="-438679218"/>
                              <w:lock w:val="sdtLocked"/>
                            </w:sdtPr>
                            <w:sdtEndPr/>
                            <w:sdtContent>
                              <w:r>
                                <w:rPr>
                                  <w:b/>
                                  <w:szCs w:val="24"/>
                                </w:rPr>
                                <w:t>III</w:t>
                              </w:r>
                              <w:r>
                                <w:rPr>
                                  <w:b/>
                                  <w:szCs w:val="24"/>
                                  <w:vertAlign w:val="superscript"/>
                                </w:rPr>
                                <w:t>1</w:t>
                              </w:r>
                            </w:sdtContent>
                          </w:sdt>
                          <w:r>
                            <w:rPr>
                              <w:b/>
                              <w:szCs w:val="24"/>
                            </w:rPr>
                            <w:t xml:space="preserve"> SKYRIUS</w:t>
                          </w:r>
                        </w:p>
                        <w:p w14:paraId="67D4B22E" w14:textId="77777777" w:rsidR="00C67672" w:rsidRDefault="005F6966">
                          <w:pPr>
                            <w:ind w:left="1276"/>
                            <w:jc w:val="center"/>
                            <w:rPr>
                              <w:b/>
                              <w:szCs w:val="24"/>
                            </w:rPr>
                          </w:pPr>
                          <w:sdt>
                            <w:sdtPr>
                              <w:alias w:val="Pavadinimas"/>
                              <w:tag w:val="title_185b6a29eced4918b182844f49337c45"/>
                              <w:id w:val="-1755665437"/>
                              <w:lock w:val="sdtLocked"/>
                            </w:sdtPr>
                            <w:sdtEndPr/>
                            <w:sdtContent>
                              <w:r>
                                <w:rPr>
                                  <w:b/>
                                  <w:szCs w:val="24"/>
                                </w:rPr>
                                <w:t>SPECIALIEJI NE</w:t>
                              </w:r>
                              <w:r>
                                <w:rPr>
                                  <w:b/>
                                  <w:szCs w:val="24"/>
                                </w:rPr>
                                <w:t>REGISTRUOTŲ IMUNINIŲ IR KRAUJO VAISTINIŲ PREPARATŲ TIEKIMO REIKALAVIMAI</w:t>
                              </w:r>
                            </w:sdtContent>
                          </w:sdt>
                        </w:p>
                        <w:p w14:paraId="65C47476" w14:textId="77777777" w:rsidR="00C67672" w:rsidRDefault="00C67672">
                          <w:pPr>
                            <w:ind w:left="1276"/>
                            <w:jc w:val="center"/>
                            <w:rPr>
                              <w:b/>
                              <w:szCs w:val="24"/>
                            </w:rPr>
                          </w:pPr>
                        </w:p>
                        <w:sdt>
                          <w:sdtPr>
                            <w:alias w:val="22-1 p."/>
                            <w:tag w:val="part_7088f63f142e48509ad29de58f7e66a5"/>
                            <w:id w:val="684245819"/>
                            <w:lock w:val="sdtLocked"/>
                          </w:sdtPr>
                          <w:sdtEndPr/>
                          <w:sdtContent>
                            <w:p w14:paraId="3CB4C655" w14:textId="77777777" w:rsidR="00C67672" w:rsidRDefault="005F6966">
                              <w:pPr>
                                <w:ind w:firstLine="851"/>
                                <w:jc w:val="both"/>
                                <w:rPr>
                                  <w:bCs/>
                                  <w:szCs w:val="24"/>
                                </w:rPr>
                              </w:pPr>
                              <w:sdt>
                                <w:sdtPr>
                                  <w:alias w:val="Numeris"/>
                                  <w:tag w:val="nr_7088f63f142e48509ad29de58f7e66a5"/>
                                  <w:id w:val="-1999101136"/>
                                  <w:lock w:val="sdtLocked"/>
                                </w:sdtPr>
                                <w:sdtEndPr/>
                                <w:sdtContent>
                                  <w:r>
                                    <w:rPr>
                                      <w:bCs/>
                                      <w:szCs w:val="24"/>
                                    </w:rPr>
                                    <w:t>22</w:t>
                                  </w:r>
                                  <w:r>
                                    <w:rPr>
                                      <w:bCs/>
                                      <w:szCs w:val="24"/>
                                      <w:vertAlign w:val="superscript"/>
                                    </w:rPr>
                                    <w:t>1</w:t>
                                  </w:r>
                                </w:sdtContent>
                              </w:sdt>
                              <w:r>
                                <w:rPr>
                                  <w:bCs/>
                                  <w:szCs w:val="24"/>
                                </w:rPr>
                                <w:t>. Platinimo įmonė turi teisę tiekti neregistruotus imuninius ir (ar) kraujo vaistinius preparatus (jų serijas ar serijos dalį) vaistinėms ir asmens sveikatos priežiūros įstaigo</w:t>
                              </w:r>
                              <w:r>
                                <w:rPr>
                                  <w:bCs/>
                                  <w:szCs w:val="24"/>
                                </w:rPr>
                                <w:t xml:space="preserve">ms, jeigu numatomai tiekti imuninio ir (ar) kraujo vaistinio preparato serijai yra išduotas </w:t>
                              </w:r>
                              <w:r>
                                <w:rPr>
                                  <w:bCs/>
                                  <w:color w:val="000000"/>
                                  <w:szCs w:val="24"/>
                                </w:rPr>
                                <w:t xml:space="preserve">EEE valstybės </w:t>
                              </w:r>
                              <w:r>
                                <w:rPr>
                                  <w:bCs/>
                                  <w:szCs w:val="24"/>
                                </w:rPr>
                                <w:t>arba valstybės, su kuria Europos Sąjunga yra pasirašiusi susitarimą dėl oficialaus serijos išleidimo pripažinimo,</w:t>
                              </w:r>
                              <w:r>
                                <w:rPr>
                                  <w:bCs/>
                                  <w:color w:val="000000"/>
                                  <w:szCs w:val="24"/>
                                </w:rPr>
                                <w:t xml:space="preserve"> oficialios kontrolės institucijos se</w:t>
                              </w:r>
                              <w:r>
                                <w:rPr>
                                  <w:bCs/>
                                  <w:color w:val="000000"/>
                                  <w:szCs w:val="24"/>
                                </w:rPr>
                                <w:t>rijos išleidimo pažymėjimas</w:t>
                              </w:r>
                              <w:r>
                                <w:rPr>
                                  <w:bCs/>
                                  <w:szCs w:val="24"/>
                                </w:rPr>
                                <w:t xml:space="preserve"> </w:t>
                              </w:r>
                              <w:r>
                                <w:rPr>
                                  <w:bCs/>
                                  <w:color w:val="000000"/>
                                  <w:szCs w:val="24"/>
                                </w:rPr>
                                <w:t>(toliau – EEE serijos išleidimo pažymėjimas). Išimtiniais atvejais, kai nėra galimybės patiekti imuninio vaistinio preparato, kurio serijai yra išduotas EEE serijos išleidimo pažymėjimas, gali būti tiekiamas neregistruotas imuni</w:t>
                              </w:r>
                              <w:r>
                                <w:rPr>
                                  <w:bCs/>
                                  <w:color w:val="000000"/>
                                  <w:szCs w:val="24"/>
                                </w:rPr>
                                <w:t xml:space="preserve">nis vaistinis preparatas, kurio serijai yra išduotas trečiosios šalies kompetentingos institucijos imuninio vaistinio preparato serijos išleidimo pažymėjimas pagal galiojančias Pasaulio sveikatos organizacijos biologinio standartizacijos ekspertų komiteto </w:t>
                              </w:r>
                              <w:r>
                                <w:rPr>
                                  <w:bCs/>
                                  <w:color w:val="000000"/>
                                  <w:szCs w:val="24"/>
                                </w:rPr>
                                <w:t>rekomendacijas dėl atitinkamų imuninių vaistinių preparatų serijos išleidimo (toliau – PSO serijos išleidimo pažymėjimas) ir yra imuninio vaistinio preparato gamintojo parengtas planuojamos įvežti serijos suvestinis gamybos ir kontrolės protokolas</w:t>
                              </w:r>
                              <w:r>
                                <w:rPr>
                                  <w:bCs/>
                                  <w:szCs w:val="24"/>
                                </w:rPr>
                                <w:t xml:space="preserve">. </w:t>
                              </w:r>
                            </w:p>
                          </w:sdtContent>
                        </w:sdt>
                        <w:sdt>
                          <w:sdtPr>
                            <w:alias w:val="22-2 p."/>
                            <w:tag w:val="part_c13d41f99b984f8cabf7aa0c3e2235b2"/>
                            <w:id w:val="110718959"/>
                            <w:lock w:val="sdtLocked"/>
                          </w:sdtPr>
                          <w:sdtEndPr/>
                          <w:sdtContent>
                            <w:p w14:paraId="7E298131" w14:textId="77777777" w:rsidR="00C67672" w:rsidRDefault="005F6966">
                              <w:pPr>
                                <w:ind w:firstLine="851"/>
                                <w:jc w:val="both"/>
                                <w:rPr>
                                  <w:bCs/>
                                  <w:strike/>
                                  <w:color w:val="000000"/>
                                  <w:szCs w:val="24"/>
                                </w:rPr>
                              </w:pPr>
                              <w:sdt>
                                <w:sdtPr>
                                  <w:alias w:val="Numeris"/>
                                  <w:tag w:val="nr_c13d41f99b984f8cabf7aa0c3e2235b2"/>
                                  <w:id w:val="250244860"/>
                                  <w:lock w:val="sdtLocked"/>
                                </w:sdtPr>
                                <w:sdtEndPr/>
                                <w:sdtContent>
                                  <w:r>
                                    <w:rPr>
                                      <w:bCs/>
                                      <w:szCs w:val="24"/>
                                    </w:rPr>
                                    <w:t>22</w:t>
                                  </w:r>
                                  <w:r>
                                    <w:rPr>
                                      <w:bCs/>
                                      <w:szCs w:val="24"/>
                                      <w:vertAlign w:val="superscript"/>
                                    </w:rPr>
                                    <w:t>2</w:t>
                                  </w:r>
                                </w:sdtContent>
                              </w:sdt>
                              <w:r>
                                <w:rPr>
                                  <w:bCs/>
                                  <w:szCs w:val="24"/>
                                </w:rPr>
                                <w:t xml:space="preserve">. </w:t>
                              </w:r>
                              <w:r>
                                <w:rPr>
                                  <w:bCs/>
                                  <w:color w:val="000000"/>
                                  <w:szCs w:val="24"/>
                                </w:rPr>
                                <w:t xml:space="preserve">EEE serijos išleidimo pažymėjimas ar PSO serijos išleidimo pažymėjimas turi būti išduotas būtent to pavadinimo neregistruotam imuniniam ir (ar) kraujo vaistiniam preparatui ir </w:t>
                              </w:r>
                              <w:r>
                                <w:rPr>
                                  <w:bCs/>
                                  <w:color w:val="000000"/>
                                  <w:szCs w:val="24"/>
                                </w:rPr>
                                <w:lastRenderedPageBreak/>
                                <w:t>būtent tai serijai, kurią numatoma tiekti. PSO serijos išleidimo pažymėjimas</w:t>
                              </w:r>
                              <w:r>
                                <w:rPr>
                                  <w:bCs/>
                                  <w:szCs w:val="24"/>
                                </w:rPr>
                                <w:t xml:space="preserve"> </w:t>
                              </w:r>
                              <w:r>
                                <w:rPr>
                                  <w:bCs/>
                                  <w:szCs w:val="24"/>
                                </w:rPr>
                                <w:t xml:space="preserve">turi būti išduotas </w:t>
                              </w:r>
                              <w:r>
                                <w:rPr>
                                  <w:bCs/>
                                  <w:color w:val="000000"/>
                                  <w:szCs w:val="24"/>
                                </w:rPr>
                                <w:t xml:space="preserve">trečiosios šalies </w:t>
                              </w:r>
                              <w:r>
                                <w:rPr>
                                  <w:bCs/>
                                  <w:szCs w:val="24"/>
                                </w:rPr>
                                <w:t xml:space="preserve">kompetentingos institucijos. EEE serijos išleidimo pažymėjimo išdavimo faktas nustatomas naudojantis </w:t>
                              </w:r>
                              <w:r>
                                <w:rPr>
                                  <w:bCs/>
                                  <w:color w:val="000000"/>
                                  <w:szCs w:val="24"/>
                                </w:rPr>
                                <w:t>Europos Tarybos Europos vaistų ir sveikatos priežiūros kokybės direktorato oficialios kontrolės institucijos serijos i</w:t>
                              </w:r>
                              <w:r>
                                <w:rPr>
                                  <w:bCs/>
                                  <w:color w:val="000000"/>
                                  <w:szCs w:val="24"/>
                                </w:rPr>
                                <w:t>šleidimo pažymėjimų duomenų baze (toliau – EDQM duomenų bazė) pagal imuninio ir (ar) kraujo vaistinio preparato pavadinimą, veikliosios (-</w:t>
                              </w:r>
                              <w:proofErr w:type="spellStart"/>
                              <w:r>
                                <w:rPr>
                                  <w:bCs/>
                                  <w:color w:val="000000"/>
                                  <w:szCs w:val="24"/>
                                </w:rPr>
                                <w:t>iujų</w:t>
                              </w:r>
                              <w:proofErr w:type="spellEnd"/>
                              <w:r>
                                <w:rPr>
                                  <w:bCs/>
                                  <w:color w:val="000000"/>
                                  <w:szCs w:val="24"/>
                                </w:rPr>
                                <w:t>) medžiagos (-ų) pavadinimą (-</w:t>
                              </w:r>
                              <w:proofErr w:type="spellStart"/>
                              <w:r>
                                <w:rPr>
                                  <w:bCs/>
                                  <w:color w:val="000000"/>
                                  <w:szCs w:val="24"/>
                                </w:rPr>
                                <w:t>us</w:t>
                              </w:r>
                              <w:proofErr w:type="spellEnd"/>
                              <w:r>
                                <w:rPr>
                                  <w:bCs/>
                                  <w:color w:val="000000"/>
                                  <w:szCs w:val="24"/>
                                </w:rPr>
                                <w:t xml:space="preserve">) ir serijos numerį bei </w:t>
                              </w:r>
                              <w:r>
                                <w:rPr>
                                  <w:bCs/>
                                  <w:szCs w:val="24"/>
                                </w:rPr>
                                <w:t xml:space="preserve">gamintojo, atsakingo už imuninio ir (ar) kraujo vaistinio </w:t>
                              </w:r>
                              <w:r>
                                <w:rPr>
                                  <w:bCs/>
                                  <w:szCs w:val="24"/>
                                </w:rPr>
                                <w:t>preparato serijos išleidimą, pavadinimą.</w:t>
                              </w:r>
                              <w:r>
                                <w:rPr>
                                  <w:bCs/>
                                  <w:color w:val="000000"/>
                                  <w:szCs w:val="24"/>
                                </w:rPr>
                                <w:t xml:space="preserve"> </w:t>
                              </w:r>
                            </w:p>
                          </w:sdtContent>
                        </w:sdt>
                        <w:sdt>
                          <w:sdtPr>
                            <w:alias w:val="22-3 p."/>
                            <w:tag w:val="part_b6c134ed290e4458accb53fb78246b23"/>
                            <w:id w:val="265435432"/>
                            <w:lock w:val="sdtLocked"/>
                          </w:sdtPr>
                          <w:sdtEndPr/>
                          <w:sdtContent>
                            <w:p w14:paraId="194E3E99" w14:textId="77777777" w:rsidR="00C67672" w:rsidRDefault="005F6966">
                              <w:pPr>
                                <w:ind w:firstLine="851"/>
                                <w:jc w:val="both"/>
                                <w:rPr>
                                  <w:bCs/>
                                  <w:szCs w:val="24"/>
                                </w:rPr>
                              </w:pPr>
                              <w:sdt>
                                <w:sdtPr>
                                  <w:alias w:val="Numeris"/>
                                  <w:tag w:val="nr_b6c134ed290e4458accb53fb78246b23"/>
                                  <w:id w:val="1921990239"/>
                                  <w:lock w:val="sdtLocked"/>
                                </w:sdtPr>
                                <w:sdtEndPr/>
                                <w:sdtContent>
                                  <w:r>
                                    <w:rPr>
                                      <w:bCs/>
                                      <w:szCs w:val="24"/>
                                    </w:rPr>
                                    <w:t>22</w:t>
                                  </w:r>
                                  <w:r>
                                    <w:rPr>
                                      <w:bCs/>
                                      <w:szCs w:val="24"/>
                                      <w:vertAlign w:val="superscript"/>
                                    </w:rPr>
                                    <w:t>3</w:t>
                                  </w:r>
                                </w:sdtContent>
                              </w:sdt>
                              <w:r>
                                <w:rPr>
                                  <w:bCs/>
                                  <w:szCs w:val="24"/>
                                </w:rPr>
                                <w:t>. Platinimo įmonė, prieš įveždama į Lietuvos Respubliką neregistruotą imuninį ir (ar) kraujo vaistinį preparatą (jo seriją ar serijos dalį), turi gauti Tarnybos patvirtinimą, kad numatomai tiekti imuninio ir</w:t>
                              </w:r>
                              <w:r>
                                <w:rPr>
                                  <w:bCs/>
                                  <w:szCs w:val="24"/>
                                </w:rPr>
                                <w:t xml:space="preserve"> (ar) kraujo vaistinio preparato serijai yra išduotas </w:t>
                              </w:r>
                              <w:r>
                                <w:rPr>
                                  <w:bCs/>
                                  <w:color w:val="000000"/>
                                  <w:szCs w:val="24"/>
                                </w:rPr>
                                <w:t>EEE serijos išleidimo pažymėjimas arba išimtiniu atveju, nurodytu Taisyklių 22</w:t>
                              </w:r>
                              <w:r>
                                <w:rPr>
                                  <w:bCs/>
                                  <w:color w:val="000000"/>
                                  <w:szCs w:val="24"/>
                                  <w:vertAlign w:val="superscript"/>
                                </w:rPr>
                                <w:t>1</w:t>
                              </w:r>
                              <w:r>
                                <w:rPr>
                                  <w:bCs/>
                                  <w:color w:val="000000"/>
                                  <w:szCs w:val="24"/>
                                </w:rPr>
                                <w:t xml:space="preserve"> punkte, imuninio vaistinio preparato serijai yra išduotas PSO serijos išleidimo pažymėjimas ir yra imuninio vaistinio prep</w:t>
                              </w:r>
                              <w:r>
                                <w:rPr>
                                  <w:bCs/>
                                  <w:color w:val="000000"/>
                                  <w:szCs w:val="24"/>
                                </w:rPr>
                                <w:t xml:space="preserve">arato gamintojo parengtas planuojamos įvežti serijos suvestinis gamybos ir kontrolės protokolas </w:t>
                              </w:r>
                              <w:r>
                                <w:rPr>
                                  <w:bCs/>
                                  <w:szCs w:val="24"/>
                                </w:rPr>
                                <w:t xml:space="preserve">(toliau – patvirtinimas). </w:t>
                              </w:r>
                            </w:p>
                          </w:sdtContent>
                        </w:sdt>
                        <w:sdt>
                          <w:sdtPr>
                            <w:alias w:val="22-4 p."/>
                            <w:tag w:val="part_a2ac7ec6c21348f7b550856a4933d329"/>
                            <w:id w:val="1081643609"/>
                            <w:lock w:val="sdtLocked"/>
                          </w:sdtPr>
                          <w:sdtEndPr/>
                          <w:sdtContent>
                            <w:p w14:paraId="69C4288E" w14:textId="77777777" w:rsidR="00C67672" w:rsidRDefault="005F6966">
                              <w:pPr>
                                <w:ind w:firstLine="851"/>
                                <w:jc w:val="both"/>
                                <w:rPr>
                                  <w:bCs/>
                                  <w:color w:val="000000"/>
                                  <w:szCs w:val="24"/>
                                </w:rPr>
                              </w:pPr>
                              <w:sdt>
                                <w:sdtPr>
                                  <w:alias w:val="Numeris"/>
                                  <w:tag w:val="nr_a2ac7ec6c21348f7b550856a4933d329"/>
                                  <w:id w:val="-202633989"/>
                                  <w:lock w:val="sdtLocked"/>
                                </w:sdtPr>
                                <w:sdtEndPr/>
                                <w:sdtContent>
                                  <w:r>
                                    <w:rPr>
                                      <w:bCs/>
                                      <w:szCs w:val="24"/>
                                    </w:rPr>
                                    <w:t>22</w:t>
                                  </w:r>
                                  <w:r>
                                    <w:rPr>
                                      <w:bCs/>
                                      <w:szCs w:val="24"/>
                                      <w:vertAlign w:val="superscript"/>
                                    </w:rPr>
                                    <w:t>4</w:t>
                                  </w:r>
                                </w:sdtContent>
                              </w:sdt>
                              <w:r>
                                <w:rPr>
                                  <w:bCs/>
                                  <w:szCs w:val="24"/>
                                </w:rPr>
                                <w:t>. Platinimo įmonė, norėdama gauti patvirtinimą, Tarnybai turi pateikti prašymą, kuriame nurodomas planuojamo įvežti imuninio i</w:t>
                              </w:r>
                              <w:r>
                                <w:rPr>
                                  <w:bCs/>
                                  <w:szCs w:val="24"/>
                                </w:rPr>
                                <w:t>r (ar) kraujo vaistinio preparato pavadinimas, stiprumas, farmacinė forma, veikliosios (-</w:t>
                              </w:r>
                              <w:proofErr w:type="spellStart"/>
                              <w:r>
                                <w:rPr>
                                  <w:bCs/>
                                  <w:szCs w:val="24"/>
                                </w:rPr>
                                <w:t>iųjų</w:t>
                              </w:r>
                              <w:proofErr w:type="spellEnd"/>
                              <w:r>
                                <w:rPr>
                                  <w:bCs/>
                                  <w:szCs w:val="24"/>
                                </w:rPr>
                                <w:t>) medžiagos (-ų) pavadinimas (-ai), serijos numeris, planuojamas įvežti pakuočių kiekis ir planuojamo įvežimo į Lietuvos Respubliką data. Jei imuninio ir (ar) k</w:t>
                              </w:r>
                              <w:r>
                                <w:rPr>
                                  <w:bCs/>
                                  <w:color w:val="000000"/>
                                  <w:szCs w:val="24"/>
                                </w:rPr>
                                <w:t>rau</w:t>
                              </w:r>
                              <w:r>
                                <w:rPr>
                                  <w:bCs/>
                                  <w:color w:val="000000"/>
                                  <w:szCs w:val="24"/>
                                </w:rPr>
                                <w:t>jo</w:t>
                              </w:r>
                              <w:r>
                                <w:rPr>
                                  <w:bCs/>
                                  <w:szCs w:val="24"/>
                                </w:rPr>
                                <w:t xml:space="preserve"> vaistinio preparato serijai yra </w:t>
                              </w:r>
                              <w:r>
                                <w:rPr>
                                  <w:bCs/>
                                  <w:color w:val="000000"/>
                                  <w:szCs w:val="24"/>
                                </w:rPr>
                                <w:t xml:space="preserve">išduotas EEE serijos išleidimo pažymėjimas, papildomai </w:t>
                              </w:r>
                              <w:r>
                                <w:rPr>
                                  <w:bCs/>
                                  <w:szCs w:val="24"/>
                                </w:rPr>
                                <w:t xml:space="preserve">nurodomas gamintojo, atsakingo už imuninio ir (ar) kraujo vaistinio preparato serijos išleidimą, pavadinimas ir adresas. Jei </w:t>
                              </w:r>
                              <w:r>
                                <w:rPr>
                                  <w:bCs/>
                                  <w:color w:val="000000"/>
                                  <w:szCs w:val="24"/>
                                </w:rPr>
                                <w:t>imuninio vaistinio preparato serijai yra išduotas PSO serijos išleidimo pažymėjimas, papildomai pridedama imuninio vaistinio preparato PSO serijos išleidimo pažymėjimo kopija bei gamintojo parengto planuojamos įvežti serijos suvestinio gamybos ir kontrolės</w:t>
                              </w:r>
                              <w:r>
                                <w:rPr>
                                  <w:bCs/>
                                  <w:color w:val="000000"/>
                                  <w:szCs w:val="24"/>
                                </w:rPr>
                                <w:t xml:space="preserve"> protokolo kopija. </w:t>
                              </w:r>
                            </w:p>
                          </w:sdtContent>
                        </w:sdt>
                        <w:sdt>
                          <w:sdtPr>
                            <w:alias w:val="22-5 p."/>
                            <w:tag w:val="part_62cf0308b7a94344b08deb86dab94119"/>
                            <w:id w:val="-1772236279"/>
                            <w:lock w:val="sdtLocked"/>
                          </w:sdtPr>
                          <w:sdtEndPr/>
                          <w:sdtContent>
                            <w:p w14:paraId="2554B989" w14:textId="77777777" w:rsidR="00C67672" w:rsidRDefault="005F6966">
                              <w:pPr>
                                <w:ind w:firstLine="851"/>
                                <w:jc w:val="both"/>
                                <w:rPr>
                                  <w:bCs/>
                                  <w:color w:val="000000"/>
                                  <w:szCs w:val="24"/>
                                </w:rPr>
                              </w:pPr>
                              <w:sdt>
                                <w:sdtPr>
                                  <w:alias w:val="Numeris"/>
                                  <w:tag w:val="nr_62cf0308b7a94344b08deb86dab94119"/>
                                  <w:id w:val="-1061101229"/>
                                  <w:lock w:val="sdtLocked"/>
                                </w:sdtPr>
                                <w:sdtEndPr/>
                                <w:sdtContent>
                                  <w:r>
                                    <w:rPr>
                                      <w:bCs/>
                                      <w:color w:val="000000"/>
                                      <w:szCs w:val="24"/>
                                    </w:rPr>
                                    <w:t>22</w:t>
                                  </w:r>
                                  <w:r>
                                    <w:rPr>
                                      <w:bCs/>
                                      <w:color w:val="000000"/>
                                      <w:szCs w:val="24"/>
                                      <w:vertAlign w:val="superscript"/>
                                    </w:rPr>
                                    <w:t>5</w:t>
                                  </w:r>
                                </w:sdtContent>
                              </w:sdt>
                              <w:r>
                                <w:rPr>
                                  <w:bCs/>
                                  <w:color w:val="000000"/>
                                  <w:szCs w:val="24"/>
                                </w:rPr>
                                <w:t>. Platinimo įmonė, teikdama prašymą gauti patvirtinimą, be dokumentų (informacijos), nurodytų Taisyklių 22</w:t>
                              </w:r>
                              <w:r>
                                <w:rPr>
                                  <w:bCs/>
                                  <w:color w:val="000000"/>
                                  <w:szCs w:val="24"/>
                                  <w:vertAlign w:val="superscript"/>
                                </w:rPr>
                                <w:t>4</w:t>
                              </w:r>
                              <w:r>
                                <w:rPr>
                                  <w:bCs/>
                                  <w:color w:val="000000"/>
                                  <w:szCs w:val="24"/>
                                </w:rPr>
                                <w:t xml:space="preserve"> punkte, pateikia ir dokumento kopiją, patvirtinančią, kad imuninis ir (ar) kraujo vaistinis preparatas registruotas EEE v</w:t>
                              </w:r>
                              <w:r>
                                <w:rPr>
                                  <w:bCs/>
                                  <w:color w:val="000000"/>
                                  <w:szCs w:val="24"/>
                                </w:rPr>
                                <w:t>alstybėje ar gamintojo šalyje, arba valstybės, kurioje jis registruotas, įgaliotos institucijos interneto svetainės adresą, kuriame pateikta informacija, patvirtinanti imuninio ir (ar) kraujo vaistinio preparato registraciją.</w:t>
                              </w:r>
                            </w:p>
                          </w:sdtContent>
                        </w:sdt>
                        <w:sdt>
                          <w:sdtPr>
                            <w:alias w:val="22-6 p."/>
                            <w:tag w:val="part_4c03b3a4bd6f4174a821b5c71c2aee90"/>
                            <w:id w:val="628280058"/>
                            <w:lock w:val="sdtLocked"/>
                          </w:sdtPr>
                          <w:sdtEndPr/>
                          <w:sdtContent>
                            <w:p w14:paraId="3E5E9077" w14:textId="77777777" w:rsidR="00C67672" w:rsidRDefault="005F6966">
                              <w:pPr>
                                <w:ind w:firstLine="851"/>
                                <w:jc w:val="both"/>
                                <w:rPr>
                                  <w:bCs/>
                                  <w:color w:val="000000"/>
                                  <w:szCs w:val="24"/>
                                </w:rPr>
                              </w:pPr>
                              <w:sdt>
                                <w:sdtPr>
                                  <w:alias w:val="Numeris"/>
                                  <w:tag w:val="nr_4c03b3a4bd6f4174a821b5c71c2aee90"/>
                                  <w:id w:val="141779331"/>
                                  <w:lock w:val="sdtLocked"/>
                                </w:sdtPr>
                                <w:sdtEndPr/>
                                <w:sdtContent>
                                  <w:r>
                                    <w:rPr>
                                      <w:bCs/>
                                      <w:sz w:val="22"/>
                                      <w:szCs w:val="24"/>
                                    </w:rPr>
                                    <w:t>22</w:t>
                                  </w:r>
                                  <w:r>
                                    <w:rPr>
                                      <w:bCs/>
                                      <w:sz w:val="22"/>
                                      <w:szCs w:val="24"/>
                                      <w:vertAlign w:val="superscript"/>
                                    </w:rPr>
                                    <w:t>6</w:t>
                                  </w:r>
                                </w:sdtContent>
                              </w:sdt>
                              <w:r>
                                <w:rPr>
                                  <w:bCs/>
                                  <w:szCs w:val="24"/>
                                </w:rPr>
                                <w:t>. Tarnyba, gavusi prašy</w:t>
                              </w:r>
                              <w:r>
                                <w:rPr>
                                  <w:bCs/>
                                  <w:szCs w:val="24"/>
                                </w:rPr>
                                <w:t xml:space="preserve">mą ir nustačiusi, kad </w:t>
                              </w:r>
                              <w:r>
                                <w:rPr>
                                  <w:bCs/>
                                  <w:color w:val="000000"/>
                                  <w:szCs w:val="24"/>
                                </w:rPr>
                                <w:t>pateikti ne visi dokumentai ir (ar) duomenys, nurodyti Taisyklių 22</w:t>
                              </w:r>
                              <w:r>
                                <w:rPr>
                                  <w:bCs/>
                                  <w:color w:val="000000"/>
                                  <w:szCs w:val="24"/>
                                  <w:vertAlign w:val="superscript"/>
                                </w:rPr>
                                <w:t>4</w:t>
                              </w:r>
                              <w:r>
                                <w:rPr>
                                  <w:bCs/>
                                  <w:color w:val="000000"/>
                                  <w:szCs w:val="24"/>
                                </w:rPr>
                                <w:t xml:space="preserve"> ir 22</w:t>
                              </w:r>
                              <w:r>
                                <w:rPr>
                                  <w:bCs/>
                                  <w:color w:val="000000"/>
                                  <w:szCs w:val="24"/>
                                  <w:vertAlign w:val="superscript"/>
                                </w:rPr>
                                <w:t xml:space="preserve">5 </w:t>
                              </w:r>
                              <w:r>
                                <w:rPr>
                                  <w:bCs/>
                                  <w:color w:val="000000"/>
                                  <w:szCs w:val="24"/>
                                </w:rPr>
                                <w:t>punktuose, ir (ar) jie neatitinka Taisyklių 22</w:t>
                              </w:r>
                              <w:r>
                                <w:rPr>
                                  <w:bCs/>
                                  <w:color w:val="000000"/>
                                  <w:szCs w:val="24"/>
                                  <w:vertAlign w:val="superscript"/>
                                </w:rPr>
                                <w:t>2</w:t>
                              </w:r>
                              <w:r>
                                <w:rPr>
                                  <w:bCs/>
                                  <w:color w:val="000000"/>
                                  <w:szCs w:val="24"/>
                                </w:rPr>
                                <w:t xml:space="preserve"> punkto reikalavimų, per 3 darbo dienas nuo prašymo gavimo dienos turi elektroniniu paštu pranešti platinimo įm</w:t>
                              </w:r>
                              <w:r>
                                <w:rPr>
                                  <w:bCs/>
                                  <w:color w:val="000000"/>
                                  <w:szCs w:val="24"/>
                                </w:rPr>
                                <w:t>onei apie nustatytus trūkumus nurodydama juos pašalinti ir apie tai pranešti Tarnybai Taisyklių 22</w:t>
                              </w:r>
                              <w:r>
                                <w:rPr>
                                  <w:bCs/>
                                  <w:color w:val="000000"/>
                                  <w:szCs w:val="24"/>
                                  <w:vertAlign w:val="superscript"/>
                                </w:rPr>
                                <w:t xml:space="preserve">7 </w:t>
                              </w:r>
                              <w:r>
                                <w:rPr>
                                  <w:bCs/>
                                  <w:color w:val="000000"/>
                                  <w:szCs w:val="24"/>
                                </w:rPr>
                                <w:t xml:space="preserve">punkte nustatytu terminu.  </w:t>
                              </w:r>
                            </w:p>
                          </w:sdtContent>
                        </w:sdt>
                        <w:sdt>
                          <w:sdtPr>
                            <w:alias w:val="22-7 p."/>
                            <w:tag w:val="part_1efc5db85f624c8d931e8a98eb416363"/>
                            <w:id w:val="-64885418"/>
                            <w:lock w:val="sdtLocked"/>
                          </w:sdtPr>
                          <w:sdtEndPr/>
                          <w:sdtContent>
                            <w:p w14:paraId="4CD8FAF3" w14:textId="77777777" w:rsidR="00C67672" w:rsidRDefault="005F6966">
                              <w:pPr>
                                <w:ind w:firstLine="851"/>
                                <w:jc w:val="both"/>
                                <w:rPr>
                                  <w:bCs/>
                                  <w:color w:val="000000"/>
                                  <w:szCs w:val="24"/>
                                </w:rPr>
                              </w:pPr>
                              <w:sdt>
                                <w:sdtPr>
                                  <w:alias w:val="Numeris"/>
                                  <w:tag w:val="nr_1efc5db85f624c8d931e8a98eb416363"/>
                                  <w:id w:val="1235740200"/>
                                  <w:lock w:val="sdtLocked"/>
                                </w:sdtPr>
                                <w:sdtEndPr/>
                                <w:sdtContent>
                                  <w:r>
                                    <w:rPr>
                                      <w:bCs/>
                                      <w:szCs w:val="24"/>
                                    </w:rPr>
                                    <w:t>22</w:t>
                                  </w:r>
                                  <w:r>
                                    <w:rPr>
                                      <w:bCs/>
                                      <w:szCs w:val="24"/>
                                      <w:vertAlign w:val="superscript"/>
                                    </w:rPr>
                                    <w:t>7</w:t>
                                  </w:r>
                                </w:sdtContent>
                              </w:sdt>
                              <w:r>
                                <w:rPr>
                                  <w:bCs/>
                                  <w:szCs w:val="24"/>
                                </w:rPr>
                                <w:t xml:space="preserve">. </w:t>
                              </w:r>
                              <w:r>
                                <w:rPr>
                                  <w:bCs/>
                                  <w:color w:val="000000"/>
                                  <w:szCs w:val="24"/>
                                </w:rPr>
                                <w:t xml:space="preserve">Platinimo įmonė nustatytus trūkumus turi pašalinti ir apie tai pranešti Tarnybai ne vėliau kaip per 20 darbo dienų nuo </w:t>
                              </w:r>
                              <w:r>
                                <w:rPr>
                                  <w:bCs/>
                                  <w:color w:val="000000"/>
                                  <w:szCs w:val="24"/>
                                </w:rPr>
                                <w:t>Tarnybos pranešimo elektroniniu paštu išsiuntimo dienos.</w:t>
                              </w:r>
                              <w:r>
                                <w:rPr>
                                  <w:bCs/>
                                  <w:szCs w:val="24"/>
                                </w:rPr>
                                <w:t xml:space="preserve"> </w:t>
                              </w:r>
                            </w:p>
                          </w:sdtContent>
                        </w:sdt>
                        <w:sdt>
                          <w:sdtPr>
                            <w:alias w:val="22-8 p."/>
                            <w:tag w:val="part_910835663bcd421e8d652b2150cfb9f4"/>
                            <w:id w:val="1773046718"/>
                            <w:lock w:val="sdtLocked"/>
                          </w:sdtPr>
                          <w:sdtEndPr/>
                          <w:sdtContent>
                            <w:p w14:paraId="3B200E53" w14:textId="77777777" w:rsidR="00C67672" w:rsidRDefault="005F6966">
                              <w:pPr>
                                <w:ind w:firstLine="851"/>
                                <w:jc w:val="both"/>
                                <w:rPr>
                                  <w:bCs/>
                                  <w:color w:val="000000"/>
                                  <w:szCs w:val="24"/>
                                </w:rPr>
                              </w:pPr>
                              <w:sdt>
                                <w:sdtPr>
                                  <w:alias w:val="Numeris"/>
                                  <w:tag w:val="nr_910835663bcd421e8d652b2150cfb9f4"/>
                                  <w:id w:val="1793868956"/>
                                  <w:lock w:val="sdtLocked"/>
                                </w:sdtPr>
                                <w:sdtEndPr/>
                                <w:sdtContent>
                                  <w:r>
                                    <w:rPr>
                                      <w:bCs/>
                                      <w:szCs w:val="24"/>
                                    </w:rPr>
                                    <w:t>22</w:t>
                                  </w:r>
                                  <w:r>
                                    <w:rPr>
                                      <w:bCs/>
                                      <w:szCs w:val="24"/>
                                      <w:vertAlign w:val="superscript"/>
                                    </w:rPr>
                                    <w:t>8</w:t>
                                  </w:r>
                                </w:sdtContent>
                              </w:sdt>
                              <w:r>
                                <w:rPr>
                                  <w:bCs/>
                                  <w:szCs w:val="24"/>
                                </w:rPr>
                                <w:t xml:space="preserve">. </w:t>
                              </w:r>
                              <w:r>
                                <w:rPr>
                                  <w:bCs/>
                                  <w:color w:val="000000"/>
                                  <w:szCs w:val="24"/>
                                </w:rPr>
                                <w:t xml:space="preserve">Tarnyba, gavusi visus Taisyklių </w:t>
                              </w:r>
                              <w:r>
                                <w:rPr>
                                  <w:bCs/>
                                  <w:szCs w:val="24"/>
                                </w:rPr>
                                <w:t>22</w:t>
                              </w:r>
                              <w:r>
                                <w:rPr>
                                  <w:bCs/>
                                  <w:szCs w:val="24"/>
                                  <w:vertAlign w:val="superscript"/>
                                </w:rPr>
                                <w:t>4</w:t>
                              </w:r>
                              <w:r>
                                <w:rPr>
                                  <w:bCs/>
                                  <w:color w:val="000000"/>
                                  <w:szCs w:val="24"/>
                                </w:rPr>
                                <w:t xml:space="preserve">  ir 22</w:t>
                              </w:r>
                              <w:r>
                                <w:rPr>
                                  <w:bCs/>
                                  <w:color w:val="000000"/>
                                  <w:szCs w:val="24"/>
                                  <w:vertAlign w:val="superscript"/>
                                </w:rPr>
                                <w:t>5</w:t>
                              </w:r>
                              <w:r>
                                <w:rPr>
                                  <w:bCs/>
                                  <w:color w:val="000000"/>
                                  <w:szCs w:val="24"/>
                                </w:rPr>
                                <w:t xml:space="preserve"> punktuose nurodytus dokumentus ir duomenis, atitinkančius Ta</w:t>
                              </w:r>
                              <w:bookmarkStart w:id="0" w:name="_GoBack"/>
                              <w:bookmarkEnd w:id="0"/>
                              <w:r>
                                <w:rPr>
                                  <w:bCs/>
                                  <w:color w:val="000000"/>
                                  <w:szCs w:val="24"/>
                                </w:rPr>
                                <w:t>isyklių 22</w:t>
                              </w:r>
                              <w:r>
                                <w:rPr>
                                  <w:bCs/>
                                  <w:color w:val="000000"/>
                                  <w:szCs w:val="24"/>
                                  <w:vertAlign w:val="superscript"/>
                                </w:rPr>
                                <w:t>2</w:t>
                              </w:r>
                              <w:r>
                                <w:rPr>
                                  <w:bCs/>
                                  <w:color w:val="000000"/>
                                  <w:szCs w:val="24"/>
                                </w:rPr>
                                <w:t xml:space="preserve"> punkto reikalavimus, per 7 darbo dienas nuo jų gavimo dienos pateikia patvirtinimą. Jeigu Tarnyba nustato, kad platinimo įmonė per Taisyklių 22</w:t>
                              </w:r>
                              <w:r>
                                <w:rPr>
                                  <w:bCs/>
                                  <w:color w:val="000000"/>
                                  <w:szCs w:val="24"/>
                                  <w:vertAlign w:val="superscript"/>
                                </w:rPr>
                                <w:t>7</w:t>
                              </w:r>
                              <w:r>
                                <w:rPr>
                                  <w:bCs/>
                                  <w:color w:val="000000"/>
                                  <w:szCs w:val="24"/>
                                </w:rPr>
                                <w:t xml:space="preserve"> punkte nustatytą terminą trūkumų nepašalino ir (ar) nepateikė trūkumų pašalinimą įrodančių dokumentų, per 7 da</w:t>
                              </w:r>
                              <w:r>
                                <w:rPr>
                                  <w:bCs/>
                                  <w:color w:val="000000"/>
                                  <w:szCs w:val="24"/>
                                </w:rPr>
                                <w:t xml:space="preserve">rbo dienas nuo šio termino pabaigos dienos pateikia platinimo įmonei motyvuotą atsisakymą pateikti patvirtinimą. </w:t>
                              </w:r>
                            </w:p>
                          </w:sdtContent>
                        </w:sdt>
                        <w:sdt>
                          <w:sdtPr>
                            <w:alias w:val="22-9 p."/>
                            <w:tag w:val="part_541f8902f3b142da92a967b59cb1b39f"/>
                            <w:id w:val="-1717504920"/>
                            <w:lock w:val="sdtLocked"/>
                          </w:sdtPr>
                          <w:sdtEndPr/>
                          <w:sdtContent>
                            <w:p w14:paraId="57D25C05" w14:textId="77777777" w:rsidR="00C67672" w:rsidRDefault="005F6966">
                              <w:pPr>
                                <w:ind w:firstLine="851"/>
                                <w:jc w:val="both"/>
                                <w:rPr>
                                  <w:bCs/>
                                  <w:color w:val="000000"/>
                                  <w:szCs w:val="24"/>
                                  <w:lang w:eastAsia="lt-LT"/>
                                </w:rPr>
                              </w:pPr>
                              <w:sdt>
                                <w:sdtPr>
                                  <w:alias w:val="Numeris"/>
                                  <w:tag w:val="nr_541f8902f3b142da92a967b59cb1b39f"/>
                                  <w:id w:val="1466707736"/>
                                  <w:lock w:val="sdtLocked"/>
                                </w:sdtPr>
                                <w:sdtEndPr/>
                                <w:sdtContent>
                                  <w:r>
                                    <w:rPr>
                                      <w:bCs/>
                                      <w:szCs w:val="24"/>
                                    </w:rPr>
                                    <w:t>22</w:t>
                                  </w:r>
                                  <w:r>
                                    <w:rPr>
                                      <w:bCs/>
                                      <w:szCs w:val="24"/>
                                      <w:vertAlign w:val="superscript"/>
                                    </w:rPr>
                                    <w:t>9</w:t>
                                  </w:r>
                                </w:sdtContent>
                              </w:sdt>
                              <w:r>
                                <w:rPr>
                                  <w:bCs/>
                                  <w:szCs w:val="24"/>
                                </w:rPr>
                                <w:t xml:space="preserve">. Patvirtinimą gavusi platinimo įmonė, </w:t>
                              </w:r>
                              <w:r>
                                <w:rPr>
                                  <w:bCs/>
                                  <w:color w:val="000000"/>
                                  <w:szCs w:val="24"/>
                                  <w:lang w:eastAsia="lt-LT"/>
                                </w:rPr>
                                <w:t xml:space="preserve">tiekdama </w:t>
                              </w:r>
                              <w:r>
                                <w:rPr>
                                  <w:bCs/>
                                  <w:szCs w:val="24"/>
                                </w:rPr>
                                <w:t>centralizuotai perkamus neregistruotus imuninius ir (ar) kraujo vaistinius preparatus į</w:t>
                              </w:r>
                              <w:r>
                                <w:rPr>
                                  <w:bCs/>
                                  <w:color w:val="000000"/>
                                  <w:szCs w:val="24"/>
                                  <w:lang w:eastAsia="lt-LT"/>
                                </w:rPr>
                                <w:t xml:space="preserve"> asmens sveikatos priežiūros įstaigas, turi taikyti šias būtinas visuomenės sveikatai apsaugoti priemones:</w:t>
                              </w:r>
                            </w:p>
                            <w:sdt>
                              <w:sdtPr>
                                <w:alias w:val="22-9.1 pp."/>
                                <w:tag w:val="part_2f6e4cb4abfe41fa9796a7ffc0f4ef5f"/>
                                <w:id w:val="-85231629"/>
                                <w:lock w:val="sdtLocked"/>
                              </w:sdtPr>
                              <w:sdtEndPr/>
                              <w:sdtContent>
                                <w:p w14:paraId="3C210BCD" w14:textId="77777777" w:rsidR="00C67672" w:rsidRDefault="005F6966">
                                  <w:pPr>
                                    <w:ind w:firstLine="851"/>
                                    <w:jc w:val="both"/>
                                    <w:rPr>
                                      <w:bCs/>
                                      <w:color w:val="000000"/>
                                      <w:szCs w:val="24"/>
                                      <w:lang w:eastAsia="lt-LT"/>
                                    </w:rPr>
                                  </w:pPr>
                                  <w:sdt>
                                    <w:sdtPr>
                                      <w:alias w:val="Numeris"/>
                                      <w:tag w:val="nr_2f6e4cb4abfe41fa9796a7ffc0f4ef5f"/>
                                      <w:id w:val="-88385411"/>
                                      <w:lock w:val="sdtLocked"/>
                                    </w:sdtPr>
                                    <w:sdtEndPr/>
                                    <w:sdtContent>
                                      <w:r>
                                        <w:rPr>
                                          <w:bCs/>
                                          <w:szCs w:val="24"/>
                                        </w:rPr>
                                        <w:t>22</w:t>
                                      </w:r>
                                      <w:r>
                                        <w:rPr>
                                          <w:bCs/>
                                          <w:szCs w:val="24"/>
                                          <w:vertAlign w:val="superscript"/>
                                        </w:rPr>
                                        <w:t>9</w:t>
                                      </w:r>
                                      <w:r>
                                        <w:rPr>
                                          <w:bCs/>
                                          <w:szCs w:val="24"/>
                                        </w:rPr>
                                        <w:t>.</w:t>
                                      </w:r>
                                      <w:r>
                                        <w:rPr>
                                          <w:bCs/>
                                          <w:color w:val="000000"/>
                                          <w:szCs w:val="24"/>
                                          <w:lang w:eastAsia="lt-LT"/>
                                        </w:rPr>
                                        <w:t>1</w:t>
                                      </w:r>
                                    </w:sdtContent>
                                  </w:sdt>
                                  <w:r>
                                    <w:rPr>
                                      <w:bCs/>
                                      <w:color w:val="000000"/>
                                      <w:szCs w:val="24"/>
                                      <w:lang w:eastAsia="lt-LT"/>
                                    </w:rPr>
                                    <w:t>. kartu su kiekviena vaistinių preparatų siunta pateikti pakuotės lapelio (su paskutiniais pakeitimais) vertimą į lietuvių kalbą, suderintą su</w:t>
                                  </w:r>
                                  <w:r>
                                    <w:rPr>
                                      <w:bCs/>
                                      <w:color w:val="000000"/>
                                      <w:szCs w:val="24"/>
                                      <w:lang w:eastAsia="lt-LT"/>
                                    </w:rPr>
                                    <w:t xml:space="preserve"> Tarnyba jos nustatyta tvarka (pakuotės lapelių skaičius turi atitikti siuntoje esančių pakuočių, o imuninių vaistinių preparatų atveju – siuntoje esančių dozių, skaičių); </w:t>
                                  </w:r>
                                </w:p>
                              </w:sdtContent>
                            </w:sdt>
                            <w:sdt>
                              <w:sdtPr>
                                <w:alias w:val="22-9.2 pp."/>
                                <w:tag w:val="part_1cc12fc2854f487ebf1f5e739828d432"/>
                                <w:id w:val="925770320"/>
                                <w:lock w:val="sdtLocked"/>
                              </w:sdtPr>
                              <w:sdtEndPr/>
                              <w:sdtContent>
                                <w:p w14:paraId="5ACE8519" w14:textId="77777777" w:rsidR="00C67672" w:rsidRDefault="005F6966">
                                  <w:pPr>
                                    <w:ind w:firstLine="851"/>
                                    <w:jc w:val="both"/>
                                    <w:rPr>
                                      <w:bCs/>
                                      <w:color w:val="000000"/>
                                      <w:szCs w:val="24"/>
                                      <w:lang w:eastAsia="lt-LT"/>
                                    </w:rPr>
                                  </w:pPr>
                                  <w:sdt>
                                    <w:sdtPr>
                                      <w:alias w:val="Numeris"/>
                                      <w:tag w:val="nr_1cc12fc2854f487ebf1f5e739828d432"/>
                                      <w:id w:val="125443731"/>
                                      <w:lock w:val="sdtLocked"/>
                                    </w:sdtPr>
                                    <w:sdtEndPr/>
                                    <w:sdtContent>
                                      <w:r>
                                        <w:rPr>
                                          <w:bCs/>
                                          <w:szCs w:val="24"/>
                                        </w:rPr>
                                        <w:t>22</w:t>
                                      </w:r>
                                      <w:r>
                                        <w:rPr>
                                          <w:bCs/>
                                          <w:szCs w:val="24"/>
                                          <w:vertAlign w:val="superscript"/>
                                        </w:rPr>
                                        <w:t>9</w:t>
                                      </w:r>
                                      <w:r>
                                        <w:rPr>
                                          <w:bCs/>
                                          <w:szCs w:val="24"/>
                                        </w:rPr>
                                        <w:t>.2</w:t>
                                      </w:r>
                                    </w:sdtContent>
                                  </w:sdt>
                                  <w:r>
                                    <w:rPr>
                                      <w:bCs/>
                                      <w:color w:val="000000"/>
                                      <w:szCs w:val="24"/>
                                      <w:lang w:eastAsia="lt-LT"/>
                                    </w:rPr>
                                    <w:t>. kartu su kiekviena vaistinio preparato siunta ar atskiru raštu asmens sveikatos priežiūros įstaigai pateikti informaciją, kur galima rasti pakuotės lapelio vertimą į lietuvių kalbą, taip pat, jeigu yra galimybė, atitinkamai, valstybės, kurioje registruot</w:t>
                                  </w:r>
                                  <w:r>
                                    <w:rPr>
                                      <w:bCs/>
                                      <w:color w:val="000000"/>
                                      <w:szCs w:val="24"/>
                                      <w:lang w:eastAsia="lt-LT"/>
                                    </w:rPr>
                                    <w:t xml:space="preserve">as vaistinis preparatas, kompetentingos institucijos arba </w:t>
                                  </w:r>
                                  <w:r>
                                    <w:rPr>
                                      <w:bCs/>
                                      <w:color w:val="000000"/>
                                      <w:szCs w:val="24"/>
                                    </w:rPr>
                                    <w:t xml:space="preserve">Pasaulio sveikatos organizacijos </w:t>
                                  </w:r>
                                  <w:r>
                                    <w:rPr>
                                      <w:bCs/>
                                      <w:color w:val="000000"/>
                                      <w:szCs w:val="24"/>
                                      <w:lang w:eastAsia="lt-LT"/>
                                    </w:rPr>
                                    <w:t>interneto svetainės adresą, kurioje anglų, vokiečių ar prancūzų kalba paskelbtas pakuotės lapelis ir (ar) vaistinio preparato charakteristikų santrauka.</w:t>
                                  </w:r>
                                </w:p>
                                <w:p w14:paraId="3FD4F0D1" w14:textId="77777777" w:rsidR="00C67672" w:rsidRDefault="005F6966">
                                  <w:pPr>
                                    <w:ind w:firstLine="851"/>
                                    <w:jc w:val="both"/>
                                    <w:rPr>
                                      <w:bCs/>
                                      <w:szCs w:val="24"/>
                                    </w:rPr>
                                  </w:pPr>
                                </w:p>
                              </w:sdtContent>
                            </w:sdt>
                          </w:sdtContent>
                        </w:sdt>
                        <w:sdt>
                          <w:sdtPr>
                            <w:alias w:val="22-10 p."/>
                            <w:tag w:val="part_da95508ae7874a949dab0a1f5d8f19d7"/>
                            <w:id w:val="64383465"/>
                            <w:lock w:val="sdtLocked"/>
                          </w:sdtPr>
                          <w:sdtEndPr/>
                          <w:sdtContent>
                            <w:p w14:paraId="67274882" w14:textId="77777777" w:rsidR="00C67672" w:rsidRDefault="005F6966">
                              <w:pPr>
                                <w:ind w:firstLine="851"/>
                                <w:jc w:val="both"/>
                                <w:rPr>
                                  <w:bCs/>
                                  <w:color w:val="000000"/>
                                  <w:szCs w:val="24"/>
                                  <w:lang w:eastAsia="lt-LT"/>
                                </w:rPr>
                              </w:pPr>
                              <w:sdt>
                                <w:sdtPr>
                                  <w:alias w:val="Numeris"/>
                                  <w:tag w:val="nr_da95508ae7874a949dab0a1f5d8f19d7"/>
                                  <w:id w:val="-1659769677"/>
                                  <w:lock w:val="sdtLocked"/>
                                </w:sdtPr>
                                <w:sdtEndPr/>
                                <w:sdtContent>
                                  <w:r>
                                    <w:rPr>
                                      <w:bCs/>
                                      <w:szCs w:val="24"/>
                                    </w:rPr>
                                    <w:t>22</w:t>
                                  </w:r>
                                  <w:r>
                                    <w:rPr>
                                      <w:bCs/>
                                      <w:szCs w:val="24"/>
                                      <w:vertAlign w:val="superscript"/>
                                    </w:rPr>
                                    <w:t>10</w:t>
                                  </w:r>
                                </w:sdtContent>
                              </w:sdt>
                              <w:r>
                                <w:rPr>
                                  <w:bCs/>
                                  <w:color w:val="000000"/>
                                  <w:szCs w:val="24"/>
                                  <w:lang w:eastAsia="lt-LT"/>
                                </w:rPr>
                                <w:t>.</w:t>
                              </w:r>
                              <w:r>
                                <w:rPr>
                                  <w:bCs/>
                                  <w:color w:val="000000"/>
                                  <w:szCs w:val="24"/>
                                  <w:lang w:eastAsia="lt-LT"/>
                                </w:rPr>
                                <w:t xml:space="preserve"> Asmens sveikatos priežiūros įstaigos vadovas turi nustatyti tvarką, kurioje būtų numatyta, kaip užtikrinamas pagal Taisyklių </w:t>
                              </w:r>
                              <w:r>
                                <w:rPr>
                                  <w:bCs/>
                                  <w:szCs w:val="24"/>
                                </w:rPr>
                                <w:t>22</w:t>
                              </w:r>
                              <w:r>
                                <w:rPr>
                                  <w:bCs/>
                                  <w:szCs w:val="24"/>
                                  <w:vertAlign w:val="superscript"/>
                                </w:rPr>
                                <w:t>9</w:t>
                              </w:r>
                              <w:r>
                                <w:rPr>
                                  <w:bCs/>
                                  <w:szCs w:val="24"/>
                                </w:rPr>
                                <w:t>.2</w:t>
                              </w:r>
                              <w:r>
                                <w:rPr>
                                  <w:bCs/>
                                  <w:color w:val="000000"/>
                                  <w:szCs w:val="24"/>
                                  <w:lang w:eastAsia="lt-LT"/>
                                </w:rPr>
                                <w:t xml:space="preserve"> papunktį gaunamos informacijos apie </w:t>
                              </w:r>
                              <w:r>
                                <w:rPr>
                                  <w:bCs/>
                                  <w:szCs w:val="24"/>
                                </w:rPr>
                                <w:t>centralizuotai perkamą neregistruotą imuninį ir (ar) kraujo vaistinį preparatą</w:t>
                              </w:r>
                              <w:r>
                                <w:rPr>
                                  <w:bCs/>
                                  <w:color w:val="000000"/>
                                  <w:szCs w:val="24"/>
                                  <w:lang w:eastAsia="lt-LT"/>
                                </w:rPr>
                                <w:t>, prieinam</w:t>
                              </w:r>
                              <w:r>
                                <w:rPr>
                                  <w:bCs/>
                                  <w:color w:val="000000"/>
                                  <w:szCs w:val="24"/>
                                  <w:lang w:eastAsia="lt-LT"/>
                                </w:rPr>
                                <w:t>umas visiems su vaistinio preparato tvarkymu, skyrimu ir vartojimu susijusiems asmens sveikatos priežiūros įstaigos darbuotojams, kad būtų išvengta vaistinio preparato supainiojimo atvejų, neteisingo paskyrimo ir vartojimo. Asmens sveikatos priežiūros įsta</w:t>
                              </w:r>
                              <w:r>
                                <w:rPr>
                                  <w:bCs/>
                                  <w:color w:val="000000"/>
                                  <w:szCs w:val="24"/>
                                  <w:lang w:eastAsia="lt-LT"/>
                                </w:rPr>
                                <w:t>igos vadovas turi paskirti asmenį, atsakingą už šios informacijos tvarkymą ir prieinamumą.</w:t>
                              </w:r>
                            </w:p>
                          </w:sdtContent>
                        </w:sdt>
                        <w:sdt>
                          <w:sdtPr>
                            <w:alias w:val="22-11 p."/>
                            <w:tag w:val="part_7223d06fbabb490cbe235ad9f6a63b82"/>
                            <w:id w:val="791028649"/>
                            <w:lock w:val="sdtLocked"/>
                          </w:sdtPr>
                          <w:sdtEndPr/>
                          <w:sdtContent>
                            <w:p w14:paraId="6915811C" w14:textId="77777777" w:rsidR="00C67672" w:rsidRDefault="005F6966">
                              <w:pPr>
                                <w:ind w:firstLine="851"/>
                                <w:jc w:val="both"/>
                                <w:rPr>
                                  <w:bCs/>
                                  <w:color w:val="000000"/>
                                  <w:szCs w:val="24"/>
                                  <w:lang w:eastAsia="lt-LT"/>
                                </w:rPr>
                              </w:pPr>
                              <w:sdt>
                                <w:sdtPr>
                                  <w:alias w:val="Numeris"/>
                                  <w:tag w:val="nr_7223d06fbabb490cbe235ad9f6a63b82"/>
                                  <w:id w:val="1862000970"/>
                                  <w:lock w:val="sdtLocked"/>
                                </w:sdtPr>
                                <w:sdtEndPr/>
                                <w:sdtContent>
                                  <w:r>
                                    <w:rPr>
                                      <w:bCs/>
                                      <w:szCs w:val="24"/>
                                    </w:rPr>
                                    <w:t>22</w:t>
                                  </w:r>
                                  <w:r>
                                    <w:rPr>
                                      <w:bCs/>
                                      <w:szCs w:val="24"/>
                                      <w:vertAlign w:val="superscript"/>
                                    </w:rPr>
                                    <w:t>11</w:t>
                                  </w:r>
                                </w:sdtContent>
                              </w:sdt>
                              <w:r>
                                <w:rPr>
                                  <w:bCs/>
                                  <w:color w:val="000000"/>
                                  <w:szCs w:val="24"/>
                                  <w:lang w:eastAsia="lt-LT"/>
                                </w:rPr>
                                <w:t xml:space="preserve">. Tarnyba savo interneto svetainėje skelbia informaciją apie pateiktus patvirtinimus (platinimo įmonės pavadinimą, </w:t>
                              </w:r>
                              <w:r>
                                <w:rPr>
                                  <w:bCs/>
                                  <w:szCs w:val="24"/>
                                </w:rPr>
                                <w:t>imuninio ir (ar) kraujo vaistinio preparat</w:t>
                              </w:r>
                              <w:r>
                                <w:rPr>
                                  <w:bCs/>
                                  <w:szCs w:val="24"/>
                                </w:rPr>
                                <w:t>o pavadinimą, stiprumą, farmacinę formą, veikliosios (-</w:t>
                              </w:r>
                              <w:proofErr w:type="spellStart"/>
                              <w:r>
                                <w:rPr>
                                  <w:bCs/>
                                  <w:szCs w:val="24"/>
                                </w:rPr>
                                <w:t>iųjų</w:t>
                              </w:r>
                              <w:proofErr w:type="spellEnd"/>
                              <w:r>
                                <w:rPr>
                                  <w:bCs/>
                                  <w:szCs w:val="24"/>
                                </w:rPr>
                                <w:t>) medžiagos (-ų) pavadinimą  (- </w:t>
                              </w:r>
                              <w:proofErr w:type="spellStart"/>
                              <w:r>
                                <w:rPr>
                                  <w:bCs/>
                                  <w:szCs w:val="24"/>
                                </w:rPr>
                                <w:t>us</w:t>
                              </w:r>
                              <w:proofErr w:type="spellEnd"/>
                              <w:r>
                                <w:rPr>
                                  <w:bCs/>
                                  <w:szCs w:val="24"/>
                                </w:rPr>
                                <w:t>), gamintojo pavadinimą, serijos numerį, planuojamą įvežti pakuočių kiekį)</w:t>
                              </w:r>
                              <w:r>
                                <w:rPr>
                                  <w:bCs/>
                                  <w:color w:val="000000"/>
                                  <w:szCs w:val="24"/>
                                  <w:lang w:eastAsia="lt-LT"/>
                                </w:rPr>
                                <w:t xml:space="preserve">, platinimo įmonės parengtus ir su Tarnyba suderintus </w:t>
                              </w:r>
                              <w:r>
                                <w:rPr>
                                  <w:bCs/>
                                  <w:szCs w:val="24"/>
                                </w:rPr>
                                <w:t>centralizuotai perkamų neregistruot</w:t>
                              </w:r>
                              <w:r>
                                <w:rPr>
                                  <w:bCs/>
                                  <w:szCs w:val="24"/>
                                </w:rPr>
                                <w:t xml:space="preserve">ų imuninių ir (ar) kraujo vaistinių preparatų </w:t>
                              </w:r>
                              <w:r>
                                <w:rPr>
                                  <w:bCs/>
                                  <w:color w:val="000000"/>
                                  <w:szCs w:val="24"/>
                                  <w:lang w:eastAsia="lt-LT"/>
                                </w:rPr>
                                <w:t xml:space="preserve">pakuočių lapelių vertimus į lietuvių kalbą ir, jeigu yra galimybė, atitinkamai, valstybės, kurioje registruotas </w:t>
                              </w:r>
                              <w:r>
                                <w:rPr>
                                  <w:bCs/>
                                  <w:szCs w:val="24"/>
                                </w:rPr>
                                <w:t xml:space="preserve">centralizuotai perkamas neregistruotas imuninis ir (ar) kraujo </w:t>
                              </w:r>
                              <w:r>
                                <w:rPr>
                                  <w:bCs/>
                                  <w:color w:val="000000"/>
                                  <w:szCs w:val="24"/>
                                  <w:lang w:eastAsia="lt-LT"/>
                                </w:rPr>
                                <w:t>vaistinis preparatas, kompetentingo</w:t>
                              </w:r>
                              <w:r>
                                <w:rPr>
                                  <w:bCs/>
                                  <w:color w:val="000000"/>
                                  <w:szCs w:val="24"/>
                                  <w:lang w:eastAsia="lt-LT"/>
                                </w:rPr>
                                <w:t>s institucijos arba Pasaulio sveikatos organizacijos interneto svetainės adresą, kurioje anglų, vokiečių ar prancūzų kalba paskelbtas pakuotės lapelis ir (ar) vaistinio preparato charakteristikų santrauka.“</w:t>
                              </w:r>
                            </w:p>
                          </w:sdtContent>
                        </w:sdt>
                      </w:sdtContent>
                    </w:sdt>
                  </w:sdtContent>
                </w:sdt>
              </w:sdtContent>
            </w:sdt>
            <w:sdt>
              <w:sdtPr>
                <w:alias w:val="1.10 pp."/>
                <w:tag w:val="part_00e293447da740109cb79eed58bc6548"/>
                <w:id w:val="321239313"/>
                <w:lock w:val="sdtLocked"/>
              </w:sdtPr>
              <w:sdtEndPr/>
              <w:sdtContent>
                <w:p w14:paraId="7906FFDC" w14:textId="77777777" w:rsidR="00C67672" w:rsidRDefault="005F6966">
                  <w:pPr>
                    <w:ind w:firstLine="851"/>
                    <w:jc w:val="both"/>
                    <w:rPr>
                      <w:bCs/>
                      <w:color w:val="000000"/>
                      <w:szCs w:val="24"/>
                      <w:lang w:eastAsia="lt-LT"/>
                    </w:rPr>
                  </w:pPr>
                  <w:sdt>
                    <w:sdtPr>
                      <w:alias w:val="Numeris"/>
                      <w:tag w:val="nr_00e293447da740109cb79eed58bc6548"/>
                      <w:id w:val="-1059094452"/>
                      <w:lock w:val="sdtLocked"/>
                    </w:sdtPr>
                    <w:sdtEndPr/>
                    <w:sdtContent>
                      <w:r>
                        <w:rPr>
                          <w:bCs/>
                          <w:color w:val="000000"/>
                          <w:szCs w:val="24"/>
                          <w:lang w:eastAsia="lt-LT"/>
                        </w:rPr>
                        <w:t>1.10</w:t>
                      </w:r>
                    </w:sdtContent>
                  </w:sdt>
                  <w:r>
                    <w:rPr>
                      <w:bCs/>
                      <w:color w:val="000000"/>
                      <w:szCs w:val="24"/>
                      <w:lang w:eastAsia="lt-LT"/>
                    </w:rPr>
                    <w:t>. Papildau 25</w:t>
                  </w:r>
                  <w:r>
                    <w:rPr>
                      <w:bCs/>
                      <w:color w:val="000000"/>
                      <w:szCs w:val="24"/>
                      <w:vertAlign w:val="superscript"/>
                      <w:lang w:eastAsia="lt-LT"/>
                    </w:rPr>
                    <w:t>1</w:t>
                  </w:r>
                  <w:r>
                    <w:rPr>
                      <w:bCs/>
                      <w:color w:val="000000"/>
                      <w:szCs w:val="24"/>
                      <w:lang w:eastAsia="lt-LT"/>
                    </w:rPr>
                    <w:t xml:space="preserve"> punktu:</w:t>
                  </w:r>
                </w:p>
                <w:sdt>
                  <w:sdtPr>
                    <w:alias w:val="citata"/>
                    <w:tag w:val="part_4a8fbd9ed2e44403a5dcc1c39498253e"/>
                    <w:id w:val="-1265456153"/>
                    <w:lock w:val="sdtLocked"/>
                  </w:sdtPr>
                  <w:sdtEndPr/>
                  <w:sdtContent>
                    <w:sdt>
                      <w:sdtPr>
                        <w:alias w:val="25-1 p."/>
                        <w:tag w:val="part_27102fb7dbed49c9974c8669f20c38c3"/>
                        <w:id w:val="-211189167"/>
                        <w:lock w:val="sdtLocked"/>
                      </w:sdtPr>
                      <w:sdtEndPr/>
                      <w:sdtContent>
                        <w:p w14:paraId="1C92A252" w14:textId="77777777" w:rsidR="00C67672" w:rsidRDefault="005F6966">
                          <w:pPr>
                            <w:ind w:firstLine="851"/>
                            <w:jc w:val="both"/>
                            <w:rPr>
                              <w:bCs/>
                              <w:color w:val="000000"/>
                              <w:szCs w:val="24"/>
                              <w:lang w:eastAsia="lt-LT"/>
                            </w:rPr>
                          </w:pPr>
                          <w:r>
                            <w:rPr>
                              <w:bCs/>
                              <w:color w:val="000000"/>
                              <w:szCs w:val="24"/>
                              <w:lang w:eastAsia="lt-LT"/>
                            </w:rPr>
                            <w:t>„</w:t>
                          </w:r>
                          <w:sdt>
                            <w:sdtPr>
                              <w:alias w:val="Numeris"/>
                              <w:tag w:val="nr_27102fb7dbed49c9974c8669f20c38c3"/>
                              <w:id w:val="1161659410"/>
                              <w:lock w:val="sdtLocked"/>
                            </w:sdtPr>
                            <w:sdtEndPr/>
                            <w:sdtContent>
                              <w:r>
                                <w:rPr>
                                  <w:bCs/>
                                  <w:color w:val="000000"/>
                                  <w:szCs w:val="24"/>
                                  <w:lang w:eastAsia="lt-LT"/>
                                </w:rPr>
                                <w:t>25</w:t>
                              </w:r>
                              <w:r>
                                <w:rPr>
                                  <w:bCs/>
                                  <w:color w:val="000000"/>
                                  <w:szCs w:val="24"/>
                                  <w:vertAlign w:val="superscript"/>
                                  <w:lang w:eastAsia="lt-LT"/>
                                </w:rPr>
                                <w:t>1</w:t>
                              </w:r>
                            </w:sdtContent>
                          </w:sdt>
                          <w:r>
                            <w:rPr>
                              <w:bCs/>
                              <w:color w:val="000000"/>
                              <w:szCs w:val="24"/>
                              <w:lang w:eastAsia="lt-LT"/>
                            </w:rPr>
                            <w:t>. Plat</w:t>
                          </w:r>
                          <w:r>
                            <w:rPr>
                              <w:bCs/>
                              <w:color w:val="000000"/>
                              <w:szCs w:val="24"/>
                              <w:lang w:eastAsia="lt-LT"/>
                            </w:rPr>
                            <w:t>inimo įmonė, gavusi informacijos apie įtariamus ar nustatytus jos tiekiamo vardinio vaistinio preparato kokybės defektus, taip pat saugumo informaciją (naują ar pasikeitusią riziką, pasikeitusį rizikos ir naudos santykį, pasireiškusias nepageidaujamas reak</w:t>
                          </w:r>
                          <w:r>
                            <w:rPr>
                              <w:bCs/>
                              <w:color w:val="000000"/>
                              <w:szCs w:val="24"/>
                              <w:lang w:eastAsia="lt-LT"/>
                            </w:rPr>
                            <w:t>cijas), privalo nedelsiant, bet nė vėliau kaip kitą darbo dieną nuo tokios informacijos gavimo dienos, informuoti Tarnybą.“</w:t>
                          </w:r>
                        </w:p>
                      </w:sdtContent>
                    </w:sdt>
                  </w:sdtContent>
                </w:sdt>
              </w:sdtContent>
            </w:sdt>
            <w:sdt>
              <w:sdtPr>
                <w:alias w:val="1.11 pp."/>
                <w:tag w:val="part_9d67e630e22544a2a229ff2b2a1f03b4"/>
                <w:id w:val="-46376420"/>
                <w:lock w:val="sdtLocked"/>
              </w:sdtPr>
              <w:sdtEndPr/>
              <w:sdtContent>
                <w:p w14:paraId="4069DFF5" w14:textId="77777777" w:rsidR="00C67672" w:rsidRDefault="005F6966">
                  <w:pPr>
                    <w:ind w:firstLine="851"/>
                    <w:jc w:val="both"/>
                    <w:rPr>
                      <w:szCs w:val="24"/>
                    </w:rPr>
                  </w:pPr>
                  <w:sdt>
                    <w:sdtPr>
                      <w:alias w:val="Numeris"/>
                      <w:tag w:val="nr_9d67e630e22544a2a229ff2b2a1f03b4"/>
                      <w:id w:val="752556766"/>
                      <w:lock w:val="sdtLocked"/>
                    </w:sdtPr>
                    <w:sdtEndPr/>
                    <w:sdtContent>
                      <w:r>
                        <w:rPr>
                          <w:szCs w:val="24"/>
                        </w:rPr>
                        <w:t>1.11</w:t>
                      </w:r>
                    </w:sdtContent>
                  </w:sdt>
                  <w:r>
                    <w:rPr>
                      <w:szCs w:val="24"/>
                    </w:rPr>
                    <w:t>. Pripažįstu netekusiu galios 26 punktą.</w:t>
                  </w:r>
                </w:p>
              </w:sdtContent>
            </w:sdt>
          </w:sdtContent>
        </w:sdt>
        <w:sdt>
          <w:sdtPr>
            <w:alias w:val="2 p."/>
            <w:tag w:val="part_61a2996f10404495a1cd82c2275d7352"/>
            <w:id w:val="1997140097"/>
            <w:lock w:val="sdtLocked"/>
          </w:sdtPr>
          <w:sdtEndPr/>
          <w:sdtContent>
            <w:p w14:paraId="38C18E60" w14:textId="77777777" w:rsidR="00C67672" w:rsidRDefault="005F6966" w:rsidP="005F6966">
              <w:pPr>
                <w:widowControl w:val="0"/>
                <w:suppressAutoHyphens/>
                <w:ind w:firstLine="851"/>
                <w:jc w:val="both"/>
                <w:rPr>
                  <w:szCs w:val="24"/>
                </w:rPr>
              </w:pPr>
              <w:sdt>
                <w:sdtPr>
                  <w:alias w:val="Numeris"/>
                  <w:tag w:val="nr_61a2996f10404495a1cd82c2275d7352"/>
                  <w:id w:val="1503013849"/>
                  <w:lock w:val="sdtLocked"/>
                </w:sdtPr>
                <w:sdtEndPr/>
                <w:sdtContent>
                  <w:r>
                    <w:rPr>
                      <w:szCs w:val="24"/>
                    </w:rPr>
                    <w:t>2</w:t>
                  </w:r>
                </w:sdtContent>
              </w:sdt>
              <w:r>
                <w:rPr>
                  <w:szCs w:val="24"/>
                </w:rPr>
                <w:t>. N u s t a t a u, kad platinimo įmonės, kurios iki šio įsakymo įsigalio</w:t>
              </w:r>
              <w:r>
                <w:rPr>
                  <w:szCs w:val="24"/>
                </w:rPr>
                <w:t>jimo įvežė į Lietuvos Respubliką konkrečias neregistruotų imuninių ir (ar) kraujo vaistinių preparatų serijas ar serijos dalį, turi teisę jas tiekti vaistinėms ir asmens sveikatos priežiūros įstaigoms vadovaudamosi reikalavimais, galiojusiais iki šio įsaky</w:t>
              </w:r>
              <w:r>
                <w:rPr>
                  <w:szCs w:val="24"/>
                </w:rPr>
                <w:t xml:space="preserve">mo įsigaliojimo. </w:t>
              </w:r>
            </w:p>
          </w:sdtContent>
        </w:sdt>
        <w:sdt>
          <w:sdtPr>
            <w:alias w:val="signatura"/>
            <w:tag w:val="part_621e549568a748fbb338a5d073869436"/>
            <w:id w:val="29148213"/>
            <w:lock w:val="sdtLocked"/>
          </w:sdtPr>
          <w:sdtEndPr/>
          <w:sdtContent>
            <w:p w14:paraId="747FC094" w14:textId="77777777" w:rsidR="005F6966" w:rsidRDefault="005F6966">
              <w:pPr>
                <w:tabs>
                  <w:tab w:val="right" w:pos="9498"/>
                </w:tabs>
                <w:jc w:val="both"/>
              </w:pPr>
            </w:p>
            <w:p w14:paraId="640BE773" w14:textId="77777777" w:rsidR="005F6966" w:rsidRDefault="005F6966">
              <w:pPr>
                <w:tabs>
                  <w:tab w:val="right" w:pos="9498"/>
                </w:tabs>
                <w:jc w:val="both"/>
              </w:pPr>
            </w:p>
            <w:p w14:paraId="37BB0005" w14:textId="77777777" w:rsidR="005F6966" w:rsidRDefault="005F6966">
              <w:pPr>
                <w:tabs>
                  <w:tab w:val="right" w:pos="9498"/>
                </w:tabs>
                <w:jc w:val="both"/>
              </w:pPr>
            </w:p>
            <w:p w14:paraId="1BFC801B" w14:textId="77777777" w:rsidR="00C67672" w:rsidRDefault="005F6966">
              <w:pPr>
                <w:tabs>
                  <w:tab w:val="right" w:pos="9498"/>
                </w:tabs>
                <w:jc w:val="both"/>
                <w:rPr>
                  <w:szCs w:val="24"/>
                </w:rPr>
              </w:pPr>
              <w:r>
                <w:rPr>
                  <w:szCs w:val="24"/>
                </w:rPr>
                <w:t xml:space="preserve">Sveikatos apsaugos ministras </w:t>
              </w:r>
              <w:r>
                <w:rPr>
                  <w:szCs w:val="24"/>
                </w:rPr>
                <w:tab/>
                <w:t xml:space="preserve">                                                                                   Aurelijus </w:t>
              </w:r>
              <w:proofErr w:type="spellStart"/>
              <w:r>
                <w:rPr>
                  <w:szCs w:val="24"/>
                </w:rPr>
                <w:t>Veryga</w:t>
              </w:r>
              <w:proofErr w:type="spellEnd"/>
              <w:r>
                <w:rPr>
                  <w:szCs w:val="24"/>
                </w:rPr>
                <w:t xml:space="preserve"> </w:t>
              </w:r>
            </w:p>
          </w:sdtContent>
        </w:sdt>
      </w:sdtContent>
    </w:sdt>
    <w:sectPr w:rsidR="00C67672">
      <w:headerReference w:type="even" r:id="rId10"/>
      <w:headerReference w:type="default" r:id="rId11"/>
      <w:footerReference w:type="even" r:id="rId12"/>
      <w:footerReference w:type="default" r:id="rId13"/>
      <w:headerReference w:type="first" r:id="rId14"/>
      <w:footerReference w:type="first" r:id="rId15"/>
      <w:pgSz w:w="11906" w:h="16838" w:code="9"/>
      <w:pgMar w:top="1701" w:right="680" w:bottom="993" w:left="1701" w:header="1134" w:footer="1134"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9324968" w14:textId="77777777" w:rsidR="00C67672" w:rsidRDefault="005F6966">
      <w:pPr>
        <w:rPr>
          <w:szCs w:val="24"/>
        </w:rPr>
      </w:pPr>
      <w:r>
        <w:rPr>
          <w:szCs w:val="24"/>
        </w:rPr>
        <w:separator/>
      </w:r>
    </w:p>
  </w:endnote>
  <w:endnote w:type="continuationSeparator" w:id="0">
    <w:p w14:paraId="5021BD97" w14:textId="77777777" w:rsidR="00C67672" w:rsidRDefault="005F6966">
      <w:pPr>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5AFEA2A" w14:textId="77777777" w:rsidR="00C67672" w:rsidRDefault="00C67672">
    <w:pPr>
      <w:tabs>
        <w:tab w:val="center" w:pos="4153"/>
        <w:tab w:val="right" w:pos="8306"/>
      </w:tabs>
      <w:rPr>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086DEF" w14:textId="77777777" w:rsidR="00C67672" w:rsidRDefault="00C67672">
    <w:pPr>
      <w:tabs>
        <w:tab w:val="center" w:pos="4153"/>
        <w:tab w:val="right" w:pos="8306"/>
      </w:tabs>
      <w:rPr>
        <w:szCs w:val="24"/>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0A21B73" w14:textId="77777777" w:rsidR="00C67672" w:rsidRDefault="00C67672">
    <w:pPr>
      <w:tabs>
        <w:tab w:val="center" w:pos="4153"/>
        <w:tab w:val="right" w:pos="9639"/>
      </w:tabs>
      <w:rPr>
        <w:sz w:val="20"/>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AF8A6BD" w14:textId="77777777" w:rsidR="00C67672" w:rsidRDefault="005F6966">
      <w:pPr>
        <w:rPr>
          <w:szCs w:val="24"/>
        </w:rPr>
      </w:pPr>
      <w:r>
        <w:rPr>
          <w:szCs w:val="24"/>
        </w:rPr>
        <w:separator/>
      </w:r>
    </w:p>
  </w:footnote>
  <w:footnote w:type="continuationSeparator" w:id="0">
    <w:p w14:paraId="6F067670" w14:textId="77777777" w:rsidR="00C67672" w:rsidRDefault="005F6966">
      <w:pPr>
        <w:rPr>
          <w:szCs w:val="24"/>
        </w:rPr>
      </w:pPr>
      <w:r>
        <w:rPr>
          <w:szCs w:val="24"/>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47A4F51" w14:textId="77777777" w:rsidR="00C67672" w:rsidRDefault="005F6966">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14:paraId="3341997D" w14:textId="77777777" w:rsidR="00C67672" w:rsidRDefault="00C67672">
    <w:pPr>
      <w:tabs>
        <w:tab w:val="center" w:pos="4153"/>
        <w:tab w:val="right" w:pos="8306"/>
      </w:tabs>
      <w:rPr>
        <w:szCs w:val="24"/>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6A86780" w14:textId="77777777" w:rsidR="00C67672" w:rsidRDefault="005F6966">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noProof/>
        <w:szCs w:val="24"/>
      </w:rPr>
      <w:t>3</w:t>
    </w:r>
    <w:r>
      <w:rPr>
        <w:szCs w:val="24"/>
      </w:rPr>
      <w:fldChar w:fldCharType="end"/>
    </w:r>
  </w:p>
  <w:p w14:paraId="35978F5D" w14:textId="77777777" w:rsidR="00C67672" w:rsidRDefault="00C67672">
    <w:pPr>
      <w:tabs>
        <w:tab w:val="center" w:pos="4153"/>
        <w:tab w:val="right" w:pos="8306"/>
      </w:tabs>
      <w:rPr>
        <w:szCs w:val="24"/>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3DF86A" w14:textId="77777777" w:rsidR="00C67672" w:rsidRDefault="00C67672">
    <w:pPr>
      <w:tabs>
        <w:tab w:val="center" w:pos="4153"/>
        <w:tab w:val="right" w:pos="8306"/>
      </w:tabs>
      <w:rPr>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A2A9C"/>
    <w:rsid w:val="005F6966"/>
    <w:rsid w:val="00AA2A9C"/>
    <w:rsid w:val="00C6767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
  <w:smartTagType w:namespaceuri="schemas-tilde-lv/tildestengine" w:name="metric2"/>
  <w:shapeDefaults>
    <o:shapedefaults v:ext="edit" spidmax="10241"/>
    <o:shapelayout v:ext="edit">
      <o:idmap v:ext="edit" data="1"/>
    </o:shapelayout>
  </w:shapeDefaults>
  <w:decimalSymbol w:val=","/>
  <w:listSeparator w:val=";"/>
  <w14:docId w14:val="25BAC5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4994565">
      <w:bodyDiv w:val="1"/>
      <w:marLeft w:val="0"/>
      <w:marRight w:val="0"/>
      <w:marTop w:val="0"/>
      <w:marBottom w:val="0"/>
      <w:divBdr>
        <w:top w:val="none" w:sz="0" w:space="0" w:color="auto"/>
        <w:left w:val="none" w:sz="0" w:space="0" w:color="auto"/>
        <w:bottom w:val="none" w:sz="0" w:space="0" w:color="auto"/>
        <w:right w:val="none" w:sz="0" w:space="0" w:color="auto"/>
      </w:divBdr>
    </w:div>
    <w:div w:id="296839966">
      <w:bodyDiv w:val="1"/>
      <w:marLeft w:val="0"/>
      <w:marRight w:val="0"/>
      <w:marTop w:val="0"/>
      <w:marBottom w:val="0"/>
      <w:divBdr>
        <w:top w:val="none" w:sz="0" w:space="0" w:color="auto"/>
        <w:left w:val="none" w:sz="0" w:space="0" w:color="auto"/>
        <w:bottom w:val="none" w:sz="0" w:space="0" w:color="auto"/>
        <w:right w:val="none" w:sz="0" w:space="0" w:color="auto"/>
      </w:divBdr>
    </w:div>
    <w:div w:id="382490125">
      <w:bodyDiv w:val="1"/>
      <w:marLeft w:val="0"/>
      <w:marRight w:val="0"/>
      <w:marTop w:val="0"/>
      <w:marBottom w:val="0"/>
      <w:divBdr>
        <w:top w:val="none" w:sz="0" w:space="0" w:color="auto"/>
        <w:left w:val="none" w:sz="0" w:space="0" w:color="auto"/>
        <w:bottom w:val="none" w:sz="0" w:space="0" w:color="auto"/>
        <w:right w:val="none" w:sz="0" w:space="0" w:color="auto"/>
      </w:divBdr>
    </w:div>
    <w:div w:id="399864279">
      <w:bodyDiv w:val="1"/>
      <w:marLeft w:val="0"/>
      <w:marRight w:val="0"/>
      <w:marTop w:val="0"/>
      <w:marBottom w:val="0"/>
      <w:divBdr>
        <w:top w:val="none" w:sz="0" w:space="0" w:color="auto"/>
        <w:left w:val="none" w:sz="0" w:space="0" w:color="auto"/>
        <w:bottom w:val="none" w:sz="0" w:space="0" w:color="auto"/>
        <w:right w:val="none" w:sz="0" w:space="0" w:color="auto"/>
      </w:divBdr>
    </w:div>
    <w:div w:id="603539837">
      <w:bodyDiv w:val="1"/>
      <w:marLeft w:val="0"/>
      <w:marRight w:val="0"/>
      <w:marTop w:val="0"/>
      <w:marBottom w:val="0"/>
      <w:divBdr>
        <w:top w:val="none" w:sz="0" w:space="0" w:color="auto"/>
        <w:left w:val="none" w:sz="0" w:space="0" w:color="auto"/>
        <w:bottom w:val="none" w:sz="0" w:space="0" w:color="auto"/>
        <w:right w:val="none" w:sz="0" w:space="0" w:color="auto"/>
      </w:divBdr>
      <w:divsChild>
        <w:div w:id="1983272463">
          <w:marLeft w:val="0"/>
          <w:marRight w:val="0"/>
          <w:marTop w:val="0"/>
          <w:marBottom w:val="0"/>
          <w:divBdr>
            <w:top w:val="none" w:sz="0" w:space="0" w:color="auto"/>
            <w:left w:val="none" w:sz="0" w:space="0" w:color="auto"/>
            <w:bottom w:val="none" w:sz="0" w:space="0" w:color="auto"/>
            <w:right w:val="none" w:sz="0" w:space="0" w:color="auto"/>
          </w:divBdr>
          <w:divsChild>
            <w:div w:id="931662218">
              <w:marLeft w:val="0"/>
              <w:marRight w:val="0"/>
              <w:marTop w:val="0"/>
              <w:marBottom w:val="0"/>
              <w:divBdr>
                <w:top w:val="none" w:sz="0" w:space="0" w:color="auto"/>
                <w:left w:val="none" w:sz="0" w:space="0" w:color="auto"/>
                <w:bottom w:val="none" w:sz="0" w:space="0" w:color="auto"/>
                <w:right w:val="none" w:sz="0" w:space="0" w:color="auto"/>
              </w:divBdr>
              <w:divsChild>
                <w:div w:id="1679503531">
                  <w:marLeft w:val="0"/>
                  <w:marRight w:val="0"/>
                  <w:marTop w:val="0"/>
                  <w:marBottom w:val="0"/>
                  <w:divBdr>
                    <w:top w:val="none" w:sz="0" w:space="0" w:color="auto"/>
                    <w:left w:val="none" w:sz="0" w:space="0" w:color="auto"/>
                    <w:bottom w:val="none" w:sz="0" w:space="0" w:color="auto"/>
                    <w:right w:val="none" w:sz="0" w:space="0" w:color="auto"/>
                  </w:divBdr>
                  <w:divsChild>
                    <w:div w:id="150173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96465798">
      <w:bodyDiv w:val="1"/>
      <w:marLeft w:val="0"/>
      <w:marRight w:val="0"/>
      <w:marTop w:val="0"/>
      <w:marBottom w:val="0"/>
      <w:divBdr>
        <w:top w:val="none" w:sz="0" w:space="0" w:color="auto"/>
        <w:left w:val="none" w:sz="0" w:space="0" w:color="auto"/>
        <w:bottom w:val="none" w:sz="0" w:space="0" w:color="auto"/>
        <w:right w:val="none" w:sz="0" w:space="0" w:color="auto"/>
      </w:divBdr>
    </w:div>
    <w:div w:id="812873863">
      <w:bodyDiv w:val="1"/>
      <w:marLeft w:val="0"/>
      <w:marRight w:val="0"/>
      <w:marTop w:val="0"/>
      <w:marBottom w:val="0"/>
      <w:divBdr>
        <w:top w:val="none" w:sz="0" w:space="0" w:color="auto"/>
        <w:left w:val="none" w:sz="0" w:space="0" w:color="auto"/>
        <w:bottom w:val="none" w:sz="0" w:space="0" w:color="auto"/>
        <w:right w:val="none" w:sz="0" w:space="0" w:color="auto"/>
      </w:divBdr>
    </w:div>
    <w:div w:id="823857087">
      <w:bodyDiv w:val="1"/>
      <w:marLeft w:val="0"/>
      <w:marRight w:val="0"/>
      <w:marTop w:val="0"/>
      <w:marBottom w:val="0"/>
      <w:divBdr>
        <w:top w:val="none" w:sz="0" w:space="0" w:color="auto"/>
        <w:left w:val="none" w:sz="0" w:space="0" w:color="auto"/>
        <w:bottom w:val="none" w:sz="0" w:space="0" w:color="auto"/>
        <w:right w:val="none" w:sz="0" w:space="0" w:color="auto"/>
      </w:divBdr>
    </w:div>
    <w:div w:id="920455782">
      <w:bodyDiv w:val="1"/>
      <w:marLeft w:val="0"/>
      <w:marRight w:val="0"/>
      <w:marTop w:val="0"/>
      <w:marBottom w:val="0"/>
      <w:divBdr>
        <w:top w:val="none" w:sz="0" w:space="0" w:color="auto"/>
        <w:left w:val="none" w:sz="0" w:space="0" w:color="auto"/>
        <w:bottom w:val="none" w:sz="0" w:space="0" w:color="auto"/>
        <w:right w:val="none" w:sz="0" w:space="0" w:color="auto"/>
      </w:divBdr>
    </w:div>
    <w:div w:id="973294964">
      <w:bodyDiv w:val="1"/>
      <w:marLeft w:val="0"/>
      <w:marRight w:val="0"/>
      <w:marTop w:val="0"/>
      <w:marBottom w:val="0"/>
      <w:divBdr>
        <w:top w:val="none" w:sz="0" w:space="0" w:color="auto"/>
        <w:left w:val="none" w:sz="0" w:space="0" w:color="auto"/>
        <w:bottom w:val="none" w:sz="0" w:space="0" w:color="auto"/>
        <w:right w:val="none" w:sz="0" w:space="0" w:color="auto"/>
      </w:divBdr>
    </w:div>
    <w:div w:id="1052391348">
      <w:bodyDiv w:val="1"/>
      <w:marLeft w:val="0"/>
      <w:marRight w:val="0"/>
      <w:marTop w:val="0"/>
      <w:marBottom w:val="0"/>
      <w:divBdr>
        <w:top w:val="none" w:sz="0" w:space="0" w:color="auto"/>
        <w:left w:val="none" w:sz="0" w:space="0" w:color="auto"/>
        <w:bottom w:val="none" w:sz="0" w:space="0" w:color="auto"/>
        <w:right w:val="none" w:sz="0" w:space="0" w:color="auto"/>
      </w:divBdr>
    </w:div>
    <w:div w:id="1160148675">
      <w:bodyDiv w:val="1"/>
      <w:marLeft w:val="0"/>
      <w:marRight w:val="0"/>
      <w:marTop w:val="0"/>
      <w:marBottom w:val="0"/>
      <w:divBdr>
        <w:top w:val="none" w:sz="0" w:space="0" w:color="auto"/>
        <w:left w:val="none" w:sz="0" w:space="0" w:color="auto"/>
        <w:bottom w:val="none" w:sz="0" w:space="0" w:color="auto"/>
        <w:right w:val="none" w:sz="0" w:space="0" w:color="auto"/>
      </w:divBdr>
      <w:divsChild>
        <w:div w:id="559751306">
          <w:marLeft w:val="0"/>
          <w:marRight w:val="0"/>
          <w:marTop w:val="0"/>
          <w:marBottom w:val="0"/>
          <w:divBdr>
            <w:top w:val="none" w:sz="0" w:space="0" w:color="auto"/>
            <w:left w:val="none" w:sz="0" w:space="0" w:color="auto"/>
            <w:bottom w:val="none" w:sz="0" w:space="0" w:color="auto"/>
            <w:right w:val="none" w:sz="0" w:space="0" w:color="auto"/>
          </w:divBdr>
          <w:divsChild>
            <w:div w:id="779421111">
              <w:marLeft w:val="0"/>
              <w:marRight w:val="0"/>
              <w:marTop w:val="0"/>
              <w:marBottom w:val="0"/>
              <w:divBdr>
                <w:top w:val="none" w:sz="0" w:space="0" w:color="auto"/>
                <w:left w:val="none" w:sz="0" w:space="0" w:color="auto"/>
                <w:bottom w:val="none" w:sz="0" w:space="0" w:color="auto"/>
                <w:right w:val="none" w:sz="0" w:space="0" w:color="auto"/>
              </w:divBdr>
            </w:div>
            <w:div w:id="1245187259">
              <w:marLeft w:val="0"/>
              <w:marRight w:val="0"/>
              <w:marTop w:val="0"/>
              <w:marBottom w:val="0"/>
              <w:divBdr>
                <w:top w:val="none" w:sz="0" w:space="0" w:color="auto"/>
                <w:left w:val="none" w:sz="0" w:space="0" w:color="auto"/>
                <w:bottom w:val="none" w:sz="0" w:space="0" w:color="auto"/>
                <w:right w:val="none" w:sz="0" w:space="0" w:color="auto"/>
              </w:divBdr>
            </w:div>
            <w:div w:id="543561287">
              <w:marLeft w:val="0"/>
              <w:marRight w:val="0"/>
              <w:marTop w:val="0"/>
              <w:marBottom w:val="0"/>
              <w:divBdr>
                <w:top w:val="none" w:sz="0" w:space="0" w:color="auto"/>
                <w:left w:val="none" w:sz="0" w:space="0" w:color="auto"/>
                <w:bottom w:val="none" w:sz="0" w:space="0" w:color="auto"/>
                <w:right w:val="none" w:sz="0" w:space="0" w:color="auto"/>
              </w:divBdr>
              <w:divsChild>
                <w:div w:id="1829782907">
                  <w:marLeft w:val="0"/>
                  <w:marRight w:val="0"/>
                  <w:marTop w:val="0"/>
                  <w:marBottom w:val="0"/>
                  <w:divBdr>
                    <w:top w:val="none" w:sz="0" w:space="0" w:color="auto"/>
                    <w:left w:val="none" w:sz="0" w:space="0" w:color="auto"/>
                    <w:bottom w:val="none" w:sz="0" w:space="0" w:color="auto"/>
                    <w:right w:val="none" w:sz="0" w:space="0" w:color="auto"/>
                  </w:divBdr>
                </w:div>
                <w:div w:id="726731192">
                  <w:marLeft w:val="0"/>
                  <w:marRight w:val="0"/>
                  <w:marTop w:val="0"/>
                  <w:marBottom w:val="0"/>
                  <w:divBdr>
                    <w:top w:val="none" w:sz="0" w:space="0" w:color="auto"/>
                    <w:left w:val="none" w:sz="0" w:space="0" w:color="auto"/>
                    <w:bottom w:val="none" w:sz="0" w:space="0" w:color="auto"/>
                    <w:right w:val="none" w:sz="0" w:space="0" w:color="auto"/>
                  </w:divBdr>
                </w:div>
                <w:div w:id="19418401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7356502">
          <w:marLeft w:val="0"/>
          <w:marRight w:val="0"/>
          <w:marTop w:val="0"/>
          <w:marBottom w:val="0"/>
          <w:divBdr>
            <w:top w:val="none" w:sz="0" w:space="0" w:color="auto"/>
            <w:left w:val="none" w:sz="0" w:space="0" w:color="auto"/>
            <w:bottom w:val="none" w:sz="0" w:space="0" w:color="auto"/>
            <w:right w:val="none" w:sz="0" w:space="0" w:color="auto"/>
          </w:divBdr>
        </w:div>
      </w:divsChild>
    </w:div>
    <w:div w:id="1172449817">
      <w:bodyDiv w:val="1"/>
      <w:marLeft w:val="0"/>
      <w:marRight w:val="0"/>
      <w:marTop w:val="0"/>
      <w:marBottom w:val="0"/>
      <w:divBdr>
        <w:top w:val="none" w:sz="0" w:space="0" w:color="auto"/>
        <w:left w:val="none" w:sz="0" w:space="0" w:color="auto"/>
        <w:bottom w:val="none" w:sz="0" w:space="0" w:color="auto"/>
        <w:right w:val="none" w:sz="0" w:space="0" w:color="auto"/>
      </w:divBdr>
    </w:div>
    <w:div w:id="1522353477">
      <w:bodyDiv w:val="1"/>
      <w:marLeft w:val="0"/>
      <w:marRight w:val="0"/>
      <w:marTop w:val="0"/>
      <w:marBottom w:val="0"/>
      <w:divBdr>
        <w:top w:val="none" w:sz="0" w:space="0" w:color="auto"/>
        <w:left w:val="none" w:sz="0" w:space="0" w:color="auto"/>
        <w:bottom w:val="none" w:sz="0" w:space="0" w:color="auto"/>
        <w:right w:val="none" w:sz="0" w:space="0" w:color="auto"/>
      </w:divBdr>
    </w:div>
    <w:div w:id="1720283720">
      <w:bodyDiv w:val="1"/>
      <w:marLeft w:val="0"/>
      <w:marRight w:val="0"/>
      <w:marTop w:val="0"/>
      <w:marBottom w:val="0"/>
      <w:divBdr>
        <w:top w:val="none" w:sz="0" w:space="0" w:color="auto"/>
        <w:left w:val="none" w:sz="0" w:space="0" w:color="auto"/>
        <w:bottom w:val="none" w:sz="0" w:space="0" w:color="auto"/>
        <w:right w:val="none" w:sz="0" w:space="0" w:color="auto"/>
      </w:divBdr>
    </w:div>
    <w:div w:id="1753238744">
      <w:bodyDiv w:val="1"/>
      <w:marLeft w:val="0"/>
      <w:marRight w:val="0"/>
      <w:marTop w:val="0"/>
      <w:marBottom w:val="0"/>
      <w:divBdr>
        <w:top w:val="none" w:sz="0" w:space="0" w:color="auto"/>
        <w:left w:val="none" w:sz="0" w:space="0" w:color="auto"/>
        <w:bottom w:val="none" w:sz="0" w:space="0" w:color="auto"/>
        <w:right w:val="none" w:sz="0" w:space="0" w:color="auto"/>
      </w:divBdr>
      <w:divsChild>
        <w:div w:id="2146584821">
          <w:marLeft w:val="0"/>
          <w:marRight w:val="0"/>
          <w:marTop w:val="0"/>
          <w:marBottom w:val="0"/>
          <w:divBdr>
            <w:top w:val="none" w:sz="0" w:space="0" w:color="auto"/>
            <w:left w:val="none" w:sz="0" w:space="0" w:color="auto"/>
            <w:bottom w:val="none" w:sz="0" w:space="0" w:color="auto"/>
            <w:right w:val="none" w:sz="0" w:space="0" w:color="auto"/>
          </w:divBdr>
        </w:div>
        <w:div w:id="2134514064">
          <w:marLeft w:val="0"/>
          <w:marRight w:val="0"/>
          <w:marTop w:val="0"/>
          <w:marBottom w:val="0"/>
          <w:divBdr>
            <w:top w:val="none" w:sz="0" w:space="0" w:color="auto"/>
            <w:left w:val="none" w:sz="0" w:space="0" w:color="auto"/>
            <w:bottom w:val="none" w:sz="0" w:space="0" w:color="auto"/>
            <w:right w:val="none" w:sz="0" w:space="0" w:color="auto"/>
          </w:divBdr>
        </w:div>
        <w:div w:id="1137645279">
          <w:marLeft w:val="0"/>
          <w:marRight w:val="0"/>
          <w:marTop w:val="0"/>
          <w:marBottom w:val="0"/>
          <w:divBdr>
            <w:top w:val="none" w:sz="0" w:space="0" w:color="auto"/>
            <w:left w:val="none" w:sz="0" w:space="0" w:color="auto"/>
            <w:bottom w:val="none" w:sz="0" w:space="0" w:color="auto"/>
            <w:right w:val="none" w:sz="0" w:space="0" w:color="auto"/>
          </w:divBdr>
        </w:div>
      </w:divsChild>
    </w:div>
    <w:div w:id="1753382310">
      <w:bodyDiv w:val="1"/>
      <w:marLeft w:val="0"/>
      <w:marRight w:val="0"/>
      <w:marTop w:val="0"/>
      <w:marBottom w:val="0"/>
      <w:divBdr>
        <w:top w:val="none" w:sz="0" w:space="0" w:color="auto"/>
        <w:left w:val="none" w:sz="0" w:space="0" w:color="auto"/>
        <w:bottom w:val="none" w:sz="0" w:space="0" w:color="auto"/>
        <w:right w:val="none" w:sz="0" w:space="0" w:color="auto"/>
      </w:divBdr>
    </w:div>
    <w:div w:id="2037464624">
      <w:bodyDiv w:val="1"/>
      <w:marLeft w:val="0"/>
      <w:marRight w:val="0"/>
      <w:marTop w:val="0"/>
      <w:marBottom w:val="0"/>
      <w:divBdr>
        <w:top w:val="none" w:sz="0" w:space="0" w:color="auto"/>
        <w:left w:val="none" w:sz="0" w:space="0" w:color="auto"/>
        <w:bottom w:val="none" w:sz="0" w:space="0" w:color="auto"/>
        <w:right w:val="none" w:sz="0" w:space="0" w:color="auto"/>
      </w:divBdr>
      <w:divsChild>
        <w:div w:id="619917531">
          <w:marLeft w:val="0"/>
          <w:marRight w:val="0"/>
          <w:marTop w:val="0"/>
          <w:marBottom w:val="0"/>
          <w:divBdr>
            <w:top w:val="none" w:sz="0" w:space="0" w:color="auto"/>
            <w:left w:val="none" w:sz="0" w:space="0" w:color="auto"/>
            <w:bottom w:val="none" w:sz="0" w:space="0" w:color="auto"/>
            <w:right w:val="none" w:sz="0" w:space="0" w:color="auto"/>
          </w:divBdr>
          <w:divsChild>
            <w:div w:id="984121333">
              <w:marLeft w:val="0"/>
              <w:marRight w:val="0"/>
              <w:marTop w:val="0"/>
              <w:marBottom w:val="0"/>
              <w:divBdr>
                <w:top w:val="none" w:sz="0" w:space="0" w:color="auto"/>
                <w:left w:val="none" w:sz="0" w:space="0" w:color="auto"/>
                <w:bottom w:val="none" w:sz="0" w:space="0" w:color="auto"/>
                <w:right w:val="none" w:sz="0" w:space="0" w:color="auto"/>
              </w:divBdr>
            </w:div>
            <w:div w:id="178356157">
              <w:marLeft w:val="0"/>
              <w:marRight w:val="0"/>
              <w:marTop w:val="0"/>
              <w:marBottom w:val="0"/>
              <w:divBdr>
                <w:top w:val="none" w:sz="0" w:space="0" w:color="auto"/>
                <w:left w:val="none" w:sz="0" w:space="0" w:color="auto"/>
                <w:bottom w:val="none" w:sz="0" w:space="0" w:color="auto"/>
                <w:right w:val="none" w:sz="0" w:space="0" w:color="auto"/>
              </w:divBdr>
            </w:div>
          </w:divsChild>
        </w:div>
        <w:div w:id="142383566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7e8257979537421ebfe83400f403db7a" PartId="7f24c35846284927ad142c389a126e17">
    <Part Type="punktas" Nr="1" Abbr="1 p." DocPartId="ef1b2632b72643cfbb07b6d55fd44847" PartId="69c36032a82b4c2ca3322d7a5f33e44a">
      <Part Type="papunktis" Nr="1.1" Abbr="1.1 pp." DocPartId="ec1f7795d904488498ad039eae6e1041" PartId="e83940e90aa8484192a47b333ee2e27e">
        <Part Type="citata" DocPartId="8caf3b53c1994dfbb77dda99a362ac10" PartId="d442089112df4fd187fd7bcc21a55bec">
          <Part Type="punktas" Nr="4" Abbr="4 p." DocPartId="e1af329364c64a3eaa8c77ea41fc2b58" PartId="b5ea8c852077496bb1673e8cd8722049"/>
        </Part>
      </Part>
      <Part Type="papunktis" Nr="1.2" Abbr="1.2 pp." DocPartId="eb72f3d41e624b29b4acb7f5d51b8a91" PartId="548106e05da94eb0b8d2f42011e7c303">
        <Part Type="citata" DocPartId="df3a72dfb6e64cebb74206e3ddf04b15" PartId="b69086a116a7457489af02227bf1f6e2">
          <Part Type="punktas" Nr="8" Abbr="8 p." DocPartId="481157d692fa486590656d770fbefd82" PartId="4c39020dac10416b83d38e690c0005f9">
            <Part Type="papunktis" Nr="8.1" Abbr="8.1 pp." DocPartId="31217bc38adb4cde9605f7501469dacf" PartId="c95df6b719c648718f1391fdcc26a6b4"/>
            <Part Type="papunktis" Nr="8.2" Abbr="8.2 pp." DocPartId="c66620fb48334f338bbf6e941f04585a" PartId="57cfa29bb0424362966967696ce9ce9c"/>
          </Part>
        </Part>
      </Part>
      <Part Type="papunktis" Nr="1.3" Abbr="1.3 pp." DocPartId="d2bab45b2f214b95981f54f1b613bfa1" PartId="c5f727b518584642817d220a869c92b6">
        <Part Type="citata" DocPartId="8ba03c96d36447f5838d042a24eacbfa" PartId="ea7d6fca58284752a3689486ec0084c3">
          <Part Type="punktas" Nr="8-1" Abbr="8-1 p." DocPartId="c88d0859d6dc433296ce2b580228533e" PartId="e0859caa5873495c873daf7e622d9976"/>
        </Part>
      </Part>
      <Part Type="papunktis" Nr="1.4" Abbr="1.4 pp." DocPartId="ee57ed2188c449cc99b5bf4fabb78f87" PartId="cbc31a2ccf3d46419c562d70d3b3202e">
        <Part Type="citata" DocPartId="44edca9b947b4cc98fa84f151079a96a" PartId="724727a1c9b7412c8c5a0d194aeb48e2">
          <Part Type="punktas" Nr="8-2" Abbr="8-2 p." DocPartId="f011ce6ad2724800b0250040369fbe8c" PartId="95228a75db784e32a5e15cdc57f26b2a"/>
        </Part>
      </Part>
      <Part Type="papunktis" Nr="1.5" Abbr="1.5 pp." DocPartId="20cae6fcc2244bef9586083fb9ef47c8" PartId="214145fc79c74f7bbf8182f0c687684b">
        <Part Type="citata" DocPartId="f403efb05a2d47dab9ef8d6d47ac0afd" PartId="e969a79fe2934699af03767aeec58102">
          <Part Type="punktas" Nr="8-3" Abbr="8-3 p." DocPartId="1408fb43e6484383b50953f398123a86" PartId="36f339177db24e62bbb6c91233e5a3fd"/>
        </Part>
      </Part>
      <Part Type="papunktis" Nr="1.6" Abbr="1.6 pp." DocPartId="8120323f9b71442d8414c01e6537236d" PartId="3e114353e33c4d0098c345d94662049a">
        <Part Type="citata" DocPartId="fc6fac21af8b46b0a5efd8ac2bd2d805" PartId="a741f316a6a54b5d8153e752306a991b">
          <Part Type="punktas" Nr="8-4" Abbr="8-4 p." DocPartId="e1ebb706b0bf4971af205897468c4d90" PartId="a921c2fbdd284b349c75188da0c51c11"/>
        </Part>
      </Part>
      <Part Type="papunktis" Nr="1.7" Abbr="1.7 pp." DocPartId="a16ffd91b7194628a8c0b2890cde07a3" PartId="94ea7c0db450487384ab9198a03ed41c">
        <Part Type="citata" DocPartId="a69bd7d5e440473f804193f79b15685a" PartId="52ec3b540f034792aaac90783c8b3488">
          <Part Type="papunktis" Nr="9.2" Abbr="9.2 pp." DocPartId="c46536bba7274426982b245c5e259245" PartId="61fc9c4f889c4ca89a75531c009dd975"/>
        </Part>
      </Part>
      <Part Type="papunktis" Nr="1.8" Abbr="1.8 pp." DocPartId="f22acfe020ea4d8f87d81bbc446fcd1e" PartId="2030023aa87344f784301d3c3cfbd896">
        <Part Type="citata" DocPartId="c32da06ef4784f13a9ecf074d8cf1d80" PartId="b86cff2995ac438eacf8bb78dd983ff1">
          <Part Type="punktas" Nr="20" Abbr="20 p." DocPartId="7047b4fdfc5f4ee4a6e031d9e0b899cb" PartId="cd7985800f1449f8b7850f03105d9032"/>
        </Part>
      </Part>
      <Part Type="papunktis" Nr="1.9" Abbr="1.9 pp." DocPartId="748f9ce6eb854b19820c18c66034ba47" PartId="181b818cd98045b69b9b1f17b8b3f1f6">
        <Part Type="citata" DocPartId="34b375aee23e4696a1c1aab55b40f566" PartId="d0ef3e55c1934043b76c71f101335d21">
          <Part Type="skyrius" Nr="3-1" Title="SPECIALIEJI NEREGISTRUOTŲ IMUNINIŲ IR KRAUJO VAISTINIŲ PREPARATŲ TIEKIMO REIKALAVIMAI" DocPartId="33cb59364a6142ccb5e2cebf9d6dde92" PartId="185b6a29eced4918b182844f49337c45">
            <Part Type="punktas" Nr="22-1" Abbr="22-1 p." DocPartId="b817eabfbfb1475090487ceedeabc0f3" PartId="7088f63f142e48509ad29de58f7e66a5"/>
            <Part Type="punktas" Nr="22-2" Abbr="22-2 p." DocPartId="1255784f5e4146239c3ef666e2e489fa" PartId="c13d41f99b984f8cabf7aa0c3e2235b2"/>
            <Part Type="punktas" Nr="22-3" Abbr="22-3 p." DocPartId="2856f4613aed451f9d8cafc04033dfa2" PartId="b6c134ed290e4458accb53fb78246b23"/>
            <Part Type="punktas" Nr="22-4" Abbr="22-4 p." DocPartId="9093b513421441c292b66404f4eb60ee" PartId="a2ac7ec6c21348f7b550856a4933d329"/>
            <Part Type="punktas" Nr="22-5" Abbr="22-5 p." DocPartId="87b354707dd848628a56d38636de509c" PartId="62cf0308b7a94344b08deb86dab94119"/>
            <Part Type="punktas" Nr="22-6" Abbr="22-6 p." DocPartId="392ed70afb3a4921beade46f29695095" PartId="4c03b3a4bd6f4174a821b5c71c2aee90"/>
            <Part Type="punktas" Nr="22-7" Abbr="22-7 p." DocPartId="10f85a28dcd445beb0c06ed92e730635" PartId="1efc5db85f624c8d931e8a98eb416363"/>
            <Part Type="punktas" Nr="22-8" Abbr="22-8 p." DocPartId="1a5a331335a04996b2c04c77aebf7b86" PartId="910835663bcd421e8d652b2150cfb9f4"/>
            <Part Type="punktas" Nr="22-9" Abbr="22-9 p." DocPartId="f5ddfe3daffc4afdafec236a9822f42b" PartId="541f8902f3b142da92a967b59cb1b39f">
              <Part Type="papunktis" Nr="22-9.1" Abbr="22-9.1 pp." DocPartId="e4ba8d3e78904da3973f0b152d5d98f4" PartId="2f6e4cb4abfe41fa9796a7ffc0f4ef5f"/>
              <Part Type="papunktis" Nr="22-9.2" Abbr="22-9.2 pp." DocPartId="1c8bcef694aa485db93b54d13264f614" PartId="1cc12fc2854f487ebf1f5e739828d432"/>
            </Part>
            <Part Type="punktas" Nr="22-10" Abbr="22-10 p." DocPartId="f9c472b073f44c0481eb069e3b0e2ae4" PartId="da95508ae7874a949dab0a1f5d8f19d7"/>
            <Part Type="punktas" Nr="22-11" Abbr="22-11 p." DocPartId="7fffe2e2cb3e4af7b3d9638e0857dab2" PartId="7223d06fbabb490cbe235ad9f6a63b82"/>
          </Part>
        </Part>
      </Part>
      <Part Type="papunktis" Nr="1.10" Abbr="1.10 pp." DocPartId="64cee54533524678beb871a3c300c43e" PartId="00e293447da740109cb79eed58bc6548">
        <Part Type="citata" DocPartId="710b4419c80743d7b9dd56d315c0f675" PartId="4a8fbd9ed2e44403a5dcc1c39498253e">
          <Part Type="punktas" Nr="25-1" Abbr="25-1 p." DocPartId="4b0c6fd14b2b424092b630643de9ec9a" PartId="27102fb7dbed49c9974c8669f20c38c3"/>
        </Part>
      </Part>
      <Part Type="papunktis" Nr="1.11" Abbr="1.11 pp." DocPartId="e1afe147541946ac8d6a8a22c4aad30f" PartId="9d67e630e22544a2a229ff2b2a1f03b4"/>
    </Part>
    <Part Type="punktas" Nr="2" Abbr="2 p." DocPartId="01b4edbbd96148a89392f4bfd65d4ae9" PartId="61a2996f10404495a1cd82c2275d7352"/>
    <Part Type="signatura" DocPartId="72b10f619e5c4fdbb16e1c52e58b640d" PartId="621e549568a748fbb338a5d073869436"/>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5E12736-520F-4DD5-9B80-43B61D09E95E}">
  <ds:schemaRefs>
    <ds:schemaRef ds:uri="http://lrs.lt/TAIS/DocParts"/>
  </ds:schemaRefs>
</ds:datastoreItem>
</file>

<file path=customXml/itemProps2.xml><?xml version="1.0" encoding="utf-8"?>
<ds:datastoreItem xmlns:ds="http://schemas.openxmlformats.org/officeDocument/2006/customXml" ds:itemID="{3080DACC-144D-4178-86C2-A7F7CFE17F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4</Pages>
  <Words>1723</Words>
  <Characters>12601</Characters>
  <Application>Microsoft Office Word</Application>
  <DocSecurity>0</DocSecurity>
  <Lines>105</Lines>
  <Paragraphs>28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2001-05-00</vt:lpstr>
      <vt:lpstr>2001-05-00</vt:lpstr>
    </vt:vector>
  </TitlesOfParts>
  <Company>Sveikatos apsaugos ministerija</Company>
  <LinksUpToDate>false</LinksUpToDate>
  <CharactersWithSpaces>14296</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2001-05-00</dc:title>
  <dc:creator>Miglė Domeikienė</dc:creator>
  <cp:lastModifiedBy>ŠAULYTĖ SKAIRIENĖ Dalia</cp:lastModifiedBy>
  <cp:revision>3</cp:revision>
  <cp:lastPrinted>2019-12-04T09:41:00Z</cp:lastPrinted>
  <dcterms:created xsi:type="dcterms:W3CDTF">2019-12-09T14:06:00Z</dcterms:created>
  <dcterms:modified xsi:type="dcterms:W3CDTF">2019-12-09T14:25:00Z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ntativeReviewCycleID">
    <vt:i4>286537211</vt:i4>
  </property>
  <property fmtid="{D5CDD505-2E9C-101B-9397-08002B2CF9AE}" pid="3" name="_ReviewCycleID">
    <vt:i4>286537211</vt:i4>
  </property>
  <property fmtid="{D5CDD505-2E9C-101B-9397-08002B2CF9AE}" pid="4" name="_NewReviewCycle">
    <vt:lpwstr/>
  </property>
  <property fmtid="{D5CDD505-2E9C-101B-9397-08002B2CF9AE}" pid="5" name="_EmailEntryID">
    <vt:lpwstr>00000000309C0CB7B5F30342A1A8D665B38B8ECD24392F00</vt:lpwstr>
  </property>
  <property fmtid="{D5CDD505-2E9C-101B-9397-08002B2CF9AE}" pid="6" name="_ReviewingToolsShownOnce">
    <vt:lpwstr/>
  </property>
</Properties>
</file>