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E3" w:rsidRDefault="0092522D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ascii="Thorndale" w:eastAsia="Andale Sans UI" w:hAnsi="Thorndale" w:cs="Tahoma"/>
          <w:noProof/>
          <w:szCs w:val="24"/>
          <w:lang w:eastAsia="lt-LT"/>
        </w:rPr>
        <w:drawing>
          <wp:inline distT="0" distB="0" distL="0" distR="0" wp14:anchorId="6FB8D064" wp14:editId="201F8950">
            <wp:extent cx="520700" cy="622300"/>
            <wp:effectExtent l="19050" t="0" r="0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E3" w:rsidRDefault="002755E3">
      <w:pPr>
        <w:rPr>
          <w:sz w:val="14"/>
          <w:szCs w:val="14"/>
        </w:rPr>
      </w:pPr>
    </w:p>
    <w:p w:rsidR="002755E3" w:rsidRDefault="0092522D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b/>
          <w:bCs/>
          <w:szCs w:val="24"/>
          <w:lang w:bidi="en-US"/>
        </w:rPr>
        <w:t>LIETUVOS RESPUBLIKOS APLINKOS MINISTRAS</w:t>
      </w:r>
      <w:r>
        <w:rPr>
          <w:rFonts w:eastAsia="Andale Sans UI" w:cs="Tahoma"/>
          <w:b/>
          <w:bCs/>
          <w:szCs w:val="24"/>
          <w:lang w:bidi="en-US"/>
        </w:rPr>
        <w:br/>
      </w:r>
    </w:p>
    <w:p w:rsidR="002755E3" w:rsidRDefault="0092522D">
      <w:pPr>
        <w:widowControl w:val="0"/>
        <w:suppressAutoHyphens/>
        <w:jc w:val="center"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b/>
          <w:bCs/>
          <w:szCs w:val="24"/>
          <w:lang w:bidi="en-US"/>
        </w:rPr>
        <w:t>ĮSAKYMAS</w:t>
      </w:r>
    </w:p>
    <w:p w:rsidR="002755E3" w:rsidRDefault="0092522D">
      <w:pPr>
        <w:widowControl w:val="0"/>
        <w:suppressAutoHyphens/>
        <w:jc w:val="center"/>
        <w:rPr>
          <w:rFonts w:eastAsia="Andale Sans UI" w:cs="Tahoma"/>
          <w:b/>
          <w:szCs w:val="24"/>
          <w:lang w:bidi="en-US"/>
        </w:rPr>
      </w:pPr>
      <w:r>
        <w:rPr>
          <w:rFonts w:eastAsia="Andale Sans UI" w:cs="Tahoma"/>
          <w:b/>
          <w:szCs w:val="24"/>
          <w:lang w:bidi="en-US"/>
        </w:rPr>
        <w:t>DĖL VERSLINĖS ŽVEJYBOS ĮRANKIŲ LIMITO 2023–2027 METAIS KURŠIŲ MARIOSE NUSTATYMO</w:t>
      </w:r>
    </w:p>
    <w:p w:rsidR="002755E3" w:rsidRDefault="002755E3">
      <w:pPr>
        <w:widowControl w:val="0"/>
        <w:suppressAutoHyphens/>
        <w:jc w:val="center"/>
        <w:rPr>
          <w:rFonts w:eastAsia="Andale Sans UI" w:cs="Tahoma"/>
          <w:b/>
          <w:szCs w:val="24"/>
          <w:lang w:bidi="en-US"/>
        </w:rPr>
      </w:pPr>
    </w:p>
    <w:p w:rsidR="002755E3" w:rsidRDefault="0092522D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 xml:space="preserve">2023 m. </w:t>
      </w:r>
      <w:r w:rsidR="00902CE1">
        <w:rPr>
          <w:rFonts w:eastAsia="Andale Sans UI" w:cs="Tahoma"/>
          <w:szCs w:val="24"/>
          <w:lang w:bidi="en-US"/>
        </w:rPr>
        <w:t>sausio 16</w:t>
      </w:r>
      <w:r>
        <w:rPr>
          <w:rFonts w:eastAsia="Andale Sans UI" w:cs="Tahoma"/>
          <w:szCs w:val="24"/>
          <w:lang w:bidi="en-US"/>
        </w:rPr>
        <w:t xml:space="preserve"> </w:t>
      </w:r>
      <w:r>
        <w:rPr>
          <w:rFonts w:ascii="Thorndale" w:eastAsia="Andale Sans UI" w:hAnsi="Thorndale" w:cs="Tahoma"/>
          <w:szCs w:val="24"/>
          <w:lang w:bidi="en-US"/>
        </w:rPr>
        <w:t>d</w:t>
      </w:r>
      <w:r>
        <w:rPr>
          <w:rFonts w:eastAsia="Andale Sans UI" w:cs="Tahoma"/>
          <w:szCs w:val="24"/>
          <w:lang w:bidi="en-US"/>
        </w:rPr>
        <w:t>. Nr. D1-</w:t>
      </w:r>
      <w:r w:rsidR="00902CE1">
        <w:rPr>
          <w:rFonts w:eastAsia="Andale Sans UI" w:cs="Tahoma"/>
          <w:szCs w:val="24"/>
          <w:lang w:bidi="en-US"/>
        </w:rPr>
        <w:t>18</w:t>
      </w:r>
    </w:p>
    <w:p w:rsidR="002755E3" w:rsidRDefault="0092522D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Vilnius</w:t>
      </w:r>
      <w:r>
        <w:rPr>
          <w:rFonts w:eastAsia="Andale Sans UI" w:cs="Tahoma"/>
          <w:szCs w:val="24"/>
          <w:lang w:bidi="en-US"/>
        </w:rPr>
        <w:br/>
      </w:r>
    </w:p>
    <w:p w:rsidR="00902CE1" w:rsidRDefault="00902CE1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</w:p>
    <w:p w:rsidR="002755E3" w:rsidRDefault="0092522D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>
        <w:rPr>
          <w:rFonts w:eastAsia="Courier New" w:cs="Courier New"/>
          <w:szCs w:val="24"/>
          <w:lang w:bidi="en-US"/>
        </w:rPr>
        <w:t>Vadovaudamasis Lietuvos Respublikos žuvininkystės įstatymo 6 straipsnio 3 dalimi ir 14 straipsnio 6 dalimi, atsižvelgdamas į 2022 m. atliktus žuvų išteklių mokslinius tyrimus ir siekdamas apsaugoti ir racionaliai naudoti Kuršių marių žuvų išteklius,</w:t>
      </w:r>
    </w:p>
    <w:p w:rsidR="002755E3" w:rsidRDefault="0092522D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>
        <w:rPr>
          <w:rFonts w:eastAsia="Courier New" w:cs="Courier New"/>
          <w:szCs w:val="24"/>
          <w:lang w:bidi="en-US"/>
        </w:rPr>
        <w:t>n u s t a t a u  šiuos Kuršių mariose 2023–2027 metais leidžiamus naudoti žvejybos įrankius:</w:t>
      </w:r>
    </w:p>
    <w:p w:rsidR="002755E3" w:rsidRDefault="00287C77">
      <w:pPr>
        <w:widowControl w:val="0"/>
        <w:suppressAutoHyphens/>
        <w:ind w:firstLine="709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1</w:t>
      </w:r>
      <w:r w:rsidR="0092522D">
        <w:rPr>
          <w:rFonts w:eastAsia="Courier New" w:cs="Courier New"/>
          <w:szCs w:val="24"/>
          <w:lang w:bidi="en-US"/>
        </w:rPr>
        <w:t xml:space="preserve">. iki 500 m ilgio traukiamieji tinklai </w:t>
      </w:r>
      <w:r w:rsidR="0092522D">
        <w:rPr>
          <w:szCs w:val="24"/>
          <w:lang w:bidi="en-US"/>
        </w:rPr>
        <w:t>–</w:t>
      </w:r>
      <w:r w:rsidR="0092522D">
        <w:rPr>
          <w:rFonts w:eastAsia="Courier New" w:cs="Courier New"/>
          <w:szCs w:val="24"/>
          <w:lang w:bidi="en-US"/>
        </w:rPr>
        <w:t xml:space="preserve"> 1 vnt.;</w:t>
      </w:r>
    </w:p>
    <w:p w:rsidR="002755E3" w:rsidRDefault="00287C77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2</w:t>
      </w:r>
      <w:r w:rsidR="0092522D">
        <w:rPr>
          <w:rFonts w:eastAsia="Courier New" w:cs="Courier New"/>
          <w:szCs w:val="24"/>
          <w:lang w:bidi="en-US"/>
        </w:rPr>
        <w:t>. 45–50 mm akių dydžio statomieji tinklaičiai – 99 vnt.;</w:t>
      </w:r>
    </w:p>
    <w:p w:rsidR="002755E3" w:rsidRDefault="00287C77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3</w:t>
      </w:r>
      <w:r w:rsidR="0092522D">
        <w:rPr>
          <w:rFonts w:eastAsia="Courier New" w:cs="Courier New"/>
          <w:szCs w:val="24"/>
          <w:lang w:bidi="en-US"/>
        </w:rPr>
        <w:t>. 70–80 mm akių dydžio statomieji tinklaičiai – 294 vnt.;</w:t>
      </w:r>
    </w:p>
    <w:p w:rsidR="002755E3" w:rsidRDefault="00287C77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4</w:t>
      </w:r>
      <w:r w:rsidR="0092522D">
        <w:rPr>
          <w:rFonts w:eastAsia="Courier New" w:cs="Courier New"/>
          <w:szCs w:val="24"/>
          <w:lang w:bidi="en-US"/>
        </w:rPr>
        <w:t>. marinės gaudyklės – 177 vnt.;</w:t>
      </w:r>
    </w:p>
    <w:p w:rsidR="002755E3" w:rsidRDefault="00287C77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5</w:t>
      </w:r>
      <w:r w:rsidR="0092522D">
        <w:rPr>
          <w:rFonts w:eastAsia="Courier New" w:cs="Courier New"/>
          <w:szCs w:val="24"/>
          <w:lang w:bidi="en-US"/>
        </w:rPr>
        <w:t xml:space="preserve">. </w:t>
      </w:r>
      <w:proofErr w:type="spellStart"/>
      <w:r w:rsidR="0092522D">
        <w:rPr>
          <w:rFonts w:eastAsia="Courier New" w:cs="Courier New"/>
          <w:szCs w:val="24"/>
          <w:lang w:bidi="en-US"/>
        </w:rPr>
        <w:t>stambiaakės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gaudyklės (vartos) – 42 vnt.;</w:t>
      </w:r>
    </w:p>
    <w:p w:rsidR="002755E3" w:rsidRDefault="00287C77">
      <w:pPr>
        <w:widowControl w:val="0"/>
        <w:suppressAutoHyphens/>
        <w:ind w:firstLine="709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6</w:t>
      </w:r>
      <w:r w:rsidR="0092522D">
        <w:rPr>
          <w:rFonts w:eastAsia="Courier New" w:cs="Courier New"/>
          <w:szCs w:val="24"/>
          <w:lang w:bidi="en-US"/>
        </w:rPr>
        <w:t xml:space="preserve">. </w:t>
      </w:r>
      <w:proofErr w:type="spellStart"/>
      <w:r w:rsidR="0092522D">
        <w:rPr>
          <w:rFonts w:eastAsia="Courier New" w:cs="Courier New"/>
          <w:szCs w:val="24"/>
          <w:lang w:bidi="en-US"/>
        </w:rPr>
        <w:t>nėginės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gaudyklės – 42 vnt. Vietoj </w:t>
      </w:r>
      <w:proofErr w:type="spellStart"/>
      <w:r w:rsidR="0092522D">
        <w:rPr>
          <w:rFonts w:eastAsia="Courier New" w:cs="Courier New"/>
          <w:szCs w:val="24"/>
          <w:lang w:bidi="en-US"/>
        </w:rPr>
        <w:t>nėginių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gaudyklių nėgių žvejybai leidžiama naudoti atitinkamą skaičių </w:t>
      </w:r>
      <w:proofErr w:type="spellStart"/>
      <w:r w:rsidR="0092522D">
        <w:rPr>
          <w:rFonts w:eastAsia="Courier New" w:cs="Courier New"/>
          <w:szCs w:val="24"/>
          <w:lang w:bidi="en-US"/>
        </w:rPr>
        <w:t>stintinių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gaudyklių;</w:t>
      </w:r>
    </w:p>
    <w:p w:rsidR="002755E3" w:rsidRDefault="00287C77">
      <w:pPr>
        <w:widowControl w:val="0"/>
        <w:suppressAutoHyphens/>
        <w:ind w:firstLine="709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7</w:t>
      </w:r>
      <w:r w:rsidR="0092522D">
        <w:rPr>
          <w:rFonts w:eastAsia="Courier New" w:cs="Courier New"/>
          <w:szCs w:val="24"/>
          <w:lang w:bidi="en-US"/>
        </w:rPr>
        <w:t xml:space="preserve">. </w:t>
      </w:r>
      <w:proofErr w:type="spellStart"/>
      <w:r w:rsidR="0092522D">
        <w:rPr>
          <w:rFonts w:eastAsia="Courier New" w:cs="Courier New"/>
          <w:szCs w:val="24"/>
          <w:lang w:bidi="en-US"/>
        </w:rPr>
        <w:t>stintinės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gaudyklės – 77 vnt. Vietoj </w:t>
      </w:r>
      <w:proofErr w:type="spellStart"/>
      <w:r w:rsidR="0092522D">
        <w:rPr>
          <w:rFonts w:eastAsia="Courier New" w:cs="Courier New"/>
          <w:szCs w:val="24"/>
          <w:lang w:bidi="en-US"/>
        </w:rPr>
        <w:t>stintinių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gaudyklių stintų žvejybai leidžiama naudoti atitinkamą skaičių </w:t>
      </w:r>
      <w:proofErr w:type="spellStart"/>
      <w:r w:rsidR="0092522D">
        <w:rPr>
          <w:rFonts w:eastAsia="Courier New" w:cs="Courier New"/>
          <w:szCs w:val="24"/>
          <w:lang w:bidi="en-US"/>
        </w:rPr>
        <w:t>nėginių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gaudyklių;</w:t>
      </w:r>
    </w:p>
    <w:p w:rsidR="002755E3" w:rsidRDefault="00287C77">
      <w:pPr>
        <w:widowControl w:val="0"/>
        <w:suppressAutoHyphens/>
        <w:ind w:firstLine="720"/>
        <w:jc w:val="both"/>
        <w:rPr>
          <w:rFonts w:eastAsia="Courier New" w:cs="Courier New"/>
          <w:szCs w:val="24"/>
          <w:lang w:bidi="en-US"/>
        </w:rPr>
      </w:pPr>
      <w:r w:rsidR="0092522D">
        <w:rPr>
          <w:rFonts w:eastAsia="Courier New" w:cs="Courier New"/>
          <w:szCs w:val="24"/>
          <w:lang w:bidi="en-US"/>
        </w:rPr>
        <w:t>8</w:t>
      </w:r>
      <w:r w:rsidR="0092522D">
        <w:rPr>
          <w:rFonts w:eastAsia="Courier New" w:cs="Courier New"/>
          <w:szCs w:val="24"/>
          <w:lang w:bidi="en-US"/>
        </w:rPr>
        <w:t xml:space="preserve">. </w:t>
      </w:r>
      <w:proofErr w:type="spellStart"/>
      <w:r w:rsidR="0092522D">
        <w:rPr>
          <w:rFonts w:eastAsia="Courier New" w:cs="Courier New"/>
          <w:szCs w:val="24"/>
          <w:lang w:bidi="en-US"/>
        </w:rPr>
        <w:t>stintiniai</w:t>
      </w:r>
      <w:proofErr w:type="spellEnd"/>
      <w:r w:rsidR="0092522D">
        <w:rPr>
          <w:rFonts w:eastAsia="Courier New" w:cs="Courier New"/>
          <w:szCs w:val="24"/>
          <w:lang w:bidi="en-US"/>
        </w:rPr>
        <w:t xml:space="preserve"> tinklaičiai – 300 vnt.</w:t>
      </w:r>
    </w:p>
    <w:p w:rsidR="002755E3" w:rsidRPr="00287C77" w:rsidRDefault="002755E3">
      <w:pPr>
        <w:widowControl w:val="0"/>
        <w:suppressAutoHyphens/>
        <w:ind w:firstLine="720"/>
        <w:jc w:val="both"/>
        <w:rPr>
          <w:rFonts w:eastAsia="Courier New"/>
          <w:szCs w:val="24"/>
          <w:lang w:bidi="en-US"/>
        </w:rPr>
      </w:pPr>
    </w:p>
    <w:p w:rsidR="00902CE1" w:rsidRPr="00287C77" w:rsidRDefault="00902CE1">
      <w:pPr>
        <w:widowControl w:val="0"/>
        <w:suppressAutoHyphens/>
        <w:ind w:firstLine="720"/>
        <w:jc w:val="both"/>
        <w:rPr>
          <w:rFonts w:eastAsia="Courier New"/>
          <w:szCs w:val="24"/>
          <w:lang w:bidi="en-US"/>
        </w:rPr>
      </w:pPr>
    </w:p>
    <w:p w:rsidR="00902CE1" w:rsidRPr="00287C77" w:rsidRDefault="00902CE1">
      <w:pPr>
        <w:widowControl w:val="0"/>
        <w:suppressAutoHyphens/>
        <w:ind w:firstLine="720"/>
        <w:jc w:val="both"/>
        <w:rPr>
          <w:rFonts w:eastAsia="Courier New"/>
          <w:szCs w:val="24"/>
          <w:lang w:bidi="en-US"/>
        </w:rPr>
      </w:pPr>
      <w:bookmarkStart w:id="0" w:name="_GoBack"/>
    </w:p>
    <w:bookmarkEnd w:id="0"/>
    <w:p w:rsidR="002755E3" w:rsidRDefault="00902CE1" w:rsidP="00902CE1">
      <w:pPr>
        <w:widowControl w:val="0"/>
        <w:suppressAutoHyphens/>
        <w:jc w:val="both"/>
        <w:rPr>
          <w:rFonts w:eastAsia="Andale Sans UI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 xml:space="preserve">Aplinkos ministras </w:t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  <w:t>Simonas Gentvilas</w:t>
      </w:r>
    </w:p>
    <w:p w:rsidR="002755E3" w:rsidRDefault="00287C77">
      <w:pPr>
        <w:widowControl w:val="0"/>
        <w:suppressAutoHyphens/>
        <w:rPr>
          <w:rFonts w:eastAsia="Andale Sans UI"/>
          <w:szCs w:val="24"/>
          <w:lang w:bidi="en-US"/>
        </w:rPr>
      </w:pPr>
    </w:p>
    <w:sectPr w:rsidR="002755E3" w:rsidSect="00902CE1"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Times New Roman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2"/>
    <w:rsid w:val="002755E3"/>
    <w:rsid w:val="00287C77"/>
    <w:rsid w:val="006F6A32"/>
    <w:rsid w:val="00902CE1"/>
    <w:rsid w:val="009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768635-91D7-412D-83F3-51C3009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02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998133-7FB1-4FF4-B1ED-0353C10F1C54}"/>
      </w:docPartPr>
      <w:docPartBody>
        <w:p w:rsidR="00924848" w:rsidRDefault="004225F9">
          <w:r w:rsidRPr="00A76A8E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Times New Roman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F9"/>
    <w:rsid w:val="004225F9"/>
    <w:rsid w:val="009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2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2023-01-16T09:02:00Z</dcterms:created>
  <dc:creator>G-Ladukas</dc:creator>
  <lastModifiedBy>DRAZDAUSKIENĖ Nijolė</lastModifiedBy>
  <lastPrinted>2018-11-14T07:33:00Z</lastPrinted>
  <dcterms:modified xsi:type="dcterms:W3CDTF">2023-01-16T11:01:00Z</dcterms:modified>
  <revision>5</revision>
</coreProperties>
</file>