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286049D7" w14:textId="77777777">
      <w:pPr>
        <w:tabs>
          <w:tab w:val="center" w:pos="4153"/>
          <w:tab w:val="right" w:pos="8306"/>
        </w:tabs>
        <w:jc w:val="center"/>
      </w:pPr>
      <w:r>
        <w:rPr>
          <w:lang w:val="en-US"/>
        </w:rPr>
        <w:drawing>
          <wp:inline distT="0" distB="0" distL="0" distR="0" wp14:anchorId="10FD9380" wp14:editId="6B105988">
            <wp:extent cx="719455" cy="694690"/>
            <wp:effectExtent l="0" t="0" r="4445" b="0"/>
            <wp:docPr id="2" name="Paveikslėlis 1"/>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9455" cy="694690"/>
                    </a:xfrm>
                    <a:prstGeom prst="rect">
                      <a:avLst/>
                    </a:prstGeom>
                    <a:noFill/>
                    <a:ln>
                      <a:noFill/>
                    </a:ln>
                  </pic:spPr>
                </pic:pic>
              </a:graphicData>
            </a:graphic>
          </wp:inline>
        </w:drawing>
      </w:r>
    </w:p>
    <w:p w14:paraId="1E491A30" w14:textId="33E3F5CC">
      <w:pPr>
        <w:tabs>
          <w:tab w:val="left" w:pos="142"/>
        </w:tabs>
      </w:pPr>
    </w:p>
    <w:p w14:paraId="757E6752" w14:textId="77777777">
      <w:pPr>
        <w:tabs>
          <w:tab w:val="left" w:pos="142"/>
          <w:tab w:val="center" w:pos="4153"/>
          <w:tab w:val="right" w:pos="8306"/>
        </w:tabs>
        <w:jc w:val="center"/>
        <w:rPr>
          <w:b/>
          <w:bCs/>
          <w:caps/>
          <w:sz w:val="22"/>
          <w:szCs w:val="22"/>
        </w:rPr>
      </w:pPr>
      <w:r>
        <w:rPr>
          <w:b/>
          <w:bCs/>
          <w:caps/>
          <w:sz w:val="22"/>
          <w:szCs w:val="22"/>
        </w:rPr>
        <w:t>Pasvalio rajono savivaldybės taryba</w:t>
      </w:r>
    </w:p>
    <w:p w14:paraId="0D4EA45C" w14:textId="77777777">
      <w:pPr>
        <w:tabs>
          <w:tab w:val="left" w:pos="142"/>
        </w:tabs>
        <w:rPr>
          <w:sz w:val="22"/>
          <w:szCs w:val="22"/>
        </w:rPr>
      </w:pPr>
    </w:p>
    <w:p w14:paraId="1D0422BC" w14:textId="77777777">
      <w:pPr>
        <w:tabs>
          <w:tab w:val="left" w:pos="142"/>
        </w:tabs>
        <w:jc w:val="center"/>
        <w:rPr>
          <w:b/>
          <w:caps/>
          <w:sz w:val="22"/>
          <w:szCs w:val="22"/>
        </w:rPr>
      </w:pPr>
      <w:r>
        <w:rPr>
          <w:b/>
          <w:caps/>
          <w:sz w:val="22"/>
          <w:szCs w:val="22"/>
        </w:rPr>
        <w:t>Sprendimas</w:t>
      </w:r>
    </w:p>
    <w:p w14:paraId="42B53A72" w14:textId="77777777">
      <w:pPr>
        <w:tabs>
          <w:tab w:val="left" w:pos="142"/>
        </w:tabs>
        <w:jc w:val="center"/>
        <w:rPr>
          <w:b/>
          <w:bCs/>
          <w:sz w:val="22"/>
          <w:szCs w:val="22"/>
        </w:rPr>
      </w:pPr>
      <w:r>
        <w:rPr>
          <w:b/>
          <w:bCs/>
          <w:caps/>
          <w:sz w:val="22"/>
          <w:szCs w:val="22"/>
        </w:rPr>
        <w:t xml:space="preserve">Dėl </w:t>
      </w:r>
      <w:r>
        <w:rPr>
          <w:b/>
          <w:bCs/>
          <w:sz w:val="22"/>
          <w:szCs w:val="22"/>
        </w:rPr>
        <w:t>UŽDAROSIOS AKCINĖS BENDROVĖS „PASVALIO AUTOBUSŲ PARKAS“ 2021 METŲ FINANSINIŲ ATASKAITŲ RINKINIO PATVIRTINIMO, PELNO (NUOSTOLIŲ) PASKIRSTYMO BEI PRITARIMO VEIKLOS ATASKAITAI</w:t>
      </w:r>
    </w:p>
    <w:p w14:paraId="3D901170" w14:textId="77777777">
      <w:pPr>
        <w:tabs>
          <w:tab w:val="left" w:pos="142"/>
        </w:tabs>
        <w:jc w:val="center"/>
        <w:rPr>
          <w:sz w:val="22"/>
          <w:szCs w:val="22"/>
        </w:rPr>
      </w:pPr>
    </w:p>
    <w:p w14:paraId="5AF9D059" w14:textId="4AE3E037">
      <w:pPr>
        <w:tabs>
          <w:tab w:val="left" w:pos="142"/>
        </w:tabs>
        <w:jc w:val="center"/>
        <w:rPr>
          <w:sz w:val="22"/>
          <w:szCs w:val="22"/>
        </w:rPr>
      </w:pPr>
      <w:r>
        <w:rPr>
          <w:sz w:val="22"/>
          <w:szCs w:val="22"/>
        </w:rPr>
        <w:t>2022 m. balandžio 27 d. Nr. T1-73</w:t>
      </w:r>
    </w:p>
    <w:p w14:paraId="3CBADE4B" w14:textId="77777777">
      <w:pPr>
        <w:tabs>
          <w:tab w:val="left" w:pos="142"/>
        </w:tabs>
        <w:jc w:val="center"/>
        <w:rPr>
          <w:sz w:val="22"/>
          <w:szCs w:val="22"/>
        </w:rPr>
      </w:pPr>
      <w:r>
        <w:rPr>
          <w:sz w:val="22"/>
          <w:szCs w:val="22"/>
        </w:rPr>
        <w:t>Pasvalys</w:t>
      </w:r>
    </w:p>
    <w:p w14:paraId="67EEB5AA" w14:textId="77777777">
      <w:pPr>
        <w:tabs>
          <w:tab w:val="left" w:pos="142"/>
        </w:tabs>
      </w:pPr>
    </w:p>
    <w:p w14:paraId="4BBC3378" w14:textId="7445ED81">
      <w:pPr>
        <w:tabs>
          <w:tab w:val="left" w:pos="142"/>
        </w:tabs>
        <w:ind w:firstLine="720"/>
        <w:jc w:val="both"/>
        <w:rPr>
          <w:spacing w:val="40"/>
          <w:sz w:val="22"/>
          <w:szCs w:val="22"/>
        </w:rPr>
      </w:pPr>
      <w:r>
        <w:rPr>
          <w:sz w:val="22"/>
          <w:szCs w:val="22"/>
        </w:rPr>
        <w:t>Vadovaudamasi Lietuvos Respublikos vietos savivaldos įstatymo 16 straipsnio 2 dalies 19 punktu, 4 dalimi, Lietuvos Respublikos akcinių bendrovių įstatymo 20 straipsnio 1 dalies 11 ir 12 punktais, 24 straipsnio 1 dalimi, 29 straipsnio 6 dalimi, 58, 59 straipsniais, vykdydama Pasvalio rajono savivaldybės tarybos veiklos reglamento, patvirtinto Pasvalio rajono savivaldybės tarybos 2009 m. gegužės 13 d. sprendimu Nr. T1-86 „Dėl Pasvalio rajono savivaldybės tarybos veiklos reglamento patvirtinimo“ (Pasvalio rajono savivaldybės tarybos 2020 m. lapkričio 25 d. sprendimo Nr. T1-216 redakcija) (su visais aktualiais pakeitimais), 289 ir 290 punktus, uždarosios akcinės bendrovės „Pasvalio autobusų parkas“ įstatų, patvirtintų Pasvalio rajono savivaldybės tarybos 2019 m. rugpjūčio 21 d. sprendimu Nr. T1-158 „D</w:t>
      </w:r>
      <w:r>
        <w:rPr>
          <w:bCs/>
          <w:sz w:val="22"/>
          <w:szCs w:val="22"/>
        </w:rPr>
        <w:t>ėl uždarosios akcinės bendrovės „Pasvalio autobusų parkas“ įstatų patvirtinimo“</w:t>
      </w:r>
      <w:r>
        <w:rPr>
          <w:sz w:val="22"/>
          <w:szCs w:val="22"/>
        </w:rPr>
        <w:t xml:space="preserve">, 14 punktą, atsižvelgdama į nepriklausomo auditoriaus uždarosios akcinės bendrovės „Analitika“ 2022 m. kovo 31 d. išvadą, Pasvalio rajono savivaldybės taryba </w:t>
      </w:r>
      <w:r>
        <w:rPr>
          <w:spacing w:val="40"/>
          <w:sz w:val="22"/>
          <w:szCs w:val="22"/>
        </w:rPr>
        <w:t>nusprendžia:</w:t>
      </w:r>
    </w:p>
    <w:p w14:paraId="0E0F4DFA" w14:textId="77777777">
      <w:pPr>
        <w:tabs>
          <w:tab w:val="left" w:pos="142"/>
        </w:tabs>
        <w:ind w:firstLine="720"/>
        <w:jc w:val="both"/>
        <w:rPr>
          <w:sz w:val="22"/>
          <w:szCs w:val="22"/>
        </w:rPr>
      </w:pPr>
      <w:r>
        <w:rPr>
          <w:sz w:val="22"/>
          <w:szCs w:val="22"/>
        </w:rPr>
        <w:t>1</w:t>
      </w:r>
      <w:r>
        <w:rPr>
          <w:sz w:val="22"/>
          <w:szCs w:val="22"/>
        </w:rPr>
        <w:t>. Patvirtinti uždarosios akcinės bendrovės „Pasvalio autobusų parkas“ 2021 metų finansinių atskaitų rinkinį (pridedama).</w:t>
      </w:r>
    </w:p>
    <w:p w14:paraId="7C2F18F4" w14:textId="77777777">
      <w:pPr>
        <w:tabs>
          <w:tab w:val="left" w:pos="142"/>
        </w:tabs>
        <w:ind w:right="-1" w:firstLine="720"/>
        <w:jc w:val="both"/>
        <w:rPr>
          <w:sz w:val="22"/>
          <w:szCs w:val="22"/>
        </w:rPr>
      </w:pPr>
      <w:r>
        <w:rPr>
          <w:sz w:val="22"/>
          <w:szCs w:val="22"/>
        </w:rPr>
        <w:t>2</w:t>
      </w:r>
      <w:r>
        <w:rPr>
          <w:sz w:val="22"/>
          <w:szCs w:val="22"/>
        </w:rPr>
        <w:t xml:space="preserve">. Paskirstyti  uždarosios akcinės bendrovės „Pasvalio autobusų parkas“ 2021 metų pelną (nuostolius) taip:          </w:t>
      </w:r>
    </w:p>
    <w:p w14:paraId="35DD3E21" w14:textId="77777777">
      <w:pPr>
        <w:tabs>
          <w:tab w:val="left" w:pos="142"/>
        </w:tabs>
        <w:ind w:firstLine="720"/>
        <w:jc w:val="both"/>
        <w:rPr>
          <w:sz w:val="22"/>
          <w:szCs w:val="22"/>
        </w:rPr>
      </w:pPr>
      <w:r>
        <w:rPr>
          <w:sz w:val="22"/>
          <w:szCs w:val="22"/>
        </w:rPr>
        <w:t>2.1</w:t>
      </w:r>
      <w:r>
        <w:rPr>
          <w:sz w:val="22"/>
          <w:szCs w:val="22"/>
        </w:rPr>
        <w:t>. ankstesnių finansinių metų nepaskirstytasis pelnas (nuostoliai) ataskaitinių finansinių metų pabaigoje – (250 956) Eur;</w:t>
      </w:r>
    </w:p>
    <w:p w14:paraId="03A54AA3" w14:textId="77777777">
      <w:pPr>
        <w:tabs>
          <w:tab w:val="left" w:pos="142"/>
        </w:tabs>
        <w:ind w:firstLine="720"/>
        <w:jc w:val="both"/>
        <w:rPr>
          <w:sz w:val="22"/>
          <w:szCs w:val="22"/>
        </w:rPr>
      </w:pPr>
      <w:r>
        <w:rPr>
          <w:sz w:val="22"/>
          <w:szCs w:val="22"/>
        </w:rPr>
        <w:t>2.2</w:t>
      </w:r>
      <w:r>
        <w:rPr>
          <w:sz w:val="22"/>
          <w:szCs w:val="22"/>
        </w:rPr>
        <w:t>. grynasis ataskaitinių finansinių metų pelnas (nuostoliai) – 31 886 Eur;</w:t>
      </w:r>
    </w:p>
    <w:p w14:paraId="772D101A" w14:textId="77777777">
      <w:pPr>
        <w:tabs>
          <w:tab w:val="left" w:pos="142"/>
        </w:tabs>
        <w:ind w:firstLine="720"/>
        <w:jc w:val="both"/>
        <w:rPr>
          <w:sz w:val="22"/>
          <w:szCs w:val="22"/>
        </w:rPr>
      </w:pPr>
      <w:r>
        <w:rPr>
          <w:sz w:val="22"/>
          <w:szCs w:val="22"/>
        </w:rPr>
        <w:t>2.3</w:t>
      </w:r>
      <w:r>
        <w:rPr>
          <w:sz w:val="22"/>
          <w:szCs w:val="22"/>
        </w:rPr>
        <w:t>. pervedimai iš rezervų – 0 Eur;</w:t>
      </w:r>
    </w:p>
    <w:p w14:paraId="16CF9AD3" w14:textId="77777777">
      <w:pPr>
        <w:tabs>
          <w:tab w:val="left" w:pos="142"/>
        </w:tabs>
        <w:ind w:firstLine="720"/>
        <w:jc w:val="both"/>
        <w:rPr>
          <w:sz w:val="22"/>
          <w:szCs w:val="22"/>
        </w:rPr>
      </w:pPr>
      <w:r>
        <w:rPr>
          <w:sz w:val="22"/>
          <w:szCs w:val="22"/>
        </w:rPr>
        <w:t>2.4</w:t>
      </w:r>
      <w:r>
        <w:rPr>
          <w:sz w:val="22"/>
          <w:szCs w:val="22"/>
        </w:rPr>
        <w:t>. akcininkų įnašai nuostoliams padengti – 0 Eur;</w:t>
      </w:r>
    </w:p>
    <w:p w14:paraId="3573615A" w14:textId="77777777">
      <w:pPr>
        <w:tabs>
          <w:tab w:val="left" w:pos="142"/>
        </w:tabs>
        <w:ind w:firstLine="720"/>
        <w:jc w:val="both"/>
        <w:rPr>
          <w:sz w:val="22"/>
          <w:szCs w:val="22"/>
        </w:rPr>
      </w:pPr>
      <w:r>
        <w:rPr>
          <w:sz w:val="22"/>
          <w:szCs w:val="22"/>
        </w:rPr>
        <w:t>2.5</w:t>
      </w:r>
      <w:r>
        <w:rPr>
          <w:sz w:val="22"/>
          <w:szCs w:val="22"/>
        </w:rPr>
        <w:t>. paskirstytinasis rezultatas – pelnas (nuostoliai) ataskaitinių finansinių metų pabaigoje – (219 070) Eur;</w:t>
      </w:r>
    </w:p>
    <w:p w14:paraId="266A853A" w14:textId="77777777">
      <w:pPr>
        <w:tabs>
          <w:tab w:val="left" w:pos="142"/>
        </w:tabs>
        <w:ind w:firstLine="720"/>
        <w:jc w:val="both"/>
        <w:rPr>
          <w:sz w:val="22"/>
          <w:szCs w:val="22"/>
        </w:rPr>
      </w:pPr>
      <w:r>
        <w:rPr>
          <w:sz w:val="22"/>
          <w:szCs w:val="22"/>
        </w:rPr>
        <w:t>2.6</w:t>
      </w:r>
      <w:r>
        <w:rPr>
          <w:sz w:val="22"/>
          <w:szCs w:val="22"/>
        </w:rPr>
        <w:t>. pelno paskirstymas:</w:t>
      </w:r>
    </w:p>
    <w:p w14:paraId="5F85B924" w14:textId="77777777">
      <w:pPr>
        <w:tabs>
          <w:tab w:val="left" w:pos="142"/>
        </w:tabs>
        <w:ind w:firstLine="720"/>
        <w:jc w:val="both"/>
        <w:rPr>
          <w:sz w:val="22"/>
          <w:szCs w:val="22"/>
        </w:rPr>
      </w:pPr>
      <w:r>
        <w:rPr>
          <w:sz w:val="22"/>
          <w:szCs w:val="22"/>
        </w:rPr>
        <w:t>2.6.1</w:t>
      </w:r>
      <w:r>
        <w:rPr>
          <w:sz w:val="22"/>
          <w:szCs w:val="22"/>
        </w:rPr>
        <w:t>. į įstatymo numatytus rezervus – 0 Eur;</w:t>
      </w:r>
    </w:p>
    <w:p w14:paraId="281C8753" w14:textId="77777777">
      <w:pPr>
        <w:tabs>
          <w:tab w:val="left" w:pos="142"/>
        </w:tabs>
        <w:ind w:firstLine="720"/>
        <w:jc w:val="both"/>
        <w:rPr>
          <w:sz w:val="22"/>
          <w:szCs w:val="22"/>
        </w:rPr>
      </w:pPr>
      <w:r>
        <w:rPr>
          <w:sz w:val="22"/>
          <w:szCs w:val="22"/>
        </w:rPr>
        <w:t>2.6.2</w:t>
      </w:r>
      <w:r>
        <w:rPr>
          <w:sz w:val="22"/>
          <w:szCs w:val="22"/>
        </w:rPr>
        <w:t>. į kitus rezervus – 0 Eur;</w:t>
      </w:r>
    </w:p>
    <w:p w14:paraId="69804E8C" w14:textId="77777777">
      <w:pPr>
        <w:tabs>
          <w:tab w:val="left" w:pos="142"/>
        </w:tabs>
        <w:ind w:firstLine="720"/>
        <w:jc w:val="both"/>
        <w:rPr>
          <w:sz w:val="22"/>
          <w:szCs w:val="22"/>
        </w:rPr>
      </w:pPr>
      <w:r>
        <w:rPr>
          <w:sz w:val="22"/>
          <w:szCs w:val="22"/>
        </w:rPr>
        <w:t>2.6.3</w:t>
      </w:r>
      <w:r>
        <w:rPr>
          <w:sz w:val="22"/>
          <w:szCs w:val="22"/>
        </w:rPr>
        <w:t>. dividendams – 0 Eur;</w:t>
      </w:r>
    </w:p>
    <w:p w14:paraId="7A523110" w14:textId="77777777">
      <w:pPr>
        <w:tabs>
          <w:tab w:val="left" w:pos="142"/>
        </w:tabs>
        <w:ind w:firstLine="720"/>
        <w:jc w:val="both"/>
        <w:rPr>
          <w:sz w:val="22"/>
          <w:szCs w:val="22"/>
        </w:rPr>
      </w:pPr>
      <w:r>
        <w:rPr>
          <w:sz w:val="22"/>
          <w:szCs w:val="22"/>
        </w:rPr>
        <w:t>2.6.4</w:t>
      </w:r>
      <w:r>
        <w:rPr>
          <w:sz w:val="22"/>
          <w:szCs w:val="22"/>
        </w:rPr>
        <w:t>. kiti pelno paskirstymo atvejai – 0 Eur;</w:t>
      </w:r>
    </w:p>
    <w:p w14:paraId="3E313BB5" w14:textId="77777777">
      <w:pPr>
        <w:tabs>
          <w:tab w:val="left" w:pos="142"/>
        </w:tabs>
        <w:ind w:firstLine="720"/>
        <w:jc w:val="both"/>
        <w:rPr>
          <w:sz w:val="22"/>
          <w:szCs w:val="22"/>
        </w:rPr>
      </w:pPr>
      <w:r>
        <w:rPr>
          <w:sz w:val="22"/>
          <w:szCs w:val="22"/>
        </w:rPr>
        <w:t>2.7</w:t>
      </w:r>
      <w:r>
        <w:rPr>
          <w:sz w:val="22"/>
          <w:szCs w:val="22"/>
        </w:rPr>
        <w:t>. nepaskirstytasis pelnas (nuostoliai) ataskaitinių finansinių metų pabaigoje perkeliami į kitus finansinius metus</w:t>
      </w:r>
      <w:r>
        <w:rPr>
          <w:color w:val="000000"/>
          <w:sz w:val="22"/>
          <w:szCs w:val="22"/>
          <w:shd w:val="clear" w:color="auto" w:fill="FFFFFF"/>
        </w:rPr>
        <w:t xml:space="preserve"> </w:t>
      </w:r>
      <w:r>
        <w:rPr>
          <w:sz w:val="22"/>
          <w:szCs w:val="22"/>
        </w:rPr>
        <w:t>– (219 070) Eur.</w:t>
      </w:r>
    </w:p>
    <w:p w14:paraId="01CC6334" w14:textId="77777777">
      <w:pPr>
        <w:tabs>
          <w:tab w:val="left" w:pos="142"/>
        </w:tabs>
        <w:ind w:firstLine="720"/>
        <w:jc w:val="both"/>
        <w:rPr>
          <w:sz w:val="22"/>
          <w:szCs w:val="22"/>
        </w:rPr>
      </w:pPr>
      <w:r>
        <w:rPr>
          <w:sz w:val="22"/>
          <w:szCs w:val="22"/>
        </w:rPr>
        <w:t>3</w:t>
      </w:r>
      <w:r>
        <w:rPr>
          <w:sz w:val="22"/>
          <w:szCs w:val="22"/>
        </w:rPr>
        <w:t>. Pritarti uždarosios akcinės bendrovės „Pasvalio autobusų parkas“ 2021 metų veiklos ataskaitai (pridedama).</w:t>
      </w:r>
    </w:p>
    <w:p w14:paraId="19066A34" w14:textId="77777777">
      <w:pPr>
        <w:ind w:firstLine="709"/>
        <w:jc w:val="both"/>
        <w:rPr>
          <w:color w:val="000000"/>
          <w:sz w:val="22"/>
          <w:szCs w:val="22"/>
          <w:shd w:val="clear" w:color="auto" w:fill="FFFFFF"/>
        </w:rPr>
      </w:pPr>
      <w:r>
        <w:rPr>
          <w:color w:val="000000"/>
          <w:sz w:val="22"/>
          <w:szCs w:val="22"/>
        </w:rPr>
        <w:t xml:space="preserve">Sprendimas gali būti skundžiamas </w:t>
      </w:r>
      <w:r>
        <w:rPr>
          <w:color w:val="000000"/>
          <w:sz w:val="22"/>
          <w:szCs w:val="22"/>
          <w:shd w:val="clear" w:color="auto" w:fill="FFFFFF"/>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Pr>
          <w:color w:val="000000"/>
          <w:sz w:val="22"/>
          <w:szCs w:val="22"/>
        </w:rPr>
        <w:t xml:space="preserve">Regionų apygardos administraciniam teismui, skundą (prašymą, pareiškimą) paduodant Regionų apygardos administracinio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Pr>
          <w:color w:val="000000"/>
          <w:sz w:val="22"/>
          <w:szCs w:val="22"/>
          <w:shd w:val="clear" w:color="auto" w:fill="FFFFFF"/>
        </w:rPr>
        <w:t>jo paskelbimo arba įteikimo suinteresuotai šaliai dienos.</w:t>
      </w:r>
    </w:p>
    <w:p w14:paraId="26251C18" w14:textId="53CC18C1">
      <w:pPr>
        <w:tabs>
          <w:tab w:val="left" w:pos="142"/>
        </w:tabs>
        <w:ind w:firstLine="720"/>
        <w:jc w:val="both"/>
        <w:rPr>
          <w:sz w:val="22"/>
          <w:szCs w:val="22"/>
        </w:rPr>
      </w:pPr>
    </w:p>
    <w:p w14:paraId="57DE9541" w14:textId="77777777">
      <w:pPr>
        <w:tabs>
          <w:tab w:val="left" w:pos="142"/>
        </w:tabs>
        <w:ind w:firstLine="720"/>
        <w:jc w:val="both"/>
        <w:rPr>
          <w:sz w:val="22"/>
          <w:szCs w:val="22"/>
        </w:rPr>
      </w:pPr>
    </w:p>
    <w:p w14:paraId="78B38EF8" w14:textId="722BDAAD">
      <w:pPr>
        <w:tabs>
          <w:tab w:val="left" w:pos="142"/>
        </w:tabs>
        <w:jc w:val="both"/>
        <w:rPr>
          <w:sz w:val="22"/>
          <w:szCs w:val="22"/>
        </w:rPr>
      </w:pPr>
      <w:r>
        <w:rPr>
          <w:sz w:val="22"/>
          <w:szCs w:val="22"/>
        </w:rPr>
        <w:t xml:space="preserve">Savivaldybės meras </w:t>
        <w:tab/>
        <w:tab/>
        <w:tab/>
        <w:tab/>
        <w:tab/>
        <w:tab/>
        <w:tab/>
        <w:tab/>
        <w:t xml:space="preserve">        Ginautas Gegužinskas</w:t>
      </w:r>
    </w:p>
    <w:sectPr>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709" w:left="1701" w:header="964" w:footer="567" w:gutter="0"/>
      <w:cols w:space="1296"/>
      <w:titlePg/>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47779" w14:textId="77777777">
      <w:r>
        <w:separator/>
      </w:r>
    </w:p>
  </w:endnote>
  <w:endnote w:type="continuationSeparator" w:id="0">
    <w:p w14:paraId="367C9807"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58FFE" w14:textId="77777777">
    <w:pPr>
      <w:tabs>
        <w:tab w:val="center" w:pos="4153"/>
        <w:tab w:val="right" w:pos="8306"/>
      </w:tabs>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37CB9" w14:textId="77777777">
    <w:pPr>
      <w:tabs>
        <w:tab w:val="center" w:pos="4153"/>
        <w:tab w:val="right" w:pos="8306"/>
      </w:tabs>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3DC6E" w14:textId="77777777">
    <w:pPr>
      <w:tabs>
        <w:tab w:val="center" w:pos="4153"/>
        <w:tab w:val="right" w:pos="8306"/>
      </w:tabs>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278AF" w14:textId="77777777">
      <w:r>
        <w:separator/>
      </w:r>
    </w:p>
  </w:footnote>
  <w:footnote w:type="continuationSeparator" w:id="0">
    <w:p w14:paraId="43716E8A" w14:textId="77777777">
      <w: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D8F72" w14:textId="77777777">
    <w:pPr>
      <w:tabs>
        <w:tab w:val="center" w:pos="4153"/>
        <w:tab w:val="right" w:pos="8306"/>
      </w:tabs>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A7B98" w14:textId="77777777">
    <w:pPr>
      <w:tabs>
        <w:tab w:val="center" w:pos="4153"/>
        <w:tab w:val="right" w:pos="8306"/>
      </w:tabs>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74925" w14:textId="6D47B3E9">
    <w:pPr>
      <w:tabs>
        <w:tab w:val="center" w:pos="4153"/>
        <w:tab w:val="right" w:pos="8306"/>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396"/>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AE6894E"/>
  <w15:docId w15:val="{F5452807-ABB9-4765-BFEF-706536975C03}"/>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318919832">
      <w:marLeft w:val="0"/>
      <w:marRight w:val="0"/>
      <w:marTop w:val="0"/>
      <w:marBottom w:val="0"/>
      <w:divBdr>
        <w:top w:val="none" w:sz="0" w:space="0" w:color="auto"/>
        <w:left w:val="none" w:sz="0" w:space="0" w:color="auto"/>
        <w:bottom w:val="none" w:sz="0" w:space="0" w:color="auto"/>
        <w:right w:val="none" w:sz="0" w:space="0" w:color="auto"/>
      </w:divBdr>
    </w:div>
    <w:div w:id="1318919833">
      <w:marLeft w:val="0"/>
      <w:marRight w:val="0"/>
      <w:marTop w:val="0"/>
      <w:marBottom w:val="0"/>
      <w:divBdr>
        <w:top w:val="none" w:sz="0" w:space="0" w:color="auto"/>
        <w:left w:val="none" w:sz="0" w:space="0" w:color="auto"/>
        <w:bottom w:val="none" w:sz="0" w:space="0" w:color="auto"/>
        <w:right w:val="none" w:sz="0" w:space="0" w:color="auto"/>
      </w:divBdr>
    </w:div>
    <w:div w:id="1318919834">
      <w:marLeft w:val="0"/>
      <w:marRight w:val="0"/>
      <w:marTop w:val="0"/>
      <w:marBottom w:val="0"/>
      <w:divBdr>
        <w:top w:val="none" w:sz="0" w:space="0" w:color="auto"/>
        <w:left w:val="none" w:sz="0" w:space="0" w:color="auto"/>
        <w:bottom w:val="none" w:sz="0" w:space="0" w:color="auto"/>
        <w:right w:val="none" w:sz="0" w:space="0" w:color="auto"/>
      </w:divBdr>
    </w:div>
    <w:div w:id="13189198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416</Words>
  <Characters>2909</Characters>
  <Application>Microsoft Office Word</Application>
  <DocSecurity>4</DocSecurity>
  <Lines>53</Lines>
  <Paragraphs>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3300</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2022-04-28T06:41:00Z</dcterms:created>
  <dc:creator>Rasa</dc:creator>
  <lastModifiedBy>adlibuser</lastModifiedBy>
  <lastPrinted>2016-04-11T13:33:00Z</lastPrinted>
  <dcterms:modified xsi:type="dcterms:W3CDTF">2022-04-28T06:41:00Z</dcterms:modified>
  <revision>2</revision>
  <dc:title>Lietuvos Respublikos Sveikatos apsaugos ministerijai</dc:title>
</coreProperties>
</file>