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55e329a67fd346aa9398944b147c5a72"/>
        <w:id w:val="-1907370661"/>
        <w:lock w:val="sdtLocked"/>
      </w:sdtPr>
      <w:sdtEndPr/>
      <w:sdtContent>
        <w:p w14:paraId="03DB21BE" w14:textId="77777777" w:rsidR="00C32FEB" w:rsidRDefault="005E1C79">
          <w:pPr>
            <w:tabs>
              <w:tab w:val="center" w:pos="-7800"/>
              <w:tab w:val="left" w:pos="6237"/>
              <w:tab w:val="right" w:pos="8306"/>
            </w:tabs>
            <w:suppressAutoHyphens/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470DEE8E" wp14:editId="7C8594CD">
                <wp:extent cx="552600" cy="561960"/>
                <wp:effectExtent l="0" t="0" r="0" b="0"/>
                <wp:docPr id="1" name="Paveikslėlis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7">
                          <a:lum/>
                          <a:alphaModFix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52600" cy="561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14:paraId="08AA37D0" w14:textId="77777777" w:rsidR="00C32FEB" w:rsidRDefault="00C32FEB">
          <w:pPr>
            <w:suppressAutoHyphens/>
            <w:jc w:val="center"/>
            <w:rPr>
              <w:b/>
              <w:sz w:val="12"/>
              <w:szCs w:val="12"/>
            </w:rPr>
          </w:pPr>
        </w:p>
        <w:p w14:paraId="052BEC79" w14:textId="77777777" w:rsidR="00C32FEB" w:rsidRDefault="005E1C79">
          <w:pPr>
            <w:suppressAutoHyphens/>
            <w:jc w:val="center"/>
            <w:rPr>
              <w:b/>
            </w:rPr>
          </w:pPr>
          <w:r>
            <w:rPr>
              <w:b/>
            </w:rPr>
            <w:t>LIETUVOS RESPUBLIKOS TEISINGUMO MINISTRAS</w:t>
          </w:r>
        </w:p>
        <w:p w14:paraId="011BA37F" w14:textId="77777777" w:rsidR="00C32FEB" w:rsidRDefault="00C32FEB">
          <w:pPr>
            <w:suppressAutoHyphens/>
            <w:jc w:val="center"/>
            <w:rPr>
              <w:b/>
            </w:rPr>
          </w:pPr>
        </w:p>
        <w:p w14:paraId="1C5BE1D5" w14:textId="77777777" w:rsidR="00C32FEB" w:rsidRDefault="005E1C79">
          <w:pPr>
            <w:suppressAutoHyphens/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generalinis prokuroras</w:t>
          </w:r>
        </w:p>
        <w:p w14:paraId="0BF35FAE" w14:textId="77777777" w:rsidR="00C32FEB" w:rsidRDefault="00C32FEB">
          <w:pPr>
            <w:suppressAutoHyphens/>
            <w:jc w:val="center"/>
            <w:rPr>
              <w:b/>
            </w:rPr>
          </w:pPr>
        </w:p>
        <w:p w14:paraId="12AA5724" w14:textId="77777777" w:rsidR="00C32FEB" w:rsidRDefault="005E1C79">
          <w:pPr>
            <w:keepNext/>
            <w:suppressAutoHyphens/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2BDDAF66" w14:textId="77777777" w:rsidR="00C32FEB" w:rsidRDefault="005E1C79">
          <w:pPr>
            <w:keepNext/>
            <w:suppressAutoHyphens/>
            <w:jc w:val="center"/>
            <w:outlineLvl w:val="2"/>
            <w:rPr>
              <w:b/>
              <w:caps/>
            </w:rPr>
          </w:pPr>
          <w:r>
            <w:rPr>
              <w:b/>
              <w:caps/>
            </w:rPr>
            <w:t>DĖL teisingumo ministro ir generalinio prokurorO 2004 M.</w:t>
          </w:r>
          <w:r>
            <w:rPr>
              <w:b/>
              <w:caps/>
            </w:rPr>
            <w:br/>
          </w:r>
          <w:r>
            <w:rPr>
              <w:b/>
              <w:caps/>
            </w:rPr>
            <w:t xml:space="preserve"> RUGPJŪČIO 26 D. ĮSAKYMO NR. 1R-195/I-114 „DĖL EUROPOS AREŠTO ORDERIO IŠDAVIMO IR ASMENS PERĖMIMO PAGAL EUROPOS AREŠTO ORDERĮ TAISYKLIŲ PATVIRTINIMO“ PAKEITIMO</w:t>
          </w:r>
        </w:p>
        <w:p w14:paraId="729E976F" w14:textId="77777777" w:rsidR="00C32FEB" w:rsidRDefault="00C32FEB">
          <w:pPr>
            <w:suppressAutoHyphens/>
            <w:jc w:val="center"/>
          </w:pPr>
        </w:p>
        <w:p w14:paraId="4924686F" w14:textId="6276941D" w:rsidR="00C32FEB" w:rsidRDefault="005E1C79">
          <w:pPr>
            <w:suppressAutoHyphens/>
            <w:jc w:val="center"/>
          </w:pPr>
          <w:r>
            <w:t>2022 m.  liepos 13</w:t>
          </w:r>
          <w:r>
            <w:t xml:space="preserve"> d. Nr. 1R-259/I-238</w:t>
          </w:r>
        </w:p>
        <w:p w14:paraId="14C74A29" w14:textId="77777777" w:rsidR="00C32FEB" w:rsidRDefault="005E1C79">
          <w:pPr>
            <w:suppressAutoHyphens/>
            <w:jc w:val="center"/>
          </w:pPr>
          <w:r>
            <w:t>Vilnius</w:t>
          </w:r>
        </w:p>
        <w:p w14:paraId="3C74C696" w14:textId="77777777" w:rsidR="00C32FEB" w:rsidRDefault="00C32FEB">
          <w:pPr>
            <w:suppressAutoHyphens/>
            <w:jc w:val="both"/>
            <w:rPr>
              <w:szCs w:val="24"/>
            </w:rPr>
          </w:pPr>
        </w:p>
        <w:sdt>
          <w:sdtPr>
            <w:alias w:val="pastraipa"/>
            <w:tag w:val="part_2478e479f7f043b9a0dbe08bd10dd8fe"/>
            <w:id w:val="395866773"/>
            <w:lock w:val="sdtLocked"/>
          </w:sdtPr>
          <w:sdtEndPr/>
          <w:sdtContent>
            <w:p w14:paraId="66F32B1A" w14:textId="77777777" w:rsidR="00C32FEB" w:rsidRDefault="005E1C79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744"/>
                <w:jc w:val="both"/>
              </w:pPr>
              <w:r>
                <w:rPr>
                  <w:spacing w:val="60"/>
                  <w:szCs w:val="24"/>
                  <w:lang w:eastAsia="lt-LT"/>
                </w:rPr>
                <w:t>Pakeičiame</w:t>
              </w:r>
              <w:r>
                <w:rPr>
                  <w:color w:val="000000"/>
                  <w:szCs w:val="24"/>
                </w:rPr>
                <w:t xml:space="preserve"> Europos arešto orderio išdavim</w:t>
              </w:r>
              <w:r>
                <w:rPr>
                  <w:color w:val="000000"/>
                  <w:szCs w:val="24"/>
                </w:rPr>
                <w:t xml:space="preserve">o ir asmens perėmimo pagal Europos arešto orderį taisykles, patvirtintas Lietuvos Respublikos teisingumo ministro ir Lietuvos Respublikos generalinio prokuroro 2004 m. rugpjūčio 26 d. įsakymu Nr. 1R-195/I-114 „Dėl Europos arešto orderio išdavimo ir asmens </w:t>
              </w:r>
              <w:r>
                <w:rPr>
                  <w:color w:val="000000"/>
                  <w:szCs w:val="24"/>
                </w:rPr>
                <w:t>perėmimo pagal Europos arešto orderį taisyklių patvirtinimo“, ir jų IV skyrių papildome 24</w:t>
              </w:r>
              <w:r>
                <w:rPr>
                  <w:color w:val="000000"/>
                  <w:szCs w:val="24"/>
                  <w:vertAlign w:val="superscript"/>
                </w:rPr>
                <w:t>2</w:t>
              </w:r>
              <w:r>
                <w:rPr>
                  <w:color w:val="000000"/>
                  <w:szCs w:val="24"/>
                </w:rPr>
                <w:t xml:space="preserve"> punktu:</w:t>
              </w:r>
            </w:p>
            <w:sdt>
              <w:sdtPr>
                <w:alias w:val="citata"/>
                <w:tag w:val="part_030c6ad86bf943b294233243b268f4d3"/>
                <w:id w:val="-993566427"/>
                <w:lock w:val="sdtLocked"/>
              </w:sdtPr>
              <w:sdtEndPr/>
              <w:sdtContent>
                <w:sdt>
                  <w:sdtPr>
                    <w:alias w:val="24-2 p."/>
                    <w:tag w:val="part_f1f17a8c464b491989302f7983d1ab8e"/>
                    <w:id w:val="-1356647947"/>
                    <w:lock w:val="sdtLocked"/>
                  </w:sdtPr>
                  <w:sdtEndPr/>
                  <w:sdtContent>
                    <w:p w14:paraId="0E65D068" w14:textId="1312EF4F" w:rsidR="00C32FEB" w:rsidRDefault="005E1C79" w:rsidP="005E1C79">
                      <w:pPr>
                        <w:tabs>
                          <w:tab w:val="left" w:pos="709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uppressAutoHyphens/>
                        <w:ind w:firstLine="744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f1f17a8c464b491989302f7983d1ab8e"/>
                          <w:id w:val="-58446183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24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Tais atvejais, kai pagal Lietuvos Respublikos generalinės prokuratūros išduotą Europos arešto orderį Lietuvos Respublikai prašomas perduoti kitoje v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alstybėje esantis asmuo iki sprendimo dėl asmens perdavimo priėmimo dienos kreipiasi į Europos arešto orderį vykdančios valstybės kompetentingą instituciją su prašymu būti išklausytam dėl išduoto Europos arešto orderio, gavusi iš Europos arešto orderį vykd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ančios valstybės tokį prašymą Lietuvos Respublikos generalinė prokuratūra apie jį informuoja Europos arešto orderio išdavimą inicijavusią instituciją, kuri per 5 darbo dienas nuo šios informacijos gavimo dienos įvertina, ar išklausyti asmenį būtų tikslinga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Jeigu ši institucija nusprendžia, kad asmenį išklausyti tikslinga, Lietuvos Respublikos generalinė prokuratūra apie tai raštu informuoja Europos arešto orderį vykdančios valstybės kompetentingą instituciją. Nesutikimas išklausyti prašomą perduoti asmenį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yra neskundžiamas. Europos arešto orderį vykdančios valstybės kompetentingai institucijai leidus išklausyti asmenį, Lietuvos Respublikos generalinė prokuratūra su ja sutaria dėl išklausymo sąlygų ir koordinuoja pasirengimą išklausymo procedūrai. Asmenį gar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so ir vaizdo nuotolinio perdavimo priemonėmis išklauso Europos arešto orderio išdavimą inicijavusi institucija, vadovaudamasi Europos arešto orderį vykdančios valstybės įstatymais ir laikydamasi sutartų sąlygų, dalyvaujant asmens gynėjui ir Europos arešto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orderį vykdančios valstybės kompetentingų institucijų atstovams. Lietuvos Respublikos generalinė prokuratūra, remdamasi Lietuvos Respublikos baudžiamojo proceso kodekso 77 straipsnio 4 dalimi, taip pat gali prašyti Europos arešto orderį vykdančios valstybė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s laikinai perduoti asmenį Lietuvos Respublikai siekiant jį išklausyti, tačiau tokia alternatyva pasirenkama tik iš anksto įvertinus, ar laikinas asmens perdavimas atitiktų proporcingumo ir proceso ekonomiškumo principus. Toks laikinas perdavimas vykdomas </w:t>
                      </w:r>
                      <w:r>
                        <w:rPr>
                          <w:i/>
                          <w:iCs/>
                          <w:color w:val="000000"/>
                          <w:szCs w:val="24"/>
                          <w:lang w:eastAsia="lt-LT"/>
                        </w:rPr>
                        <w:t>mutatis mutandis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taikant Taisyklių V skyriuje nustatytą tvarką. Išklausymo procedūra netaikoma supaprastinto perdavimo atveju. Pagal Europos arešto orderį vykdančios valstybės teisę gali būti nustatyti papildomi išklausymo procedūros taikymo ribojimai.“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576d410d86446ddb4b7e1948676c63e"/>
            <w:id w:val="598138792"/>
            <w:lock w:val="sdtLocked"/>
          </w:sdtPr>
          <w:sdtEndPr/>
          <w:sdtContent>
            <w:p w14:paraId="54F67383" w14:textId="77777777" w:rsidR="005E1C79" w:rsidRDefault="005E1C79">
              <w:pPr>
                <w:tabs>
                  <w:tab w:val="center" w:pos="-7800"/>
                  <w:tab w:val="left" w:pos="7371"/>
                  <w:tab w:val="right" w:pos="9638"/>
                </w:tabs>
                <w:suppressAutoHyphens/>
              </w:pPr>
            </w:p>
            <w:p w14:paraId="3D87C827" w14:textId="77777777" w:rsidR="005E1C79" w:rsidRDefault="005E1C79">
              <w:pPr>
                <w:tabs>
                  <w:tab w:val="center" w:pos="-7800"/>
                  <w:tab w:val="left" w:pos="7371"/>
                  <w:tab w:val="right" w:pos="9638"/>
                </w:tabs>
                <w:suppressAutoHyphens/>
              </w:pPr>
            </w:p>
            <w:p w14:paraId="72F8DCB3" w14:textId="0DBA4222" w:rsidR="00C32FEB" w:rsidRDefault="005E1C79">
              <w:pPr>
                <w:tabs>
                  <w:tab w:val="center" w:pos="-7800"/>
                  <w:tab w:val="left" w:pos="7371"/>
                  <w:tab w:val="right" w:pos="9638"/>
                </w:tabs>
                <w:suppressAutoHyphens/>
                <w:rPr>
                  <w:lang w:eastAsia="lt-LT"/>
                </w:rPr>
              </w:pPr>
              <w:bookmarkStart w:id="0" w:name="_GoBack"/>
              <w:bookmarkEnd w:id="0"/>
              <w:r>
                <w:rPr>
                  <w:lang w:eastAsia="lt-LT"/>
                </w:rPr>
                <w:t>Teisingumo ministrė</w:t>
              </w:r>
              <w:r>
                <w:rPr>
                  <w:lang w:eastAsia="lt-LT"/>
                </w:rPr>
                <w:tab/>
                <w:t xml:space="preserve">  Ewelina Dobrowolska</w:t>
              </w:r>
            </w:p>
            <w:p w14:paraId="5037C4B3" w14:textId="77777777" w:rsidR="00C32FEB" w:rsidRDefault="00C32FEB">
              <w:pPr>
                <w:tabs>
                  <w:tab w:val="center" w:pos="-7800"/>
                  <w:tab w:val="left" w:pos="6237"/>
                  <w:tab w:val="right" w:pos="8306"/>
                </w:tabs>
                <w:suppressAutoHyphens/>
                <w:rPr>
                  <w:lang w:eastAsia="lt-LT"/>
                </w:rPr>
              </w:pPr>
            </w:p>
            <w:p w14:paraId="0681E2AB" w14:textId="77777777" w:rsidR="00C32FEB" w:rsidRDefault="00C32FEB">
              <w:pPr>
                <w:tabs>
                  <w:tab w:val="center" w:pos="-7800"/>
                  <w:tab w:val="left" w:pos="6237"/>
                  <w:tab w:val="right" w:pos="8306"/>
                </w:tabs>
                <w:suppressAutoHyphens/>
                <w:rPr>
                  <w:lang w:eastAsia="lt-LT"/>
                </w:rPr>
              </w:pPr>
            </w:p>
            <w:p w14:paraId="3FE17337" w14:textId="77777777" w:rsidR="00C32FEB" w:rsidRDefault="005E1C79">
              <w:pPr>
                <w:tabs>
                  <w:tab w:val="center" w:pos="-7800"/>
                  <w:tab w:val="left" w:pos="6237"/>
                  <w:tab w:val="right" w:pos="8306"/>
                </w:tabs>
                <w:suppressAutoHyphens/>
              </w:pPr>
              <w:r>
                <w:rPr>
                  <w:lang w:eastAsia="lt-LT"/>
                </w:rPr>
                <w:t>Generalinė prokurorė</w:t>
              </w:r>
              <w:r>
                <w:rPr>
                  <w:lang w:eastAsia="lt-LT"/>
                </w:rPr>
                <w:tab/>
                <w:t xml:space="preserve">                             Nida Grunskienė</w:t>
              </w:r>
            </w:p>
          </w:sdtContent>
        </w:sdt>
      </w:sdtContent>
    </w:sdt>
    <w:sectPr w:rsidR="00C32FEB">
      <w:pgSz w:w="11906" w:h="16838"/>
      <w:pgMar w:top="1134" w:right="567" w:bottom="1134" w:left="1701" w:header="567" w:footer="567" w:gutter="0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569386" w14:textId="77777777" w:rsidR="00C32FEB" w:rsidRDefault="005E1C79">
      <w:pPr>
        <w:suppressAutoHyphens/>
      </w:pPr>
      <w:r>
        <w:separator/>
      </w:r>
    </w:p>
  </w:endnote>
  <w:endnote w:type="continuationSeparator" w:id="0">
    <w:p w14:paraId="3DD41F7E" w14:textId="77777777" w:rsidR="00C32FEB" w:rsidRDefault="005E1C79">
      <w:pPr>
        <w:suppressAutoHyphens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8FCFCB" w14:textId="77777777" w:rsidR="00C32FEB" w:rsidRDefault="005E1C79">
      <w:pPr>
        <w:suppressAutoHyphens/>
      </w:pPr>
      <w:r>
        <w:rPr>
          <w:color w:val="000000"/>
        </w:rPr>
        <w:separator/>
      </w:r>
    </w:p>
  </w:footnote>
  <w:footnote w:type="continuationSeparator" w:id="0">
    <w:p w14:paraId="4370F1AC" w14:textId="77777777" w:rsidR="00C32FEB" w:rsidRDefault="005E1C79">
      <w:pPr>
        <w:suppressAutoHyphens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570"/>
    <w:rsid w:val="005E1C79"/>
    <w:rsid w:val="00881570"/>
    <w:rsid w:val="00C32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1B7693"/>
  <w15:docId w15:val="{44539521-DE3B-4E5A-B93A-E0548033CC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407958f832546bbbc121964173a3fb6" PartId="55e329a67fd346aa9398944b147c5a72">
    <Part Type="pastraipa" DocPartId="a8bd9473c187469a9ca35bb776306951" PartId="2478e479f7f043b9a0dbe08bd10dd8fe">
      <Part Type="citata" DocPartId="223abfcc89ab408db4692c7a4d9e54da" PartId="030c6ad86bf943b294233243b268f4d3">
        <Part Type="punktas" Nr="24-2" Abbr="24-2 p." DocPartId="d276d44d345f4b1e95ded6f8bc563dbc" PartId="f1f17a8c464b491989302f7983d1ab8e"/>
      </Part>
    </Part>
    <Part Type="signatura" DocPartId="ded4828a6b4341b4bbfb7fd4185dd8d8" PartId="8576d410d86446ddb4b7e1948676c63e"/>
  </Part>
</Parts>
</file>

<file path=customXml/itemProps1.xml><?xml version="1.0" encoding="utf-8"?>
<ds:datastoreItem xmlns:ds="http://schemas.openxmlformats.org/officeDocument/2006/customXml" ds:itemID="{3D0D1AE6-5E9C-4D9B-84F3-14F1EB57B09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1966</Words>
  <Characters>1122</Characters>
  <Application>Microsoft Office Word</Application>
  <DocSecurity>0</DocSecurity>
  <Lines>9</Lines>
  <Paragraphs>6</Paragraphs>
  <ScaleCrop>false</ScaleCrop>
  <Company/>
  <LinksUpToDate>false</LinksUpToDate>
  <CharactersWithSpaces>3082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Petras Butrimas</dc:creator>
  <cp:lastModifiedBy>TAMALIŪNIENĖ Vilija</cp:lastModifiedBy>
  <cp:revision>3</cp:revision>
  <cp:lastPrinted>2017-01-19T07:17:00Z</cp:lastPrinted>
  <dcterms:created xsi:type="dcterms:W3CDTF">2022-07-14T05:09:00Z</dcterms:created>
  <dcterms:modified xsi:type="dcterms:W3CDTF">2022-07-14T05:22:00Z</dcterms:modified>
</cp:coreProperties>
</file>