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63C2" w14:textId="77777777" w:rsidR="00581665" w:rsidRDefault="0058166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92D63C3" w14:textId="77777777" w:rsidR="00581665" w:rsidRDefault="000C4EC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92D63E6" wp14:editId="592D63E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63C4" w14:textId="77777777" w:rsidR="00581665" w:rsidRDefault="00581665">
      <w:pPr>
        <w:jc w:val="center"/>
        <w:rPr>
          <w:caps/>
          <w:sz w:val="12"/>
          <w:szCs w:val="12"/>
        </w:rPr>
      </w:pPr>
    </w:p>
    <w:p w14:paraId="592D63C5" w14:textId="77777777" w:rsidR="00581665" w:rsidRDefault="000C4EC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92D63C6" w14:textId="77777777" w:rsidR="00581665" w:rsidRDefault="000C4ECD">
      <w:pPr>
        <w:jc w:val="center"/>
        <w:rPr>
          <w:b/>
          <w:caps/>
        </w:rPr>
      </w:pPr>
      <w:r>
        <w:rPr>
          <w:b/>
          <w:caps/>
        </w:rPr>
        <w:t xml:space="preserve">MOKSLO IR STUDIJŲ ĮSTATYMO NR. XI-242 9, 14 ir 21 STRAIPSNIŲ PAKEITIMO </w:t>
      </w:r>
    </w:p>
    <w:p w14:paraId="592D63C7" w14:textId="77777777" w:rsidR="00581665" w:rsidRDefault="000C4ECD">
      <w:pPr>
        <w:jc w:val="center"/>
        <w:rPr>
          <w:caps/>
        </w:rPr>
      </w:pPr>
      <w:r>
        <w:rPr>
          <w:b/>
          <w:caps/>
        </w:rPr>
        <w:t>ĮSTATYMAS</w:t>
      </w:r>
    </w:p>
    <w:p w14:paraId="592D63C8" w14:textId="77777777" w:rsidR="00581665" w:rsidRDefault="00581665">
      <w:pPr>
        <w:jc w:val="center"/>
        <w:rPr>
          <w:b/>
          <w:caps/>
        </w:rPr>
      </w:pPr>
    </w:p>
    <w:p w14:paraId="592D63C9" w14:textId="77777777" w:rsidR="00581665" w:rsidRDefault="000C4ECD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XIII-2367</w:t>
      </w:r>
    </w:p>
    <w:p w14:paraId="592D63CA" w14:textId="77777777" w:rsidR="00581665" w:rsidRDefault="000C4ECD">
      <w:pPr>
        <w:jc w:val="center"/>
        <w:rPr>
          <w:szCs w:val="24"/>
        </w:rPr>
      </w:pPr>
      <w:r>
        <w:rPr>
          <w:szCs w:val="24"/>
        </w:rPr>
        <w:t>Vilnius</w:t>
      </w:r>
    </w:p>
    <w:p w14:paraId="592D63CB" w14:textId="77777777" w:rsidR="00581665" w:rsidRDefault="00581665">
      <w:pPr>
        <w:jc w:val="center"/>
        <w:rPr>
          <w:sz w:val="22"/>
        </w:rPr>
      </w:pPr>
    </w:p>
    <w:p w14:paraId="592D63CE" w14:textId="77777777" w:rsidR="00581665" w:rsidRDefault="0058166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92D63CF" w14:textId="77777777" w:rsidR="00581665" w:rsidRDefault="000C4ECD">
      <w:pPr>
        <w:spacing w:line="34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9 straipsnio pakeitimas</w:t>
      </w:r>
    </w:p>
    <w:p w14:paraId="592D63D0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9 straipsnio 7 dalį ir ją išdėstyti taip:</w:t>
      </w:r>
    </w:p>
    <w:p w14:paraId="592D63D1" w14:textId="77777777" w:rsidR="00581665" w:rsidRDefault="000C4ECD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. Sutarčių su aukštosiomis mokyklomis vykdymo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 xml:space="preserve"> atlieka Vyriausybės strateginės analizės centras</w:t>
      </w:r>
      <w:r>
        <w:rPr>
          <w:bCs/>
          <w:color w:val="000000"/>
          <w:szCs w:val="24"/>
          <w:lang w:eastAsia="lt-LT"/>
        </w:rPr>
        <w:t>.</w:t>
      </w:r>
      <w:r>
        <w:rPr>
          <w:szCs w:val="24"/>
        </w:rPr>
        <w:t>“</w:t>
      </w:r>
    </w:p>
    <w:p w14:paraId="592D63D2" w14:textId="77777777" w:rsidR="00581665" w:rsidRDefault="000C4ECD">
      <w:pPr>
        <w:spacing w:line="340" w:lineRule="atLeast"/>
        <w:ind w:firstLine="720"/>
        <w:jc w:val="both"/>
        <w:rPr>
          <w:szCs w:val="24"/>
        </w:rPr>
      </w:pPr>
    </w:p>
    <w:p w14:paraId="592D63D3" w14:textId="77777777" w:rsidR="00581665" w:rsidRDefault="000C4ECD">
      <w:pPr>
        <w:spacing w:line="34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</w:t>
      </w:r>
      <w:r>
        <w:rPr>
          <w:b/>
          <w:szCs w:val="24"/>
        </w:rPr>
        <w:t xml:space="preserve">psnis. </w:t>
      </w:r>
      <w:r>
        <w:rPr>
          <w:b/>
          <w:szCs w:val="24"/>
        </w:rPr>
        <w:t>14 straipsnio pakeitimas</w:t>
      </w:r>
    </w:p>
    <w:p w14:paraId="592D63D4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14 straipsnio 2 dalį ir ją išdėstyti taip:</w:t>
      </w:r>
    </w:p>
    <w:p w14:paraId="592D63D5" w14:textId="77777777" w:rsidR="00581665" w:rsidRDefault="000C4ECD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Valstybės mokslo ir studijų politiką pagal šiame ir kituose įstatymuose bei kituose teisės aktuose nustatytą kompetenciją įgyvendina Lietuvos mokslo taryba, Lietuvo</w:t>
      </w:r>
      <w:r>
        <w:rPr>
          <w:szCs w:val="24"/>
        </w:rPr>
        <w:t>s mokslų akademija, Technologijų ir inovacijų įstatymo 14 straipsnyje nurodyta Vyriausybės įgaliota institucija, Valstybinis studijų fondas, Aukštojo mokslo taryba, Studijų kokybės vertinimo centras, akademinės etikos ir procedūrų kontrolierius, Vyriausybė</w:t>
      </w:r>
      <w:r>
        <w:rPr>
          <w:szCs w:val="24"/>
        </w:rPr>
        <w:t>s ir švietimo ir mokslo ministro įgaliotos institucijos, mokslo ir studijų institucijos.“</w:t>
      </w:r>
    </w:p>
    <w:p w14:paraId="592D63D6" w14:textId="77777777" w:rsidR="00581665" w:rsidRDefault="000C4ECD">
      <w:pPr>
        <w:spacing w:line="340" w:lineRule="atLeast"/>
        <w:ind w:firstLine="720"/>
        <w:jc w:val="both"/>
        <w:rPr>
          <w:szCs w:val="24"/>
        </w:rPr>
      </w:pPr>
    </w:p>
    <w:p w14:paraId="592D63D7" w14:textId="77777777" w:rsidR="00581665" w:rsidRDefault="000C4ECD">
      <w:pPr>
        <w:spacing w:line="34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21 straipsnio pakeitimas</w:t>
      </w:r>
    </w:p>
    <w:p w14:paraId="592D63D8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21 straipsnį ir jį išdėstyti taip:</w:t>
      </w:r>
    </w:p>
    <w:p w14:paraId="592D63D9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szCs w:val="48"/>
        </w:rPr>
        <w:t>„</w:t>
      </w:r>
      <w:r>
        <w:rPr>
          <w:b/>
          <w:bCs/>
          <w:color w:val="000000"/>
          <w:szCs w:val="24"/>
          <w:lang w:eastAsia="lt-LT"/>
        </w:rPr>
        <w:t>21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Vyriausybės strateginės analizės centras</w:t>
      </w:r>
    </w:p>
    <w:p w14:paraId="592D63DA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Šio įstat</w:t>
      </w:r>
      <w:r>
        <w:rPr>
          <w:color w:val="000000"/>
          <w:szCs w:val="24"/>
          <w:lang w:eastAsia="lt-LT"/>
        </w:rPr>
        <w:t xml:space="preserve">ymo reguliavimo srityje </w:t>
      </w:r>
      <w:r>
        <w:rPr>
          <w:bCs/>
          <w:color w:val="000000"/>
          <w:szCs w:val="24"/>
          <w:lang w:eastAsia="lt-LT"/>
        </w:rPr>
        <w:t>Vyriausybės strateginės analizės centras:</w:t>
      </w:r>
    </w:p>
    <w:p w14:paraId="592D63DB" w14:textId="77777777" w:rsidR="00581665" w:rsidRDefault="000C4ECD">
      <w:pPr>
        <w:spacing w:line="340" w:lineRule="atLeast"/>
        <w:ind w:firstLine="720"/>
        <w:jc w:val="both"/>
        <w:rPr>
          <w:bCs/>
          <w:szCs w:val="24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vykdo mokslo ir studijų sistemos </w:t>
      </w:r>
      <w:proofErr w:type="spellStart"/>
      <w:r>
        <w:rPr>
          <w:color w:val="000000"/>
          <w:szCs w:val="24"/>
          <w:lang w:eastAsia="lt-LT"/>
        </w:rPr>
        <w:t>stebėseną</w:t>
      </w:r>
      <w:proofErr w:type="spellEnd"/>
      <w:r>
        <w:rPr>
          <w:color w:val="000000"/>
          <w:szCs w:val="24"/>
          <w:lang w:eastAsia="lt-LT"/>
        </w:rPr>
        <w:t>;</w:t>
      </w:r>
    </w:p>
    <w:p w14:paraId="592D63DC" w14:textId="77777777" w:rsidR="00581665" w:rsidRDefault="000C4ECD">
      <w:pPr>
        <w:spacing w:line="340" w:lineRule="atLeast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) rengia mokslo ir studijų sričių būklės analizes ir teikia išvadas dėl mokslo ir studijų sistemos tobulinimo;</w:t>
      </w:r>
    </w:p>
    <w:p w14:paraId="592D63DD" w14:textId="77777777" w:rsidR="00581665" w:rsidRDefault="000C4ECD">
      <w:pPr>
        <w:spacing w:line="340" w:lineRule="atLeast"/>
        <w:ind w:firstLine="720"/>
        <w:jc w:val="both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 xml:space="preserve">) rengia </w:t>
      </w:r>
      <w:r>
        <w:rPr>
          <w:color w:val="000000"/>
          <w:szCs w:val="24"/>
          <w:lang w:eastAsia="lt-LT"/>
        </w:rPr>
        <w:t xml:space="preserve">analitinę </w:t>
      </w:r>
      <w:r>
        <w:rPr>
          <w:color w:val="000000"/>
          <w:szCs w:val="24"/>
          <w:lang w:eastAsia="lt-LT"/>
        </w:rPr>
        <w:t>informaciją apie specialistų rengimą mokslo ir studijų institucijose, prognozuoja aukštojo mokslo kvalifikacijų poreikį</w:t>
      </w:r>
      <w:r>
        <w:rPr>
          <w:bCs/>
          <w:szCs w:val="24"/>
        </w:rPr>
        <w:t>;</w:t>
      </w:r>
    </w:p>
    <w:p w14:paraId="592D63DE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szCs w:val="24"/>
        </w:rPr>
        <w:t>4</w:t>
      </w:r>
      <w:r>
        <w:rPr>
          <w:bCs/>
          <w:szCs w:val="24"/>
        </w:rPr>
        <w:t xml:space="preserve">) </w:t>
      </w:r>
      <w:r>
        <w:rPr>
          <w:color w:val="000000"/>
          <w:szCs w:val="24"/>
          <w:lang w:eastAsia="lt-LT"/>
        </w:rPr>
        <w:t>vertina mokslo ir studijų sistemos tendencijas, identifikuoja svarbiausius spręstinus nacionalinio lygio iššūkius, rengia strate</w:t>
      </w:r>
      <w:r>
        <w:rPr>
          <w:color w:val="000000"/>
          <w:szCs w:val="24"/>
          <w:lang w:eastAsia="lt-LT"/>
        </w:rPr>
        <w:t>gines įžvalgas.“</w:t>
      </w:r>
    </w:p>
    <w:p w14:paraId="592D63DF" w14:textId="77777777" w:rsidR="00581665" w:rsidRDefault="000C4ECD">
      <w:pPr>
        <w:spacing w:line="340" w:lineRule="atLeast"/>
        <w:ind w:firstLine="720"/>
        <w:jc w:val="both"/>
        <w:rPr>
          <w:color w:val="000000"/>
          <w:szCs w:val="24"/>
        </w:rPr>
      </w:pPr>
    </w:p>
    <w:p w14:paraId="592D63E0" w14:textId="77777777" w:rsidR="00581665" w:rsidRDefault="000C4ECD">
      <w:pPr>
        <w:spacing w:line="340" w:lineRule="atLeast"/>
        <w:ind w:firstLine="720"/>
        <w:jc w:val="both"/>
        <w:rPr>
          <w:b/>
          <w:szCs w:val="48"/>
        </w:rPr>
      </w:pPr>
      <w:r>
        <w:rPr>
          <w:b/>
          <w:szCs w:val="48"/>
        </w:rPr>
        <w:t>4</w:t>
      </w:r>
      <w:r>
        <w:rPr>
          <w:b/>
          <w:szCs w:val="48"/>
        </w:rPr>
        <w:t xml:space="preserve"> straipsnis. </w:t>
      </w:r>
      <w:r>
        <w:rPr>
          <w:b/>
          <w:szCs w:val="48"/>
        </w:rPr>
        <w:t xml:space="preserve">Įstatymo įsigaliojimas </w:t>
      </w:r>
    </w:p>
    <w:p w14:paraId="592D63E1" w14:textId="77777777" w:rsidR="00581665" w:rsidRDefault="000C4ECD">
      <w:pPr>
        <w:spacing w:line="340" w:lineRule="atLeast"/>
        <w:ind w:firstLine="720"/>
        <w:jc w:val="both"/>
        <w:rPr>
          <w:szCs w:val="48"/>
        </w:rPr>
      </w:pPr>
      <w:r>
        <w:rPr>
          <w:szCs w:val="48"/>
        </w:rPr>
        <w:t>Šis įstatymas įsigalioja 2019 m. rugpjūčio 1 d.</w:t>
      </w:r>
    </w:p>
    <w:p w14:paraId="592D63E2" w14:textId="77777777" w:rsidR="00581665" w:rsidRDefault="000C4ECD">
      <w:pPr>
        <w:spacing w:line="360" w:lineRule="auto"/>
        <w:ind w:firstLine="720"/>
        <w:jc w:val="both"/>
        <w:rPr>
          <w:i/>
          <w:szCs w:val="24"/>
        </w:rPr>
      </w:pPr>
    </w:p>
    <w:p w14:paraId="592D63E3" w14:textId="77777777" w:rsidR="00581665" w:rsidRDefault="000C4EC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8DE6C75" w14:textId="77777777" w:rsidR="000C4ECD" w:rsidRDefault="000C4ECD">
      <w:pPr>
        <w:tabs>
          <w:tab w:val="right" w:pos="9356"/>
        </w:tabs>
        <w:rPr>
          <w:lang w:val="en-US"/>
        </w:rPr>
      </w:pPr>
    </w:p>
    <w:p w14:paraId="592D63E5" w14:textId="77777777" w:rsidR="00581665" w:rsidRDefault="000C4ECD">
      <w:pPr>
        <w:tabs>
          <w:tab w:val="right" w:pos="9356"/>
        </w:tabs>
      </w:pPr>
      <w:bookmarkStart w:id="0" w:name="_GoBack"/>
      <w:bookmarkEnd w:id="0"/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581665" w:rsidSect="000C4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63EA" w14:textId="77777777" w:rsidR="00581665" w:rsidRDefault="000C4E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92D63EB" w14:textId="77777777" w:rsidR="00581665" w:rsidRDefault="000C4E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3F0" w14:textId="77777777" w:rsidR="00581665" w:rsidRDefault="000C4EC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92D63F1" w14:textId="77777777" w:rsidR="00581665" w:rsidRDefault="0058166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3F2" w14:textId="77777777" w:rsidR="00581665" w:rsidRDefault="000C4EC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92D63F3" w14:textId="77777777" w:rsidR="00581665" w:rsidRDefault="0058166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3F5" w14:textId="77777777" w:rsidR="00581665" w:rsidRDefault="0058166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63E8" w14:textId="77777777" w:rsidR="00581665" w:rsidRDefault="000C4E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92D63E9" w14:textId="77777777" w:rsidR="00581665" w:rsidRDefault="000C4E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3EC" w14:textId="77777777" w:rsidR="00581665" w:rsidRDefault="000C4EC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92D63ED" w14:textId="77777777" w:rsidR="00581665" w:rsidRDefault="0058166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3EE" w14:textId="77777777" w:rsidR="00581665" w:rsidRDefault="000C4EC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92D63EF" w14:textId="77777777" w:rsidR="00581665" w:rsidRDefault="0058166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3F4" w14:textId="77777777" w:rsidR="00581665" w:rsidRDefault="0058166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4"/>
    <w:rsid w:val="000C4ECD"/>
    <w:rsid w:val="00581665"/>
    <w:rsid w:val="006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D6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1877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2019-07-29T05:54:00Z</dcterms:created>
  <dc:creator>„Windows“ vartotojas</dc:creator>
  <lastModifiedBy>GUMBYTĖ Danguolė</lastModifiedBy>
  <lastPrinted>2019-07-16T10:28:00Z</lastPrinted>
  <dcterms:modified xsi:type="dcterms:W3CDTF">2019-07-29T06:59:00Z</dcterms:modified>
  <revision>3</revision>
</coreProperties>
</file>