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0fcd97855884d29b97fd10eacdbcf0f"/>
        <w:id w:val="-835457246"/>
        <w:lock w:val="sdtLocked"/>
      </w:sdtPr>
      <w:sdtEndPr/>
      <w:sdtContent>
        <w:p w:rsidR="00D83FA3" w:rsidRDefault="00D83FA3">
          <w:pPr>
            <w:tabs>
              <w:tab w:val="center" w:pos="4819"/>
              <w:tab w:val="right" w:pos="9638"/>
            </w:tabs>
            <w:jc w:val="right"/>
            <w:rPr>
              <w:b/>
              <w:bCs/>
              <w:lang w:val="en-US"/>
            </w:rPr>
          </w:pPr>
        </w:p>
        <w:p w:rsidR="00D83FA3" w:rsidRDefault="00406E1D">
          <w:pPr>
            <w:tabs>
              <w:tab w:val="center" w:pos="4819"/>
              <w:tab w:val="right" w:pos="9638"/>
            </w:tabs>
            <w:jc w:val="center"/>
            <w:rPr>
              <w:sz w:val="20"/>
            </w:rPr>
          </w:pPr>
          <w:r>
            <w:rPr>
              <w:sz w:val="20"/>
            </w:rPr>
            <w:object w:dxaOrig="691" w:dyaOrig="811" w14:anchorId="4302A99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25pt;height:41.25pt" o:ole="" fillcolor="window">
                <v:imagedata r:id="rId8" o:title=""/>
              </v:shape>
              <o:OLEObject Type="Embed" ProgID="Word.Picture.8" ShapeID="_x0000_i1025" DrawAspect="Content" ObjectID="_1820922566" r:id="rId9"/>
            </w:object>
          </w:r>
        </w:p>
        <w:p w:rsidR="00D83FA3" w:rsidRDefault="00D83FA3">
          <w:pPr>
            <w:tabs>
              <w:tab w:val="center" w:pos="4819"/>
              <w:tab w:val="right" w:pos="9638"/>
            </w:tabs>
            <w:jc w:val="center"/>
            <w:rPr>
              <w:sz w:val="12"/>
            </w:rPr>
          </w:pPr>
        </w:p>
        <w:p w:rsidR="00D83FA3" w:rsidRDefault="00406E1D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</w:t>
          </w:r>
        </w:p>
        <w:p w:rsidR="00D83FA3" w:rsidRDefault="00406E1D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VYRIAUSIOJI RINKIMŲ KOMISIJA</w:t>
          </w:r>
        </w:p>
        <w:p w:rsidR="00D83FA3" w:rsidRDefault="00D83FA3">
          <w:pPr>
            <w:jc w:val="center"/>
            <w:rPr>
              <w:b/>
              <w:bCs/>
              <w:caps/>
              <w:szCs w:val="24"/>
            </w:rPr>
          </w:pPr>
        </w:p>
        <w:p w:rsidR="00D83FA3" w:rsidRDefault="00D83FA3">
          <w:pPr>
            <w:jc w:val="center"/>
            <w:rPr>
              <w:b/>
              <w:bCs/>
              <w:caps/>
              <w:szCs w:val="24"/>
            </w:rPr>
          </w:pPr>
        </w:p>
        <w:p w:rsidR="00D83FA3" w:rsidRDefault="00406E1D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SPRENDIMAS</w:t>
          </w:r>
        </w:p>
        <w:p w:rsidR="00D83FA3" w:rsidRDefault="00406E1D">
          <w:pPr>
            <w:jc w:val="center"/>
            <w:textAlignment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Vyriausiosios rinkimų komisijos 2022 m. rugpjūčio 25 d. sprendimo Nr. Sp-66 „dėl išorinės politinės reklamos taisyklių patvirtinimo“ PAKEITIMO </w:t>
          </w:r>
        </w:p>
        <w:p w:rsidR="00D83FA3" w:rsidRDefault="00D83FA3">
          <w:pPr>
            <w:jc w:val="center"/>
            <w:textAlignment w:val="center"/>
            <w:rPr>
              <w:szCs w:val="24"/>
              <w:lang w:eastAsia="lt-LT"/>
            </w:rPr>
          </w:pPr>
        </w:p>
        <w:p w:rsidR="00D83FA3" w:rsidRDefault="00406E1D">
          <w:pPr>
            <w:jc w:val="center"/>
          </w:pPr>
          <w:r>
            <w:t>2025 m. spalio</w:t>
          </w:r>
          <w:r>
            <w:t xml:space="preserve"> 2 d. Nr. Sp-148</w:t>
          </w:r>
        </w:p>
        <w:p w:rsidR="00D83FA3" w:rsidRDefault="00406E1D">
          <w:pPr>
            <w:jc w:val="center"/>
          </w:pPr>
          <w:r>
            <w:t>Vilnius</w:t>
          </w:r>
        </w:p>
        <w:p w:rsidR="00D83FA3" w:rsidRDefault="00D83FA3">
          <w:pPr>
            <w:jc w:val="center"/>
            <w:rPr>
              <w:iCs/>
              <w:szCs w:val="24"/>
            </w:rPr>
          </w:pPr>
        </w:p>
        <w:p w:rsidR="00D83FA3" w:rsidRDefault="00D83FA3">
          <w:pPr>
            <w:jc w:val="center"/>
            <w:rPr>
              <w:iCs/>
              <w:szCs w:val="24"/>
            </w:rPr>
          </w:pPr>
        </w:p>
        <w:sdt>
          <w:sdtPr>
            <w:alias w:val="preambule"/>
            <w:tag w:val="part_e8a9e31e50ce4115904c0cc209562aba"/>
            <w:id w:val="94989420"/>
            <w:lock w:val="sdtLocked"/>
          </w:sdtPr>
          <w:sdtEndPr/>
          <w:sdtContent>
            <w:p w:rsidR="00D83FA3" w:rsidRDefault="00406E1D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color w:val="000000"/>
                </w:rPr>
                <w:t xml:space="preserve">Lietuvos Respublikos </w:t>
              </w:r>
              <w:r>
                <w:rPr>
                  <w:szCs w:val="24"/>
                </w:rPr>
                <w:t xml:space="preserve">vyriausioji rinkimų komisija, atsižvelgdama į tai, kad 2025 m. spalio 10 d. įsigalioja 2024 m. kovo 13 d. Europos Parlamento ir Tarybos reglamentas </w:t>
              </w:r>
              <w:hyperlink r:id="rId10" w:tgtFrame="_blank" w:history="1">
                <w:r>
                  <w:rPr>
                    <w:color w:val="0000FF" w:themeColor="hyperlink"/>
                    <w:szCs w:val="24"/>
                    <w:u w:val="single"/>
                  </w:rPr>
                  <w:t>(ES) 2024/900</w:t>
                </w:r>
              </w:hyperlink>
              <w:r>
                <w:rPr>
                  <w:szCs w:val="24"/>
                </w:rPr>
                <w:t xml:space="preserve"> dėl politinės reklamos skaidrumo ir atrankiojo adresavimo, kuris nustato naujus politinės reklamos skaidrumo reikalavimus Europos Sąjungos mastu, vadovaudamasi Lietuvos Respublikos rinkimų kodekso 32 s</w:t>
              </w:r>
              <w:r>
                <w:rPr>
                  <w:szCs w:val="24"/>
                </w:rPr>
                <w:t xml:space="preserve">traipsnio 1 dalies 1 punktu ir 98 straipsnio 2 dalimi, </w:t>
              </w:r>
              <w:r>
                <w:rPr>
                  <w:spacing w:val="4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96a2a12a7eee458f870a44307fcf1072"/>
            <w:id w:val="-1010986244"/>
            <w:lock w:val="sdtLocked"/>
          </w:sdtPr>
          <w:sdtEndPr/>
          <w:sdtContent>
            <w:p w:rsidR="00D83FA3" w:rsidRDefault="00406E1D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Išorinės politinės reklamos taisykles, patvirtintas Lietuvos Respublikos vyriausiosios rinkimų komisijos 2022 m. rugpjūčio 25 d. sprendimu Nr. Sp-66 „Dėl Išorinės politinės rekl</w:t>
              </w:r>
              <w:r>
                <w:rPr>
                  <w:szCs w:val="24"/>
                </w:rPr>
                <w:t>amos taisyklių patvirtinimo“:</w:t>
              </w:r>
            </w:p>
          </w:sdtContent>
        </w:sdt>
        <w:sdt>
          <w:sdtPr>
            <w:alias w:val="1 p."/>
            <w:tag w:val="part_a4d6930d6532467287565be1bb2e8bd8"/>
            <w:id w:val="-983999060"/>
            <w:lock w:val="sdtLocked"/>
          </w:sdtPr>
          <w:sdtEndPr/>
          <w:sdtContent>
            <w:p w:rsidR="00D83FA3" w:rsidRDefault="00406E1D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4d6930d6532467287565be1bb2e8bd8"/>
                  <w:id w:val="55042685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Pakeisti 2 punktą ir jį išdėstyti taip: </w:t>
              </w:r>
            </w:p>
            <w:sdt>
              <w:sdtPr>
                <w:alias w:val="citata"/>
                <w:tag w:val="part_d3660fd7392749b8adafd2376d323d04"/>
                <w:id w:val="2135595777"/>
                <w:lock w:val="sdtLocked"/>
              </w:sdtPr>
              <w:sdtEndPr/>
              <w:sdtContent>
                <w:sdt>
                  <w:sdtPr>
                    <w:alias w:val="2 p."/>
                    <w:tag w:val="part_b72773d953084f06a6a32418aa60094e"/>
                    <w:id w:val="946816544"/>
                    <w:lock w:val="sdtLocked"/>
                  </w:sdtPr>
                  <w:sdtEndPr/>
                  <w:sdtContent>
                    <w:p w:rsidR="00D83FA3" w:rsidRDefault="00406E1D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72773d953084f06a6a32418aa60094e"/>
                          <w:id w:val="680130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Taisyklės parengtos vadovaujantis 2024 m. kovo 13 d. Europos Parlamento ir Tarybos reglamentu </w:t>
                      </w:r>
                      <w:hyperlink r:id="rId11" w:tgtFrame="_blank" w:history="1">
                        <w:r>
                          <w:rPr>
                            <w:color w:val="0000FF" w:themeColor="hyperlink"/>
                            <w:szCs w:val="24"/>
                            <w:u w:val="single"/>
                          </w:rPr>
                          <w:t>(ES) 2024/900</w:t>
                        </w:r>
                      </w:hyperlink>
                      <w:r>
                        <w:rPr>
                          <w:szCs w:val="24"/>
                        </w:rPr>
                        <w:t xml:space="preserve"> dėl politinės reklamos skaidrumo ir atrankiojo adresavimo, Lietuvos Respublikos rinkimų kodeksu ir Lietuvos Respublikos referendumo konstitucin</w:t>
                      </w:r>
                      <w:r>
                        <w:rPr>
                          <w:szCs w:val="24"/>
                        </w:rPr>
                        <w:t>iu įstatymu.“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fa922f9022e440bb732e5c1f8ac61a6"/>
            <w:id w:val="-204341836"/>
            <w:lock w:val="sdtLocked"/>
          </w:sdtPr>
          <w:sdtEndPr/>
          <w:sdtContent>
            <w:p w:rsidR="00D83FA3" w:rsidRDefault="00406E1D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fa922f9022e440bb732e5c1f8ac61a6"/>
                  <w:id w:val="-24603759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3 punktą ir jį išdėstyti taip: </w:t>
              </w:r>
            </w:p>
            <w:sdt>
              <w:sdtPr>
                <w:alias w:val="citata"/>
                <w:tag w:val="part_77006e7b9cdb4fdb86776bc163703fe1"/>
                <w:id w:val="1524517521"/>
                <w:lock w:val="sdtLocked"/>
              </w:sdtPr>
              <w:sdtEndPr/>
              <w:sdtContent>
                <w:sdt>
                  <w:sdtPr>
                    <w:alias w:val="3 p."/>
                    <w:tag w:val="part_6813da9d95ad4c039e5b1b35817f18a4"/>
                    <w:id w:val="-1144114595"/>
                    <w:lock w:val="sdtLocked"/>
                  </w:sdtPr>
                  <w:sdtEndPr/>
                  <w:sdtContent>
                    <w:p w:rsidR="00D83FA3" w:rsidRDefault="00406E1D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813da9d95ad4c039e5b1b35817f18a4"/>
                          <w:id w:val="-17047882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Politinės reklamos žymėjimo ir skaidrumo reikalavimai nustatyti Reglamente </w:t>
                      </w:r>
                      <w:hyperlink r:id="rId12" w:tgtFrame="_blank" w:history="1">
                        <w:r>
                          <w:rPr>
                            <w:color w:val="0000FF" w:themeColor="hyperlink"/>
                            <w:szCs w:val="24"/>
                            <w:u w:val="single"/>
                          </w:rPr>
                          <w:t>(ES) 202</w:t>
                        </w:r>
                        <w:r>
                          <w:rPr>
                            <w:color w:val="0000FF" w:themeColor="hyperlink"/>
                            <w:szCs w:val="24"/>
                            <w:u w:val="single"/>
                          </w:rPr>
                          <w:t>4/900</w:t>
                        </w:r>
                      </w:hyperlink>
                      <w:r>
                        <w:rPr>
                          <w:szCs w:val="24"/>
                        </w:rPr>
                        <w:t xml:space="preserve"> ir jį įgyvendinančiuose teisės aktuose.“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c6e1248abd9048c4a86fab431f7fe17d"/>
            <w:id w:val="697818473"/>
            <w:lock w:val="sdtLocked"/>
          </w:sdtPr>
          <w:sdtEndPr/>
          <w:sdtContent>
            <w:p w:rsidR="00D83FA3" w:rsidRDefault="00406E1D" w:rsidP="00406E1D">
              <w:pPr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c6e1248abd9048c4a86fab431f7fe17d"/>
                  <w:id w:val="163837071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šis sprendimas įsigalioja 2025 m. spalio 10 d.</w:t>
              </w:r>
            </w:p>
          </w:sdtContent>
        </w:sdt>
        <w:sdt>
          <w:sdtPr>
            <w:alias w:val="signatura"/>
            <w:tag w:val="part_8f09d68f72214d359e26072732888773"/>
            <w:id w:val="1952433627"/>
            <w:lock w:val="sdtLocked"/>
          </w:sdtPr>
          <w:sdtEndPr/>
          <w:sdtContent>
            <w:p w:rsidR="00406E1D" w:rsidRDefault="00406E1D">
              <w:pPr>
                <w:tabs>
                  <w:tab w:val="left" w:pos="8080"/>
                </w:tabs>
              </w:pPr>
            </w:p>
            <w:p w:rsidR="00406E1D" w:rsidRDefault="00406E1D">
              <w:pPr>
                <w:tabs>
                  <w:tab w:val="left" w:pos="8080"/>
                </w:tabs>
              </w:pPr>
            </w:p>
            <w:p w:rsidR="00406E1D" w:rsidRDefault="00406E1D">
              <w:pPr>
                <w:tabs>
                  <w:tab w:val="left" w:pos="8080"/>
                </w:tabs>
              </w:pPr>
            </w:p>
            <w:p w:rsidR="00D83FA3" w:rsidRDefault="00406E1D" w:rsidP="00406E1D">
              <w:pPr>
                <w:tabs>
                  <w:tab w:val="left" w:pos="8080"/>
                </w:tabs>
                <w:rPr>
                  <w:b/>
                  <w:szCs w:val="24"/>
                </w:rPr>
              </w:pPr>
              <w:r>
                <w:t>Komisijos pirmininkė</w:t>
              </w:r>
              <w:r>
                <w:tab/>
                <w:t>Lina Petronienė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D83FA3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134" w:right="567" w:bottom="1134" w:left="1701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3FA3" w:rsidRDefault="00406E1D">
      <w:pPr>
        <w:rPr>
          <w:rFonts w:ascii="TimesLT" w:hAnsi="TimesLT" w:cs="TimesLT"/>
          <w:sz w:val="20"/>
          <w:lang w:val="en-GB"/>
        </w:rPr>
      </w:pPr>
      <w:r>
        <w:rPr>
          <w:rFonts w:ascii="TimesLT" w:hAnsi="TimesLT" w:cs="TimesLT"/>
          <w:sz w:val="20"/>
          <w:lang w:val="en-GB"/>
        </w:rPr>
        <w:separator/>
      </w:r>
    </w:p>
  </w:endnote>
  <w:endnote w:type="continuationSeparator" w:id="0">
    <w:p w:rsidR="00D83FA3" w:rsidRDefault="00406E1D">
      <w:pPr>
        <w:rPr>
          <w:rFonts w:ascii="TimesLT" w:hAnsi="TimesLT" w:cs="TimesLT"/>
          <w:sz w:val="20"/>
          <w:lang w:val="en-GB"/>
        </w:rPr>
      </w:pPr>
      <w:r>
        <w:rPr>
          <w:rFonts w:ascii="TimesLT" w:hAnsi="TimesLT" w:cs="TimesLT"/>
          <w:sz w:val="20"/>
          <w:lang w:val="en-GB"/>
        </w:rPr>
        <w:continuationSeparator/>
      </w:r>
    </w:p>
  </w:endnote>
  <w:endnote w:type="continuationNotice" w:id="1">
    <w:p w:rsidR="00D83FA3" w:rsidRDefault="00D83FA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3FA3" w:rsidRDefault="00D83FA3">
    <w:pPr>
      <w:tabs>
        <w:tab w:val="center" w:pos="4819"/>
        <w:tab w:val="right" w:pos="9638"/>
      </w:tabs>
      <w:rPr>
        <w:rFonts w:ascii="TimesLT" w:hAnsi="TimesLT" w:cs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3FA3" w:rsidRDefault="00D83FA3">
    <w:pPr>
      <w:tabs>
        <w:tab w:val="center" w:pos="4819"/>
        <w:tab w:val="right" w:pos="9638"/>
      </w:tabs>
      <w:rPr>
        <w:rFonts w:ascii="TimesLT" w:hAnsi="TimesLT" w:cs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3FA3" w:rsidRDefault="00D83FA3">
    <w:pPr>
      <w:tabs>
        <w:tab w:val="center" w:pos="4819"/>
        <w:tab w:val="right" w:pos="9638"/>
      </w:tabs>
      <w:rPr>
        <w:rFonts w:ascii="TimesLT" w:hAnsi="TimesLT" w:cs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3FA3" w:rsidRDefault="00406E1D">
      <w:pPr>
        <w:rPr>
          <w:rFonts w:ascii="TimesLT" w:hAnsi="TimesLT" w:cs="TimesLT"/>
          <w:sz w:val="20"/>
          <w:lang w:val="en-GB"/>
        </w:rPr>
      </w:pPr>
      <w:r>
        <w:rPr>
          <w:rFonts w:ascii="TimesLT" w:hAnsi="TimesLT" w:cs="TimesLT"/>
          <w:sz w:val="20"/>
          <w:lang w:val="en-GB"/>
        </w:rPr>
        <w:separator/>
      </w:r>
    </w:p>
  </w:footnote>
  <w:footnote w:type="continuationSeparator" w:id="0">
    <w:p w:rsidR="00D83FA3" w:rsidRDefault="00406E1D">
      <w:pPr>
        <w:rPr>
          <w:rFonts w:ascii="TimesLT" w:hAnsi="TimesLT" w:cs="TimesLT"/>
          <w:sz w:val="20"/>
          <w:lang w:val="en-GB"/>
        </w:rPr>
      </w:pPr>
      <w:r>
        <w:rPr>
          <w:rFonts w:ascii="TimesLT" w:hAnsi="TimesLT" w:cs="TimesLT"/>
          <w:sz w:val="20"/>
          <w:lang w:val="en-GB"/>
        </w:rPr>
        <w:continuationSeparator/>
      </w:r>
    </w:p>
  </w:footnote>
  <w:footnote w:type="continuationNotice" w:id="1">
    <w:p w:rsidR="00D83FA3" w:rsidRDefault="00D83FA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3FA3" w:rsidRDefault="00D83FA3">
    <w:pPr>
      <w:tabs>
        <w:tab w:val="center" w:pos="4819"/>
        <w:tab w:val="right" w:pos="9638"/>
      </w:tabs>
      <w:rPr>
        <w:rFonts w:ascii="TimesLT" w:hAnsi="TimesLT" w:cs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3FA3" w:rsidRDefault="00406E1D">
    <w:pPr>
      <w:tabs>
        <w:tab w:val="center" w:pos="4819"/>
        <w:tab w:val="right" w:pos="9638"/>
      </w:tabs>
      <w:jc w:val="center"/>
      <w:rPr>
        <w:sz w:val="22"/>
        <w:szCs w:val="22"/>
        <w:lang w:val="en-GB"/>
      </w:rPr>
    </w:pPr>
    <w:r>
      <w:rPr>
        <w:sz w:val="22"/>
        <w:szCs w:val="22"/>
        <w:lang w:val="en-GB"/>
      </w:rPr>
      <w:fldChar w:fldCharType="begin"/>
    </w:r>
    <w:r>
      <w:rPr>
        <w:sz w:val="22"/>
        <w:szCs w:val="22"/>
        <w:lang w:val="en-GB"/>
      </w:rPr>
      <w:instrText xml:space="preserve">PAGE   \* </w:instrText>
    </w:r>
    <w:r>
      <w:rPr>
        <w:sz w:val="22"/>
        <w:szCs w:val="22"/>
        <w:lang w:val="en-GB"/>
      </w:rPr>
      <w:instrText>MERGEFORMAT</w:instrText>
    </w:r>
    <w:r>
      <w:rPr>
        <w:sz w:val="22"/>
        <w:szCs w:val="22"/>
        <w:lang w:val="en-GB"/>
      </w:rPr>
      <w:fldChar w:fldCharType="separate"/>
    </w:r>
    <w:r>
      <w:rPr>
        <w:sz w:val="22"/>
        <w:szCs w:val="22"/>
      </w:rPr>
      <w:t>3</w:t>
    </w:r>
    <w:r>
      <w:rPr>
        <w:sz w:val="22"/>
        <w:szCs w:val="22"/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3FA3" w:rsidRDefault="00D83FA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1298"/>
  <w:hyphenationZone w:val="396"/>
  <w:doNotHyphenateCaps/>
  <w:characterSpacingControl w:val="doNotCompress"/>
  <w:doNotValidateAgainstSchema/>
  <w:doNotDemarcateInvalidXml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EEA"/>
    <w:rsid w:val="00406E1D"/>
    <w:rsid w:val="00BB5EEA"/>
    <w:rsid w:val="00D83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04B7FA95"/>
  <w15:docId w15:val="{C093C9D2-C1D8-4109-A8D3-0D07F09CD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2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8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96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eur-lex.europa.eu/legal-content/LIT/TXT/?uri=CELEX:32024R0900&amp;locale=lt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ur-lex.europa.eu/legal-content/LIT/TXT/?uri=CELEX:32024R0900&amp;locale=l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eur-lex.europa.eu/legal-content/LIT/TXT/?uri=CELEX:32024R0900&amp;locale=lt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c75d699c8164e86889ff4f70681bafe" PartId="f0fcd97855884d29b97fd10eacdbcf0f">
    <Part Type="preambule" DocPartId="39be79cb472d4746a776b6289c410cea" PartId="e8a9e31e50ce4115904c0cc209562aba"/>
    <Part Type="pastraipa" DocPartId="d42f80d1c1aa41598ba28e41684cf939" PartId="96a2a12a7eee458f870a44307fcf1072"/>
    <Part Type="punktas" Nr="1" Abbr="1 p." DocPartId="d409b2f9548f4826b056ecdbea881e5e" PartId="a4d6930d6532467287565be1bb2e8bd8">
      <Part Type="citata" DocPartId="5a99063ab38c40eabcb29b9f4a3ded20" PartId="d3660fd7392749b8adafd2376d323d04">
        <Part Type="punktas" Nr="2" Abbr="2 p." DocPartId="c9f1ae87e4644a27823717d5be3994aa" PartId="b72773d953084f06a6a32418aa60094e"/>
      </Part>
    </Part>
    <Part Type="punktas" Nr="2" Abbr="2 p." DocPartId="40802674862b4ee6a6920cfe3f76c5d2" PartId="ffa922f9022e440bb732e5c1f8ac61a6">
      <Part Type="citata" DocPartId="11456c72d8234658b9ddcc2c28e242d3" PartId="77006e7b9cdb4fdb86776bc163703fe1">
        <Part Type="punktas" Nr="3" Abbr="3 p." DocPartId="d139dcd5351e4d598e1713bcf75374b1" PartId="6813da9d95ad4c039e5b1b35817f18a4"/>
      </Part>
    </Part>
    <Part Type="punktas" Nr="3" Abbr="3 p." DocPartId="3952b7942ca44939bd24753a7989b742" PartId="c6e1248abd9048c4a86fab431f7fe17d"/>
    <Part Type="signatura" DocPartId="2764d0f6c48f4836a3f53d4b675ff6e4" PartId="8f09d68f72214d359e26072732888773"/>
  </Part>
</Parts>
</file>

<file path=customXml/item2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22C858-A9CA-4C09-ADB3-3BD82538BCD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1F72095-F6D8-414E-80E1-0E6386E70E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199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VRK</Company>
  <LinksUpToDate>false</LinksUpToDate>
  <CharactersWithSpaces>1878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Darius</dc:creator>
  <cp:lastModifiedBy>GUMBYTĖ Danguolė</cp:lastModifiedBy>
  <cp:revision>3</cp:revision>
  <cp:lastPrinted>2025-09-30T13:40:00Z</cp:lastPrinted>
  <dcterms:created xsi:type="dcterms:W3CDTF">2025-10-02T10:07:00Z</dcterms:created>
  <dcterms:modified xsi:type="dcterms:W3CDTF">2025-10-02T12:03:00Z</dcterms:modified>
</cp:coreProperties>
</file>