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441c19793ea4e6bbb46abfcf03ead90"/>
        <w:lock w:val="sdtLocked"/>
        <w:richText/>
      </w:sdtPr>
      <w:sdtContent>
        <w:p w14:paraId="5E2D646B" w14:textId="77777777">
          <w:pPr>
            <w:tabs>
              <w:tab w:val="center" w:pos="4153"/>
              <w:tab w:val="right" w:pos="8306"/>
            </w:tabs>
            <w:overflowPunct w:val="0"/>
            <w:spacing w:line="276" w:lineRule="auto"/>
          </w:pPr>
        </w:p>
        <w:p w14:paraId="23704C88" w14:textId="77777777">
          <w:pPr>
            <w:tabs>
              <w:tab w:val="center" w:pos="4153"/>
              <w:tab w:val="right" w:pos="8306"/>
            </w:tabs>
            <w:overflowPunct w:val="0"/>
            <w:spacing w:line="276" w:lineRule="auto"/>
          </w:pPr>
        </w:p>
        <w:p w14:paraId="2634B1B5" w14:textId="77777777">
          <w:pPr>
            <w:overflowPunct w:val="0"/>
            <w:spacing w:line="276" w:lineRule="auto"/>
            <w:jc w:val="center"/>
          </w:pPr>
          <w:r>
            <w:rPr>
              <w:szCs w:val="24"/>
              <w:lang w:val="en-US"/>
            </w:rPr>
            <w:drawing>
              <wp:inline distT="0" distB="0" distL="0" distR="0" wp14:anchorId="7DFE3003" wp14:editId="1B84DC1A">
                <wp:extent cx="552450" cy="5619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4E923E5A" w14:textId="77777777">
          <w:pPr>
            <w:overflowPunct w:val="0"/>
            <w:spacing w:line="276" w:lineRule="auto"/>
            <w:jc w:val="center"/>
          </w:pPr>
        </w:p>
        <w:p w14:paraId="5B6ED51D" w14:textId="77777777">
          <w:pPr>
            <w:overflowPunct w:val="0"/>
            <w:spacing w:line="276" w:lineRule="auto"/>
            <w:jc w:val="center"/>
            <w:rPr>
              <w:b/>
              <w:bCs/>
            </w:rPr>
          </w:pPr>
          <w:r>
            <w:rPr>
              <w:b/>
              <w:bCs/>
            </w:rPr>
            <w:t>LIETUVOS MOKSLO TARYBOS PIRMININKAS</w:t>
          </w:r>
        </w:p>
        <w:p w14:paraId="45F2B23F" w14:textId="77777777">
          <w:pPr>
            <w:spacing w:line="276" w:lineRule="auto"/>
            <w:rPr>
              <w:szCs w:val="24"/>
            </w:rPr>
          </w:pPr>
        </w:p>
        <w:p w14:paraId="0AACE645" w14:textId="77777777">
          <w:pPr>
            <w:keepNext/>
            <w:overflowPunct w:val="0"/>
            <w:spacing w:line="276" w:lineRule="auto"/>
            <w:jc w:val="center"/>
            <w:rPr>
              <w:rFonts w:eastAsia="Arial Unicode MS"/>
              <w:b/>
            </w:rPr>
          </w:pPr>
          <w:r>
            <w:rPr>
              <w:rFonts w:eastAsia="Arial Unicode MS"/>
              <w:b/>
              <w:caps/>
            </w:rPr>
            <w:t xml:space="preserve">ĮSAKYMAS </w:t>
          </w:r>
        </w:p>
        <w:p w14:paraId="260A8E34" w14:textId="77777777">
          <w:pPr>
            <w:tabs>
              <w:tab w:val="left" w:pos="4080"/>
            </w:tabs>
            <w:spacing w:line="276" w:lineRule="auto"/>
            <w:jc w:val="center"/>
            <w:rPr>
              <w:b/>
              <w:caps/>
              <w:szCs w:val="24"/>
            </w:rPr>
          </w:pPr>
          <w:r>
            <w:rPr>
              <w:b/>
              <w:caps/>
              <w:szCs w:val="24"/>
            </w:rPr>
            <w:t>dėl LIETUVOS MOKSLO TARYBOS PIRMININKO 2019 M. BALANDŽIO 4 D. įSAKYMO NR. V-176 „DĖL LIETUVOS MOKSLO TARYBOS MOKSLO IR SKLAIDOS PROJEKTŲ KONKURSINIO FINANSAVIMO BENDRŲJŲ TAISYKLIŲ PATVIRTINIMO“ PAKEITIMO</w:t>
          </w:r>
        </w:p>
        <w:p w14:paraId="1CBE1D8B" w14:textId="79D299CE">
          <w:pPr>
            <w:tabs>
              <w:tab w:val="left" w:pos="1134"/>
            </w:tabs>
            <w:spacing w:line="276" w:lineRule="auto"/>
            <w:jc w:val="both"/>
            <w:rPr>
              <w:szCs w:val="24"/>
            </w:rPr>
          </w:pPr>
        </w:p>
        <w:p w14:paraId="1A4C5AE0" w14:textId="1178A34D">
          <w:pPr>
            <w:tabs>
              <w:tab w:val="left" w:pos="4080"/>
            </w:tabs>
            <w:spacing w:line="276" w:lineRule="auto"/>
            <w:jc w:val="center"/>
            <w:rPr>
              <w:szCs w:val="24"/>
            </w:rPr>
          </w:pPr>
          <w:r>
            <w:rPr>
              <w:szCs w:val="24"/>
            </w:rPr>
            <w:t>2025 m. vasario 24 d. Nr. V-87</w:t>
          </w:r>
        </w:p>
        <w:p w14:paraId="7E46FF04" w14:textId="77777777">
          <w:pPr>
            <w:tabs>
              <w:tab w:val="left" w:pos="4080"/>
            </w:tabs>
            <w:spacing w:line="276" w:lineRule="auto"/>
            <w:jc w:val="center"/>
            <w:rPr>
              <w:szCs w:val="24"/>
            </w:rPr>
          </w:pPr>
          <w:r>
            <w:rPr>
              <w:szCs w:val="24"/>
            </w:rPr>
            <w:t>Vilnius</w:t>
          </w:r>
        </w:p>
        <w:p w14:paraId="17AA1702" w14:textId="77777777">
          <w:pPr>
            <w:tabs>
              <w:tab w:val="left" w:pos="1134"/>
            </w:tabs>
            <w:jc w:val="both"/>
            <w:rPr>
              <w:szCs w:val="24"/>
            </w:rPr>
          </w:pPr>
        </w:p>
        <w:sdt>
          <w:sdtPr>
            <w:alias w:val="1 p."/>
            <w:tag w:val="part_8ff8d77e9d4c48f698b9c738b7374e0a"/>
            <w:lock w:val="sdtLocked"/>
            <w:richText/>
          </w:sdtPr>
          <w:sdtContent>
            <w:p w14:paraId="724CFE24" w14:textId="5B0C3A2C">
              <w:pPr>
                <w:tabs>
                  <w:tab w:val="left" w:pos="993"/>
                </w:tabs>
                <w:ind w:firstLine="567"/>
                <w:jc w:val="both"/>
                <w:rPr>
                  <w:szCs w:val="24"/>
                </w:rPr>
              </w:pPr>
              <w:sdt>
                <w:sdtPr>
                  <w:alias w:val="Numeris"/>
                  <w:tag w:val="nr_8ff8d77e9d4c48f698b9c738b7374e0a"/>
                  <w:lock w:val="sdtLocked"/>
                  <w:richText/>
                </w:sdtPr>
                <w:sdtContent>
                  <w:r>
                    <w:rPr>
                      <w:szCs w:val="24"/>
                    </w:rPr>
                    <w:t>1</w:t>
                  </w:r>
                </w:sdtContent>
              </w:sdt>
              <w:r>
                <w:rPr>
                  <w:szCs w:val="24"/>
                </w:rPr>
                <w:t xml:space="preserve">. P a k e i č i u </w:t>
              </w:r>
              <w:r>
                <w:rPr>
                  <w:color w:val="000000"/>
                  <w:szCs w:val="24"/>
                </w:rPr>
                <w:t xml:space="preserve">Lietuvos mokslo tarybos mokslo ir sklaidos projektų konkursinio finansavimo bendrąsias taisykles, patvirtintas </w:t>
              </w:r>
              <w:r>
                <w:rPr>
                  <w:szCs w:val="24"/>
                </w:rPr>
                <w:t xml:space="preserve">Lietuvos mokslo tarybos pirmininko </w:t>
              </w:r>
              <w:r>
                <w:rPr>
                  <w:color w:val="000000"/>
                  <w:szCs w:val="24"/>
                </w:rPr>
                <w:t>2019 m. balandžio 4 d. įsakymu Nr. V-176</w:t>
              </w:r>
              <w:r>
                <w:rPr>
                  <w:szCs w:val="24"/>
                </w:rPr>
                <w:t xml:space="preserve"> „Dėl </w:t>
              </w:r>
              <w:r>
                <w:rPr>
                  <w:color w:val="000000"/>
                  <w:szCs w:val="24"/>
                </w:rPr>
                <w:t>Lietuvos mokslo tarybos mokslo ir sklaidos projektų konkursinio finansavimo bendrųjų taisyklių patvirtinimo</w:t>
              </w:r>
              <w:r>
                <w:rPr>
                  <w:szCs w:val="24"/>
                </w:rPr>
                <w:t>“ (toliau – Taisyklės):</w:t>
              </w:r>
            </w:p>
            <w:sdt>
              <w:sdtPr>
                <w:alias w:val="1.1 pp."/>
                <w:tag w:val="part_ceb23da4216749df95866d023e56a9f4"/>
                <w:lock w:val="sdtLocked"/>
                <w:richText/>
              </w:sdtPr>
              <w:sdtContent>
                <w:p w14:paraId="3EDE5714" w14:textId="0004245F">
                  <w:pPr>
                    <w:overflowPunct w:val="0"/>
                    <w:ind w:right="-15" w:firstLine="567"/>
                    <w:jc w:val="both"/>
                  </w:pPr>
                  <w:sdt>
                    <w:sdtPr>
                      <w:alias w:val="Numeris"/>
                      <w:tag w:val="nr_ceb23da4216749df95866d023e56a9f4"/>
                      <w:lock w:val="sdtLocked"/>
                      <w:richText/>
                    </w:sdtPr>
                    <w:sdtContent>
                      <w:r>
                        <w:t>1.1</w:t>
                      </w:r>
                    </w:sdtContent>
                  </w:sdt>
                  <w:r>
                    <w:t>. Papildau Taisykles 7.5 papunkčiu ir jį išdėstau taip:</w:t>
                  </w:r>
                </w:p>
                <w:sdt>
                  <w:sdtPr>
                    <w:alias w:val="citata"/>
                    <w:tag w:val="part_10ecd116ac38478bb275e9ad5b65af66"/>
                    <w:lock w:val="sdtLocked"/>
                    <w:richText/>
                  </w:sdtPr>
                  <w:sdtContent>
                    <w:sdt>
                      <w:sdtPr>
                        <w:alias w:val="7.5 pp."/>
                        <w:tag w:val="part_ecc20ac44c004e7b8c8fa9449ac1dfe0"/>
                        <w:lock w:val="sdtLocked"/>
                        <w:richText/>
                      </w:sdtPr>
                      <w:sdtContent>
                        <w:p w14:paraId="73269B0E" w14:textId="6FF35AF0">
                          <w:pPr>
                            <w:ind w:firstLine="562"/>
                            <w:jc w:val="both"/>
                            <w:rPr>
                              <w:szCs w:val="24"/>
                              <w:lang w:eastAsia="lt-LT"/>
                            </w:rPr>
                          </w:pPr>
                          <w:r>
                            <w:rPr>
                              <w:lang w:eastAsia="lt-LT"/>
                            </w:rPr>
                            <w:t>„</w:t>
                          </w:r>
                          <w:sdt>
                            <w:sdtPr>
                              <w:alias w:val="Numeris"/>
                              <w:tag w:val="nr_ecc20ac44c004e7b8c8fa9449ac1dfe0"/>
                              <w:lock w:val="sdtLocked"/>
                              <w:richText/>
                            </w:sdtPr>
                            <w:sdtContent>
                              <w:r>
                                <w:rPr>
                                  <w:szCs w:val="24"/>
                                  <w:lang w:eastAsia="lt-LT"/>
                                </w:rPr>
                                <w:t>7.5</w:t>
                              </w:r>
                            </w:sdtContent>
                          </w:sdt>
                          <w:r>
                            <w:rPr>
                              <w:szCs w:val="24"/>
                              <w:lang w:eastAsia="lt-LT"/>
                            </w:rPr>
                            <w:t>. technologinės plėtros projektai;“</w:t>
                          </w:r>
                        </w:p>
                      </w:sdtContent>
                    </w:sdt>
                  </w:sdtContent>
                </w:sdt>
              </w:sdtContent>
            </w:sdt>
            <w:sdt>
              <w:sdtPr>
                <w:alias w:val="1.2 pp."/>
                <w:tag w:val="part_877a667dbecc476a83b99b47cc4ddf5d"/>
                <w:lock w:val="sdtLocked"/>
                <w:richText/>
              </w:sdtPr>
              <w:sdtContent>
                <w:p w14:paraId="659A719D" w14:textId="5E13B792">
                  <w:pPr>
                    <w:ind w:firstLine="562"/>
                    <w:jc w:val="both"/>
                    <w:rPr>
                      <w:szCs w:val="24"/>
                      <w:lang w:eastAsia="lt-LT"/>
                    </w:rPr>
                  </w:pPr>
                  <w:sdt>
                    <w:sdtPr>
                      <w:alias w:val="Numeris"/>
                      <w:tag w:val="nr_877a667dbecc476a83b99b47cc4ddf5d"/>
                      <w:lock w:val="sdtLocked"/>
                      <w:richText/>
                    </w:sdtPr>
                    <w:sdtContent>
                      <w:r>
                        <w:rPr>
                          <w:szCs w:val="24"/>
                          <w:lang w:eastAsia="lt-LT"/>
                        </w:rPr>
                        <w:t>1.2</w:t>
                      </w:r>
                    </w:sdtContent>
                  </w:sdt>
                  <w:r>
                    <w:rPr>
                      <w:szCs w:val="24"/>
                      <w:lang w:eastAsia="lt-LT"/>
                    </w:rPr>
                    <w:t>. Papildau Taisykles 7.6 papunkčiu ir jį išdėstau taip:</w:t>
                  </w:r>
                </w:p>
                <w:sdt>
                  <w:sdtPr>
                    <w:alias w:val="citata"/>
                    <w:tag w:val="part_b1745be9544c4a738f96be8790e4bffb"/>
                    <w:lock w:val="sdtLocked"/>
                    <w:richText/>
                  </w:sdtPr>
                  <w:sdtContent>
                    <w:sdt>
                      <w:sdtPr>
                        <w:alias w:val="7.6 pp."/>
                        <w:tag w:val="part_b0d2c65f873c42a4903b8d3fada7db5d"/>
                        <w:lock w:val="sdtLocked"/>
                        <w:richText/>
                      </w:sdtPr>
                      <w:sdtContent>
                        <w:p w14:paraId="6C7BA126" w14:textId="451E5D98">
                          <w:pPr>
                            <w:tabs>
                              <w:tab w:val="right" w:pos="9639"/>
                            </w:tabs>
                            <w:ind w:firstLine="562"/>
                            <w:jc w:val="both"/>
                            <w:rPr>
                              <w:szCs w:val="24"/>
                              <w:lang w:eastAsia="lt-LT"/>
                            </w:rPr>
                          </w:pPr>
                          <w:r>
                            <w:rPr>
                              <w:szCs w:val="24"/>
                              <w:lang w:eastAsia="lt-LT"/>
                            </w:rPr>
                            <w:t>„</w:t>
                          </w:r>
                          <w:sdt>
                            <w:sdtPr>
                              <w:alias w:val="Numeris"/>
                              <w:tag w:val="nr_b0d2c65f873c42a4903b8d3fada7db5d"/>
                              <w:lock w:val="sdtLocked"/>
                              <w:richText/>
                            </w:sdtPr>
                            <w:sdtContent>
                              <w:r>
                                <w:rPr>
                                  <w:szCs w:val="24"/>
                                  <w:lang w:eastAsia="lt-LT"/>
                                </w:rPr>
                                <w:t>7.6</w:t>
                              </w:r>
                            </w:sdtContent>
                          </w:sdt>
                          <w:r>
                            <w:rPr>
                              <w:szCs w:val="24"/>
                              <w:lang w:eastAsia="lt-LT"/>
                            </w:rPr>
                            <w:t>. Lietuvos narystei Europos branduolinių mokslinių tyrimų organizacijoje (CERN) perspektyvūs mokslinių tyrimų ir eksperimentinės plėtros konkursinio finansavimo projektai;“</w:t>
                          </w:r>
                        </w:p>
                      </w:sdtContent>
                    </w:sdt>
                  </w:sdtContent>
                </w:sdt>
              </w:sdtContent>
            </w:sdt>
            <w:sdt>
              <w:sdtPr>
                <w:alias w:val="1.3 pp."/>
                <w:tag w:val="part_b235a87b4ff64475b5bcc1220e1ba3e9"/>
                <w:lock w:val="sdtLocked"/>
                <w:richText/>
              </w:sdtPr>
              <w:sdtContent>
                <w:p w14:paraId="417AF1AC" w14:textId="136825A1">
                  <w:pPr>
                    <w:tabs>
                      <w:tab w:val="right" w:pos="9639"/>
                    </w:tabs>
                    <w:ind w:firstLine="562"/>
                    <w:jc w:val="both"/>
                    <w:rPr>
                      <w:szCs w:val="24"/>
                      <w:lang w:eastAsia="lt-LT"/>
                    </w:rPr>
                  </w:pPr>
                  <w:sdt>
                    <w:sdtPr>
                      <w:alias w:val="Numeris"/>
                      <w:tag w:val="nr_b235a87b4ff64475b5bcc1220e1ba3e9"/>
                      <w:lock w:val="sdtLocked"/>
                      <w:richText/>
                    </w:sdtPr>
                    <w:sdtContent>
                      <w:r>
                        <w:rPr>
                          <w:szCs w:val="24"/>
                          <w:lang w:eastAsia="lt-LT"/>
                        </w:rPr>
                        <w:t>1.3</w:t>
                      </w:r>
                    </w:sdtContent>
                  </w:sdt>
                  <w:r>
                    <w:rPr>
                      <w:szCs w:val="24"/>
                      <w:lang w:eastAsia="lt-LT"/>
                    </w:rPr>
                    <w:t>. Papildau Taisykles 7.7 papunkčiu ir jį išdėstau taip:</w:t>
                  </w:r>
                </w:p>
                <w:sdt>
                  <w:sdtPr>
                    <w:alias w:val="citata"/>
                    <w:tag w:val="part_eaa96c432c9340d4bb0c6b47678ef517"/>
                    <w:lock w:val="sdtLocked"/>
                    <w:richText/>
                  </w:sdtPr>
                  <w:sdtContent>
                    <w:sdt>
                      <w:sdtPr>
                        <w:alias w:val="7.7 pp."/>
                        <w:tag w:val="part_d1ea7fe33dad4788bd177067ce75e259"/>
                        <w:lock w:val="sdtLocked"/>
                        <w:richText/>
                      </w:sdtPr>
                      <w:sdtContent>
                        <w:p w14:paraId="5AF88972" w14:textId="637AE80C">
                          <w:pPr>
                            <w:tabs>
                              <w:tab w:val="right" w:pos="9639"/>
                            </w:tabs>
                            <w:ind w:firstLine="562"/>
                            <w:jc w:val="both"/>
                            <w:rPr>
                              <w:szCs w:val="24"/>
                              <w:lang w:eastAsia="lt-LT"/>
                            </w:rPr>
                          </w:pPr>
                          <w:r>
                            <w:rPr>
                              <w:szCs w:val="24"/>
                              <w:lang w:eastAsia="lt-LT"/>
                            </w:rPr>
                            <w:t>„</w:t>
                          </w:r>
                          <w:sdt>
                            <w:sdtPr>
                              <w:alias w:val="Numeris"/>
                              <w:tag w:val="nr_d1ea7fe33dad4788bd177067ce75e259"/>
                              <w:lock w:val="sdtLocked"/>
                              <w:richText/>
                            </w:sdtPr>
                            <w:sdtContent>
                              <w:r>
                                <w:rPr>
                                  <w:szCs w:val="24"/>
                                  <w:lang w:eastAsia="lt-LT"/>
                                </w:rPr>
                                <w:t>7.7</w:t>
                              </w:r>
                            </w:sdtContent>
                          </w:sdt>
                          <w:r>
                            <w:rPr>
                              <w:szCs w:val="24"/>
                              <w:lang w:eastAsia="lt-LT"/>
                            </w:rPr>
                            <w:t>. podoktorantūros stažuočių projektai (tik stažuotojui, kuris pagal Taisyklių nuostatas laikomas šios priemonės projekto vadovu).“</w:t>
                          </w:r>
                        </w:p>
                      </w:sdtContent>
                    </w:sdt>
                  </w:sdtContent>
                </w:sdt>
              </w:sdtContent>
            </w:sdt>
            <w:sdt>
              <w:sdtPr>
                <w:alias w:val="1.4 pp."/>
                <w:tag w:val="part_c5ce54141b204739bfadeb73d475c9a5"/>
                <w:lock w:val="sdtLocked"/>
                <w:richText/>
              </w:sdtPr>
              <w:sdtContent>
                <w:p w14:paraId="21A95C02" w14:textId="2A0EA880">
                  <w:pPr>
                    <w:tabs>
                      <w:tab w:val="right" w:pos="9639"/>
                    </w:tabs>
                    <w:ind w:firstLine="562"/>
                    <w:jc w:val="both"/>
                    <w:rPr>
                      <w:szCs w:val="24"/>
                      <w:lang w:eastAsia="lt-LT"/>
                    </w:rPr>
                  </w:pPr>
                  <w:sdt>
                    <w:sdtPr>
                      <w:alias w:val="Numeris"/>
                      <w:tag w:val="nr_c5ce54141b204739bfadeb73d475c9a5"/>
                      <w:lock w:val="sdtLocked"/>
                      <w:richText/>
                    </w:sdtPr>
                    <w:sdtContent>
                      <w:r>
                        <w:rPr>
                          <w:szCs w:val="24"/>
                          <w:lang w:eastAsia="lt-LT"/>
                        </w:rPr>
                        <w:t>1.4</w:t>
                      </w:r>
                    </w:sdtContent>
                  </w:sdt>
                  <w:r>
                    <w:rPr>
                      <w:szCs w:val="24"/>
                      <w:lang w:eastAsia="lt-LT"/>
                    </w:rPr>
                    <w:t>. Pakeičiu Taisyklių 15 punktą ir jį išdėstau taip:</w:t>
                  </w:r>
                </w:p>
                <w:sdt>
                  <w:sdtPr>
                    <w:alias w:val="citata"/>
                    <w:tag w:val="part_52a80ca7838b4b6c9c6734f4c97127fe"/>
                    <w:lock w:val="sdtLocked"/>
                    <w:richText/>
                  </w:sdtPr>
                  <w:sdtContent>
                    <w:sdt>
                      <w:sdtPr>
                        <w:alias w:val="15 p."/>
                        <w:tag w:val="part_e774b8c44ba449c982240493e431951f"/>
                        <w:lock w:val="sdtLocked"/>
                        <w:richText/>
                      </w:sdtPr>
                      <w:sdtContent>
                        <w:p w14:paraId="6C8DFD94" w14:textId="19ACD185">
                          <w:pPr>
                            <w:tabs>
                              <w:tab w:val="right" w:pos="9639"/>
                            </w:tabs>
                            <w:ind w:firstLine="562"/>
                            <w:jc w:val="both"/>
                            <w:rPr>
                              <w:szCs w:val="24"/>
                              <w:lang w:eastAsia="lt-LT"/>
                            </w:rPr>
                          </w:pPr>
                          <w:r>
                            <w:rPr>
                              <w:szCs w:val="24"/>
                              <w:lang w:eastAsia="lt-LT"/>
                            </w:rPr>
                            <w:t>„</w:t>
                          </w:r>
                          <w:sdt>
                            <w:sdtPr>
                              <w:alias w:val="Numeris"/>
                              <w:tag w:val="nr_e774b8c44ba449c982240493e431951f"/>
                              <w:lock w:val="sdtLocked"/>
                              <w:richText/>
                            </w:sdtPr>
                            <w:sdtContent>
                              <w:r>
                                <w:rPr>
                                  <w:szCs w:val="24"/>
                                  <w:lang w:val="en-US"/>
                                </w:rPr>
                                <w:t>15</w:t>
                              </w:r>
                            </w:sdtContent>
                          </w:sdt>
                          <w:r>
                            <w:rPr>
                              <w:szCs w:val="24"/>
                              <w:lang w:val="en-US"/>
                            </w:rPr>
                            <w:t>. </w:t>
                          </w:r>
                          <w:r>
                            <w:rPr>
                              <w:szCs w:val="24"/>
                              <w:lang w:eastAsia="lt-LT"/>
                            </w:rPr>
                            <w:t>Paraiškos teikiamos pagal kvietimus, kuriuos skelbia Taryba arba kita tarptautinės programos kvietimą administruojanti institucija. Kvietimų planas, patvirtinus Tarybos einamųjų metų biudžeto paskirstymą mokslinių tyrimų ir eksperimentinės plėtros konkursiniam finansavimui pagal priemones, skelbiamas viešai.“</w:t>
                          </w:r>
                        </w:p>
                      </w:sdtContent>
                    </w:sdt>
                  </w:sdtContent>
                </w:sdt>
              </w:sdtContent>
            </w:sdt>
          </w:sdtContent>
        </w:sdt>
        <w:sdt>
          <w:sdtPr>
            <w:alias w:val="2 p."/>
            <w:tag w:val="part_e78473076c4b4132af09e10a05ee9d0c"/>
            <w:lock w:val="sdtLocked"/>
            <w:richText/>
          </w:sdtPr>
          <w:sdtContent>
            <w:p w14:paraId="55E54F5E" w14:textId="14C0CCDF">
              <w:pPr>
                <w:tabs>
                  <w:tab w:val="right" w:pos="9639"/>
                </w:tabs>
                <w:ind w:firstLine="562"/>
                <w:jc w:val="both"/>
                <w:rPr>
                  <w:szCs w:val="24"/>
                  <w:lang w:eastAsia="lt-LT"/>
                </w:rPr>
              </w:pPr>
              <w:sdt>
                <w:sdtPr>
                  <w:alias w:val="Numeris"/>
                  <w:tag w:val="nr_e78473076c4b4132af09e10a05ee9d0c"/>
                  <w:lock w:val="sdtLocked"/>
                  <w:richText/>
                </w:sdtPr>
                <w:sdtContent>
                  <w:r>
                    <w:rPr>
                      <w:szCs w:val="24"/>
                      <w:lang w:eastAsia="lt-LT"/>
                    </w:rPr>
                    <w:t>2</w:t>
                  </w:r>
                </w:sdtContent>
              </w:sdt>
              <w:r>
                <w:rPr>
                  <w:szCs w:val="24"/>
                  <w:lang w:eastAsia="lt-LT"/>
                </w:rPr>
                <w:t>. N u s t a t a u, kad:</w:t>
              </w:r>
            </w:p>
            <w:sdt>
              <w:sdtPr>
                <w:alias w:val="2.1 pp."/>
                <w:tag w:val="part_67b88521fdbe48a1a4990819a0de8c84"/>
                <w:lock w:val="sdtLocked"/>
                <w:richText/>
              </w:sdtPr>
              <w:sdtContent>
                <w:p w14:paraId="585BD975" w14:textId="4CDD4F1A">
                  <w:pPr>
                    <w:tabs>
                      <w:tab w:val="right" w:pos="9639"/>
                    </w:tabs>
                    <w:ind w:firstLine="562"/>
                    <w:jc w:val="both"/>
                    <w:rPr>
                      <w:szCs w:val="24"/>
                    </w:rPr>
                  </w:pPr>
                  <w:sdt>
                    <w:sdtPr>
                      <w:alias w:val="Numeris"/>
                      <w:tag w:val="nr_67b88521fdbe48a1a4990819a0de8c84"/>
                      <w:lock w:val="sdtLocked"/>
                      <w:richText/>
                    </w:sdtPr>
                    <w:sdtContent>
                      <w:r>
                        <w:rPr>
                          <w:szCs w:val="24"/>
                          <w:lang w:eastAsia="lt-LT"/>
                        </w:rPr>
                        <w:t>2.1</w:t>
                      </w:r>
                    </w:sdtContent>
                  </w:sdt>
                  <w:r>
                    <w:rPr>
                      <w:szCs w:val="24"/>
                      <w:lang w:eastAsia="lt-LT"/>
                    </w:rPr>
                    <w:t>. </w:t>
                  </w:r>
                  <w:r>
                    <w:t>Taisyklių 7.5–7.7 papunkčiai galioja kvietimams teikti paraiškas, skelbiamiems po šio įsakymo įsigaliojimo dienos;</w:t>
                  </w:r>
                </w:p>
              </w:sdtContent>
            </w:sdt>
            <w:sdt>
              <w:sdtPr>
                <w:alias w:val="2.2 pp."/>
                <w:tag w:val="part_ed699adb5a9d4cf4940cb22a590b70ad"/>
                <w:lock w:val="sdtLocked"/>
                <w:richText/>
              </w:sdtPr>
              <w:sdtContent>
                <w:p w14:paraId="6DC878BC" w14:textId="77777777">
                  <w:pPr>
                    <w:tabs>
                      <w:tab w:val="right" w:pos="9808"/>
                    </w:tabs>
                    <w:suppressAutoHyphens/>
                    <w:ind w:firstLine="567"/>
                    <w:jc w:val="both"/>
                    <w:textAlignment w:val="center"/>
                    <w:rPr>
                      <w:szCs w:val="24"/>
                    </w:rPr>
                  </w:pPr>
                  <w:sdt>
                    <w:sdtPr>
                      <w:alias w:val="Numeris"/>
                      <w:tag w:val="nr_ed699adb5a9d4cf4940cb22a590b70ad"/>
                      <w:lock w:val="sdtLocked"/>
                      <w:richText/>
                    </w:sdtPr>
                    <w:sdtContent>
                      <w:r>
                        <w:rPr>
                          <w:szCs w:val="24"/>
                        </w:rPr>
                        <w:t>2.2</w:t>
                      </w:r>
                    </w:sdtContent>
                  </w:sdt>
                  <w:r>
                    <w:rPr>
                      <w:szCs w:val="24"/>
                    </w:rPr>
                    <w:t>. pagal iki šio įsakymo įsigaliojimo pasirašytas projektų finansavimo sutartis įgyvendinamų Taisyklių 7.5–7.7 papunkčiuose nurodytų priemonių projektų pagrindiniams vykdytojams (įskaitant projekto vadovą) įsakymu papildytų Taisyklių 7 punkto nuostatos iki šiose sutartyse numatytos projektų įgyvendinimo pabaigos netaikomos, išskyrus pagrindinių vykdytojų (įskaitant projekto vadovą) keitimų atvejus.</w:t>
                  </w:r>
                </w:p>
                <w:p w14:paraId="2B28F667" w14:textId="29063F86">
                  <w:pPr>
                    <w:tabs>
                      <w:tab w:val="right" w:pos="9808"/>
                    </w:tabs>
                    <w:suppressAutoHyphens/>
                    <w:jc w:val="both"/>
                    <w:textAlignment w:val="center"/>
                    <w:rPr>
                      <w:szCs w:val="24"/>
                    </w:rPr>
                  </w:pPr>
                </w:p>
                <w:p w14:paraId="0B31F85F" w14:textId="0971F125">
                  <w:pPr>
                    <w:tabs>
                      <w:tab w:val="center" w:pos="4153"/>
                      <w:tab w:val="right" w:pos="8306"/>
                    </w:tabs>
                    <w:overflowPunct w:val="0"/>
                    <w:ind w:right="-15"/>
                    <w:jc w:val="both"/>
                  </w:pPr>
                </w:p>
                <w:p w14:paraId="733CC95E" w14:textId="77777777">
                  <w:pPr>
                    <w:tabs>
                      <w:tab w:val="center" w:pos="4153"/>
                      <w:tab w:val="right" w:pos="8306"/>
                    </w:tabs>
                    <w:overflowPunct w:val="0"/>
                    <w:ind w:right="-15"/>
                    <w:jc w:val="both"/>
                  </w:pPr>
                </w:p>
              </w:sdtContent>
            </w:sdt>
          </w:sdtContent>
        </w:sdt>
        <w:sdt>
          <w:sdtPr>
            <w:alias w:val="signatura"/>
            <w:tag w:val="part_0ca035130aa24cfeaab61c59fd930319"/>
            <w:lock w:val="sdtLocked"/>
            <w:richText/>
          </w:sdtPr>
          <w:sdtContent>
            <w:p w14:paraId="36C3BB0C" w14:textId="0360678F">
              <w:pPr>
                <w:tabs>
                  <w:tab w:val="left" w:pos="993"/>
                  <w:tab w:val="center" w:pos="8190"/>
                  <w:tab w:val="right" w:pos="9639"/>
                </w:tabs>
                <w:overflowPunct w:val="0"/>
                <w:ind w:right="-15"/>
                <w:jc w:val="both"/>
              </w:pPr>
              <w:r>
                <w:t>Pirmininko pavaduotoja,</w:t>
                <w:tab/>
                <w:t>Vaiva Priudokienė</w:t>
              </w:r>
            </w:p>
            <w:p w14:paraId="33E87A7A" w14:textId="52FC9268">
              <w:pPr>
                <w:tabs>
                  <w:tab w:val="left" w:pos="993"/>
                  <w:tab w:val="center" w:pos="8190"/>
                  <w:tab w:val="right" w:pos="9639"/>
                </w:tabs>
                <w:overflowPunct w:val="0"/>
                <w:ind w:right="-15"/>
                <w:jc w:val="both"/>
              </w:pPr>
              <w:r>
                <w:t>pavaduojanti pirmininką</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567" w:gutter="0"/>
      <w:paperSrc w:first="859" w:other="859"/>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9AC065" w14:textId="77777777">
      <w:pPr>
        <w:spacing w:line="276" w:lineRule="auto"/>
        <w:rPr>
          <w:szCs w:val="24"/>
          <w:lang w:val="en-US"/>
        </w:rPr>
      </w:pPr>
      <w:r>
        <w:rPr>
          <w:szCs w:val="24"/>
          <w:lang w:val="en-US"/>
        </w:rPr>
        <w:separator/>
      </w:r>
    </w:p>
  </w:endnote>
  <w:endnote w:type="continuationSeparator" w:id="0">
    <w:p w14:paraId="0819B1E4" w14:textId="77777777">
      <w:pPr>
        <w:spacing w:line="276" w:lineRule="auto"/>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1CEAC" w14:textId="77777777">
    <w:pPr>
      <w:tabs>
        <w:tab w:val="center" w:pos="4153"/>
        <w:tab w:val="right" w:pos="8306"/>
      </w:tabs>
      <w:overflowPunct w:val="0"/>
      <w:spacing w:line="276" w:lineRule="auto"/>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AB2703" w14:textId="77777777">
    <w:pPr>
      <w:tabs>
        <w:tab w:val="center" w:pos="4153"/>
        <w:tab w:val="right" w:pos="8306"/>
      </w:tabs>
      <w:overflowPunct w:val="0"/>
      <w:spacing w:line="276" w:lineRule="auto"/>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94332" w14:textId="77777777">
    <w:pPr>
      <w:tabs>
        <w:tab w:val="center" w:pos="4153"/>
        <w:tab w:val="right" w:pos="8306"/>
      </w:tabs>
      <w:overflowPunct w:val="0"/>
      <w:spacing w:line="276" w:lineRule="auto"/>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9C7115" w14:textId="77777777">
      <w:pPr>
        <w:spacing w:line="276" w:lineRule="auto"/>
        <w:rPr>
          <w:szCs w:val="24"/>
          <w:lang w:val="en-US"/>
        </w:rPr>
      </w:pPr>
      <w:r>
        <w:rPr>
          <w:szCs w:val="24"/>
          <w:lang w:val="en-US"/>
        </w:rPr>
        <w:separator/>
      </w:r>
    </w:p>
  </w:footnote>
  <w:footnote w:type="continuationSeparator" w:id="0">
    <w:p w14:paraId="5B9FF98F" w14:textId="77777777">
      <w:pPr>
        <w:spacing w:line="276" w:lineRule="auto"/>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E66110" w14:textId="77777777">
    <w:pPr>
      <w:tabs>
        <w:tab w:val="center" w:pos="4153"/>
        <w:tab w:val="right" w:pos="8306"/>
      </w:tabs>
      <w:overflowPunct w:val="0"/>
      <w:spacing w:line="276" w:lineRule="auto"/>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12F1B" w14:textId="54A1B3B9">
    <w:pPr>
      <w:tabs>
        <w:tab w:val="center" w:pos="4153"/>
        <w:tab w:val="right" w:pos="8306"/>
      </w:tabs>
      <w:overflowPunct w:val="0"/>
      <w:spacing w:line="276" w:lineRule="auto"/>
      <w:jc w:val="center"/>
    </w:pPr>
    <w:r>
      <w:fldChar w:fldCharType="begin"/>
    </w:r>
    <w:r>
      <w:instrText xml:space="preserve"> PAGE   \* MERGEFORMAT </w:instrText>
    </w:r>
    <w:r>
      <w:fldChar w:fldCharType="separate"/>
    </w:r>
    <w:r>
      <w:t>2</w:t>
    </w:r>
    <w:r>
      <w:fldChar w:fldCharType="end"/>
    </w:r>
  </w:p>
  <w:p w14:paraId="2FF8C9F8" w14:textId="77777777">
    <w:pPr>
      <w:tabs>
        <w:tab w:val="center" w:pos="4153"/>
        <w:tab w:val="right" w:pos="8306"/>
      </w:tabs>
      <w:overflowPunct w:val="0"/>
      <w:spacing w:line="276" w:lineRule="auto"/>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D075C8"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F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FBB914"/>
  <w15:chartTrackingRefBased/>
  <w15:docId w15:val="{5A9AEFC4-B25F-46F5-9C03-D1B8BFACC2A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683964">
      <w:bodyDiv w:val="1"/>
      <w:marLeft w:val="0"/>
      <w:marRight w:val="0"/>
      <w:marTop w:val="0"/>
      <w:marBottom w:val="0"/>
      <w:divBdr>
        <w:top w:val="none" w:sz="0" w:space="0" w:color="auto"/>
        <w:left w:val="none" w:sz="0" w:space="0" w:color="auto"/>
        <w:bottom w:val="none" w:sz="0" w:space="0" w:color="auto"/>
        <w:right w:val="none" w:sz="0" w:space="0" w:color="auto"/>
      </w:divBdr>
    </w:div>
    <w:div w:id="166789739">
      <w:bodyDiv w:val="1"/>
      <w:marLeft w:val="0"/>
      <w:marRight w:val="0"/>
      <w:marTop w:val="0"/>
      <w:marBottom w:val="0"/>
      <w:divBdr>
        <w:top w:val="none" w:sz="0" w:space="0" w:color="auto"/>
        <w:left w:val="none" w:sz="0" w:space="0" w:color="auto"/>
        <w:bottom w:val="none" w:sz="0" w:space="0" w:color="auto"/>
        <w:right w:val="none" w:sz="0" w:space="0" w:color="auto"/>
      </w:divBdr>
    </w:div>
    <w:div w:id="214895708">
      <w:bodyDiv w:val="1"/>
      <w:marLeft w:val="0"/>
      <w:marRight w:val="0"/>
      <w:marTop w:val="0"/>
      <w:marBottom w:val="0"/>
      <w:divBdr>
        <w:top w:val="none" w:sz="0" w:space="0" w:color="auto"/>
        <w:left w:val="none" w:sz="0" w:space="0" w:color="auto"/>
        <w:bottom w:val="none" w:sz="0" w:space="0" w:color="auto"/>
        <w:right w:val="none" w:sz="0" w:space="0" w:color="auto"/>
      </w:divBdr>
      <w:divsChild>
        <w:div w:id="294143168">
          <w:marLeft w:val="0"/>
          <w:marRight w:val="0"/>
          <w:marTop w:val="0"/>
          <w:marBottom w:val="0"/>
          <w:divBdr>
            <w:top w:val="none" w:sz="0" w:space="0" w:color="auto"/>
            <w:left w:val="none" w:sz="0" w:space="0" w:color="auto"/>
            <w:bottom w:val="none" w:sz="0" w:space="0" w:color="auto"/>
            <w:right w:val="none" w:sz="0" w:space="0" w:color="auto"/>
          </w:divBdr>
          <w:divsChild>
            <w:div w:id="294679511">
              <w:marLeft w:val="0"/>
              <w:marRight w:val="0"/>
              <w:marTop w:val="0"/>
              <w:marBottom w:val="0"/>
              <w:divBdr>
                <w:top w:val="none" w:sz="0" w:space="0" w:color="auto"/>
                <w:left w:val="none" w:sz="0" w:space="0" w:color="auto"/>
                <w:bottom w:val="none" w:sz="0" w:space="0" w:color="auto"/>
                <w:right w:val="none" w:sz="0" w:space="0" w:color="auto"/>
              </w:divBdr>
              <w:divsChild>
                <w:div w:id="323315142">
                  <w:marLeft w:val="0"/>
                  <w:marRight w:val="0"/>
                  <w:marTop w:val="0"/>
                  <w:marBottom w:val="0"/>
                  <w:divBdr>
                    <w:top w:val="none" w:sz="0" w:space="0" w:color="auto"/>
                    <w:left w:val="none" w:sz="0" w:space="0" w:color="auto"/>
                    <w:bottom w:val="none" w:sz="0" w:space="0" w:color="auto"/>
                    <w:right w:val="none" w:sz="0" w:space="0" w:color="auto"/>
                  </w:divBdr>
                </w:div>
                <w:div w:id="1624773746">
                  <w:marLeft w:val="0"/>
                  <w:marRight w:val="0"/>
                  <w:marTop w:val="0"/>
                  <w:marBottom w:val="0"/>
                  <w:divBdr>
                    <w:top w:val="none" w:sz="0" w:space="0" w:color="auto"/>
                    <w:left w:val="none" w:sz="0" w:space="0" w:color="auto"/>
                    <w:bottom w:val="none" w:sz="0" w:space="0" w:color="auto"/>
                    <w:right w:val="none" w:sz="0" w:space="0" w:color="auto"/>
                  </w:divBdr>
                </w:div>
                <w:div w:id="1858620425">
                  <w:marLeft w:val="0"/>
                  <w:marRight w:val="0"/>
                  <w:marTop w:val="0"/>
                  <w:marBottom w:val="0"/>
                  <w:divBdr>
                    <w:top w:val="none" w:sz="0" w:space="0" w:color="auto"/>
                    <w:left w:val="none" w:sz="0" w:space="0" w:color="auto"/>
                    <w:bottom w:val="none" w:sz="0" w:space="0" w:color="auto"/>
                    <w:right w:val="none" w:sz="0" w:space="0" w:color="auto"/>
                  </w:divBdr>
                </w:div>
              </w:divsChild>
            </w:div>
            <w:div w:id="769157711">
              <w:marLeft w:val="0"/>
              <w:marRight w:val="0"/>
              <w:marTop w:val="0"/>
              <w:marBottom w:val="0"/>
              <w:divBdr>
                <w:top w:val="none" w:sz="0" w:space="0" w:color="auto"/>
                <w:left w:val="none" w:sz="0" w:space="0" w:color="auto"/>
                <w:bottom w:val="none" w:sz="0" w:space="0" w:color="auto"/>
                <w:right w:val="none" w:sz="0" w:space="0" w:color="auto"/>
              </w:divBdr>
            </w:div>
            <w:div w:id="1712802463">
              <w:marLeft w:val="0"/>
              <w:marRight w:val="0"/>
              <w:marTop w:val="0"/>
              <w:marBottom w:val="0"/>
              <w:divBdr>
                <w:top w:val="none" w:sz="0" w:space="0" w:color="auto"/>
                <w:left w:val="none" w:sz="0" w:space="0" w:color="auto"/>
                <w:bottom w:val="none" w:sz="0" w:space="0" w:color="auto"/>
                <w:right w:val="none" w:sz="0" w:space="0" w:color="auto"/>
              </w:divBdr>
            </w:div>
          </w:divsChild>
        </w:div>
        <w:div w:id="725179302">
          <w:marLeft w:val="0"/>
          <w:marRight w:val="0"/>
          <w:marTop w:val="0"/>
          <w:marBottom w:val="0"/>
          <w:divBdr>
            <w:top w:val="none" w:sz="0" w:space="0" w:color="auto"/>
            <w:left w:val="none" w:sz="0" w:space="0" w:color="auto"/>
            <w:bottom w:val="none" w:sz="0" w:space="0" w:color="auto"/>
            <w:right w:val="none" w:sz="0" w:space="0" w:color="auto"/>
          </w:divBdr>
          <w:divsChild>
            <w:div w:id="168719487">
              <w:marLeft w:val="0"/>
              <w:marRight w:val="0"/>
              <w:marTop w:val="0"/>
              <w:marBottom w:val="0"/>
              <w:divBdr>
                <w:top w:val="none" w:sz="0" w:space="0" w:color="auto"/>
                <w:left w:val="none" w:sz="0" w:space="0" w:color="auto"/>
                <w:bottom w:val="none" w:sz="0" w:space="0" w:color="auto"/>
                <w:right w:val="none" w:sz="0" w:space="0" w:color="auto"/>
              </w:divBdr>
            </w:div>
            <w:div w:id="201989169">
              <w:marLeft w:val="0"/>
              <w:marRight w:val="0"/>
              <w:marTop w:val="0"/>
              <w:marBottom w:val="0"/>
              <w:divBdr>
                <w:top w:val="none" w:sz="0" w:space="0" w:color="auto"/>
                <w:left w:val="none" w:sz="0" w:space="0" w:color="auto"/>
                <w:bottom w:val="none" w:sz="0" w:space="0" w:color="auto"/>
                <w:right w:val="none" w:sz="0" w:space="0" w:color="auto"/>
              </w:divBdr>
            </w:div>
            <w:div w:id="1400834166">
              <w:marLeft w:val="0"/>
              <w:marRight w:val="0"/>
              <w:marTop w:val="0"/>
              <w:marBottom w:val="0"/>
              <w:divBdr>
                <w:top w:val="none" w:sz="0" w:space="0" w:color="auto"/>
                <w:left w:val="none" w:sz="0" w:space="0" w:color="auto"/>
                <w:bottom w:val="none" w:sz="0" w:space="0" w:color="auto"/>
                <w:right w:val="none" w:sz="0" w:space="0" w:color="auto"/>
              </w:divBdr>
            </w:div>
          </w:divsChild>
        </w:div>
        <w:div w:id="1532648871">
          <w:marLeft w:val="0"/>
          <w:marRight w:val="0"/>
          <w:marTop w:val="0"/>
          <w:marBottom w:val="0"/>
          <w:divBdr>
            <w:top w:val="none" w:sz="0" w:space="0" w:color="auto"/>
            <w:left w:val="none" w:sz="0" w:space="0" w:color="auto"/>
            <w:bottom w:val="none" w:sz="0" w:space="0" w:color="auto"/>
            <w:right w:val="none" w:sz="0" w:space="0" w:color="auto"/>
          </w:divBdr>
        </w:div>
      </w:divsChild>
    </w:div>
    <w:div w:id="598220715">
      <w:bodyDiv w:val="1"/>
      <w:marLeft w:val="0"/>
      <w:marRight w:val="0"/>
      <w:marTop w:val="0"/>
      <w:marBottom w:val="0"/>
      <w:divBdr>
        <w:top w:val="none" w:sz="0" w:space="0" w:color="auto"/>
        <w:left w:val="none" w:sz="0" w:space="0" w:color="auto"/>
        <w:bottom w:val="none" w:sz="0" w:space="0" w:color="auto"/>
        <w:right w:val="none" w:sz="0" w:space="0" w:color="auto"/>
      </w:divBdr>
    </w:div>
    <w:div w:id="613287065">
      <w:bodyDiv w:val="1"/>
      <w:marLeft w:val="0"/>
      <w:marRight w:val="0"/>
      <w:marTop w:val="0"/>
      <w:marBottom w:val="0"/>
      <w:divBdr>
        <w:top w:val="none" w:sz="0" w:space="0" w:color="auto"/>
        <w:left w:val="none" w:sz="0" w:space="0" w:color="auto"/>
        <w:bottom w:val="none" w:sz="0" w:space="0" w:color="auto"/>
        <w:right w:val="none" w:sz="0" w:space="0" w:color="auto"/>
      </w:divBdr>
    </w:div>
    <w:div w:id="884760182">
      <w:bodyDiv w:val="1"/>
      <w:marLeft w:val="0"/>
      <w:marRight w:val="0"/>
      <w:marTop w:val="0"/>
      <w:marBottom w:val="0"/>
      <w:divBdr>
        <w:top w:val="none" w:sz="0" w:space="0" w:color="auto"/>
        <w:left w:val="none" w:sz="0" w:space="0" w:color="auto"/>
        <w:bottom w:val="none" w:sz="0" w:space="0" w:color="auto"/>
        <w:right w:val="none" w:sz="0" w:space="0" w:color="auto"/>
      </w:divBdr>
    </w:div>
    <w:div w:id="1413696505">
      <w:bodyDiv w:val="1"/>
      <w:marLeft w:val="0"/>
      <w:marRight w:val="0"/>
      <w:marTop w:val="0"/>
      <w:marBottom w:val="0"/>
      <w:divBdr>
        <w:top w:val="none" w:sz="0" w:space="0" w:color="auto"/>
        <w:left w:val="none" w:sz="0" w:space="0" w:color="auto"/>
        <w:bottom w:val="none" w:sz="0" w:space="0" w:color="auto"/>
        <w:right w:val="none" w:sz="0" w:space="0" w:color="auto"/>
      </w:divBdr>
    </w:div>
    <w:div w:id="1480655099">
      <w:bodyDiv w:val="1"/>
      <w:marLeft w:val="0"/>
      <w:marRight w:val="0"/>
      <w:marTop w:val="0"/>
      <w:marBottom w:val="0"/>
      <w:divBdr>
        <w:top w:val="none" w:sz="0" w:space="0" w:color="auto"/>
        <w:left w:val="none" w:sz="0" w:space="0" w:color="auto"/>
        <w:bottom w:val="none" w:sz="0" w:space="0" w:color="auto"/>
        <w:right w:val="none" w:sz="0" w:space="0" w:color="auto"/>
      </w:divBdr>
    </w:div>
    <w:div w:id="1492523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b63c764-1e24-44c5-808b-8f76e8dd55d8">
      <Terms xmlns="http://schemas.microsoft.com/office/infopath/2007/PartnerControls"/>
    </lcf76f155ced4ddcb4097134ff3c332f>
    <TaxCatchAll xmlns="c44f37ef-355d-4d30-b745-6898624ea974"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1851FF97F1B6734D885BE597EC979093" ma:contentTypeVersion="16" ma:contentTypeDescription="Kurkite naują dokumentą." ma:contentTypeScope="" ma:versionID="69a34bf944350e323f04451b521bca8a">
  <xsd:schema xmlns:xsd="http://www.w3.org/2001/XMLSchema" xmlns:xs="http://www.w3.org/2001/XMLSchema" xmlns:p="http://schemas.microsoft.com/office/2006/metadata/properties" xmlns:ns2="9b63c764-1e24-44c5-808b-8f76e8dd55d8" xmlns:ns3="c44f37ef-355d-4d30-b745-6898624ea974" targetNamespace="http://schemas.microsoft.com/office/2006/metadata/properties" ma:root="true" ma:fieldsID="1556c7ae1ae5ecadcc719b99deab395c" ns2:_="" ns3:_="">
    <xsd:import namespace="9b63c764-1e24-44c5-808b-8f76e8dd55d8"/>
    <xsd:import namespace="c44f37ef-355d-4d30-b745-6898624ea97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LengthInSecond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63c764-1e24-44c5-808b-8f76e8dd55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Vaizdų žymės" ma:readOnly="false" ma:fieldId="{5cf76f15-5ced-4ddc-b409-7134ff3c332f}" ma:taxonomyMulti="true" ma:sspId="cba263c8-4ed9-4ac4-8b05-bf1c9b587bab" ma:termSetId="09814cd3-568e-fe90-9814-8d621ff8fb84" ma:anchorId="fba54fb3-c3e1-fe81-a776-ca4b69148c4d" ma:open="true" ma:isKeyword="false">
      <xsd:complexType>
        <xsd:sequence>
          <xsd:element ref="pc:Terms" minOccurs="0" maxOccurs="1"/>
        </xsd:sequence>
      </xsd:complexType>
    </xsd:element>
    <xsd:element name="MediaServiceLocation" ma:index="18" nillable="true" ma:displayName="Location" ma:indexed="true" ma:internalName="MediaServiceLocatio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4f37ef-355d-4d30-b745-6898624ea974"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2daa88c1-b6d7-4530-ac05-cf7f70b6560e}" ma:internalName="TaxCatchAll" ma:showField="CatchAllData" ma:web="c44f37ef-355d-4d30-b745-6898624ea974">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dc1f913eddd7482db41a157531f7f034" PartId="b441c19793ea4e6bbb46abfcf03ead90">
    <Part Type="punktas" Nr="1" Abbr="1 p." DocPartId="9c7dd47df8134c98b0a3cbec88a3a758" PartId="8ff8d77e9d4c48f698b9c738b7374e0a">
      <Part Type="papunktis" Nr="1.1" Abbr="1.1 pp." DocPartId="70cbf8accd7341eb872ee8df1b90a398" PartId="ceb23da4216749df95866d023e56a9f4">
        <Part Type="citata" DocPartId="45ef0ee1f4064002b306580113bbb822" PartId="10ecd116ac38478bb275e9ad5b65af66">
          <Part Type="papunktis" Nr="7.5" Abbr="7.5 pp." DocPartId="c1a29927671c41ddb50eff028446a4c2" PartId="ecc20ac44c004e7b8c8fa9449ac1dfe0"/>
        </Part>
      </Part>
      <Part Type="papunktis" Nr="1.2" Abbr="1.2 pp." DocPartId="44a5bb74013f4cfba1e4d8b7d13b48eb" PartId="877a667dbecc476a83b99b47cc4ddf5d">
        <Part Type="citata" DocPartId="c6705acd135f48f599b72213bd9252a8" PartId="b1745be9544c4a738f96be8790e4bffb">
          <Part Type="papunktis" Nr="7.6" Abbr="7.6 pp." DocPartId="891e2027d91440adad17152b56234532" PartId="b0d2c65f873c42a4903b8d3fada7db5d"/>
        </Part>
      </Part>
      <Part Type="papunktis" Nr="1.3" Abbr="1.3 pp." DocPartId="2a7852617831445bba5e950df17c559e" PartId="b235a87b4ff64475b5bcc1220e1ba3e9">
        <Part Type="citata" DocPartId="eb6c18766e344f0d8be51e8f9461876d" PartId="eaa96c432c9340d4bb0c6b47678ef517">
          <Part Type="papunktis" Nr="7.7" Abbr="7.7 pp." DocPartId="503ad62580234df5bfa112d4b7a3dcd7" PartId="d1ea7fe33dad4788bd177067ce75e259"/>
        </Part>
      </Part>
      <Part Type="papunktis" Nr="1.4" Abbr="1.4 pp." DocPartId="72797f58cb574832867af2b0325b6868" PartId="c5ce54141b204739bfadeb73d475c9a5">
        <Part Type="citata" DocPartId="10feef7c6dae4b29aa27029e2d43ef4e" PartId="52a80ca7838b4b6c9c6734f4c97127fe">
          <Part Type="punktas" Nr="15" Abbr="15 p." DocPartId="908c8cf9834a4432bd886803b3c41eaa" PartId="e774b8c44ba449c982240493e431951f"/>
        </Part>
      </Part>
    </Part>
    <Part Type="punktas" Nr="2" Abbr="2 p." DocPartId="546923a3ef0146319e9971ec888fb87c" PartId="e78473076c4b4132af09e10a05ee9d0c">
      <Part Type="papunktis" Nr="2.1" Abbr="2.1 pp." DocPartId="9966ba0920034989b28b15964ede0dbd" PartId="67b88521fdbe48a1a4990819a0de8c84"/>
      <Part Type="papunktis" Nr="2.2" Abbr="2.2 pp." DocPartId="fb7dc27723a14f2ab87cc4135ec9bd7f" PartId="ed699adb5a9d4cf4940cb22a590b70ad"/>
    </Part>
    <Part Type="signatura" DocPartId="ee3b4145d9434ded8a8c1ef9538dbda9" PartId="0ca035130aa24cfeaab61c59fd930319"/>
  </Part>
</Parts>
</file>

<file path=customXml/itemProps1.xml><?xml version="1.0" encoding="utf-8"?>
<ds:datastoreItem xmlns:ds="http://schemas.openxmlformats.org/officeDocument/2006/customXml" ds:itemID="{2D3DA75E-4BEB-47DB-948B-1225D16E2424}">
  <ds:schemaRefs>
    <ds:schemaRef ds:uri="http://schemas.microsoft.com/office/2006/metadata/properties"/>
    <ds:schemaRef ds:uri="http://schemas.microsoft.com/office/infopath/2007/PartnerControls"/>
    <ds:schemaRef ds:uri="9b63c764-1e24-44c5-808b-8f76e8dd55d8"/>
    <ds:schemaRef ds:uri="c44f37ef-355d-4d30-b745-6898624ea974"/>
  </ds:schemaRefs>
</ds:datastoreItem>
</file>

<file path=customXml/itemProps2.xml><?xml version="1.0" encoding="utf-8"?>
<ds:datastoreItem xmlns:ds="http://schemas.openxmlformats.org/officeDocument/2006/customXml" ds:itemID="{2F90E8DB-6ACB-4688-8B12-C5E0E51D126A}">
  <ds:schemaRefs>
    <ds:schemaRef ds:uri="http://schemas.microsoft.com/sharepoint/v3/contenttype/forms"/>
  </ds:schemaRefs>
</ds:datastoreItem>
</file>

<file path=customXml/itemProps3.xml><?xml version="1.0" encoding="utf-8"?>
<ds:datastoreItem xmlns:ds="http://schemas.openxmlformats.org/officeDocument/2006/customXml" ds:itemID="{1FB7960F-F110-4DC7-B42B-6C8A26CFD4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63c764-1e24-44c5-808b-8f76e8dd55d8"/>
    <ds:schemaRef ds:uri="c44f37ef-355d-4d30-b745-6898624ea9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AC31D61-BC73-4C27-902C-26E252F8D472}">
  <ds:schemaRefs>
    <ds:schemaRef ds:uri="http://schemas.openxmlformats.org/officeDocument/2006/bibliography"/>
  </ds:schemaRefs>
</ds:datastoreItem>
</file>

<file path=customXml/itemProps5.xml><?xml version="1.0" encoding="utf-8"?>
<ds:datastoreItem xmlns:ds="http://schemas.openxmlformats.org/officeDocument/2006/customXml" ds:itemID="{F5EACBF1-50B9-45EE-B8C1-82FEC7582B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272</Words>
  <Characters>1885</Characters>
  <Application>Microsoft Office Word</Application>
  <DocSecurity>4</DocSecurity>
  <Lines>44</Lines>
  <Paragraphs>21</Paragraphs>
  <ScaleCrop>false</ScaleCrop>
  <HeadingPairs>
    <vt:vector size="2" baseType="variant">
      <vt:variant>
        <vt:lpstr>Title</vt:lpstr>
      </vt:variant>
      <vt:variant>
        <vt:i4>1</vt:i4>
      </vt:variant>
    </vt:vector>
  </HeadingPairs>
  <TitlesOfParts>
    <vt:vector size="1" baseType="lpstr">
      <vt:lpstr>DOKUMENTŲ REKVIZITŲ IŠDĖSTYMO SCHEMA</vt:lpstr>
    </vt:vector>
  </TitlesOfParts>
  <Company>LAD</Company>
  <LinksUpToDate>false</LinksUpToDate>
  <CharactersWithSpaces>2136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2025-02-27T05:48:00Z</dcterms:created>
  <dc:creator>User</dc:creator>
  <lastModifiedBy>adlibuser</lastModifiedBy>
  <lastPrinted>2023-01-10T17:06:00Z</lastPrinted>
  <dcterms:modified xsi:type="dcterms:W3CDTF">2025-02-27T05:48:00Z</dcterms:modified>
  <revision>2</revision>
  <dc:title>DOKUMENTŲ REKVIZITŲ IŠDĖSTYMO SCHEMA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0x0101001851FF97F1B6734D885BE597EC979093</vt:lpwstr>
  </property>
</Properties>
</file>