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lentele"/>
        <w:tag w:val="part_79209fd8fa6a4430ae722ec9fae18ccb"/>
        <w:lock w:val="sdtLocked"/>
        <w:richText/>
      </w:sdtPr>
      <w:sdtContent>
        <w:p>
          <w:pPr>
            <w:widowControl w:val="0"/>
            <w:tabs>
              <w:tab w:val="center" w:pos="4320"/>
              <w:tab w:val="right" w:pos="8640"/>
            </w:tabs>
            <w:suppressAutoHyphens/>
            <w:rPr>
              <w:rFonts w:eastAsia="Lucida Sans Unicode"/>
              <w:sz w:val="22"/>
            </w:rPr>
          </w:pPr>
        </w:p>
        <w:p>
          <w:pPr>
            <w:widowControl w:val="0"/>
            <w:suppressAutoHyphens/>
            <w:jc w:val="center"/>
            <w:rPr>
              <w:rFonts w:eastAsia="Lucida Sans Unicode"/>
              <w:b/>
              <w:bCs/>
              <w:szCs w:val="24"/>
            </w:rPr>
          </w:pPr>
          <w:r>
            <w:rPr>
              <w:rFonts w:eastAsia="Lucida Sans Unicode"/>
              <w:b/>
              <w:bCs/>
              <w:szCs w:val="24"/>
            </w:rPr>
            <w:t>DIREKTYVOS 2005/35/EB IR APLINKOS APSAUGOS VALSTYBINĖS KONTROLĖS ĮSTATYMO PAKEITIMO ĮSTATYMO PROJEKTO ATITIKTIES LENTELĖ</w:t>
          </w:r>
        </w:p>
        <w:p>
          <w:pPr>
            <w:rPr>
              <w:sz w:val="10"/>
              <w:szCs w:val="10"/>
            </w:rPr>
          </w:pPr>
        </w:p>
        <w:p>
          <w:pPr>
            <w:widowControl w:val="0"/>
            <w:suppressAutoHyphens/>
            <w:jc w:val="center"/>
            <w:rPr>
              <w:rFonts w:eastAsia="Lucida Sans Unicode"/>
              <w:b/>
              <w:bCs/>
              <w:szCs w:val="24"/>
            </w:rPr>
          </w:pPr>
        </w:p>
        <w:p>
          <w:pPr>
            <w:rPr>
              <w:sz w:val="10"/>
              <w:szCs w:val="10"/>
            </w:rPr>
          </w:pPr>
        </w:p>
        <w:tbl>
          <w:tblPr>
            <w:tblW w:w="16025" w:type="dxa"/>
            <w:tblInd w:w="-135" w:type="dxa"/>
            <w:tblLayout w:type="fixed"/>
            <w:tblCellMar>
              <w:top w:w="57" w:type="dxa"/>
              <w:left w:w="57" w:type="dxa"/>
              <w:bottom w:w="57" w:type="dxa"/>
              <w:right w:w="57" w:type="dxa"/>
            </w:tblCellMar>
            <w:tblLook w:val="0000" w:firstRow="0" w:lastRow="0" w:firstColumn="0" w:lastColumn="0" w:noHBand="0" w:noVBand="0"/>
          </w:tblPr>
          <w:tblGrid>
            <w:gridCol w:w="7126"/>
            <w:gridCol w:w="7056"/>
            <w:gridCol w:w="1843"/>
          </w:tblGrid>
          <w:tr>
            <w:tc>
              <w:tcPr>
                <w:tcW w:w="7126" w:type="dxa"/>
                <w:tcBorders>
                  <w:top w:val="single" w:sz="4" w:space="0" w:color="000000" w:themeColor="text1"/>
                  <w:left w:val="single" w:sz="4" w:space="0" w:color="000000" w:themeColor="text1"/>
                  <w:bottom w:val="single" w:sz="4" w:space="0" w:color="000000" w:themeColor="text1"/>
                </w:tcBorders>
              </w:tcPr>
              <w:p>
                <w:pPr>
                  <w:widowControl w:val="0"/>
                  <w:suppressAutoHyphens/>
                  <w:snapToGrid w:val="0"/>
                  <w:jc w:val="both"/>
                  <w:rPr>
                    <w:rFonts w:eastAsia="Lucida Sans Unicode"/>
                    <w:b/>
                    <w:bCs/>
                  </w:rPr>
                </w:pPr>
                <w:r>
                  <w:rPr>
                    <w:rFonts w:eastAsia="Lucida Sans Unicode"/>
                    <w:b/>
                    <w:bCs/>
                    <w:shd w:val="clear" w:color="auto" w:fill="FFFFFF"/>
                  </w:rPr>
                  <w:t xml:space="preserve">2005 m. rugsėjo 7 d. Europos Parlamento ir Tarybos direktyva </w:t>
                </w:r>
                <w:fldSimple w:instr="HYPERLINK http://eur-lex.europa.eu/legal-content/LIT/TXT/?uri=CELEX:32005L0035&amp;locale=lt \t _blank">
                  <w:r>
                    <w:rPr>
                      <w:rFonts w:eastAsia="Lucida Sans Unicode"/>
                      <w:b/>
                      <w:bCs/>
                      <w:shd w:val="clear" w:color="auto" w:fill="FFFFFF"/>
                      <w:u w:val="single"/>
                      <w:color w:val="0000FF" w:themeColor="hyperlink"/>
                    </w:rPr>
                    <w:t>2005/35/EB</w:t>
                  </w:r>
                </w:fldSimple>
                <w:r>
                  <w:rPr>
                    <w:rFonts w:eastAsia="Lucida Sans Unicode"/>
                    <w:b/>
                    <w:bCs/>
                    <w:shd w:val="clear" w:color="auto" w:fill="FFFFFF"/>
                  </w:rPr>
                  <w:t xml:space="preserve"> dėl taršos iš laivų ir sankcijų už pažeidimus įvedimo </w:t>
                </w:r>
              </w:p>
            </w:tc>
            <w:tc>
              <w:tcPr>
                <w:tcW w:w="7056" w:type="dxa"/>
                <w:tcBorders>
                  <w:top w:val="single" w:sz="4" w:space="0" w:color="000000" w:themeColor="text1"/>
                  <w:left w:val="single" w:sz="4" w:space="0" w:color="000000" w:themeColor="text1"/>
                  <w:bottom w:val="single" w:sz="4" w:space="0" w:color="000000" w:themeColor="text1"/>
                </w:tcBorders>
              </w:tcPr>
              <w:p>
                <w:pPr>
                  <w:widowControl w:val="0"/>
                  <w:suppressAutoHyphens/>
                  <w:snapToGrid w:val="0"/>
                  <w:jc w:val="both"/>
                  <w:rPr>
                    <w:rFonts w:eastAsia="Lucida Sans Unicode"/>
                    <w:b/>
                    <w:bCs/>
                  </w:rPr>
                </w:pPr>
                <w:r>
                  <w:rPr>
                    <w:rFonts w:eastAsia="Lucida Sans Unicode"/>
                    <w:b/>
                    <w:bCs/>
                  </w:rPr>
                  <w:t>Aplinkos apsaugos valstybinės kontrolės įstatymo pakeitimo įstatymo projektas (toliau – projektas)</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keepNext/>
                  <w:widowControl w:val="0"/>
                  <w:suppressAutoHyphens/>
                  <w:snapToGrid w:val="0"/>
                  <w:outlineLvl w:val="7"/>
                  <w:rPr>
                    <w:rFonts w:eastAsia="Lucida Sans Unicode"/>
                    <w:b/>
                    <w:bCs/>
                    <w:szCs w:val="22"/>
                  </w:rPr>
                </w:pPr>
                <w:r>
                  <w:rPr>
                    <w:rFonts w:eastAsia="Lucida Sans Unicode"/>
                    <w:b/>
                    <w:bCs/>
                    <w:szCs w:val="22"/>
                  </w:rPr>
                  <w:t>Direktyvos perkėlimo lygis</w:t>
                </w:r>
              </w:p>
            </w:tc>
          </w:tr>
          <w:tr>
            <w:tc>
              <w:tcPr>
                <w:tcW w:w="7126" w:type="dxa"/>
                <w:tcBorders>
                  <w:left w:val="single" w:sz="4" w:space="0" w:color="000000" w:themeColor="text1"/>
                  <w:bottom w:val="single" w:sz="4" w:space="0" w:color="000000" w:themeColor="text1"/>
                </w:tcBorders>
              </w:tcPr>
              <w:p>
                <w:pPr>
                  <w:widowControl w:val="0"/>
                  <w:suppressAutoHyphens/>
                  <w:rPr>
                    <w:rFonts w:eastAsia="Lucida Sans Unicode"/>
                    <w:b/>
                    <w:bCs/>
                  </w:rPr>
                </w:pPr>
                <w:r>
                  <w:rPr>
                    <w:rFonts w:eastAsia="Lucida Sans Unicode"/>
                    <w:b/>
                    <w:bCs/>
                  </w:rPr>
                  <w:t>4 straipsnis</w:t>
                </w:r>
              </w:p>
              <w:p>
                <w:pPr>
                  <w:widowControl w:val="0"/>
                  <w:suppressAutoHyphens/>
                  <w:rPr>
                    <w:rFonts w:eastAsia="Lucida Sans Unicode"/>
                    <w:b/>
                    <w:bCs/>
                  </w:rPr>
                </w:pPr>
                <w:r>
                  <w:rPr>
                    <w:rFonts w:eastAsia="Lucida Sans Unicode"/>
                    <w:b/>
                    <w:bCs/>
                  </w:rPr>
                  <w:t>Pažeidimai</w:t>
                </w:r>
              </w:p>
              <w:p>
                <w:pPr>
                  <w:widowControl w:val="0"/>
                  <w:suppressAutoHyphens/>
                  <w:jc w:val="center"/>
                  <w:rPr>
                    <w:rFonts w:eastAsia="Lucida Sans Unicode"/>
                    <w:b/>
                    <w:bCs/>
                  </w:rPr>
                </w:pPr>
              </w:p>
              <w:p>
                <w:pPr>
                  <w:widowControl w:val="0"/>
                  <w:suppressAutoHyphens/>
                  <w:jc w:val="both"/>
                  <w:rPr>
                    <w:rFonts w:eastAsia="Lucida Sans Unicode"/>
                  </w:rPr>
                </w:pPr>
                <w:r>
                  <w:rPr>
                    <w:rFonts w:eastAsia="Lucida Sans Unicode"/>
                  </w:rPr>
                  <w:t>1.  Valstybės narės užtikrina, kad teršalų išmetimas iš laivų, įskaitant nedidelius teršalų kiekio išmetimų atvejus, bet kurioje iš 3 straipsnio 1 dalyje nurodytų teritorijų būtų laikomas pažeidimu, jei tai padaroma tyčia, dėl nusikalstamo pasitikėjimo ar nusikalstamo nerūpestingumo.</w:t>
                </w:r>
              </w:p>
              <w:p>
                <w:pPr>
                  <w:widowControl w:val="0"/>
                  <w:suppressAutoHyphens/>
                  <w:jc w:val="both"/>
                  <w:rPr>
                    <w:rFonts w:eastAsia="Lucida Sans Unicode"/>
                  </w:rPr>
                </w:pPr>
                <w:r>
                  <w:rPr>
                    <w:rFonts w:eastAsia="Lucida Sans Unicode"/>
                  </w:rPr>
                  <w:t>2.  Kiekviena valstybė narė imasi būtinų priemonių užtikrinti, kad visi fiziniai ar juridiniai asmenys, padarę pažeidimą kaip apibrėžta 1 dalyje, galėtų būti patraukti atsakomybėn.</w:t>
                </w:r>
              </w:p>
              <w:p>
                <w:pPr>
                  <w:widowControl w:val="0"/>
                  <w:suppressAutoHyphens/>
                  <w:jc w:val="center"/>
                  <w:rPr>
                    <w:rFonts w:eastAsia="Lucida Sans Unicode"/>
                  </w:rPr>
                </w:pPr>
              </w:p>
            </w:tc>
            <w:tc>
              <w:tcPr>
                <w:tcW w:w="7056" w:type="dxa"/>
                <w:tcBorders>
                  <w:left w:val="single" w:sz="4" w:space="0" w:color="000000" w:themeColor="text1"/>
                  <w:bottom w:val="single" w:sz="4" w:space="0" w:color="000000" w:themeColor="text1"/>
                </w:tcBorders>
              </w:tcPr>
              <w:p>
                <w:pPr>
                  <w:widowControl w:val="0"/>
                  <w:suppressAutoHyphens/>
                  <w:jc w:val="both"/>
                  <w:rPr>
                    <w:b/>
                    <w:bCs/>
                    <w:szCs w:val="24"/>
                  </w:rPr>
                </w:pPr>
                <w:r>
                  <w:rPr>
                    <w:b/>
                    <w:bCs/>
                    <w:szCs w:val="24"/>
                  </w:rPr>
                  <w:t>Projektas</w:t>
                </w:r>
              </w:p>
              <w:p>
                <w:pPr>
                  <w:widowControl w:val="0"/>
                  <w:suppressAutoHyphens/>
                  <w:jc w:val="both"/>
                </w:pPr>
                <w:r>
                  <w:rPr>
                    <w:b/>
                    <w:bCs/>
                  </w:rPr>
                  <w:t>28 straipsnio 1 dalis</w:t>
                </w:r>
              </w:p>
              <w:p>
                <w:pPr>
                  <w:widowControl w:val="0"/>
                  <w:suppressAutoHyphens/>
                  <w:jc w:val="both"/>
                  <w:rPr>
                    <w:b/>
                    <w:bCs/>
                    <w:szCs w:val="24"/>
                    <w:lang w:val="lt"/>
                  </w:rPr>
                </w:pPr>
                <w:r>
                  <w:rPr>
                    <w:b/>
                    <w:bCs/>
                  </w:rPr>
                  <w:t>„</w:t>
                </w:r>
                <w:r>
                  <w:rPr>
                    <w:b/>
                    <w:bCs/>
                    <w:color w:val="000000"/>
                    <w:szCs w:val="24"/>
                  </w:rPr>
                  <w:t xml:space="preserve">1. </w:t>
                </w:r>
                <w:r>
                  <w:rPr>
                    <w:b/>
                    <w:bCs/>
                    <w:szCs w:val="24"/>
                    <w:lang w:val="lt"/>
                  </w:rPr>
                  <w:t>Aplinkos apsaugos valstybinės priežiūros pareigūnas pradeda tyrimą dėl jūros aplinkos teršimo iš laivo arba kito jūros aplinkos apsaugą ir gamtos išteklių naudojimą reglamentuojančių teisės aktų pažeidimo, jeigu:</w:t>
                </w:r>
              </w:p>
              <w:p>
                <w:pPr>
                  <w:widowControl w:val="0"/>
                  <w:suppressAutoHyphens/>
                  <w:jc w:val="both"/>
                  <w:rPr>
                    <w:b/>
                    <w:bCs/>
                    <w:szCs w:val="24"/>
                    <w:lang w:val="lt"/>
                  </w:rPr>
                </w:pPr>
                <w:r>
                  <w:rPr>
                    <w:b/>
                    <w:bCs/>
                    <w:szCs w:val="24"/>
                    <w:lang w:val="lt"/>
                  </w:rPr>
                  <w:t>1) pagrįstai įtaria, kad savanoriškai uoste ar jūros terminale esantis laivas Lietuvos Respublikos vidaus vandenyse, teritorinėje jūroje arba išskirtinėje ekonominėje zonoje užteršė jūros aplinką arba šiose teritorijose kitaip pažeidė jūros aplinkos apsaugą ir gamtos išteklių naudojimą reglamentuojančius teisės aktus;</w:t>
                </w:r>
              </w:p>
              <w:p>
                <w:pPr>
                  <w:widowControl w:val="0"/>
                  <w:suppressAutoHyphens/>
                  <w:jc w:val="both"/>
                  <w:rPr>
                    <w:b/>
                    <w:bCs/>
                    <w:szCs w:val="24"/>
                    <w:lang w:val="lt"/>
                  </w:rPr>
                </w:pPr>
                <w:r>
                  <w:rPr>
                    <w:b/>
                    <w:bCs/>
                    <w:szCs w:val="24"/>
                    <w:lang w:val="lt"/>
                  </w:rPr>
                  <w:t>2) pagrįstai įtaria, kad Lietuvos Respublikos teritorinėje jūroje esantis laivas ją užteršė arba joje kitaip pažeidė jūros aplinkos apsaugą ir gamtos išteklių naudojimą teisės aktus;</w:t>
                </w:r>
              </w:p>
              <w:p>
                <w:pPr>
                  <w:widowControl w:val="0"/>
                  <w:suppressAutoHyphens/>
                  <w:jc w:val="both"/>
                  <w:rPr>
                    <w:b/>
                    <w:bCs/>
                    <w:szCs w:val="24"/>
                    <w:lang w:val="lt"/>
                  </w:rPr>
                </w:pPr>
                <w:r>
                  <w:rPr>
                    <w:b/>
                    <w:bCs/>
                    <w:szCs w:val="24"/>
                    <w:lang w:val="lt"/>
                  </w:rPr>
                  <w:t>3) pagrįstai įtaręs, kad Lietuvos Respublikos teritorinėje jūroje ar išskirtinėje ekonominėje zonoje plaukiantis laivas Lietuvos Respublikos išskirtinėje ekonominėje zonoje užteršė jūros aplinką ar kitaip pažeidė jūros aplinkos apsaugą ir gamtos išteklių naudojimą reglamentuojančius teisės aktus ir dėl to padaryta didelė žala jūros aplinkai ar kilo didelės žalos jūros aplinkai grėsmė, atliko šio įstatymo 29 straipsnyje nurodytus veiksmus, o pažeidimu įtariamas laivas nepateikė reikalaujamos informacijos arba laivo pateikta informacija neatitinka tikrovės;</w:t>
                </w:r>
              </w:p>
              <w:p>
                <w:pPr>
                  <w:widowControl w:val="0"/>
                  <w:suppressAutoHyphens/>
                  <w:jc w:val="both"/>
                  <w:rPr>
                    <w:b/>
                    <w:bCs/>
                    <w:szCs w:val="24"/>
                    <w:lang w:val="lt"/>
                  </w:rPr>
                </w:pPr>
                <w:r>
                  <w:rPr>
                    <w:b/>
                    <w:bCs/>
                    <w:szCs w:val="24"/>
                    <w:lang w:val="lt"/>
                  </w:rPr>
                  <w:t>4) gautas pranešimas iš užsienio kompetentingų institucijų, kad su Lietuvos valstybės vėliava plaukiojantis laivas įtariamas užteršęs jūros aplinką arba kitaip pažeidęs užsienio valstybės aplinkos apsaugą ir gamtos išteklių naudojimą reglamentuojančius teisės aktus šios užsienio valstybės teritorinėje jūroje arba išskirtinėje ekonominėje zonoje;</w:t>
                </w:r>
              </w:p>
              <w:p>
                <w:pPr>
                  <w:widowControl w:val="0"/>
                  <w:suppressAutoHyphens/>
                  <w:jc w:val="both"/>
                  <w:rPr>
                    <w:b/>
                    <w:bCs/>
                    <w:szCs w:val="24"/>
                    <w:lang w:val="lt"/>
                  </w:rPr>
                </w:pPr>
                <w:r>
                  <w:rPr>
                    <w:b/>
                    <w:bCs/>
                    <w:szCs w:val="24"/>
                    <w:lang w:val="lt"/>
                  </w:rPr>
                  <w:t>5) gautas prašymas iš užsienio valstybės kompetentingų institucijų pradėti tyrimą dėl savanoriškai Lietuvos Respublikos uoste ar jūros terminale esančio laivo, pažeidusio prašančios valstybės vidaus vandenyse, teritorinėje jūroje ar išskirtinėje ekonominėje zonoje jūros aplinkos apsaugą ir gamtos išteklių naudojimą reglamentuojančius teisės aktus;</w:t>
                </w:r>
              </w:p>
              <w:p>
                <w:pPr>
                  <w:widowControl w:val="0"/>
                  <w:suppressAutoHyphens/>
                  <w:jc w:val="both"/>
                  <w:rPr>
                    <w:b/>
                    <w:bCs/>
                    <w:szCs w:val="24"/>
                    <w:lang w:val="lt"/>
                  </w:rPr>
                </w:pPr>
                <w:r>
                  <w:rPr>
                    <w:b/>
                    <w:bCs/>
                    <w:szCs w:val="24"/>
                    <w:lang w:val="lt"/>
                  </w:rPr>
                  <w:t>6) gautas pranešimas iš užsienio valstybės kompetentingos institucijos ar tarptautinės organizacijos, kad su Lietuvos valstybės vėliava plaukiojantis laivas užteršė jūros aplinką atviroje jūroje;</w:t>
                </w:r>
              </w:p>
              <w:p>
                <w:pPr>
                  <w:widowControl w:val="0"/>
                  <w:suppressAutoHyphens/>
                  <w:jc w:val="both"/>
                  <w:rPr>
                    <w:b/>
                    <w:bCs/>
                    <w:color w:val="000000"/>
                    <w:szCs w:val="24"/>
                  </w:rPr>
                </w:pPr>
                <w:r>
                  <w:rPr>
                    <w:b/>
                    <w:bCs/>
                    <w:szCs w:val="24"/>
                    <w:lang w:val="lt"/>
                  </w:rPr>
                  <w:t>7) pagrįstai įtaria, kad savanoriškai Lietuvos Respublikos uoste ar jūros terminale esantis laivas pažeidė Europos Sąjungos valstybės narės vidaus vandenyse, teritorinėje jūroje ar išskirtinėje ekonominėje zonoje arba atviroje jūroje jūros aplinkos apsaugą ir gamtos išteklių naudojimą reglamentuojančius teisės aktus.</w:t>
                </w:r>
                <w:r>
                  <w:rPr>
                    <w:b/>
                    <w:bCs/>
                    <w:color w:val="000000"/>
                    <w:szCs w:val="24"/>
                  </w:rPr>
                  <w:t>”</w:t>
                </w:r>
              </w:p>
              <w:p>
                <w:pPr>
                  <w:widowControl w:val="0"/>
                  <w:suppressAutoHyphens/>
                  <w:jc w:val="both"/>
                  <w:rPr>
                    <w:rFonts w:eastAsia="Lucida Sans Unicode"/>
                    <w:b/>
                    <w:bCs/>
                  </w:rPr>
                </w:pPr>
              </w:p>
              <w:p>
                <w:pPr>
                  <w:widowControl w:val="0"/>
                  <w:suppressAutoHyphens/>
                  <w:jc w:val="both"/>
                  <w:rPr>
                    <w:szCs w:val="24"/>
                  </w:rPr>
                </w:pPr>
                <w:r>
                  <w:rPr>
                    <w:b/>
                    <w:bCs/>
                    <w:szCs w:val="24"/>
                  </w:rPr>
                  <w:t>29 straipsnis</w:t>
                </w:r>
              </w:p>
              <w:p>
                <w:pPr>
                  <w:widowControl w:val="0"/>
                  <w:suppressAutoHyphens/>
                  <w:spacing w:line="276" w:lineRule="auto"/>
                  <w:jc w:val="both"/>
                  <w:rPr>
                    <w:b/>
                    <w:bCs/>
                  </w:rPr>
                </w:pPr>
                <w:r>
                  <w:rPr>
                    <w:b/>
                    <w:bCs/>
                  </w:rPr>
                  <w:t>„</w:t>
                </w:r>
                <w:r>
                  <w:rPr>
                    <w:b/>
                    <w:bCs/>
                    <w:szCs w:val="24"/>
                    <w:lang w:val="lt"/>
                  </w:rPr>
                  <w:t>Jei aplinkos apsaugos valstybinės priežiūros pareigūnas pagrįstai įtaria, kad laivas, plaukiantis Lietuvos Respublikos teritorinėje jūroje ar išskirtinėje ekonominėje zonoje, užteršė jūrą ar kitaip pažeidė jūros aplinkos apsaugą ir gamtos išteklių naudojimą reglamentuojančių teisės aktų reikalavimus Lietuvos Respublikos išskirtinėje ekonominėje zonoje ir dėl to padaryta didelė žala jūros aplinkai ar kilo didelės žalos jūros aplinkai grėsmė, jis privalo nedelsdamas kreiptis į laivo kapitoną prašydamas pateikti informaciją, susijusią su jūros aplinkos teršimu ar kitu aplinkos apsaugą ir gamtos išteklių naudojimą reglamentuojančių teisės aktų reikalavimų pažeidimu. Laivo kapitonas nedelsdamas privalo pateikti aplinkos apsaugos valstybinės priežiūros pareigūnui prašomą informaciją.</w:t>
                </w:r>
                <w:r>
                  <w:rPr>
                    <w:b/>
                    <w:bCs/>
                    <w:color w:val="000000"/>
                    <w:szCs w:val="24"/>
                  </w:rPr>
                  <w:t>”</w:t>
                </w:r>
              </w:p>
            </w:tc>
            <w:tc>
              <w:tcPr>
                <w:tcW w:w="1843" w:type="dxa"/>
                <w:tcBorders>
                  <w:left w:val="single" w:sz="4" w:space="0" w:color="000000" w:themeColor="text1"/>
                  <w:bottom w:val="single" w:sz="4" w:space="0" w:color="000000" w:themeColor="text1"/>
                  <w:right w:val="single" w:sz="4" w:space="0" w:color="000000" w:themeColor="text1"/>
                </w:tcBorders>
              </w:tcPr>
              <w:p>
                <w:pPr>
                  <w:widowControl w:val="0"/>
                  <w:suppressAutoHyphens/>
                  <w:snapToGrid w:val="0"/>
                  <w:rPr>
                    <w:rFonts w:eastAsia="Lucida Sans Unicode"/>
                  </w:rPr>
                </w:pPr>
                <w:r>
                  <w:rPr>
                    <w:rFonts w:eastAsia="Lucida Sans Unicode"/>
                  </w:rPr>
                  <w:t>Dalinis</w:t>
                </w:r>
              </w:p>
              <w:p>
                <w:pPr>
                  <w:widowControl w:val="0"/>
                  <w:suppressAutoHyphens/>
                  <w:snapToGrid w:val="0"/>
                  <w:rPr>
                    <w:rFonts w:eastAsia="Lucida Sans Unicode"/>
                  </w:rPr>
                </w:pPr>
                <w:r>
                  <w:rPr>
                    <w:rFonts w:eastAsia="Lucida Sans Unicode"/>
                  </w:rPr>
                  <w:t>Atsakinga institucija – Aplinkos ministerija</w:t>
                </w:r>
              </w:p>
            </w:tc>
          </w:tr>
          <w:tr>
            <w:tc>
              <w:tcPr>
                <w:tcW w:w="7126" w:type="dxa"/>
                <w:tcBorders>
                  <w:left w:val="single" w:sz="4" w:space="0" w:color="000000" w:themeColor="text1"/>
                  <w:bottom w:val="single" w:sz="4" w:space="0" w:color="000000" w:themeColor="text1"/>
                </w:tcBorders>
              </w:tcPr>
              <w:p>
                <w:pPr>
                  <w:widowControl w:val="0"/>
                  <w:suppressAutoHyphens/>
                  <w:rPr>
                    <w:rFonts w:eastAsia="Lucida Sans Unicode"/>
                    <w:b/>
                    <w:bCs/>
                  </w:rPr>
                </w:pPr>
                <w:r>
                  <w:rPr>
                    <w:rFonts w:eastAsia="Lucida Sans Unicode"/>
                    <w:b/>
                    <w:bCs/>
                  </w:rPr>
                  <w:t>6 straipsnis</w:t>
                </w:r>
              </w:p>
              <w:p>
                <w:pPr>
                  <w:widowControl w:val="0"/>
                  <w:suppressAutoHyphens/>
                  <w:rPr>
                    <w:rFonts w:eastAsia="Lucida Sans Unicode"/>
                    <w:b/>
                    <w:bCs/>
                  </w:rPr>
                </w:pPr>
                <w:r>
                  <w:rPr>
                    <w:rFonts w:eastAsia="Lucida Sans Unicode"/>
                    <w:b/>
                    <w:bCs/>
                  </w:rPr>
                  <w:t>Valstybės narės uoste esantiems laivams taikomos vykdymo priemonės</w:t>
                </w:r>
              </w:p>
              <w:p>
                <w:pPr>
                  <w:widowControl w:val="0"/>
                  <w:suppressAutoHyphens/>
                  <w:jc w:val="both"/>
                  <w:rPr>
                    <w:rFonts w:eastAsia="Lucida Sans Unicode"/>
                  </w:rPr>
                </w:pPr>
              </w:p>
              <w:p>
                <w:pPr>
                  <w:widowControl w:val="0"/>
                  <w:suppressAutoHyphens/>
                  <w:jc w:val="both"/>
                  <w:rPr>
                    <w:rFonts w:eastAsia="Lucida Sans Unicode"/>
                  </w:rPr>
                </w:pPr>
                <w:r>
                  <w:rPr>
                    <w:rFonts w:eastAsia="Lucida Sans Unicode"/>
                  </w:rPr>
                  <w:t xml:space="preserve">1.  Jei dėl neatitikimų ar informacijos kyla įtarimų, jog valstybės narės uoste ar pakrantės terminale savanoriškai esantis laivas užsiėmė ar užsiima teršiančių medžiagų išmetimu į bet kurią iš 3 straipsnio 1 dalyje paminėtų teritorijų, ta valstybė narė užtikrina, kad pagal jos nacionalinę teisę būtų atliktas atitinkamas patikrinimas atsižvelgiant į atitinkamas Tarptautinės jūrų organizacijos (TJO) priimtas rekomendacijas.</w:t>
                </w:r>
              </w:p>
              <w:p>
                <w:pPr>
                  <w:widowControl w:val="0"/>
                  <w:suppressAutoHyphens/>
                  <w:jc w:val="both"/>
                  <w:rPr>
                    <w:rFonts w:eastAsia="Lucida Sans Unicode"/>
                  </w:rPr>
                </w:pPr>
              </w:p>
              <w:p>
                <w:pPr>
                  <w:widowControl w:val="0"/>
                  <w:suppressAutoHyphens/>
                  <w:jc w:val="both"/>
                  <w:rPr>
                    <w:rFonts w:eastAsia="Lucida Sans Unicode"/>
                  </w:rPr>
                </w:pPr>
                <w:r>
                  <w:rPr>
                    <w:rFonts w:eastAsia="Lucida Sans Unicode"/>
                  </w:rPr>
                  <w:t xml:space="preserve">2.  Jei atlikus 1 dalyje paminėtą patikrinimą atskleidžiami faktai, galintys parodyti pažeidimą, kaip apibrėžta 4 straipsnyje, apie tai informuojamos tos valstybės narės ir laivo vėliavos valstybės kompetentingos institucijos.</w:t>
                </w:r>
              </w:p>
            </w:tc>
            <w:tc>
              <w:tcPr>
                <w:tcW w:w="7056" w:type="dxa"/>
                <w:tcBorders>
                  <w:left w:val="single" w:sz="4" w:space="0" w:color="000000" w:themeColor="text1"/>
                  <w:bottom w:val="single" w:sz="4" w:space="0" w:color="000000" w:themeColor="text1"/>
                </w:tcBorders>
              </w:tcPr>
              <w:p>
                <w:pPr>
                  <w:widowControl w:val="0"/>
                  <w:suppressAutoHyphens/>
                  <w:jc w:val="both"/>
                  <w:rPr>
                    <w:rFonts w:eastAsia="Lucida Sans Unicode"/>
                    <w:b/>
                    <w:bCs/>
                  </w:rPr>
                </w:pPr>
                <w:r>
                  <w:rPr>
                    <w:rFonts w:eastAsia="Lucida Sans Unicode"/>
                    <w:b/>
                    <w:bCs/>
                  </w:rPr>
                  <w:t>Projektas</w:t>
                </w:r>
              </w:p>
              <w:p>
                <w:pPr>
                  <w:widowControl w:val="0"/>
                  <w:suppressAutoHyphens/>
                  <w:jc w:val="both"/>
                </w:pPr>
                <w:r>
                  <w:rPr>
                    <w:b/>
                    <w:bCs/>
                  </w:rPr>
                  <w:t>30 straipsnis</w:t>
                </w:r>
              </w:p>
              <w:p>
                <w:pPr>
                  <w:widowControl w:val="0"/>
                  <w:suppressAutoHyphens/>
                  <w:spacing w:line="276" w:lineRule="auto"/>
                  <w:jc w:val="both"/>
                  <w:rPr>
                    <w:b/>
                    <w:bCs/>
                    <w:szCs w:val="24"/>
                    <w:lang w:val="lt"/>
                  </w:rPr>
                </w:pPr>
                <w:r>
                  <w:rPr>
                    <w:b/>
                    <w:bCs/>
                  </w:rPr>
                  <w:t>„</w:t>
                </w:r>
                <w:r>
                  <w:rPr>
                    <w:b/>
                    <w:bCs/>
                    <w:color w:val="000000"/>
                    <w:szCs w:val="24"/>
                  </w:rPr>
                  <w:t>1</w:t>
                </w:r>
                <w:r>
                  <w:rPr>
                    <w:szCs w:val="24"/>
                    <w:lang w:val="lt"/>
                  </w:rPr>
                  <w:t xml:space="preserve"> </w:t>
                </w:r>
                <w:r>
                  <w:rPr>
                    <w:b/>
                    <w:bCs/>
                    <w:szCs w:val="24"/>
                    <w:lang w:val="lt"/>
                  </w:rPr>
                  <w:t>Aplinkos apsaugos valstybinės priežiūros pareigūnai, siekdami ištirti šio įstatymo 28 straipsnio 1 dalies 2 ir 3 punktuose nurodytus pažeidimus, turi teisę aplinkos apsaugos valstybinę priežiūrą atliekančios institucijos vadovo nustatyta tvarka stabdyti laivą.</w:t>
                </w:r>
              </w:p>
              <w:p>
                <w:pPr>
                  <w:widowControl w:val="0"/>
                  <w:suppressAutoHyphens/>
                  <w:spacing w:line="276" w:lineRule="auto"/>
                  <w:jc w:val="both"/>
                  <w:rPr>
                    <w:b/>
                    <w:bCs/>
                    <w:szCs w:val="24"/>
                    <w:lang w:val="lt"/>
                  </w:rPr>
                </w:pPr>
                <w:r>
                  <w:rPr>
                    <w:b/>
                    <w:bCs/>
                    <w:szCs w:val="24"/>
                    <w:lang w:val="lt"/>
                  </w:rPr>
                  <w:t xml:space="preserve">2. Jeigu laivas nesustoja, kai to reikalauja aplinkos apsaugos valstybinės priežiūros pareigūnai, jie apie tai informuoja Lietuvos Respublikos institucijas, įgaliotas prievarta sustabdyti laivus. Šios institucijos privalo imtis teisės aktuose numatytų veiksmų, kad nepaklusęs aplinkos apsaugos valstybinės priežiūros pareigūno reikalavimui sustoti laivas būtų sustabdytas. </w:t>
                </w:r>
              </w:p>
              <w:p>
                <w:pPr>
                  <w:widowControl w:val="0"/>
                  <w:suppressAutoHyphens/>
                  <w:spacing w:line="276" w:lineRule="auto"/>
                  <w:jc w:val="both"/>
                  <w:rPr>
                    <w:b/>
                    <w:bCs/>
                    <w:szCs w:val="24"/>
                    <w:lang w:val="lt"/>
                  </w:rPr>
                </w:pPr>
                <w:r>
                  <w:rPr>
                    <w:b/>
                    <w:bCs/>
                    <w:szCs w:val="24"/>
                    <w:lang w:val="lt"/>
                  </w:rPr>
                  <w:t>3. Apie laivo sustabdymą aplinkos apsaugos valstybinės priežiūros pareigūnai nedelsdami informuoja Valstybės sienos apsaugos tarnybą prie Lietuvos Respublikos vidaus reikalų ministerijos.</w:t>
                </w:r>
              </w:p>
              <w:p>
                <w:pPr>
                  <w:widowControl w:val="0"/>
                  <w:suppressAutoHyphens/>
                  <w:spacing w:line="276" w:lineRule="auto"/>
                  <w:jc w:val="both"/>
                  <w:rPr>
                    <w:b/>
                    <w:bCs/>
                    <w:szCs w:val="24"/>
                    <w:lang w:val="lt"/>
                  </w:rPr>
                </w:pPr>
                <w:r>
                  <w:rPr>
                    <w:b/>
                    <w:bCs/>
                    <w:szCs w:val="24"/>
                    <w:lang w:val="lt"/>
                  </w:rPr>
                  <w:t>4. Aplinkos apsaugos valstybinės priežiūros pareigūnai tikrina laivus aplinkos apsaugos valstybinę priežiūrą atliekančios institucijos vadovo nustatyta tvarka."</w:t>
                </w:r>
              </w:p>
              <w:p>
                <w:pPr>
                  <w:widowControl w:val="0"/>
                  <w:suppressAutoHyphens/>
                  <w:ind w:firstLine="720"/>
                  <w:jc w:val="both"/>
                  <w:rPr>
                    <w:b/>
                    <w:bCs/>
                    <w:color w:val="000000"/>
                    <w:szCs w:val="24"/>
                  </w:rPr>
                </w:pPr>
              </w:p>
              <w:p>
                <w:pPr>
                  <w:widowControl w:val="0"/>
                  <w:suppressAutoHyphens/>
                  <w:jc w:val="both"/>
                  <w:rPr>
                    <w:rFonts w:eastAsia="Lucida Sans Unicode"/>
                    <w:b/>
                    <w:bCs/>
                  </w:rPr>
                </w:pPr>
              </w:p>
              <w:p>
                <w:pPr>
                  <w:widowControl w:val="0"/>
                  <w:suppressAutoHyphens/>
                  <w:jc w:val="both"/>
                  <w:rPr>
                    <w:szCs w:val="24"/>
                  </w:rPr>
                </w:pPr>
                <w:r>
                  <w:rPr>
                    <w:b/>
                    <w:bCs/>
                    <w:szCs w:val="24"/>
                  </w:rPr>
                  <w:t>31 straipsnio 1-9 dalys</w:t>
                </w:r>
              </w:p>
              <w:p>
                <w:pPr>
                  <w:widowControl w:val="0"/>
                  <w:suppressAutoHyphens/>
                  <w:spacing w:line="276" w:lineRule="auto"/>
                  <w:jc w:val="both"/>
                  <w:rPr>
                    <w:b/>
                    <w:bCs/>
                    <w:szCs w:val="24"/>
                    <w:lang w:val="lt"/>
                  </w:rPr>
                </w:pPr>
                <w:r>
                  <w:t>„</w:t>
                </w:r>
                <w:r>
                  <w:rPr>
                    <w:b/>
                    <w:bCs/>
                    <w:color w:val="000000"/>
                    <w:szCs w:val="24"/>
                  </w:rPr>
                  <w:t xml:space="preserve">1. </w:t>
                </w:r>
                <w:r>
                  <w:rPr>
                    <w:b/>
                    <w:bCs/>
                    <w:szCs w:val="24"/>
                    <w:lang w:val="lt"/>
                  </w:rPr>
                  <w:t>Aplinkos apsaugos valstybinės priežiūros pareigūnas, surinkęs pakankamai duomenų, leidžiančių manyti, kad laivas įvykdė šio įstatymo 28 straipsnio 1 dalies 1, 2 ir 3 punktuose nurodytus pažeidimus, turi teisę priimti sprendimą ir sulaikyti laivą, kad galėtų išsamiai ir objektyviai šiuos pažeidimus ištirti.</w:t>
                </w:r>
              </w:p>
              <w:p>
                <w:pPr>
                  <w:widowControl w:val="0"/>
                  <w:suppressAutoHyphens/>
                  <w:spacing w:line="276" w:lineRule="auto"/>
                  <w:jc w:val="both"/>
                  <w:rPr>
                    <w:b/>
                    <w:bCs/>
                    <w:szCs w:val="24"/>
                    <w:lang w:val="lt"/>
                  </w:rPr>
                </w:pPr>
                <w:r>
                  <w:rPr>
                    <w:b/>
                    <w:bCs/>
                    <w:szCs w:val="24"/>
                    <w:lang w:val="lt"/>
                  </w:rPr>
                  <w:t xml:space="preserve">2. Sprendimas sulaikyti laivą įteikiamas laivo kapitonui ir  jūrų uosto kapitonui. Sprendimo sulaikyti laivą formą tvirtina aplinkos apsaugos valstybinę priežiūrą atliekančios institucijos vadovas.</w:t>
                </w:r>
              </w:p>
              <w:p>
                <w:pPr>
                  <w:widowControl w:val="0"/>
                  <w:suppressAutoHyphens/>
                  <w:spacing w:line="276" w:lineRule="auto"/>
                  <w:jc w:val="both"/>
                  <w:rPr>
                    <w:b/>
                    <w:bCs/>
                    <w:szCs w:val="24"/>
                    <w:lang w:val="lt"/>
                  </w:rPr>
                </w:pPr>
                <w:r>
                  <w:rPr>
                    <w:b/>
                    <w:bCs/>
                    <w:szCs w:val="24"/>
                    <w:lang w:val="lt"/>
                  </w:rPr>
                  <w:t xml:space="preserve">3. Aplinkos apsaugos valstybinės priežiūros  pareigūno sprendimu sulaikytas laivas privalo plaukti į sprendime nurodytą saugų uostą ar saugią stovėjimo vietą. Jei laivo kapitonas atsisako vykdyti aplinkos apsaugos valstybinės priežiūros pareigūno sprendimą, aplinkos apsaugos valstybinės priežiūros pareigūnas apie tai informuoja Lietuvos Respublikos institucijas, įgaliotas prievarta atplukdyti laivus į uostą, prašydamas imtis veiksmų, kad nepaklusęs aplinkos apsaugos valstybinės priežiūros pareigūno reikalavimui laivas būtų sulaikytas. Apie sustabdyto laivo vykimą ar priverstinį laivo plukdymą į uostą ar stovėjimo vietą aplinkos apsaugos valstybinės priežiūros pareigūnas nedelsdamas informuoja Valstybės sienos apsaugos tarnybą prie Lietuvos Respublikos vidaus reikalų ministerijos.</w:t>
                </w:r>
              </w:p>
              <w:p>
                <w:pPr>
                  <w:widowControl w:val="0"/>
                  <w:suppressAutoHyphens/>
                  <w:spacing w:line="276" w:lineRule="auto"/>
                  <w:jc w:val="both"/>
                  <w:rPr>
                    <w:b/>
                    <w:bCs/>
                    <w:szCs w:val="24"/>
                    <w:lang w:val="lt"/>
                  </w:rPr>
                </w:pPr>
                <w:r>
                  <w:rPr>
                    <w:b/>
                    <w:bCs/>
                    <w:szCs w:val="24"/>
                    <w:lang w:val="lt"/>
                  </w:rPr>
                  <w:t xml:space="preserve">4. Jeigu sulaikytas laivas įplaukia į uostą, uosto kapitonas neleidžia laivui išplaukti iš uosto, kai priimtas aplinkos apsaugos valstybinės priežiūros pareigūno sprendimas sulaikyti laivą. </w:t>
                </w:r>
              </w:p>
              <w:p>
                <w:pPr>
                  <w:widowControl w:val="0"/>
                  <w:suppressAutoHyphens/>
                  <w:spacing w:line="276" w:lineRule="auto"/>
                  <w:jc w:val="both"/>
                  <w:rPr>
                    <w:b/>
                    <w:bCs/>
                    <w:szCs w:val="24"/>
                    <w:lang w:val="lt"/>
                  </w:rPr>
                </w:pPr>
                <w:r>
                  <w:rPr>
                    <w:b/>
                    <w:bCs/>
                    <w:szCs w:val="24"/>
                    <w:lang w:val="lt"/>
                  </w:rPr>
                  <w:t>5. Sprendimas sulaikyti laivą gali būti skundžiamas Regionų administraciniam teismui Lietuvos Respublikos administracinių bylų teisenos įstatyme nustatyta tvarka Teismas skundą dėl sprendimo sulaikyti laivą išnagrinėja per 5 dienas nuo skundo priėmimo dienos. Teismo nutartis išnagrinėjus skundą yra neskundžiama.</w:t>
                </w:r>
              </w:p>
              <w:p>
                <w:pPr>
                  <w:widowControl w:val="0"/>
                  <w:suppressAutoHyphens/>
                  <w:spacing w:line="276" w:lineRule="auto"/>
                  <w:jc w:val="both"/>
                  <w:rPr>
                    <w:b/>
                    <w:bCs/>
                    <w:szCs w:val="24"/>
                    <w:lang w:val="lt"/>
                  </w:rPr>
                </w:pPr>
                <w:r>
                  <w:rPr>
                    <w:b/>
                    <w:bCs/>
                    <w:szCs w:val="24"/>
                    <w:lang w:val="lt"/>
                  </w:rPr>
                  <w:t>6. Sprendimo sulaikyti laivą apskundimas nesustabdo sprendimo vykdymo.</w:t>
                </w:r>
              </w:p>
              <w:p>
                <w:pPr>
                  <w:widowControl w:val="0"/>
                  <w:suppressAutoHyphens/>
                  <w:spacing w:line="276" w:lineRule="auto"/>
                  <w:jc w:val="both"/>
                  <w:rPr>
                    <w:b/>
                    <w:bCs/>
                    <w:szCs w:val="24"/>
                    <w:lang w:val="lt"/>
                  </w:rPr>
                </w:pPr>
                <w:r>
                  <w:rPr>
                    <w:b/>
                    <w:bCs/>
                    <w:szCs w:val="24"/>
                    <w:lang w:val="lt"/>
                  </w:rPr>
                  <w:t xml:space="preserve">7. Laivo savininkas (valdytojas) apmoka sulaikyto laivo stovėjimo uoste išlaidas, išskyrus atvejus, kai nepasitvirtinus 28 straipsnyje nurodytiems įtarimams nusprendžiama nutraukti laivo sulaikymą ar pasibaigia laivo sulaikymo galiojimo terminas. Jeigu buvo sukelta didelė žala ar didelės žalos grėsmė, uosto kapitonas neleidžia sulaikytam laivui išplaukti iš uosto, kol sulaikyto laivo kapitonas ar savininkas arba valdytojas nepateikia garantijų sprendimą sulaikyti laivą priėmusiam aplinkos apsaugos valstybinės priežiūros pareigūnui arba administracinio nusižengimo bylą nagrinėjančiam teismui, ikiteisminį tyrimą atliekančiam prokurorui ar baudžiamąją bylą nagrinėjančiam teismui, kuriems perduota bylos medžiaga, kad bus atlygintos žalos aplinkai ir (ar)  žalos aplinkai grėsmės suvaldymo išlaidos, ir (ar) aplinkos atkūrimo išlaidos laivui išplaukus. Laivo stovėjimo uoste išlaidos apmokamos Lietuvos Respublikos saugios laivybos įstatyme nustatyta tvarka, išskyrus šio straipsnio 9 dalį.  </w:t>
                </w:r>
              </w:p>
              <w:p>
                <w:pPr>
                  <w:widowControl w:val="0"/>
                  <w:suppressAutoHyphens/>
                  <w:spacing w:line="276" w:lineRule="auto"/>
                  <w:jc w:val="both"/>
                  <w:rPr>
                    <w:b/>
                    <w:bCs/>
                    <w:szCs w:val="24"/>
                    <w:lang w:val="lt"/>
                  </w:rPr>
                </w:pPr>
                <w:r>
                  <w:rPr>
                    <w:b/>
                    <w:bCs/>
                    <w:szCs w:val="24"/>
                    <w:lang w:val="lt"/>
                  </w:rPr>
                  <w:t>8. Apie priimtą sprendimą sulaikyti laivą aplinkos apsaugos valstybinės priežiūros pareigūnas nedelsdamas informuoja valstybės, su kurios vėliava laivas plaukia, kompetentingas institucijas, Lietuvos transporto saugos administraciją, Valstybės sienos apsaugos tarnybą prie Lietuvos Respublikos vidaus reikalų ministerijos.</w:t>
                </w:r>
              </w:p>
              <w:p>
                <w:pPr>
                  <w:widowControl w:val="0"/>
                  <w:suppressAutoHyphens/>
                  <w:spacing w:line="276" w:lineRule="auto"/>
                  <w:jc w:val="both"/>
                  <w:rPr>
                    <w:b/>
                    <w:bCs/>
                  </w:rPr>
                </w:pPr>
                <w:r>
                  <w:rPr>
                    <w:b/>
                    <w:bCs/>
                    <w:szCs w:val="24"/>
                    <w:lang w:val="lt"/>
                  </w:rPr>
                  <w:t xml:space="preserve">9. Jeigu laivas sulaikytas nepagrįstai, laivo savininko patirti  nuostoliai dėl laivo sulaikymo atlyginami Civiliniame kodekse ir kituose teisės aktuose reglamentuojančiuose nuostolių atlyginimą nustatyta tvarka.</w:t>
                </w:r>
                <w:r>
                  <w:rPr>
                    <w:b/>
                    <w:bCs/>
                  </w:rPr>
                  <w:t>“</w:t>
                </w:r>
              </w:p>
            </w:tc>
            <w:tc>
              <w:tcPr>
                <w:tcW w:w="1843" w:type="dxa"/>
                <w:tcBorders>
                  <w:left w:val="single" w:sz="4" w:space="0" w:color="000000" w:themeColor="text1"/>
                  <w:bottom w:val="single" w:sz="4" w:space="0" w:color="000000" w:themeColor="text1"/>
                  <w:right w:val="single" w:sz="4" w:space="0" w:color="000000" w:themeColor="text1"/>
                </w:tcBorders>
              </w:tcPr>
              <w:p>
                <w:pPr>
                  <w:widowControl w:val="0"/>
                  <w:suppressAutoHyphens/>
                  <w:snapToGrid w:val="0"/>
                  <w:rPr>
                    <w:rFonts w:eastAsia="Lucida Sans Unicode"/>
                  </w:rPr>
                </w:pPr>
                <w:r>
                  <w:rPr>
                    <w:rFonts w:eastAsia="Lucida Sans Unicode"/>
                  </w:rPr>
                  <w:t>Dalinis</w:t>
                </w:r>
              </w:p>
              <w:p>
                <w:pPr>
                  <w:widowControl w:val="0"/>
                  <w:suppressAutoHyphens/>
                  <w:snapToGrid w:val="0"/>
                  <w:rPr>
                    <w:rFonts w:eastAsia="Lucida Sans Unicode"/>
                  </w:rPr>
                </w:pPr>
                <w:r>
                  <w:rPr>
                    <w:rFonts w:eastAsia="Lucida Sans Unicode"/>
                  </w:rPr>
                  <w:t>Atsakinga institucija – Aplinkos ministerija</w:t>
                </w:r>
              </w:p>
            </w:tc>
          </w:tr>
          <w:tr>
            <w:tc>
              <w:tcPr>
                <w:tcW w:w="7126" w:type="dxa"/>
                <w:tcBorders>
                  <w:left w:val="single" w:sz="4" w:space="0" w:color="000000" w:themeColor="text1"/>
                  <w:bottom w:val="single" w:sz="4" w:space="0" w:color="000000" w:themeColor="text1"/>
                </w:tcBorders>
              </w:tcPr>
              <w:p>
                <w:pPr>
                  <w:widowControl w:val="0"/>
                  <w:suppressAutoHyphens/>
                  <w:rPr>
                    <w:rFonts w:eastAsia="Lucida Sans Unicode"/>
                    <w:b/>
                    <w:bCs/>
                  </w:rPr>
                </w:pPr>
                <w:r>
                  <w:rPr>
                    <w:rFonts w:eastAsia="Lucida Sans Unicode"/>
                    <w:b/>
                    <w:bCs/>
                  </w:rPr>
                  <w:t>7 straipsnis</w:t>
                </w:r>
              </w:p>
              <w:p>
                <w:pPr>
                  <w:widowControl w:val="0"/>
                  <w:suppressAutoHyphens/>
                  <w:rPr>
                    <w:rFonts w:eastAsia="Lucida Sans Unicode"/>
                    <w:b/>
                    <w:bCs/>
                  </w:rPr>
                </w:pPr>
                <w:r>
                  <w:rPr>
                    <w:rFonts w:eastAsia="Lucida Sans Unicode"/>
                    <w:b/>
                    <w:bCs/>
                  </w:rPr>
                  <w:t>Pakrantės valstybių taikomos vykdymo priemonės tranzitu plaukiantiems laivams</w:t>
                </w:r>
              </w:p>
              <w:p>
                <w:pPr>
                  <w:widowControl w:val="0"/>
                  <w:suppressAutoHyphens/>
                  <w:jc w:val="center"/>
                  <w:rPr>
                    <w:rFonts w:eastAsia="Lucida Sans Unicode"/>
                    <w:b/>
                    <w:bCs/>
                  </w:rPr>
                </w:pPr>
              </w:p>
              <w:p>
                <w:pPr>
                  <w:widowControl w:val="0"/>
                  <w:suppressAutoHyphens/>
                  <w:jc w:val="both"/>
                  <w:rPr>
                    <w:rFonts w:eastAsia="Lucida Sans Unicode"/>
                  </w:rPr>
                </w:pPr>
                <w:r>
                  <w:rPr>
                    <w:rFonts w:eastAsia="Lucida Sans Unicode"/>
                  </w:rPr>
                  <w:t>1.  Jei įtariamas teršiančių medžiagų išmetimas į 3 straipsnio 1 dalies b, c, d ar e punktuose paminėtas teritorijas, o tokiu išmetimu įtariamas laivas neįplaukia į valstybės narės, turinčios informacijos apie įtariamą išmetimą, uostą, taikomos šios priemonės:</w:t>
                </w:r>
              </w:p>
              <w:p>
                <w:pPr>
                  <w:widowControl w:val="0"/>
                  <w:suppressAutoHyphens/>
                  <w:jc w:val="both"/>
                  <w:rPr>
                    <w:rFonts w:eastAsia="Lucida Sans Unicode"/>
                  </w:rPr>
                </w:pPr>
                <w:r>
                  <w:rPr>
                    <w:rFonts w:eastAsia="Lucida Sans Unicode"/>
                  </w:rPr>
                  <w:t>a) jei kitas šio laivo įplaukimo uostas yra kitoje valstybėje narėje, atitinkamos valstybės narės glaudžiai bendradarbiauja atlikdamos 6 straipsnio 1 dalyje nurodytą patikrinimą ir priimdamos sprendimą dėl tokiems išmetimams taikomų atitinkamų priemonių;</w:t>
                </w:r>
              </w:p>
              <w:p>
                <w:pPr>
                  <w:widowControl w:val="0"/>
                  <w:suppressAutoHyphens/>
                  <w:jc w:val="both"/>
                  <w:rPr>
                    <w:rFonts w:eastAsia="Lucida Sans Unicode"/>
                  </w:rPr>
                </w:pPr>
                <w:r>
                  <w:rPr>
                    <w:rFonts w:eastAsia="Lucida Sans Unicode"/>
                  </w:rPr>
                  <w:t>b) jei kitas šio laivo įplaukimo uostas yra Bendrijai nepriklausančios valstybės uostas, valstybė narė imasi reikiamų priemonių užtikrinti, kad kitas šio laivo įplaukimo uostas būtų informuotas apie įtariamą išmetimą, ir reikalauja, kad kito įplaukimo uosto valstybė imtųsi tokiems išmetimams taikomų atitinkamų priemonių.</w:t>
                </w:r>
              </w:p>
              <w:p>
                <w:pPr>
                  <w:widowControl w:val="0"/>
                  <w:suppressAutoHyphens/>
                  <w:jc w:val="both"/>
                  <w:rPr>
                    <w:rFonts w:eastAsia="Lucida Sans Unicode"/>
                  </w:rPr>
                </w:pPr>
                <w:r>
                  <w:rPr>
                    <w:rFonts w:eastAsia="Lucida Sans Unicode"/>
                  </w:rPr>
                  <w:t>2.  Kai turima aiškių objektyvių įrodymų, kad 3 straipsnio 1 dalies b arba d punktuose paminėtose teritorijose plaukiojantis laivas 3 straipsnio 1 dalies d punkte nurodytoje teritorijoje padarė pažeidimą, susijusį su išmetimu, padariusiu didelės žalos arba dėl kurio gali kilti didelės žalos pavojus atitinkamos valstybės narės pakrantei ar jos susijusiems interesams, arba 3 straipsnio 1 dalies b arba d punktuose paminėtų teritorijų ištekliams, ta valstybė, laikydamasi 1982 m. Jungtinių Tautų jūrų teisės konvencijos XII dalies 7 skyriaus ir, jei įrodymai tai pateisina, perduoda klausimą savo kompetentingoms institucijoms, siekdama pradėti teisminį nagrinėjimą, įskaitant laivo sulaikymą, pagal savo nacionalinę teisę.</w:t>
                </w:r>
              </w:p>
              <w:p>
                <w:pPr>
                  <w:widowControl w:val="0"/>
                  <w:suppressAutoHyphens/>
                  <w:jc w:val="both"/>
                  <w:rPr>
                    <w:rFonts w:eastAsia="Lucida Sans Unicode"/>
                    <w:i/>
                    <w:iCs/>
                  </w:rPr>
                </w:pPr>
                <w:r>
                  <w:rPr>
                    <w:rFonts w:eastAsia="Lucida Sans Unicode"/>
                  </w:rPr>
                  <w:t>3.  Bet kuriuo atveju informuojamos laivo vėliavos valstybės institucijos</w:t>
                </w:r>
                <w:r>
                  <w:rPr>
                    <w:rFonts w:eastAsia="Lucida Sans Unicode"/>
                    <w:i/>
                    <w:iCs/>
                  </w:rPr>
                  <w:t>.</w:t>
                </w:r>
              </w:p>
              <w:p>
                <w:pPr>
                  <w:widowControl w:val="0"/>
                  <w:suppressAutoHyphens/>
                  <w:jc w:val="center"/>
                  <w:rPr>
                    <w:rFonts w:eastAsia="Lucida Sans Unicode"/>
                    <w:i/>
                    <w:iCs/>
                  </w:rPr>
                </w:pPr>
              </w:p>
            </w:tc>
            <w:tc>
              <w:tcPr>
                <w:tcW w:w="7056" w:type="dxa"/>
                <w:tcBorders>
                  <w:left w:val="single" w:sz="4" w:space="0" w:color="000000" w:themeColor="text1"/>
                  <w:bottom w:val="single" w:sz="4" w:space="0" w:color="000000" w:themeColor="text1"/>
                </w:tcBorders>
              </w:tcPr>
              <w:p>
                <w:pPr>
                  <w:widowControl w:val="0"/>
                  <w:suppressAutoHyphens/>
                  <w:jc w:val="both"/>
                  <w:rPr>
                    <w:b/>
                    <w:bCs/>
                    <w:szCs w:val="24"/>
                  </w:rPr>
                </w:pPr>
                <w:r>
                  <w:rPr>
                    <w:b/>
                    <w:bCs/>
                    <w:szCs w:val="24"/>
                  </w:rPr>
                  <w:t>Projektas</w:t>
                </w:r>
              </w:p>
              <w:p>
                <w:pPr>
                  <w:widowControl w:val="0"/>
                  <w:suppressAutoHyphens/>
                  <w:jc w:val="both"/>
                  <w:rPr>
                    <w:szCs w:val="24"/>
                  </w:rPr>
                </w:pPr>
                <w:r>
                  <w:rPr>
                    <w:b/>
                    <w:bCs/>
                    <w:szCs w:val="24"/>
                  </w:rPr>
                  <w:t>33 straipsnis</w:t>
                </w:r>
              </w:p>
              <w:p>
                <w:pPr>
                  <w:widowControl w:val="0"/>
                  <w:suppressAutoHyphens/>
                  <w:spacing w:line="276" w:lineRule="auto"/>
                  <w:jc w:val="both"/>
                  <w:rPr>
                    <w:b/>
                    <w:bCs/>
                  </w:rPr>
                </w:pPr>
                <w:r>
                  <w:t>„</w:t>
                </w:r>
                <w:r>
                  <w:rPr>
                    <w:b/>
                    <w:bCs/>
                    <w:szCs w:val="24"/>
                    <w:lang w:val="lt"/>
                  </w:rPr>
                  <w:t>Jei aplinkos apsaugos valstybinės priežiūros pareigūnas įtaria, kad su užsienio valstybės vėliava plaukiojantis laivas užteršė jūros aplinką arba kitaip pažeidė jūros aplinkos apsaugą ir gamtos išteklių naudojimą reglamentuojančius teisės aktus, o dėl šios veikos tyrimo iniciatyvos teisės nesuteikia šio įstatymo 28 straipsnis, aplinkos apsaugos valstybinės priežiūros pareigūnas informaciją apie jūros aplinkos teršimą arba kitą jūros aplinkos apsaugą ir gamtos išteklių naudojimą reglamentuojančių teisės aktų pažeidimą pateikia artimiausio uosto, į kurį ketina įplaukti ar įplaukė tokią veiką įvykdęs laivas, valstybei arba valstybei, su kurios vėliava plaukia laivas, ir paprašo atlikti šios veikos tyrimą</w:t>
                </w:r>
                <w:r>
                  <w:rPr>
                    <w:b/>
                    <w:bCs/>
                    <w:color w:val="000000"/>
                    <w:szCs w:val="24"/>
                  </w:rPr>
                  <w:t>.”</w:t>
                </w:r>
              </w:p>
              <w:p>
                <w:pPr>
                  <w:widowControl w:val="0"/>
                  <w:suppressAutoHyphens/>
                  <w:jc w:val="both"/>
                  <w:rPr>
                    <w:rFonts w:eastAsia="Lucida Sans Unicode"/>
                    <w:b/>
                    <w:bCs/>
                  </w:rPr>
                </w:pPr>
              </w:p>
              <w:p>
                <w:pPr>
                  <w:widowControl w:val="0"/>
                  <w:suppressAutoHyphens/>
                  <w:jc w:val="both"/>
                  <w:rPr>
                    <w:szCs w:val="24"/>
                  </w:rPr>
                </w:pPr>
                <w:r>
                  <w:rPr>
                    <w:b/>
                    <w:bCs/>
                    <w:szCs w:val="24"/>
                  </w:rPr>
                  <w:t>34 straipsnis</w:t>
                </w:r>
              </w:p>
              <w:p>
                <w:pPr>
                  <w:widowControl w:val="0"/>
                  <w:suppressAutoHyphens/>
                  <w:spacing w:line="276" w:lineRule="auto"/>
                  <w:jc w:val="both"/>
                  <w:rPr>
                    <w:b/>
                    <w:bCs/>
                  </w:rPr>
                </w:pPr>
                <w:r>
                  <w:rPr>
                    <w:b/>
                    <w:bCs/>
                  </w:rPr>
                  <w:t>„</w:t>
                </w:r>
                <w:r>
                  <w:rPr>
                    <w:b/>
                    <w:bCs/>
                    <w:szCs w:val="24"/>
                    <w:lang w:val="lt"/>
                  </w:rPr>
                  <w:t>Aplinkos apsaugos valstybinę priežiūrą atliekanti institucija ir aplinkos apsaugos valstybinės priežiūros pareigūnai privalo užsienio valstybių kompetentingoms institucijoms teikti turimą informaciją, susijusią su jūros aplinkos teršimu arba kitu jūros aplinkos apsaugą ir gamtos išteklių naudojimą reglamentuojančių teisės aktų pažeidimu, taip pat atlikti kitus veiksmus, kurie padeda ar gali padėti nustatyti jūros aplinką teršiančius arba kitaip jūros aplinkos apsaugą ir gamtos išteklių naudojimą reglamentuojančius teisės aktus pažeidžiančius laivus ir (ar) su tokia veika susijusias aplinkybes.</w:t>
                </w:r>
                <w:r>
                  <w:rPr>
                    <w:b/>
                    <w:bCs/>
                  </w:rPr>
                  <w:t>“</w:t>
                </w:r>
              </w:p>
              <w:p>
                <w:pPr>
                  <w:widowControl w:val="0"/>
                  <w:suppressAutoHyphens/>
                  <w:jc w:val="both"/>
                  <w:rPr>
                    <w:b/>
                    <w:bCs/>
                  </w:rPr>
                </w:pPr>
              </w:p>
              <w:p>
                <w:pPr>
                  <w:widowControl w:val="0"/>
                  <w:suppressAutoHyphens/>
                  <w:jc w:val="both"/>
                  <w:rPr>
                    <w:rFonts w:eastAsia="Lucida Sans Unicode"/>
                    <w:b/>
                    <w:bCs/>
                  </w:rPr>
                </w:pPr>
              </w:p>
            </w:tc>
            <w:tc>
              <w:tcPr>
                <w:tcW w:w="1843" w:type="dxa"/>
                <w:tcBorders>
                  <w:left w:val="single" w:sz="4" w:space="0" w:color="000000" w:themeColor="text1"/>
                  <w:bottom w:val="single" w:sz="4" w:space="0" w:color="000000" w:themeColor="text1"/>
                  <w:right w:val="single" w:sz="4" w:space="0" w:color="000000" w:themeColor="text1"/>
                </w:tcBorders>
              </w:tcPr>
              <w:p>
                <w:pPr>
                  <w:widowControl w:val="0"/>
                  <w:suppressAutoHyphens/>
                  <w:snapToGrid w:val="0"/>
                  <w:rPr>
                    <w:rFonts w:eastAsia="Lucida Sans Unicode"/>
                  </w:rPr>
                </w:pPr>
                <w:r>
                  <w:rPr>
                    <w:rFonts w:eastAsia="Lucida Sans Unicode"/>
                  </w:rPr>
                  <w:t>Dalinis</w:t>
                </w:r>
              </w:p>
              <w:p>
                <w:pPr>
                  <w:widowControl w:val="0"/>
                  <w:suppressAutoHyphens/>
                  <w:snapToGrid w:val="0"/>
                  <w:rPr>
                    <w:rFonts w:eastAsia="Lucida Sans Unicode"/>
                  </w:rPr>
                </w:pPr>
                <w:r>
                  <w:rPr>
                    <w:rFonts w:eastAsia="Lucida Sans Unicode"/>
                  </w:rPr>
                  <w:t>Atsakinga institucija – Aplinkos ministerija</w:t>
                </w:r>
              </w:p>
            </w:tc>
          </w:tr>
          <w:tr>
            <w:tc>
              <w:tcPr>
                <w:tcW w:w="7126" w:type="dxa"/>
                <w:tcBorders>
                  <w:left w:val="single" w:sz="4" w:space="0" w:color="000000" w:themeColor="text1"/>
                </w:tcBorders>
              </w:tcPr>
              <w:p>
                <w:pPr>
                  <w:widowControl w:val="0"/>
                  <w:suppressAutoHyphens/>
                  <w:rPr>
                    <w:b/>
                    <w:bCs/>
                    <w:spacing w:val="-1"/>
                    <w:kern w:val="1"/>
                    <w:lang w:eastAsia="ar-SA"/>
                  </w:rPr>
                </w:pPr>
                <w:r>
                  <w:rPr>
                    <w:b/>
                    <w:bCs/>
                    <w:spacing w:val="-1"/>
                    <w:kern w:val="1"/>
                    <w:lang w:eastAsia="ar-SA"/>
                  </w:rPr>
                  <w:t>16 straipsnis</w:t>
                </w:r>
              </w:p>
              <w:p>
                <w:pPr>
                  <w:widowControl w:val="0"/>
                  <w:suppressAutoHyphens/>
                  <w:rPr>
                    <w:b/>
                    <w:bCs/>
                    <w:spacing w:val="-1"/>
                    <w:kern w:val="1"/>
                    <w:lang w:eastAsia="ar-SA"/>
                  </w:rPr>
                </w:pPr>
                <w:r>
                  <w:rPr>
                    <w:b/>
                    <w:bCs/>
                    <w:spacing w:val="-1"/>
                    <w:kern w:val="1"/>
                    <w:lang w:eastAsia="ar-SA"/>
                  </w:rPr>
                  <w:t>Įgyvendinimas</w:t>
                </w:r>
              </w:p>
              <w:p>
                <w:pPr>
                  <w:widowControl w:val="0"/>
                  <w:suppressAutoHyphens/>
                  <w:jc w:val="both"/>
                  <w:rPr>
                    <w:b/>
                    <w:bCs/>
                    <w:spacing w:val="-1"/>
                    <w:kern w:val="1"/>
                    <w:lang w:eastAsia="ar-SA"/>
                  </w:rPr>
                </w:pPr>
              </w:p>
              <w:p>
                <w:pPr>
                  <w:widowControl w:val="0"/>
                  <w:suppressAutoHyphens/>
                  <w:spacing w:line="259" w:lineRule="auto"/>
                  <w:rPr>
                    <w:rFonts w:ascii="TimesLT" w:hAnsi="TimesLT"/>
                    <w:spacing w:val="-1"/>
                    <w:kern w:val="1"/>
                    <w:lang w:eastAsia="ar-SA"/>
                  </w:rPr>
                </w:pPr>
                <w:r>
                  <w:rPr>
                    <w:spacing w:val="-1"/>
                    <w:kern w:val="1"/>
                    <w:lang w:eastAsia="ar-SA"/>
                  </w:rPr>
                  <w:t>&lt;...&gt;</w:t>
                </w:r>
              </w:p>
              <w:p>
                <w:pPr>
                  <w:widowControl w:val="0"/>
                  <w:suppressAutoHyphens/>
                  <w:jc w:val="both"/>
                  <w:rPr>
                    <w:b/>
                    <w:bCs/>
                    <w:spacing w:val="-1"/>
                    <w:kern w:val="1"/>
                    <w:lang w:eastAsia="ar-SA"/>
                  </w:rPr>
                </w:pPr>
              </w:p>
              <w:p>
                <w:pPr>
                  <w:widowControl w:val="0"/>
                  <w:suppressAutoHyphens/>
                  <w:rPr>
                    <w:spacing w:val="-1"/>
                    <w:kern w:val="1"/>
                    <w:lang w:eastAsia="ar-SA"/>
                  </w:rPr>
                </w:pPr>
                <w:r>
                  <w:rPr>
                    <w:spacing w:val="-1"/>
                    <w:kern w:val="1"/>
                    <w:lang w:eastAsia="ar-SA"/>
                  </w:rPr>
                  <w:t>Valstybės narės, priimdamos šias nuostatas, daro jose nuorodą į šią direktyvą arba tokia nuoroda daroma jas oficialiai skelbiant. Nuorodos darymo tvarką nustato valstybės narės.</w:t>
                </w:r>
              </w:p>
              <w:p>
                <w:pPr>
                  <w:widowControl w:val="0"/>
                  <w:suppressAutoHyphens/>
                  <w:jc w:val="both"/>
                  <w:rPr>
                    <w:kern w:val="1"/>
                    <w:lang w:eastAsia="ar-SA"/>
                  </w:rPr>
                </w:pPr>
              </w:p>
            </w:tc>
            <w:tc>
              <w:tcPr>
                <w:tcW w:w="7056" w:type="dxa"/>
                <w:tcBorders>
                  <w:left w:val="single" w:sz="4" w:space="0" w:color="000000" w:themeColor="text1"/>
                </w:tcBorders>
              </w:tcPr>
              <w:p>
                <w:pPr>
                  <w:widowControl w:val="0"/>
                  <w:suppressAutoHyphens/>
                  <w:jc w:val="both"/>
                  <w:rPr>
                    <w:rFonts w:eastAsia="Lucida Sans Unicode"/>
                    <w:b/>
                    <w:bCs/>
                    <w:szCs w:val="24"/>
                  </w:rPr>
                </w:pPr>
                <w:r>
                  <w:rPr>
                    <w:rFonts w:eastAsia="Lucida Sans Unicode"/>
                    <w:b/>
                    <w:bCs/>
                    <w:szCs w:val="24"/>
                  </w:rPr>
                  <w:t>Projekto priedas „Įgyvendinamieji Europos Sąjungos teisės aktai“</w:t>
                </w:r>
              </w:p>
              <w:p>
                <w:pPr>
                  <w:widowControl w:val="0"/>
                  <w:suppressAutoHyphens/>
                  <w:jc w:val="both"/>
                  <w:rPr>
                    <w:rFonts w:eastAsia="Lucida Sans Unicode"/>
                    <w:b/>
                    <w:bCs/>
                    <w:szCs w:val="24"/>
                  </w:rPr>
                </w:pPr>
              </w:p>
              <w:p>
                <w:pPr>
                  <w:widowControl w:val="0"/>
                  <w:suppressAutoHyphens/>
                  <w:jc w:val="both"/>
                  <w:rPr>
                    <w:rFonts w:eastAsia="Lucida Sans Unicode"/>
                    <w:b/>
                    <w:bCs/>
                    <w:szCs w:val="24"/>
                  </w:rPr>
                </w:pPr>
                <w:r>
                  <w:rPr>
                    <w:rFonts w:eastAsia="Lucida Sans Unicode"/>
                    <w:b/>
                    <w:bCs/>
                    <w:szCs w:val="24"/>
                  </w:rPr>
                  <w:t>„&lt;...&gt;</w:t>
                </w:r>
              </w:p>
              <w:p>
                <w:pPr>
                  <w:widowControl w:val="0"/>
                  <w:suppressAutoHyphens/>
                  <w:snapToGrid w:val="0"/>
                  <w:jc w:val="both"/>
                  <w:rPr>
                    <w:rFonts w:eastAsia="Lucida Sans Unicode"/>
                    <w:b/>
                    <w:bCs/>
                  </w:rPr>
                </w:pPr>
                <w:r>
                  <w:rPr>
                    <w:rFonts w:eastAsia="Lucida Sans Unicode"/>
                    <w:b/>
                    <w:bCs/>
                    <w:shd w:val="clear" w:color="auto" w:fill="FFFFFF"/>
                  </w:rPr>
                  <w:t xml:space="preserve">3. </w:t>
                </w:r>
                <w:r>
                  <w:rPr>
                    <w:b/>
                    <w:bCs/>
                    <w:szCs w:val="24"/>
                    <w:lang w:val="lt"/>
                  </w:rPr>
                  <w:t xml:space="preserve">2005 m. rugsėjo 7 d. Europos Parlamento ir Tarybos direktyva </w:t>
                </w:r>
                <w:fldSimple w:instr="HYPERLINK http://eur-lex.europa.eu/legal-content/LIT/TXT/?uri=CELEX:32005L0035&amp;locale=lt \t _blank">
                  <w:r>
                    <w:rPr>
                      <w:b/>
                      <w:bCs/>
                      <w:szCs w:val="24"/>
                      <w:lang w:val="lt"/>
                      <w:u w:val="single"/>
                      <w:color w:val="0000FF" w:themeColor="hyperlink"/>
                    </w:rPr>
                    <w:t>2005/35/EB</w:t>
                  </w:r>
                </w:fldSimple>
                <w:r>
                  <w:rPr>
                    <w:b/>
                    <w:bCs/>
                    <w:szCs w:val="24"/>
                    <w:lang w:val="lt"/>
                  </w:rPr>
                  <w:t xml:space="preserve"> dėl taršos iš laivų ir sankcijų už pažeidimus įvedimo su pakeitimais, padarytais 2009 m. spalio 21 d. Europos Parlamento ir Tarybos direktyva </w:t>
                </w:r>
                <w:fldSimple w:instr="HYPERLINK http://eur-lex.europa.eu/legal-content/LIT/TXT/?uri=CELEX:32009L0123&amp;locale=lt \t _blank">
                  <w:r>
                    <w:rPr>
                      <w:b/>
                      <w:bCs/>
                      <w:szCs w:val="24"/>
                      <w:lang w:val="lt"/>
                      <w:u w:val="single"/>
                      <w:color w:val="0000FF" w:themeColor="hyperlink"/>
                    </w:rPr>
                    <w:t>2009/123/EB</w:t>
                  </w:r>
                </w:fldSimple>
                <w:r>
                  <w:rPr>
                    <w:rFonts w:eastAsia="Lucida Sans Unicode"/>
                    <w:b/>
                    <w:bCs/>
                    <w:shd w:val="clear" w:color="auto" w:fill="FFFFFF"/>
                  </w:rPr>
                  <w:t>.</w:t>
                </w:r>
              </w:p>
              <w:p>
                <w:pPr>
                  <w:widowControl w:val="0"/>
                  <w:suppressAutoHyphens/>
                  <w:snapToGrid w:val="0"/>
                  <w:jc w:val="both"/>
                  <w:rPr>
                    <w:rFonts w:eastAsia="Lucida Sans Unicode"/>
                    <w:b/>
                    <w:bCs/>
                  </w:rPr>
                </w:pPr>
                <w:r>
                  <w:rPr>
                    <w:rFonts w:eastAsia="Lucida Sans Unicode"/>
                    <w:b/>
                    <w:bCs/>
                  </w:rPr>
                  <w:t>.&lt;...&gt;.“</w:t>
                </w:r>
              </w:p>
            </w:tc>
            <w:tc>
              <w:tcPr>
                <w:tcW w:w="1843" w:type="dxa"/>
                <w:tcBorders>
                  <w:left w:val="single" w:sz="4" w:space="0" w:color="000000" w:themeColor="text1"/>
                  <w:right w:val="single" w:sz="4" w:space="0" w:color="000000" w:themeColor="text1"/>
                </w:tcBorders>
              </w:tcPr>
              <w:p>
                <w:pPr>
                  <w:widowControl w:val="0"/>
                  <w:suppressAutoHyphens/>
                  <w:snapToGrid w:val="0"/>
                  <w:jc w:val="both"/>
                  <w:rPr>
                    <w:rFonts w:eastAsia="Lucida Sans Unicode"/>
                  </w:rPr>
                </w:pPr>
                <w:r>
                  <w:rPr>
                    <w:rFonts w:eastAsia="Lucida Sans Unicode"/>
                  </w:rPr>
                  <w:t>Dalinis</w:t>
                </w:r>
              </w:p>
              <w:p>
                <w:pPr>
                  <w:widowControl w:val="0"/>
                  <w:suppressAutoHyphens/>
                  <w:snapToGrid w:val="0"/>
                  <w:rPr>
                    <w:rFonts w:eastAsia="Lucida Sans Unicode"/>
                  </w:rPr>
                </w:pPr>
                <w:r>
                  <w:rPr>
                    <w:rFonts w:eastAsia="Lucida Sans Unicode"/>
                  </w:rPr>
                  <w:t>Atsakinga institucija – Aplinkos ministerija</w:t>
                </w:r>
              </w:p>
              <w:p>
                <w:pPr>
                  <w:widowControl w:val="0"/>
                  <w:suppressAutoHyphens/>
                  <w:snapToGrid w:val="0"/>
                  <w:jc w:val="both"/>
                  <w:rPr>
                    <w:rFonts w:eastAsia="Lucida Sans Unicode"/>
                  </w:rPr>
                </w:pPr>
              </w:p>
            </w:tc>
          </w:tr>
        </w:tbl>
        <w:p>
          <w:pPr>
            <w:widowControl w:val="0"/>
            <w:pBdr>
              <w:bottom w:val="single" w:sz="4" w:space="1" w:color="auto"/>
            </w:pBdr>
            <w:suppressAutoHyphens/>
            <w:rPr>
              <w:rFonts w:eastAsia="Lucida Sans Unicode"/>
            </w:rPr>
          </w:pPr>
        </w:p>
        <w:p/>
        <w:p>
          <w:pPr>
            <w:widowControl w:val="0"/>
            <w:suppressAutoHyphens/>
            <w:rPr>
              <w:rFonts w:eastAsia="Lucida Sans Unicode"/>
            </w:rPr>
          </w:pPr>
        </w:p>
      </w:sdtContent>
    </w:sdt>
    <w:sdt>
      <w:sdtPr>
        <w:alias w:val="pastraipa"/>
        <w:tag w:val="part_8f7d05df610b4315aa4f8d24551acb99"/>
        <w:lock w:val="sdtLocked"/>
        <w:richText/>
      </w:sdtPr>
      <w:sdtContent>
        <w:p>
          <w:pPr>
            <w:widowControl w:val="0"/>
            <w:suppressAutoHyphens/>
            <w:jc w:val="center"/>
            <w:rPr>
              <w:rFonts w:eastAsia="Lucida Sans Unicode"/>
            </w:rPr>
          </w:pPr>
          <w:r>
            <w:rPr>
              <w:rFonts w:eastAsia="Lucida Sans Unicode"/>
            </w:rPr>
            <w:t>_____________________</w:t>
          </w:r>
        </w:p>
      </w:sdtContent>
    </w:sdt>
    <w:sectPr>
      <w:headerReference w:type="even" r:id="rId9"/>
      <w:headerReference w:type="default" r:id="rId10"/>
      <w:footerReference w:type="even" r:id="rId11"/>
      <w:footerReference w:type="default" r:id="rId12"/>
      <w:headerReference w:type="first" r:id="rId13"/>
      <w:footerReference w:type="first" r:id="rId14"/>
      <w:pgSz w:w="16837" w:h="11905" w:orient="landscape"/>
      <w:pgMar w:top="1134" w:right="639" w:bottom="1134" w:left="627" w:header="720" w:footer="720"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rPr>
      </w:pPr>
      <w:r>
        <w:rPr>
          <w:rFonts w:eastAsia="Lucida Sans Unicode"/>
        </w:rPr>
        <w:separator/>
      </w:r>
    </w:p>
  </w:endnote>
  <w:endnote w:type="continuationSeparator" w:id="0">
    <w:p>
      <w:pPr>
        <w:widowControl w:val="0"/>
        <w:suppressAutoHyphens/>
        <w:rPr>
          <w:rFonts w:eastAsia="Lucida Sans Unicode"/>
        </w:rPr>
      </w:pPr>
      <w:r>
        <w:rPr>
          <w:rFonts w:eastAsia="Lucida Sans Unicode"/>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rPr>
        <w:szCs w:val="24"/>
        <w:lang w:val="en-US"/>
      </w:rPr>
    </w:pPr>
    <w:r>
      <w:rPr>
        <w:szCs w:val="24"/>
        <w:lang w:val="en-US"/>
      </w:rPr>
      <mc:AlternateContent>
        <mc:Choice Requires="wps">
          <w:drawing>
            <wp:anchor distT="0" distB="0" distL="0" distR="0" simplePos="0" relativeHeight="251657216" behindDoc="0" locked="0" layoutInCell="1" allowOverlap="1" wp14:anchorId="3BF18188" wp14:editId="435F63FC">
              <wp:simplePos x="0" y="0"/>
              <wp:positionH relativeFrom="margin">
                <wp:align>center</wp:align>
              </wp:positionH>
              <wp:positionV relativeFrom="paragraph">
                <wp:posOffset>635</wp:posOffset>
              </wp:positionV>
              <wp:extent cx="76200" cy="168275"/>
              <wp:effectExtent l="0" t="635" r="0" b="2540"/>
              <wp:wrapSquare wrapText="largest"/>
              <wp:docPr id="58205864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6827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tabs>
                              <w:tab w:val="center" w:pos="4320"/>
                              <w:tab w:val="right" w:pos="8640"/>
                            </w:tabs>
                            <w:suppressAutoHyphens/>
                            <w:rPr>
                              <w:szCs w:val="24"/>
                              <w:lang w:val="en-US"/>
                            </w:rPr>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2</w:t>
                          </w:r>
                          <w:r>
                            <w:rPr>
                              <w:szCs w:val="24"/>
                              <w:lang w:val="en-US"/>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F18188" id="_x0000_t202" coordsize="21600,21600" o:spt="202" path="m,l,21600r21600,l21600,xe">
              <v:stroke joinstyle="miter"/>
              <v:path gradientshapeok="t" o:connecttype="rect"/>
            </v:shapetype>
            <v:shape id="Text Box 1" o:spid="_x0000_s1026" type="#_x0000_t202" style="position:absolute;margin-left:0;margin-top:.05pt;width:6pt;height:13.25pt;z-index:251657216;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0yHXkAIAACIFAAAOAAAAZHJzL2Uyb0RvYy54bWysVNuO2yAQfa/Uf0C8Z32Rk9jWOqvdpKkq bS/Sbj+A2DhGxUCBxN5W++8dIM5u2peqqh/wAMPhzMwZrm/GnqMj1YZJUeHkKsaIilo2TOwr/PVx O8sxMpaIhnApaIWfqME3q7dvrgdV0lR2kjdUIwARphxUhTtrVRlFpu5oT8yVVFTAZit1TyxM9T5q NBkAvedRGseLaJC6UVrW1BhY3YRNvPL4bUtr+7ltDbWIVxi4WT9qP+7cGK2uSbnXRHWsPtEg/8Ci J0zApWeoDbEEHTT7A6pntZZGtvaqln0k25bV1McA0STxb9E8dERRHwskx6hzmsz/g60/Hb9oxJoK z/M0nueLLMNIkB5K9UhHi+7kiBKXpUGZEpwfFLjbEZah2j5io+5l/c0gIdcdEXt6q7UcOkoaYOlP Rq+OBhzjQHbDR9nANeRgpQcaW927FEJSEKBDtZ7OFXJUalhcLqDoGNWwkyzydDl31CJSTmeVNvY9 lT1yRoU11N9jk+O9scF1cnFXGclZs2Wc+4ne79ZcoyMBrWz9F85y1ZGw6vUC15ng6q++wODCIQnp MMN1YQX4AwG35yLxwvhZJGkW36XFbLvIl7Nsm81nxTLOZ3FS3BWLOCuyzfbZMUiysmNNQ8U9E3QS aZL9nQhO7RLk5WWKhgoX83Tug7tgfwrrFGvsvlN+L9x6ZqFnOesrnJ+dSOlq/k40EDYpLWE82NEl fZ8yyMH091nxCnGiCPKw424EFCebnWyeQCtaQjGh7vDQgNFJ/QOjAZq2wub7gWiKEf8gQG+uwydD T8ZuMoio4WiFLUbBXNvwEhyUZvsOkIOihbwFTbbMC+aFBVB2E2hET/70aLhOfz33Xi9P2+oXAAAA //8DAFBLAwQUAAYACAAAACEAe/J1/tcAAAADAQAADwAAAGRycy9kb3ducmV2LnhtbEyPwU7DMBBE 70j8g7VI3KhDkEIbsqnaIrgi0kq9uvE2jhKvo9htw9/jnOA4O6uZN8V6sr240uhbxwjPiwQEce10 yw3CYf/xtAThg2KteseE8EMe1uX9XaFy7W78TdcqNCKGsM8VgglhyKX0tSGr/MINxNE7u9GqEOXY SD2qWwy3vUyTJJNWtRwbjBpoZ6juqotFePlKX4/+s3rfDUdadUu/7c5sEB8fps0biEBT+HuGGT+i QxmZTu7C2oseIQ4J81XMXhrVCSHNMpBlIf+zl78AAAD//wMAUEsBAi0AFAAGAAgAAAAhALaDOJL+ AAAA4QEAABMAAAAAAAAAAAAAAAAAAAAAAFtDb250ZW50X1R5cGVzXS54bWxQSwECLQAUAAYACAAA ACEAOP0h/9YAAACUAQAACwAAAAAAAAAAAAAAAAAvAQAAX3JlbHMvLnJlbHNQSwECLQAUAAYACAAA ACEAJdMh15ACAAAiBQAADgAAAAAAAAAAAAAAAAAuAgAAZHJzL2Uyb0RvYy54bWxQSwECLQAUAAYA CAAAACEAe/J1/tcAAAADAQAADwAAAAAAAAAAAAAAAADqBAAAZHJzL2Rvd25yZXYueG1sUEsFBgAA AAAEAAQA8wAAAO4FAAAAAA== " stroked="f">
              <v:fill opacity="0"/>
              <v:textbox inset="0,0,0,0">
                <w:txbxContent>
                  <w:p w14:paraId="6220D268" w14:textId="77777777">
                    <w:pPr>
                      <w:tabs>
                        <w:tab w:val="center" w:leader="none" w:pos="4320"/>
                        <w:tab w:val="right" w:leader="none" w:pos="8640"/>
                      </w:tabs>
                      <w:suppressAutoHyphens w:val="1"/>
                      <w:rPr>
                        <w:rFonts w:ascii="Times New Roman" w:hAnsi="Times New Roman" w:eastAsia="Times New Roman" w:cs="Times New Roman"/>
                        <w:szCs w:val="24"/>
                        <w:lang w:val="en-US"/>
                      </w:rPr>
                    </w:pPr>
                    <w:r>
                      <w:rPr>
                        <w:rFonts w:ascii="Times New Roman" w:hAnsi="Times New Roman" w:eastAsia="Times New Roman" w:cs="Times New Roman"/>
                        <w:szCs w:val="24"/>
                        <w:lang w:val="en-US"/>
                      </w:rPr>
                      <w:fldChar w:fldCharType="begin"/>
                    </w:r>
                    <w:r>
                      <w:rPr>
                        <w:rFonts w:ascii="Times New Roman" w:hAnsi="Times New Roman" w:eastAsia="Times New Roman" w:cs="Times New Roman"/>
                        <w:szCs w:val="24"/>
                        <w:lang w:val="en-US"/>
                      </w:rPr>
                      <w:instrText xml:space="preserve"> PAGE </w:instrText>
                    </w:r>
                    <w:r>
                      <w:rPr>
                        <w:rFonts w:ascii="Times New Roman" w:hAnsi="Times New Roman" w:eastAsia="Times New Roman" w:cs="Times New Roman"/>
                        <w:szCs w:val="24"/>
                        <w:lang w:val="en-US"/>
                      </w:rPr>
                      <w:fldChar w:fldCharType="separate"/>
                    </w:r>
                    <w:r>
                      <w:rPr>
                        <w:rFonts w:ascii="Times New Roman" w:hAnsi="Times New Roman" w:eastAsia="Times New Roman" w:cs="Times New Roman"/>
                        <w:szCs w:val="24"/>
                        <w:lang w:val="en-US"/>
                      </w:rPr>
                      <w:t>2</w:t>
                    </w:r>
                    <w:r>
                      <w:rPr>
                        <w:rFonts w:ascii="Times New Roman" w:hAnsi="Times New Roman" w:eastAsia="Times New Roman" w:cs="Times New Roman"/>
                        <w:szCs w:val="24"/>
                        <w:lang w:val="en-US"/>
                      </w:rPr>
                      <w:fldChar w:fldCharType="end"/>
                    </w:r>
                  </w:p>
                </w:txbxContent>
              </v:textbox>
              <w10:wrap type="square" side="largest" anchorx="margin"/>
            </v:shape>
          </w:pict>
        </mc:Fallback>
      </mc:AlternateConten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rPr>
      </w:pPr>
      <w:r>
        <w:rPr>
          <w:rFonts w:eastAsia="Lucida Sans Unicode"/>
        </w:rPr>
        <w:separator/>
      </w:r>
    </w:p>
  </w:footnote>
  <w:footnote w:type="continuationSeparator" w:id="0">
    <w:p>
      <w:pPr>
        <w:widowControl w:val="0"/>
        <w:suppressAutoHyphens/>
        <w:rPr>
          <w:rFonts w:eastAsia="Lucida Sans Unicode"/>
        </w:rPr>
      </w:pPr>
      <w:r>
        <w:rPr>
          <w:rFonts w:eastAsia="Lucida Sans Unicode"/>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320"/>
        <w:tab w:val="right" w:pos="8640"/>
      </w:tabs>
      <w:suppressAutoHyphens/>
      <w:rPr>
        <w:rFonts w:eastAsia="Lucida Sans Unicod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320"/>
        <w:tab w:val="right" w:pos="8640"/>
      </w:tabs>
      <w:suppressAutoHyphens/>
      <w:jc w:val="center"/>
      <w:rPr>
        <w:rFonts w:eastAsia="Lucida Sans Unicode"/>
      </w:rPr>
    </w:pPr>
    <w:r>
      <w:rPr>
        <w:rFonts w:eastAsia="Lucida Sans Unicode"/>
      </w:rPr>
      <w:fldChar w:fldCharType="begin"/>
    </w:r>
    <w:r>
      <w:rPr>
        <w:rFonts w:eastAsia="Lucida Sans Unicode"/>
      </w:rPr>
      <w:instrText xml:space="preserve"> PAGE   \* MERGEFORMAT </w:instrText>
    </w:r>
    <w:r>
      <w:rPr>
        <w:rFonts w:eastAsia="Lucida Sans Unicode"/>
      </w:rPr>
      <w:fldChar w:fldCharType="separate"/>
    </w:r>
    <w:r>
      <w:rPr>
        <w:rFonts w:eastAsia="Lucida Sans Unicode"/>
      </w:rPr>
      <w:t>2</w:t>
    </w:r>
    <w:r>
      <w:rPr>
        <w:rFonts w:eastAsia="Lucida Sans Unicode"/>
      </w:rPr>
      <w:fldChar w:fldCharType="end"/>
    </w:r>
  </w:p>
  <w:p>
    <w:pPr>
      <w:widowControl w:val="0"/>
      <w:tabs>
        <w:tab w:val="center" w:pos="4320"/>
        <w:tab w:val="right" w:pos="8640"/>
      </w:tabs>
      <w:suppressAutoHyphens/>
      <w:rPr>
        <w:rFonts w:eastAsia="Lucida Sans Unicod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320"/>
        <w:tab w:val="right" w:pos="8640"/>
      </w:tabs>
      <w:suppressAutoHyphens/>
      <w:rPr>
        <w:rFonts w:eastAsia="Lucida Sans Unicod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709"/>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0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0DC7F5EF-9D33-40E6-814F-5389AD2D479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0939902">
      <w:bodyDiv w:val="1"/>
      <w:marLeft w:val="0"/>
      <w:marRight w:val="0"/>
      <w:marTop w:val="0"/>
      <w:marBottom w:val="0"/>
      <w:divBdr>
        <w:top w:val="none" w:sz="0" w:space="0" w:color="auto"/>
        <w:left w:val="none" w:sz="0" w:space="0" w:color="auto"/>
        <w:bottom w:val="none" w:sz="0" w:space="0" w:color="auto"/>
        <w:right w:val="none" w:sz="0" w:space="0" w:color="auto"/>
      </w:divBdr>
    </w:div>
    <w:div w:id="999306572">
      <w:bodyDiv w:val="1"/>
      <w:marLeft w:val="0"/>
      <w:marRight w:val="0"/>
      <w:marTop w:val="0"/>
      <w:marBottom w:val="0"/>
      <w:divBdr>
        <w:top w:val="none" w:sz="0" w:space="0" w:color="auto"/>
        <w:left w:val="none" w:sz="0" w:space="0" w:color="auto"/>
        <w:bottom w:val="none" w:sz="0" w:space="0" w:color="auto"/>
        <w:right w:val="none" w:sz="0" w:space="0" w:color="auto"/>
      </w:divBdr>
      <w:divsChild>
        <w:div w:id="460734453">
          <w:marLeft w:val="480"/>
          <w:marRight w:val="0"/>
          <w:marTop w:val="0"/>
          <w:marBottom w:val="0"/>
          <w:divBdr>
            <w:top w:val="none" w:sz="0" w:space="0" w:color="auto"/>
            <w:left w:val="none" w:sz="0" w:space="0" w:color="auto"/>
            <w:bottom w:val="none" w:sz="0" w:space="0" w:color="auto"/>
            <w:right w:val="none" w:sz="0" w:space="0" w:color="auto"/>
          </w:divBdr>
        </w:div>
        <w:div w:id="2084327604">
          <w:marLeft w:val="480"/>
          <w:marRight w:val="0"/>
          <w:marTop w:val="0"/>
          <w:marBottom w:val="0"/>
          <w:divBdr>
            <w:top w:val="none" w:sz="0" w:space="0" w:color="auto"/>
            <w:left w:val="none" w:sz="0" w:space="0" w:color="auto"/>
            <w:bottom w:val="none" w:sz="0" w:space="0" w:color="auto"/>
            <w:right w:val="none" w:sz="0" w:space="0" w:color="auto"/>
          </w:divBdr>
        </w:div>
      </w:divsChild>
    </w:div>
    <w:div w:id="1203329133">
      <w:bodyDiv w:val="1"/>
      <w:marLeft w:val="0"/>
      <w:marRight w:val="0"/>
      <w:marTop w:val="0"/>
      <w:marBottom w:val="0"/>
      <w:divBdr>
        <w:top w:val="none" w:sz="0" w:space="0" w:color="auto"/>
        <w:left w:val="none" w:sz="0" w:space="0" w:color="auto"/>
        <w:bottom w:val="none" w:sz="0" w:space="0" w:color="auto"/>
        <w:right w:val="none" w:sz="0" w:space="0" w:color="auto"/>
      </w:divBdr>
    </w:div>
    <w:div w:id="2120366900">
      <w:bodyDiv w:val="1"/>
      <w:marLeft w:val="0"/>
      <w:marRight w:val="0"/>
      <w:marTop w:val="0"/>
      <w:marBottom w:val="0"/>
      <w:divBdr>
        <w:top w:val="none" w:sz="0" w:space="0" w:color="auto"/>
        <w:left w:val="none" w:sz="0" w:space="0" w:color="auto"/>
        <w:bottom w:val="none" w:sz="0" w:space="0" w:color="auto"/>
        <w:right w:val="none" w:sz="0" w:space="0" w:color="auto"/>
      </w:divBdr>
      <w:divsChild>
        <w:div w:id="113405563">
          <w:marLeft w:val="480"/>
          <w:marRight w:val="0"/>
          <w:marTop w:val="0"/>
          <w:marBottom w:val="0"/>
          <w:divBdr>
            <w:top w:val="none" w:sz="0" w:space="0" w:color="auto"/>
            <w:left w:val="none" w:sz="0" w:space="0" w:color="auto"/>
            <w:bottom w:val="none" w:sz="0" w:space="0" w:color="auto"/>
            <w:right w:val="none" w:sz="0" w:space="0" w:color="auto"/>
          </w:divBdr>
        </w:div>
        <w:div w:id="222495601">
          <w:marLeft w:val="480"/>
          <w:marRight w:val="0"/>
          <w:marTop w:val="0"/>
          <w:marBottom w:val="0"/>
          <w:divBdr>
            <w:top w:val="none" w:sz="0" w:space="0" w:color="auto"/>
            <w:left w:val="none" w:sz="0" w:space="0" w:color="auto"/>
            <w:bottom w:val="none" w:sz="0" w:space="0" w:color="auto"/>
            <w:right w:val="none" w:sz="0" w:space="0" w:color="auto"/>
          </w:divBdr>
        </w:div>
        <w:div w:id="225382897">
          <w:marLeft w:val="480"/>
          <w:marRight w:val="0"/>
          <w:marTop w:val="0"/>
          <w:marBottom w:val="0"/>
          <w:divBdr>
            <w:top w:val="none" w:sz="0" w:space="0" w:color="auto"/>
            <w:left w:val="none" w:sz="0" w:space="0" w:color="auto"/>
            <w:bottom w:val="none" w:sz="0" w:space="0" w:color="auto"/>
            <w:right w:val="none" w:sz="0" w:space="0" w:color="auto"/>
          </w:divBdr>
        </w:div>
        <w:div w:id="421924738">
          <w:marLeft w:val="480"/>
          <w:marRight w:val="0"/>
          <w:marTop w:val="0"/>
          <w:marBottom w:val="0"/>
          <w:divBdr>
            <w:top w:val="none" w:sz="0" w:space="0" w:color="auto"/>
            <w:left w:val="none" w:sz="0" w:space="0" w:color="auto"/>
            <w:bottom w:val="none" w:sz="0" w:space="0" w:color="auto"/>
            <w:right w:val="none" w:sz="0" w:space="0" w:color="auto"/>
          </w:divBdr>
        </w:div>
        <w:div w:id="1407680268">
          <w:marLeft w:val="480"/>
          <w:marRight w:val="0"/>
          <w:marTop w:val="0"/>
          <w:marBottom w:val="0"/>
          <w:divBdr>
            <w:top w:val="none" w:sz="0" w:space="0" w:color="auto"/>
            <w:left w:val="none" w:sz="0" w:space="0" w:color="auto"/>
            <w:bottom w:val="none" w:sz="0" w:space="0" w:color="auto"/>
            <w:right w:val="none" w:sz="0" w:space="0" w:color="auto"/>
          </w:divBdr>
        </w:div>
      </w:divsChild>
    </w:div>
    <w:div w:id="213313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5aad5d0-9c26-490e-8743-a6c7ceabd501">
      <Terms xmlns="http://schemas.microsoft.com/office/infopath/2007/PartnerControls"/>
    </lcf76f155ced4ddcb4097134ff3c332f>
    <TaxCatchAll xmlns="19cf09c5-daa1-4028-a0ff-74a0be4ec5cc" xsi:nil="true"/>
  </documentManagement>
</p:properties>
</file>

<file path=customXml/item4.xml><?xml version="1.0" encoding="utf-8"?>
<Parts xmlns="http://lrs.lt/TAIS/DocParts">
  <Part Type="lentele" DocPartId="17f772378a7e4350be294ffa1269d792" PartId="79209fd8fa6a4430ae722ec9fae18ccb"/>
  <Part Type="pastraipa" DocPartId="a6265ad383a2497c9380c9569766cfce" PartId="8f7d05df610b4315aa4f8d24551acb99"/>
</Parts>
</file>

<file path=customXml/itemProps1.xml><?xml version="1.0" encoding="utf-8"?>
<ds:datastoreItem xmlns:ds="http://schemas.openxmlformats.org/officeDocument/2006/customXml" ds:itemID="{E4371A98-3D5E-479B-809B-F832193A14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A94947-9C41-4B65-98F0-C6FA85D1310D}">
  <ds:schemaRefs>
    <ds:schemaRef ds:uri="http://schemas.microsoft.com/sharepoint/v3/contenttype/forms"/>
  </ds:schemaRefs>
</ds:datastoreItem>
</file>

<file path=customXml/itemProps3.xml><?xml version="1.0" encoding="utf-8"?>
<ds:datastoreItem xmlns:ds="http://schemas.openxmlformats.org/officeDocument/2006/customXml" ds:itemID="{95A121B1-D2EA-4514-97B9-3D77DEC958F3}">
  <ds:schemaRefs>
    <ds:schemaRef ds:uri="http://schemas.microsoft.com/office/2006/metadata/properties"/>
    <ds:schemaRef ds:uri="http://schemas.microsoft.com/office/infopath/2007/PartnerControls"/>
    <ds:schemaRef ds:uri="f5aad5d0-9c26-490e-8743-a6c7ceabd501"/>
    <ds:schemaRef ds:uri="19cf09c5-daa1-4028-a0ff-74a0be4ec5cc"/>
  </ds:schemaRefs>
</ds:datastoreItem>
</file>

<file path=customXml/itemProps4.xml><?xml version="1.0" encoding="utf-8"?>
<ds:datastoreItem xmlns:ds="http://schemas.openxmlformats.org/officeDocument/2006/customXml" ds:itemID="{3A7E5B7C-BC5E-4318-BA6F-333BD87424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1635</Words>
  <Characters>11613</Characters>
  <Application>Microsoft Office Word</Application>
  <DocSecurity>4</DocSecurity>
  <Lines>276</Lines>
  <Paragraphs>78</Paragraphs>
  <ScaleCrop>false</ScaleCrop>
  <Company/>
  <LinksUpToDate>false</LinksUpToDate>
  <CharactersWithSpaces>13170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A</dc:creator>
  <lastModifiedBy>adlibuser</lastModifiedBy>
  <lastPrinted>2007-04-04T06:51:00Z</lastPrinted>
  <dcterms:modified xsi:type="dcterms:W3CDTF">2024-06-27T09:51:00Z</dcterms:modified>
  <revision>2</revision>
  <dc:title>2004 M</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lcf76f155ced4ddcb4097134ff3c332f">
    <vt:lpwstr/>
  </property>
  <property fmtid="{D5CDD505-2E9C-101B-9397-08002B2CF9AE}" pid="4" name="MediaServiceImageTags">
    <vt:lpwstr/>
  </property>
  <property fmtid="{D5CDD505-2E9C-101B-9397-08002B2CF9AE}" pid="5" name="ContentTypeId">
    <vt:lpwstr>0x010100AA351E0ECF89C14A900DE8C04996CFDF</vt:lpwstr>
  </property>
</Properties>
</file>