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28dd6064711471191907785aadeb422"/>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(EB) NR. 1907/2006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6095"/>
            <w:gridCol w:w="2374"/>
          </w:tblGrid>
          <w:tr>
            <w:tc>
              <w:tcPr>
                <w:tcW w:w="5524" w:type="dxa"/>
              </w:tcPr>
              <w:p>
                <w:pPr>
                  <w:jc w:val="both"/>
                  <w:rPr>
                    <w:b/>
                    <w:bCs/>
                    <w:kern w:val="2"/>
                    <w:szCs w:val="24"/>
                  </w:rPr>
                </w:pPr>
                <w:r>
                  <w:rPr>
                    <w:b/>
                    <w:bCs/>
                    <w:kern w:val="2"/>
                    <w:szCs w:val="24"/>
                  </w:rPr>
                  <w:t xml:space="preserve">2006 m. gruodžio 18 d. Europos Parlamento ir Tarybos reglamentas </w:t>
                </w:r>
                <w:fldSimple w:instr="HYPERLINK http://eur-lex.europa.eu/legal-content/LIT/TXT/?uri=CELEX:32006R1907&amp;locale=lt \t _blank">
                  <w:r>
                    <w:rPr>
                      <w:b/>
                      <w:bCs/>
                      <w:kern w:val="2"/>
                      <w:szCs w:val="24"/>
                      <w:u w:val="single"/>
                      <w:color w:val="0000FF" w:themeColor="hyperlink"/>
                    </w:rPr>
                    <w:t>(EB) Nr. 1907/2006</w:t>
                  </w:r>
                </w:fldSimple>
                <w:r>
                  <w:rPr>
                    <w:b/>
                    <w:bCs/>
                    <w:kern w:val="2"/>
                    <w:szCs w:val="24"/>
                  </w:rPr>
                  <w:t xml:space="preserve"> dėl cheminių medžiagų registracijos, įvertinimo, autorizacijos ir apribojimų (REACH), įsteigiantis Europos cheminių medžiagų agentūrą, iš dalies keičiantis Direktyvą </w:t>
                </w:r>
                <w:fldSimple w:instr="HYPERLINK http://eur-lex.europa.eu/legal-content/LIT/TXT/?uri=CELEX:31999L0045&amp;locale=lt \t _blank">
                  <w:r>
                    <w:rPr>
                      <w:b/>
                      <w:bCs/>
                      <w:kern w:val="2"/>
                      <w:szCs w:val="24"/>
                      <w:u w:val="single"/>
                      <w:color w:val="0000FF" w:themeColor="hyperlink"/>
                    </w:rPr>
                    <w:t>1999/45/EB</w:t>
                  </w:r>
                </w:fldSimple>
                <w:r>
                  <w:rPr>
                    <w:b/>
                    <w:bCs/>
                    <w:kern w:val="2"/>
                    <w:szCs w:val="24"/>
                  </w:rPr>
                  <w:t xml:space="preserve"> bei panaikinantis Tarybos reglamentą </w:t>
                </w:r>
                <w:fldSimple w:instr="HYPERLINK http://eur-lex.europa.eu/legal-content/LIT/TXT/?uri=CELEX:31993R0793&amp;locale=lt \t _blank">
                  <w:r>
                    <w:rPr>
                      <w:b/>
                      <w:bCs/>
                      <w:kern w:val="2"/>
                      <w:szCs w:val="24"/>
                      <w:u w:val="single"/>
                      <w:color w:val="0000FF" w:themeColor="hyperlink"/>
                    </w:rPr>
                    <w:t>(EEB) Nr. 793/93</w:t>
                  </w:r>
                </w:fldSimple>
                <w:r>
                  <w:rPr>
                    <w:b/>
                    <w:bCs/>
                    <w:kern w:val="2"/>
                    <w:szCs w:val="24"/>
                  </w:rPr>
                  <w:t xml:space="preserve">, Komisijos reglamentą </w:t>
                </w:r>
                <w:fldSimple w:instr="HYPERLINK http://eur-lex.europa.eu/legal-content/LIT/TXT/?uri=CELEX:31994R1488&amp;locale=lt \t _blank">
                  <w:r>
                    <w:rPr>
                      <w:b/>
                      <w:bCs/>
                      <w:kern w:val="2"/>
                      <w:szCs w:val="24"/>
                      <w:u w:val="single"/>
                      <w:color w:val="0000FF" w:themeColor="hyperlink"/>
                    </w:rPr>
                    <w:t>(EB) Nr. 1488/94</w:t>
                  </w:r>
                </w:fldSimple>
                <w:r>
                  <w:rPr>
                    <w:b/>
                    <w:bCs/>
                    <w:kern w:val="2"/>
                    <w:szCs w:val="24"/>
                  </w:rPr>
                  <w:t xml:space="preserve">, Tarybos direktyvą </w:t>
                </w:r>
                <w:fldSimple w:instr="HYPERLINK http://eur-lex.europa.eu/legal-content/LIT/TXT/?uri=CELEX:31976L0769&amp;locale=lt \t _blank">
                  <w:r>
                    <w:rPr>
                      <w:b/>
                      <w:bCs/>
                      <w:kern w:val="2"/>
                      <w:szCs w:val="24"/>
                      <w:u w:val="single"/>
                      <w:color w:val="0000FF" w:themeColor="hyperlink"/>
                    </w:rPr>
                    <w:t>76/769/EEB</w:t>
                  </w:r>
                </w:fldSimple>
                <w:r>
                  <w:rPr>
                    <w:b/>
                    <w:bCs/>
                    <w:kern w:val="2"/>
                    <w:szCs w:val="24"/>
                  </w:rPr>
                  <w:t xml:space="preserve"> ir Komisijos direktyvas </w:t>
                </w:r>
                <w:fldSimple w:instr="HYPERLINK http://eur-lex.europa.eu/legal-content/LIT/TXT/?uri=CELEX:31991L0155&amp;locale=lt \t _blank">
                  <w:r>
                    <w:rPr>
                      <w:b/>
                      <w:bCs/>
                      <w:kern w:val="2"/>
                      <w:szCs w:val="24"/>
                      <w:u w:val="single"/>
                      <w:color w:val="0000FF" w:themeColor="hyperlink"/>
                    </w:rPr>
                    <w:t>91/155/EEB</w:t>
                  </w:r>
                </w:fldSimple>
                <w:r>
                  <w:rPr>
                    <w:b/>
                    <w:bCs/>
                    <w:kern w:val="2"/>
                    <w:szCs w:val="24"/>
                  </w:rPr>
                  <w:t xml:space="preserve">, </w:t>
                </w:r>
                <w:fldSimple w:instr="HYPERLINK http://eur-lex.europa.eu/legal-content/LIT/TXT/?uri=CELEX:31993L0067&amp;locale=lt \t _blank">
                  <w:r>
                    <w:rPr>
                      <w:b/>
                      <w:bCs/>
                      <w:kern w:val="2"/>
                      <w:szCs w:val="24"/>
                      <w:u w:val="single"/>
                      <w:color w:val="0000FF" w:themeColor="hyperlink"/>
                    </w:rPr>
                    <w:t>93/67/EEB</w:t>
                  </w:r>
                </w:fldSimple>
                <w:r>
                  <w:rPr>
                    <w:b/>
                    <w:bCs/>
                    <w:kern w:val="2"/>
                    <w:szCs w:val="24"/>
                  </w:rPr>
                  <w:t xml:space="preserve">, </w:t>
                </w:r>
                <w:fldSimple w:instr="HYPERLINK http://eur-lex.europa.eu/legal-content/LIT/TXT/?uri=CELEX:31993L0105&amp;locale=lt \t _blank">
                  <w:r>
                    <w:rPr>
                      <w:b/>
                      <w:bCs/>
                      <w:kern w:val="2"/>
                      <w:szCs w:val="24"/>
                      <w:u w:val="single"/>
                      <w:color w:val="0000FF" w:themeColor="hyperlink"/>
                    </w:rPr>
                    <w:t>93/105/EB</w:t>
                  </w:r>
                </w:fldSimple>
                <w:r>
                  <w:rPr>
                    <w:b/>
                    <w:bCs/>
                    <w:kern w:val="2"/>
                    <w:szCs w:val="24"/>
                  </w:rPr>
                  <w:t xml:space="preserve"> bei </w:t>
                </w:r>
                <w:fldSimple w:instr="HYPERLINK http://eur-lex.europa.eu/legal-content/LIT/TXT/?uri=CELEX:32000L0021&amp;locale=lt \t _blank">
                  <w:r>
                    <w:rPr>
                      <w:b/>
                      <w:bCs/>
                      <w:kern w:val="2"/>
                      <w:szCs w:val="24"/>
                      <w:u w:val="single"/>
                      <w:color w:val="0000FF" w:themeColor="hyperlink"/>
                    </w:rPr>
                    <w:t>2000/21/EB</w:t>
                  </w:r>
                </w:fldSimple>
              </w:p>
              <w:p>
                <w:pPr>
                  <w:jc w:val="both"/>
                  <w:rPr>
                    <w:b/>
                    <w:bCs/>
                    <w:kern w:val="2"/>
                    <w:szCs w:val="24"/>
                  </w:rPr>
                </w:pPr>
              </w:p>
            </w:tc>
            <w:tc>
              <w:tcPr>
                <w:tcW w:w="6095" w:type="dxa"/>
              </w:tcPr>
              <w:p>
                <w:pPr>
                  <w:rPr>
                    <w:b/>
                    <w:bCs/>
                    <w:kern w:val="2"/>
                    <w:szCs w:val="24"/>
                  </w:rPr>
                </w:pPr>
                <w:r>
                  <w:rPr>
                    <w:b/>
                    <w:bCs/>
                    <w:kern w:val="2"/>
                    <w:szCs w:val="24"/>
                  </w:rPr>
                  <w:t>Aplinkos apsaugos valstybinės kontrolės įstatymo pakeitimo įstatymo projektas (toliau – Projektas)</w:t>
                </w:r>
              </w:p>
            </w:tc>
            <w:tc>
              <w:tcPr>
                <w:tcW w:w="2374" w:type="dxa"/>
              </w:tcPr>
              <w:p>
                <w:pPr>
                  <w:rPr>
                    <w:b/>
                    <w:bCs/>
                    <w:kern w:val="2"/>
                    <w:szCs w:val="24"/>
                  </w:rPr>
                </w:pPr>
                <w:r>
                  <w:rPr>
                    <w:b/>
                    <w:bCs/>
                    <w:kern w:val="2"/>
                    <w:szCs w:val="24"/>
                  </w:rPr>
                  <w:t>Reglamento perkėlimo lygis</w:t>
                </w:r>
              </w:p>
            </w:tc>
          </w:tr>
          <w:tr>
            <w:tc>
              <w:tcPr>
                <w:tcW w:w="5524" w:type="dxa"/>
              </w:tcPr>
              <w:p>
                <w:pPr>
                  <w:rPr>
                    <w:b/>
                    <w:bCs/>
                    <w:kern w:val="2"/>
                    <w:szCs w:val="24"/>
                  </w:rPr>
                </w:pPr>
                <w:r>
                  <w:rPr>
                    <w:b/>
                    <w:bCs/>
                    <w:kern w:val="2"/>
                    <w:szCs w:val="24"/>
                  </w:rPr>
                  <w:t>125 straipsnis</w:t>
                </w:r>
              </w:p>
              <w:p>
                <w:pPr>
                  <w:rPr>
                    <w:b/>
                    <w:bCs/>
                    <w:kern w:val="2"/>
                    <w:szCs w:val="24"/>
                  </w:rPr>
                </w:pPr>
                <w:r>
                  <w:rPr>
                    <w:b/>
                    <w:bCs/>
                    <w:kern w:val="2"/>
                    <w:szCs w:val="24"/>
                  </w:rPr>
                  <w:t>Valstybių narių uždaviniai</w:t>
                </w:r>
              </w:p>
              <w:p>
                <w:pPr>
                  <w:rPr>
                    <w:kern w:val="2"/>
                    <w:szCs w:val="24"/>
                  </w:rPr>
                </w:pPr>
              </w:p>
              <w:p>
                <w:pPr>
                  <w:jc w:val="both"/>
                  <w:rPr>
                    <w:kern w:val="2"/>
                    <w:szCs w:val="24"/>
                  </w:rPr>
                </w:pPr>
                <w:r>
                  <w:rPr>
                    <w:kern w:val="2"/>
                    <w:szCs w:val="24"/>
                  </w:rPr>
                  <w:t>Valstybės narės įgyvendina valstybės kontrolės priemonių sistemą ir, atsižvelgdamos į aplinkybes, imasi kitų veiksmų.</w:t>
                </w:r>
              </w:p>
              <w:p>
                <w:pPr>
                  <w:rPr>
                    <w:kern w:val="2"/>
                    <w:szCs w:val="24"/>
                  </w:rPr>
                </w:pPr>
              </w:p>
            </w:tc>
            <w:tc>
              <w:tcPr>
                <w:tcW w:w="6095" w:type="dxa"/>
              </w:tcPr>
              <w:p>
                <w:pPr>
                  <w:spacing w:line="259" w:lineRule="auto"/>
                  <w:jc w:val="both"/>
                  <w:rPr>
                    <w:b/>
                    <w:bCs/>
                    <w:color w:val="000000"/>
                    <w:kern w:val="2"/>
                    <w:szCs w:val="24"/>
                  </w:rPr>
                </w:pPr>
                <w:r>
                  <w:rPr>
                    <w:b/>
                    <w:bCs/>
                    <w:color w:val="000000"/>
                    <w:kern w:val="2"/>
                    <w:szCs w:val="24"/>
                  </w:rPr>
                  <w:t>Projektas</w:t>
                </w:r>
              </w:p>
              <w:p>
                <w:pPr>
                  <w:spacing w:line="259" w:lineRule="auto"/>
                  <w:jc w:val="both"/>
                  <w:rPr>
                    <w:b/>
                    <w:bCs/>
                    <w:color w:val="000000"/>
                    <w:kern w:val="2"/>
                    <w:szCs w:val="24"/>
                  </w:rPr>
                </w:pPr>
                <w:r>
                  <w:rPr>
                    <w:b/>
                    <w:bCs/>
                    <w:color w:val="000000"/>
                    <w:kern w:val="2"/>
                    <w:szCs w:val="24"/>
                  </w:rPr>
                  <w:t>5 straipsnis</w:t>
                </w:r>
              </w:p>
              <w:p>
                <w:pPr>
                  <w:spacing w:line="259" w:lineRule="auto"/>
                  <w:jc w:val="both"/>
                  <w:rPr>
                    <w:b/>
                    <w:bCs/>
                    <w:color w:val="000000"/>
                    <w:kern w:val="2"/>
                    <w:szCs w:val="24"/>
                  </w:rPr>
                </w:pPr>
                <w:r>
                  <w:rPr>
                    <w:b/>
                    <w:bCs/>
                    <w:color w:val="000000"/>
                    <w:kern w:val="2"/>
                    <w:szCs w:val="24"/>
                  </w:rPr>
                  <w:t>„Aplinkos apsaugos valstybinę priežiūrą Lietuvos Respublikoje atlieka Lietuvos Respublikos Vyriausybės įgaliota institucija.“</w:t>
                </w:r>
              </w:p>
              <w:p>
                <w:pPr>
                  <w:spacing w:line="259" w:lineRule="auto"/>
                  <w:jc w:val="both"/>
                  <w:rPr>
                    <w:b/>
                    <w:bCs/>
                    <w:color w:val="000000"/>
                    <w:kern w:val="2"/>
                    <w:szCs w:val="24"/>
                  </w:rPr>
                </w:pPr>
              </w:p>
              <w:p>
                <w:pPr>
                  <w:spacing w:line="259" w:lineRule="auto"/>
                  <w:jc w:val="both"/>
                  <w:rPr>
                    <w:b/>
                    <w:bCs/>
                    <w:color w:val="000000"/>
                    <w:kern w:val="2"/>
                    <w:szCs w:val="24"/>
                  </w:rPr>
                </w:pPr>
                <w:r>
                  <w:rPr>
                    <w:b/>
                    <w:bCs/>
                    <w:color w:val="000000"/>
                    <w:kern w:val="2"/>
                    <w:szCs w:val="24"/>
                  </w:rPr>
                  <w:t>6 straipsnio 10 punktas</w:t>
                </w:r>
              </w:p>
              <w:p>
                <w:pPr>
                  <w:spacing w:line="259" w:lineRule="auto"/>
                  <w:jc w:val="both"/>
                  <w:rPr>
                    <w:b/>
                    <w:bCs/>
                    <w:color w:val="000000"/>
                    <w:kern w:val="2"/>
                    <w:szCs w:val="24"/>
                  </w:rPr>
                </w:pPr>
                <w:r>
                  <w:rPr>
                    <w:b/>
                    <w:bCs/>
                    <w:color w:val="000000"/>
                    <w:kern w:val="2"/>
                    <w:szCs w:val="24"/>
                  </w:rPr>
                  <w:t>„&lt;...&gt;</w:t>
                </w:r>
              </w:p>
              <w:p>
                <w:pPr>
                  <w:jc w:val="both"/>
                  <w:rPr>
                    <w:b/>
                    <w:bCs/>
                    <w:color w:val="000000"/>
                    <w:kern w:val="2"/>
                    <w:szCs w:val="24"/>
                  </w:rPr>
                </w:pPr>
                <w:r>
                  <w:rPr>
                    <w:b/>
                    <w:bCs/>
                    <w:kern w:val="2"/>
                    <w:szCs w:val="24"/>
                  </w:rPr>
                  <w:t>10)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 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w:t>
                </w:r>
              </w:p>
              <w:p>
                <w:pPr>
                  <w:spacing w:line="259" w:lineRule="auto"/>
                  <w:jc w:val="both"/>
                  <w:rPr>
                    <w:b/>
                    <w:bCs/>
                    <w:color w:val="000000"/>
                    <w:kern w:val="2"/>
                    <w:szCs w:val="24"/>
                  </w:rPr>
                </w:pPr>
                <w:r>
                  <w:rPr>
                    <w:b/>
                    <w:bCs/>
                    <w:color w:val="000000"/>
                    <w:kern w:val="2"/>
                    <w:szCs w:val="24"/>
                  </w:rPr>
                  <w:t>&lt;...&gt;“</w:t>
                </w:r>
              </w:p>
            </w:tc>
            <w:tc>
              <w:tcPr>
                <w:tcW w:w="2374" w:type="dxa"/>
              </w:tcPr>
              <w:p>
                <w:pPr>
                  <w:rPr>
                    <w:kern w:val="2"/>
                    <w:szCs w:val="24"/>
                  </w:rPr>
                </w:pPr>
                <w:r>
                  <w:rPr>
                    <w:kern w:val="2"/>
                    <w:szCs w:val="24"/>
                  </w:rPr>
                  <w:t>Dalinis</w:t>
                </w:r>
              </w:p>
              <w:p>
                <w:pPr>
                  <w:rPr>
                    <w:kern w:val="2"/>
                    <w:szCs w:val="24"/>
                  </w:rPr>
                </w:pPr>
                <w:r>
                  <w:rPr>
                    <w:kern w:val="2"/>
                    <w:szCs w:val="24"/>
                  </w:rPr>
                  <w:t>Atsakinga institucija – Aplinkos ministerija</w:t>
                </w:r>
              </w:p>
            </w:tc>
          </w:tr>
        </w:tbl>
        <w:p/>
      </w:sdtContent>
    </w:sdt>
    <w:sdt>
      <w:sdtPr>
        <w:alias w:val="pastraipa"/>
        <w:tag w:val="part_78203fab34574cfb95cbeea193d67868"/>
        <w:lock w:val="sdtLocked"/>
        <w:richText/>
      </w:sdtPr>
      <w:sdtContent>
        <w:p>
          <w:pPr>
            <w:spacing w:after="160" w:line="259" w:lineRule="auto"/>
            <w:jc w:val="center"/>
            <w:rPr>
              <w:kern w:val="2"/>
              <w:sz w:val="22"/>
              <w:szCs w:val="22"/>
            </w:rPr>
          </w:pPr>
          <w:r>
            <w:rPr>
              <w:kern w:val="2"/>
              <w:sz w:val="22"/>
              <w:szCs w:val="22"/>
            </w:rPr>
            <w:t>____________________________</w:t>
          </w:r>
        </w:p>
        <w:p>
          <w:pPr>
            <w:rPr>
              <w:sz w:val="14"/>
              <w:szCs w:val="14"/>
            </w:rPr>
          </w:pPr>
        </w:p>
        <w:p/>
        <w:p>
          <w:pPr>
            <w:spacing w:after="160" w:line="259" w:lineRule="auto"/>
            <w:rPr>
              <w:kern w:val="2"/>
              <w:sz w:val="22"/>
              <w:szCs w:val="22"/>
            </w:rPr>
          </w:pPr>
        </w:p>
        <w:p>
          <w:pPr>
            <w:spacing w:after="160" w:line="259" w:lineRule="auto"/>
            <w:rPr>
              <w:kern w:val="2"/>
              <w:sz w:val="22"/>
              <w:szCs w:val="24"/>
            </w:rPr>
          </w:pPr>
        </w:p>
        <w:p>
          <w:pPr>
            <w:rPr>
              <w:sz w:val="14"/>
              <w:szCs w:val="14"/>
            </w:rPr>
          </w:pPr>
        </w:p>
        <w:p>
          <w:pPr>
            <w:spacing w:line="259" w:lineRule="auto"/>
            <w:rPr>
              <w:kern w:val="2"/>
              <w:szCs w:val="24"/>
            </w:rPr>
          </w:pP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Parts xmlns="http://lrs.lt/TAIS/DocParts">
  <Part Type="lentele" DocPartId="551795cc8e174faa96c1bd225718961f" PartId="028dd6064711471191907785aadeb422"/>
  <Part Type="pastraipa" DocPartId="fe1a6e322c7a4bd7913bec0895f5bca4" PartId="78203fab34574cfb95cbeea193d67868"/>
</Parts>
</file>

<file path=customXml/itemProps1.xml><?xml version="1.0" encoding="utf-8"?>
<ds:datastoreItem xmlns:ds="http://schemas.openxmlformats.org/officeDocument/2006/customXml" ds:itemID="{4ECDE151-72B7-4E4C-A6EC-2473F668D4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E2D6D0-2517-4DA9-B39E-9F2FFD2FB9EF}">
  <ds:schemaRefs>
    <ds:schemaRef ds:uri="http://schemas.microsoft.com/sharepoint/v3/contenttype/forms"/>
  </ds:schemaRefs>
</ds:datastoreItem>
</file>

<file path=customXml/itemProps3.xml><?xml version="1.0" encoding="utf-8"?>
<ds:datastoreItem xmlns:ds="http://schemas.openxmlformats.org/officeDocument/2006/customXml" ds:itemID="{3D7BB958-CF60-43EA-8B18-D67ECE778C20}">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E618CC60-B9CC-4795-975B-5D4BA58043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1688</Characters>
  <Application>Microsoft Office Word</Application>
  <DocSecurity>4</DocSecurity>
  <Lines>58</Lines>
  <Paragraphs>19</Paragraphs>
  <ScaleCrop>false</ScaleCrop>
  <Company/>
  <LinksUpToDate>false</LinksUpToDate>
  <CharactersWithSpaces>1890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