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8c8c3af9f13442b8a18248aff323463"/>
        <w:lock w:val="sdtLocked"/>
        <w:richText/>
      </w:sdtPr>
      <w:sdtContent>
        <w:p>
          <w:pPr>
            <w:tabs>
              <w:tab w:val="center" w:pos="4153"/>
              <w:tab w:val="right" w:pos="8306"/>
            </w:tabs>
          </w:pPr>
        </w:p>
        <w:p>
          <w:pPr>
            <w:jc w:val="center"/>
            <w:textAlignment w:val="baseline"/>
            <w:rPr>
              <w:szCs w:val="24"/>
            </w:rPr>
          </w:pPr>
          <w:r>
            <w:rPr>
              <w:b/>
              <w:bCs/>
              <w:szCs w:val="24"/>
            </w:rPr>
            <w:t>REGLAMENTO (ES) NR. 649/2012 IR APLINKOS APSAUGOS VALSTYBINĖS KONTROLĖS ĮSTATYMO PAKEITIMO ĮSTATYMO PROJEKTO ATITIKTIES LENTELĖ</w:t>
          </w:r>
          <w:r>
            <w:rPr>
              <w:szCs w:val="24"/>
            </w:rPr>
            <w:t> </w:t>
          </w:r>
        </w:p>
        <w:p>
          <w:pPr>
            <w:rPr>
              <w:sz w:val="14"/>
              <w:szCs w:val="14"/>
            </w:rPr>
          </w:pPr>
        </w:p>
        <w:p>
          <w:pPr>
            <w:ind w:firstLine="62"/>
            <w:textAlignment w:val="baseline"/>
            <w:rPr>
              <w:szCs w:val="24"/>
            </w:rPr>
          </w:pPr>
        </w:p>
        <w:p>
          <w:pPr>
            <w:rPr>
              <w:sz w:val="14"/>
              <w:szCs w:val="14"/>
            </w:rPr>
          </w:pP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095"/>
            <w:gridCol w:w="6515"/>
            <w:gridCol w:w="2370"/>
          </w:tblGrid>
          <w:tr>
            <w:trPr>
              <w:trHeight w:val="300"/>
            </w:trPr>
            <w:tc>
              <w:tcPr>
                <w:tcW w:w="5095"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b/>
                    <w:bCs/>
                    <w:szCs w:val="24"/>
                  </w:rPr>
                  <w:t xml:space="preserve">2012 m. liepos 4 d. Europos Parlamento ir Tarybos reglamentas </w:t>
                </w:r>
                <w:fldSimple w:instr="HYPERLINK http://eur-lex.europa.eu/legal-content/LIT/TXT/?uri=CELEX:32012R0649&amp;locale=lt \t _blank">
                  <w:r>
                    <w:rPr>
                      <w:b/>
                      <w:bCs/>
                      <w:szCs w:val="24"/>
                      <w:u w:val="single"/>
                      <w:color w:val="0000FF" w:themeColor="hyperlink"/>
                    </w:rPr>
                    <w:t>(ES) Nr. 649/2012</w:t>
                  </w:r>
                </w:fldSimple>
                <w:r>
                  <w:rPr>
                    <w:b/>
                    <w:bCs/>
                    <w:szCs w:val="24"/>
                  </w:rPr>
                  <w:t xml:space="preserve"> dėl pavojingų cheminių medžiagų eksporto ir importo</w:t>
                </w:r>
                <w:r>
                  <w:rPr>
                    <w:szCs w:val="24"/>
                  </w:rPr>
                  <w:t> </w:t>
                </w:r>
              </w:p>
            </w:tc>
            <w:tc>
              <w:tcPr>
                <w:tcW w:w="6515" w:type="dxa"/>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szCs w:val="24"/>
                  </w:rPr>
                </w:pPr>
                <w:r>
                  <w:rPr>
                    <w:b/>
                    <w:bCs/>
                    <w:szCs w:val="24"/>
                  </w:rPr>
                  <w:t>Aplinkos apsaugos valstybinės kontrolės įstatymo pakeitimo įstatymo projektas (toliau – Projektas)</w:t>
                </w:r>
                <w:r>
                  <w:rPr>
                    <w:szCs w:val="24"/>
                  </w:rPr>
                  <w:t> </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szCs w:val="24"/>
                  </w:rPr>
                </w:pPr>
                <w:r>
                  <w:rPr>
                    <w:b/>
                    <w:bCs/>
                    <w:szCs w:val="24"/>
                  </w:rPr>
                  <w:t>Reglamento perkėlimo lygis</w:t>
                </w:r>
                <w:r>
                  <w:rPr>
                    <w:szCs w:val="24"/>
                  </w:rPr>
                  <w:t> </w:t>
                </w:r>
              </w:p>
            </w:tc>
          </w:tr>
          <w:tr>
            <w:trPr>
              <w:trHeight w:val="300"/>
            </w:trPr>
            <w:tc>
              <w:tcPr>
                <w:tcW w:w="5095" w:type="dxa"/>
                <w:tcBorders>
                  <w:top w:val="single" w:sz="6" w:space="0" w:color="auto"/>
                  <w:left w:val="single" w:sz="6" w:space="0" w:color="auto"/>
                  <w:bottom w:val="single" w:sz="6" w:space="0" w:color="auto"/>
                  <w:right w:val="single" w:sz="6" w:space="0" w:color="auto"/>
                </w:tcBorders>
                <w:shd w:val="clear" w:color="auto" w:fill="auto"/>
                <w:hideMark/>
              </w:tcPr>
              <w:p>
                <w:pPr>
                  <w:shd w:val="clear" w:color="auto" w:fill="FFFFFF"/>
                  <w:jc w:val="both"/>
                  <w:rPr>
                    <w:b/>
                    <w:bCs/>
                    <w:color w:val="000000"/>
                    <w:szCs w:val="24"/>
                    <w:lang w:eastAsia="en-GB"/>
                  </w:rPr>
                </w:pPr>
                <w:r>
                  <w:rPr>
                    <w:b/>
                    <w:bCs/>
                    <w:color w:val="000000"/>
                    <w:szCs w:val="24"/>
                    <w:lang w:eastAsia="en-GB"/>
                  </w:rPr>
                  <w:t>18 straipsnis. Valstybių narių valdžios institucijų importo ir eksporto kontrolės pareigos</w:t>
                </w:r>
              </w:p>
              <w:p>
                <w:pPr>
                  <w:shd w:val="clear" w:color="auto" w:fill="FFFFFF"/>
                  <w:jc w:val="both"/>
                  <w:rPr>
                    <w:color w:val="000000"/>
                    <w:szCs w:val="24"/>
                    <w:lang w:eastAsia="en-GB"/>
                  </w:rPr>
                </w:pPr>
                <w:r>
                  <w:rPr>
                    <w:color w:val="000000"/>
                    <w:szCs w:val="24"/>
                    <w:lang w:eastAsia="en-GB"/>
                  </w:rPr>
                  <w:t>1. Kiekviena valstybė narė paskiria valdžios institucijas, pvz., muitines, kurios būtų atsakingos už I priede išvardytų cheminių medžiagų importo ir eksporto kontrolę, nebent ji būtų tą padariusi iki šio reglamento įsigaliojimo.</w:t>
                </w:r>
              </w:p>
              <w:p>
                <w:pPr>
                  <w:shd w:val="clear" w:color="auto" w:fill="FFFFFF"/>
                  <w:jc w:val="both"/>
                  <w:rPr>
                    <w:color w:val="000000"/>
                    <w:szCs w:val="24"/>
                    <w:lang w:eastAsia="en-GB"/>
                  </w:rPr>
                </w:pPr>
                <w:r>
                  <w:rPr>
                    <w:color w:val="000000"/>
                    <w:szCs w:val="24"/>
                    <w:lang w:eastAsia="en-GB"/>
                  </w:rPr>
                  <w:t>Komisija, kuriai padeda agentūra, ir valstybės narės tikslingai ir koordinuotai stebi, kaip eksportuotojai laikosi šio reglamento reikalavimų.</w:t>
                </w:r>
              </w:p>
              <w:p>
                <w:pPr>
                  <w:shd w:val="clear" w:color="auto" w:fill="FFFFFF"/>
                  <w:jc w:val="both"/>
                  <w:rPr>
                    <w:color w:val="000000"/>
                    <w:szCs w:val="24"/>
                    <w:lang w:eastAsia="en-GB"/>
                  </w:rPr>
                </w:pPr>
                <w:r>
                  <w:rPr>
                    <w:color w:val="000000"/>
                    <w:szCs w:val="24"/>
                    <w:lang w:eastAsia="en-GB"/>
                  </w:rPr>
                  <w:t>&lt;…&gt;</w:t>
                </w:r>
              </w:p>
              <w:p>
                <w:pPr>
                  <w:ind w:firstLine="62"/>
                  <w:textAlignment w:val="baseline"/>
                  <w:rPr>
                    <w:szCs w:val="24"/>
                  </w:rPr>
                </w:pPr>
              </w:p>
            </w:tc>
            <w:tc>
              <w:tcPr>
                <w:tcW w:w="6515" w:type="dxa"/>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b/>
                    <w:bCs/>
                    <w:szCs w:val="24"/>
                  </w:rPr>
                </w:pPr>
                <w:r>
                  <w:rPr>
                    <w:b/>
                    <w:bCs/>
                    <w:color w:val="000000"/>
                    <w:szCs w:val="24"/>
                  </w:rPr>
                  <w:t>Projektas  </w:t>
                </w:r>
              </w:p>
              <w:p>
                <w:pPr>
                  <w:jc w:val="both"/>
                  <w:textAlignment w:val="baseline"/>
                  <w:rPr>
                    <w:b/>
                    <w:bCs/>
                    <w:szCs w:val="24"/>
                  </w:rPr>
                </w:pPr>
                <w:r>
                  <w:rPr>
                    <w:b/>
                    <w:bCs/>
                    <w:color w:val="000000"/>
                    <w:szCs w:val="24"/>
                  </w:rPr>
                  <w:t>5 straipsnis</w:t>
                </w:r>
              </w:p>
              <w:p>
                <w:pPr>
                  <w:jc w:val="both"/>
                  <w:textAlignment w:val="baseline"/>
                  <w:rPr>
                    <w:b/>
                    <w:bCs/>
                    <w:szCs w:val="24"/>
                  </w:rPr>
                </w:pPr>
                <w:r>
                  <w:rPr>
                    <w:b/>
                    <w:bCs/>
                    <w:color w:val="000000"/>
                    <w:szCs w:val="24"/>
                  </w:rPr>
                  <w:t>„Aplinkos apsaugos valstybinę priežiūrą Lietuvos Respublikoje atlieka Lietuvos Respublikos Vyriausybės įgaliota institucija.“ </w:t>
                </w:r>
              </w:p>
              <w:p>
                <w:pPr>
                  <w:ind w:firstLine="62"/>
                  <w:jc w:val="both"/>
                  <w:textAlignment w:val="baseline"/>
                  <w:rPr>
                    <w:b/>
                    <w:bCs/>
                    <w:szCs w:val="24"/>
                  </w:rPr>
                </w:pPr>
                <w:r>
                  <w:rPr>
                    <w:b/>
                    <w:bCs/>
                    <w:color w:val="000000"/>
                    <w:szCs w:val="24"/>
                  </w:rPr>
                  <w:t>&lt;…&gt; </w:t>
                </w:r>
              </w:p>
              <w:p>
                <w:pPr>
                  <w:jc w:val="both"/>
                  <w:textAlignment w:val="baseline"/>
                  <w:rPr>
                    <w:b/>
                    <w:bCs/>
                    <w:szCs w:val="24"/>
                  </w:rPr>
                </w:pPr>
                <w:r>
                  <w:rPr>
                    <w:b/>
                    <w:bCs/>
                    <w:color w:val="000000"/>
                    <w:szCs w:val="24"/>
                  </w:rPr>
                  <w:t>6 straipsnio 10 punktas</w:t>
                </w:r>
              </w:p>
              <w:p>
                <w:pPr>
                  <w:jc w:val="both"/>
                  <w:textAlignment w:val="baseline"/>
                  <w:rPr>
                    <w:b/>
                    <w:bCs/>
                    <w:szCs w:val="24"/>
                  </w:rPr>
                </w:pPr>
                <w:r>
                  <w:rPr>
                    <w:b/>
                    <w:bCs/>
                    <w:color w:val="000000"/>
                    <w:szCs w:val="24"/>
                  </w:rPr>
                  <w:t>„&lt;...&gt; </w:t>
                </w:r>
              </w:p>
              <w:p>
                <w:pPr>
                  <w:ind w:firstLine="720"/>
                  <w:jc w:val="both"/>
                  <w:textAlignment w:val="baseline"/>
                  <w:rPr>
                    <w:b/>
                    <w:bCs/>
                    <w:szCs w:val="24"/>
                  </w:rPr>
                </w:pPr>
                <w:r>
                  <w:rPr>
                    <w:b/>
                    <w:bCs/>
                    <w:color w:val="000000"/>
                    <w:szCs w:val="24"/>
                  </w:rPr>
                  <w:t xml:space="preserve">10) </w:t>
                </w:r>
                <w:r>
                  <w:rPr>
                    <w:b/>
                    <w:bCs/>
                    <w:szCs w:val="24"/>
                  </w:rPr>
                  <w:t xml:space="preserve">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 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 </w:t>
                </w:r>
                <w:r>
                  <w:rPr>
                    <w:b/>
                    <w:bCs/>
                    <w:color w:val="000000"/>
                    <w:szCs w:val="24"/>
                  </w:rPr>
                  <w:t>&lt;...&gt;“</w:t>
                </w:r>
              </w:p>
            </w:tc>
            <w:tc>
              <w:tcPr>
                <w:tcW w:w="2370" w:type="dxa"/>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szCs w:val="24"/>
                  </w:rPr>
                </w:pPr>
                <w:r>
                  <w:rPr>
                    <w:szCs w:val="24"/>
                  </w:rPr>
                  <w:t>Dalinis </w:t>
                </w:r>
              </w:p>
              <w:p>
                <w:pPr>
                  <w:textAlignment w:val="baseline"/>
                  <w:rPr>
                    <w:szCs w:val="24"/>
                  </w:rPr>
                </w:pPr>
                <w:r>
                  <w:rPr>
                    <w:szCs w:val="24"/>
                  </w:rPr>
                  <w:t>Atsakinga institucija – Aplinkos ministerija</w:t>
                </w:r>
              </w:p>
            </w:tc>
          </w:tr>
        </w:tbl>
        <w:p>
          <w:pPr>
            <w:spacing w:line="276" w:lineRule="auto"/>
            <w:rPr>
              <w:rFonts w:ascii="Calibri" w:eastAsia="Calibri" w:hAnsi="Calibri"/>
              <w:szCs w:val="24"/>
            </w:rPr>
          </w:pP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 xml:space="preserve"> PAGE   \* MERGEFORMAT </w:instrText>
    </w:r>
    <w:r>
      <w:fldChar w:fldCharType="separate"/>
    </w:r>
    <w:r>
      <w:t>2</w:t>
    </w:r>
    <w:r>
      <w:fldChar w:fldCharType="end"/>
    </w:r>
  </w:p>
  <w:p>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A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424CA4-BF22-48AF-BF2D-2C0EC85DCE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9205208">
      <w:bodyDiv w:val="1"/>
      <w:marLeft w:val="0"/>
      <w:marRight w:val="0"/>
      <w:marTop w:val="0"/>
      <w:marBottom w:val="0"/>
      <w:divBdr>
        <w:top w:val="none" w:sz="0" w:space="0" w:color="auto"/>
        <w:left w:val="none" w:sz="0" w:space="0" w:color="auto"/>
        <w:bottom w:val="none" w:sz="0" w:space="0" w:color="auto"/>
        <w:right w:val="none" w:sz="0" w:space="0" w:color="auto"/>
      </w:divBdr>
      <w:divsChild>
        <w:div w:id="796334897">
          <w:marLeft w:val="0"/>
          <w:marRight w:val="0"/>
          <w:marTop w:val="0"/>
          <w:marBottom w:val="0"/>
          <w:divBdr>
            <w:top w:val="none" w:sz="0" w:space="0" w:color="auto"/>
            <w:left w:val="none" w:sz="0" w:space="0" w:color="auto"/>
            <w:bottom w:val="none" w:sz="0" w:space="0" w:color="auto"/>
            <w:right w:val="none" w:sz="0" w:space="0" w:color="auto"/>
          </w:divBdr>
          <w:divsChild>
            <w:div w:id="605388418">
              <w:marLeft w:val="0"/>
              <w:marRight w:val="0"/>
              <w:marTop w:val="0"/>
              <w:marBottom w:val="0"/>
              <w:divBdr>
                <w:top w:val="none" w:sz="0" w:space="0" w:color="auto"/>
                <w:left w:val="none" w:sz="0" w:space="0" w:color="auto"/>
                <w:bottom w:val="none" w:sz="0" w:space="0" w:color="auto"/>
                <w:right w:val="none" w:sz="0" w:space="0" w:color="auto"/>
              </w:divBdr>
            </w:div>
            <w:div w:id="1921131261">
              <w:marLeft w:val="0"/>
              <w:marRight w:val="0"/>
              <w:marTop w:val="0"/>
              <w:marBottom w:val="0"/>
              <w:divBdr>
                <w:top w:val="none" w:sz="0" w:space="0" w:color="auto"/>
                <w:left w:val="none" w:sz="0" w:space="0" w:color="auto"/>
                <w:bottom w:val="none" w:sz="0" w:space="0" w:color="auto"/>
                <w:right w:val="none" w:sz="0" w:space="0" w:color="auto"/>
              </w:divBdr>
            </w:div>
            <w:div w:id="1843352269">
              <w:marLeft w:val="0"/>
              <w:marRight w:val="0"/>
              <w:marTop w:val="0"/>
              <w:marBottom w:val="0"/>
              <w:divBdr>
                <w:top w:val="none" w:sz="0" w:space="0" w:color="auto"/>
                <w:left w:val="none" w:sz="0" w:space="0" w:color="auto"/>
                <w:bottom w:val="none" w:sz="0" w:space="0" w:color="auto"/>
                <w:right w:val="none" w:sz="0" w:space="0" w:color="auto"/>
              </w:divBdr>
              <w:divsChild>
                <w:div w:id="1174996478">
                  <w:marLeft w:val="0"/>
                  <w:marRight w:val="0"/>
                  <w:marTop w:val="0"/>
                  <w:marBottom w:val="0"/>
                  <w:divBdr>
                    <w:top w:val="none" w:sz="0" w:space="0" w:color="auto"/>
                    <w:left w:val="none" w:sz="0" w:space="0" w:color="auto"/>
                    <w:bottom w:val="none" w:sz="0" w:space="0" w:color="auto"/>
                    <w:right w:val="none" w:sz="0" w:space="0" w:color="auto"/>
                  </w:divBdr>
                  <w:divsChild>
                    <w:div w:id="1958634826">
                      <w:marLeft w:val="0"/>
                      <w:marRight w:val="0"/>
                      <w:marTop w:val="0"/>
                      <w:marBottom w:val="0"/>
                      <w:divBdr>
                        <w:top w:val="none" w:sz="0" w:space="0" w:color="auto"/>
                        <w:left w:val="none" w:sz="0" w:space="0" w:color="auto"/>
                        <w:bottom w:val="none" w:sz="0" w:space="0" w:color="auto"/>
                        <w:right w:val="none" w:sz="0" w:space="0" w:color="auto"/>
                      </w:divBdr>
                      <w:divsChild>
                        <w:div w:id="1134249286">
                          <w:marLeft w:val="0"/>
                          <w:marRight w:val="0"/>
                          <w:marTop w:val="0"/>
                          <w:marBottom w:val="0"/>
                          <w:divBdr>
                            <w:top w:val="none" w:sz="0" w:space="0" w:color="auto"/>
                            <w:left w:val="none" w:sz="0" w:space="0" w:color="auto"/>
                            <w:bottom w:val="none" w:sz="0" w:space="0" w:color="auto"/>
                            <w:right w:val="none" w:sz="0" w:space="0" w:color="auto"/>
                          </w:divBdr>
                        </w:div>
                        <w:div w:id="784158215">
                          <w:marLeft w:val="0"/>
                          <w:marRight w:val="0"/>
                          <w:marTop w:val="0"/>
                          <w:marBottom w:val="0"/>
                          <w:divBdr>
                            <w:top w:val="none" w:sz="0" w:space="0" w:color="auto"/>
                            <w:left w:val="none" w:sz="0" w:space="0" w:color="auto"/>
                            <w:bottom w:val="none" w:sz="0" w:space="0" w:color="auto"/>
                            <w:right w:val="none" w:sz="0" w:space="0" w:color="auto"/>
                          </w:divBdr>
                        </w:div>
                      </w:divsChild>
                    </w:div>
                    <w:div w:id="342631219">
                      <w:marLeft w:val="0"/>
                      <w:marRight w:val="0"/>
                      <w:marTop w:val="0"/>
                      <w:marBottom w:val="0"/>
                      <w:divBdr>
                        <w:top w:val="none" w:sz="0" w:space="0" w:color="auto"/>
                        <w:left w:val="none" w:sz="0" w:space="0" w:color="auto"/>
                        <w:bottom w:val="none" w:sz="0" w:space="0" w:color="auto"/>
                        <w:right w:val="none" w:sz="0" w:space="0" w:color="auto"/>
                      </w:divBdr>
                      <w:divsChild>
                        <w:div w:id="2099908373">
                          <w:marLeft w:val="0"/>
                          <w:marRight w:val="0"/>
                          <w:marTop w:val="0"/>
                          <w:marBottom w:val="0"/>
                          <w:divBdr>
                            <w:top w:val="none" w:sz="0" w:space="0" w:color="auto"/>
                            <w:left w:val="none" w:sz="0" w:space="0" w:color="auto"/>
                            <w:bottom w:val="none" w:sz="0" w:space="0" w:color="auto"/>
                            <w:right w:val="none" w:sz="0" w:space="0" w:color="auto"/>
                          </w:divBdr>
                        </w:div>
                      </w:divsChild>
                    </w:div>
                    <w:div w:id="648438879">
                      <w:marLeft w:val="0"/>
                      <w:marRight w:val="0"/>
                      <w:marTop w:val="0"/>
                      <w:marBottom w:val="0"/>
                      <w:divBdr>
                        <w:top w:val="none" w:sz="0" w:space="0" w:color="auto"/>
                        <w:left w:val="none" w:sz="0" w:space="0" w:color="auto"/>
                        <w:bottom w:val="none" w:sz="0" w:space="0" w:color="auto"/>
                        <w:right w:val="none" w:sz="0" w:space="0" w:color="auto"/>
                      </w:divBdr>
                      <w:divsChild>
                        <w:div w:id="2045011316">
                          <w:marLeft w:val="0"/>
                          <w:marRight w:val="0"/>
                          <w:marTop w:val="0"/>
                          <w:marBottom w:val="0"/>
                          <w:divBdr>
                            <w:top w:val="none" w:sz="0" w:space="0" w:color="auto"/>
                            <w:left w:val="none" w:sz="0" w:space="0" w:color="auto"/>
                            <w:bottom w:val="none" w:sz="0" w:space="0" w:color="auto"/>
                            <w:right w:val="none" w:sz="0" w:space="0" w:color="auto"/>
                          </w:divBdr>
                        </w:div>
                      </w:divsChild>
                    </w:div>
                    <w:div w:id="1332484567">
                      <w:marLeft w:val="0"/>
                      <w:marRight w:val="0"/>
                      <w:marTop w:val="0"/>
                      <w:marBottom w:val="0"/>
                      <w:divBdr>
                        <w:top w:val="none" w:sz="0" w:space="0" w:color="auto"/>
                        <w:left w:val="none" w:sz="0" w:space="0" w:color="auto"/>
                        <w:bottom w:val="none" w:sz="0" w:space="0" w:color="auto"/>
                        <w:right w:val="none" w:sz="0" w:space="0" w:color="auto"/>
                      </w:divBdr>
                      <w:divsChild>
                        <w:div w:id="598491925">
                          <w:marLeft w:val="0"/>
                          <w:marRight w:val="0"/>
                          <w:marTop w:val="0"/>
                          <w:marBottom w:val="0"/>
                          <w:divBdr>
                            <w:top w:val="none" w:sz="0" w:space="0" w:color="auto"/>
                            <w:left w:val="none" w:sz="0" w:space="0" w:color="auto"/>
                            <w:bottom w:val="none" w:sz="0" w:space="0" w:color="auto"/>
                            <w:right w:val="none" w:sz="0" w:space="0" w:color="auto"/>
                          </w:divBdr>
                        </w:div>
                        <w:div w:id="692732729">
                          <w:marLeft w:val="0"/>
                          <w:marRight w:val="0"/>
                          <w:marTop w:val="0"/>
                          <w:marBottom w:val="0"/>
                          <w:divBdr>
                            <w:top w:val="none" w:sz="0" w:space="0" w:color="auto"/>
                            <w:left w:val="none" w:sz="0" w:space="0" w:color="auto"/>
                            <w:bottom w:val="none" w:sz="0" w:space="0" w:color="auto"/>
                            <w:right w:val="none" w:sz="0" w:space="0" w:color="auto"/>
                          </w:divBdr>
                        </w:div>
                        <w:div w:id="1985812098">
                          <w:marLeft w:val="0"/>
                          <w:marRight w:val="0"/>
                          <w:marTop w:val="0"/>
                          <w:marBottom w:val="0"/>
                          <w:divBdr>
                            <w:top w:val="none" w:sz="0" w:space="0" w:color="auto"/>
                            <w:left w:val="none" w:sz="0" w:space="0" w:color="auto"/>
                            <w:bottom w:val="none" w:sz="0" w:space="0" w:color="auto"/>
                            <w:right w:val="none" w:sz="0" w:space="0" w:color="auto"/>
                          </w:divBdr>
                        </w:div>
                        <w:div w:id="187262882">
                          <w:marLeft w:val="0"/>
                          <w:marRight w:val="0"/>
                          <w:marTop w:val="0"/>
                          <w:marBottom w:val="0"/>
                          <w:divBdr>
                            <w:top w:val="none" w:sz="0" w:space="0" w:color="auto"/>
                            <w:left w:val="none" w:sz="0" w:space="0" w:color="auto"/>
                            <w:bottom w:val="none" w:sz="0" w:space="0" w:color="auto"/>
                            <w:right w:val="none" w:sz="0" w:space="0" w:color="auto"/>
                          </w:divBdr>
                        </w:div>
                        <w:div w:id="1776247640">
                          <w:marLeft w:val="0"/>
                          <w:marRight w:val="0"/>
                          <w:marTop w:val="0"/>
                          <w:marBottom w:val="0"/>
                          <w:divBdr>
                            <w:top w:val="none" w:sz="0" w:space="0" w:color="auto"/>
                            <w:left w:val="none" w:sz="0" w:space="0" w:color="auto"/>
                            <w:bottom w:val="none" w:sz="0" w:space="0" w:color="auto"/>
                            <w:right w:val="none" w:sz="0" w:space="0" w:color="auto"/>
                          </w:divBdr>
                        </w:div>
                      </w:divsChild>
                    </w:div>
                    <w:div w:id="1878733007">
                      <w:marLeft w:val="0"/>
                      <w:marRight w:val="0"/>
                      <w:marTop w:val="0"/>
                      <w:marBottom w:val="0"/>
                      <w:divBdr>
                        <w:top w:val="none" w:sz="0" w:space="0" w:color="auto"/>
                        <w:left w:val="none" w:sz="0" w:space="0" w:color="auto"/>
                        <w:bottom w:val="none" w:sz="0" w:space="0" w:color="auto"/>
                        <w:right w:val="none" w:sz="0" w:space="0" w:color="auto"/>
                      </w:divBdr>
                      <w:divsChild>
                        <w:div w:id="1385909424">
                          <w:marLeft w:val="0"/>
                          <w:marRight w:val="0"/>
                          <w:marTop w:val="0"/>
                          <w:marBottom w:val="0"/>
                          <w:divBdr>
                            <w:top w:val="none" w:sz="0" w:space="0" w:color="auto"/>
                            <w:left w:val="none" w:sz="0" w:space="0" w:color="auto"/>
                            <w:bottom w:val="none" w:sz="0" w:space="0" w:color="auto"/>
                            <w:right w:val="none" w:sz="0" w:space="0" w:color="auto"/>
                          </w:divBdr>
                        </w:div>
                        <w:div w:id="153835471">
                          <w:marLeft w:val="0"/>
                          <w:marRight w:val="0"/>
                          <w:marTop w:val="0"/>
                          <w:marBottom w:val="0"/>
                          <w:divBdr>
                            <w:top w:val="none" w:sz="0" w:space="0" w:color="auto"/>
                            <w:left w:val="none" w:sz="0" w:space="0" w:color="auto"/>
                            <w:bottom w:val="none" w:sz="0" w:space="0" w:color="auto"/>
                            <w:right w:val="none" w:sz="0" w:space="0" w:color="auto"/>
                          </w:divBdr>
                        </w:div>
                        <w:div w:id="1256674384">
                          <w:marLeft w:val="0"/>
                          <w:marRight w:val="0"/>
                          <w:marTop w:val="0"/>
                          <w:marBottom w:val="0"/>
                          <w:divBdr>
                            <w:top w:val="none" w:sz="0" w:space="0" w:color="auto"/>
                            <w:left w:val="none" w:sz="0" w:space="0" w:color="auto"/>
                            <w:bottom w:val="none" w:sz="0" w:space="0" w:color="auto"/>
                            <w:right w:val="none" w:sz="0" w:space="0" w:color="auto"/>
                          </w:divBdr>
                        </w:div>
                        <w:div w:id="613052484">
                          <w:marLeft w:val="0"/>
                          <w:marRight w:val="0"/>
                          <w:marTop w:val="0"/>
                          <w:marBottom w:val="0"/>
                          <w:divBdr>
                            <w:top w:val="none" w:sz="0" w:space="0" w:color="auto"/>
                            <w:left w:val="none" w:sz="0" w:space="0" w:color="auto"/>
                            <w:bottom w:val="none" w:sz="0" w:space="0" w:color="auto"/>
                            <w:right w:val="none" w:sz="0" w:space="0" w:color="auto"/>
                          </w:divBdr>
                        </w:div>
                        <w:div w:id="432283294">
                          <w:marLeft w:val="0"/>
                          <w:marRight w:val="0"/>
                          <w:marTop w:val="0"/>
                          <w:marBottom w:val="0"/>
                          <w:divBdr>
                            <w:top w:val="none" w:sz="0" w:space="0" w:color="auto"/>
                            <w:left w:val="none" w:sz="0" w:space="0" w:color="auto"/>
                            <w:bottom w:val="none" w:sz="0" w:space="0" w:color="auto"/>
                            <w:right w:val="none" w:sz="0" w:space="0" w:color="auto"/>
                          </w:divBdr>
                        </w:div>
                        <w:div w:id="682706780">
                          <w:marLeft w:val="0"/>
                          <w:marRight w:val="0"/>
                          <w:marTop w:val="0"/>
                          <w:marBottom w:val="0"/>
                          <w:divBdr>
                            <w:top w:val="none" w:sz="0" w:space="0" w:color="auto"/>
                            <w:left w:val="none" w:sz="0" w:space="0" w:color="auto"/>
                            <w:bottom w:val="none" w:sz="0" w:space="0" w:color="auto"/>
                            <w:right w:val="none" w:sz="0" w:space="0" w:color="auto"/>
                          </w:divBdr>
                        </w:div>
                        <w:div w:id="960457281">
                          <w:marLeft w:val="0"/>
                          <w:marRight w:val="0"/>
                          <w:marTop w:val="0"/>
                          <w:marBottom w:val="0"/>
                          <w:divBdr>
                            <w:top w:val="none" w:sz="0" w:space="0" w:color="auto"/>
                            <w:left w:val="none" w:sz="0" w:space="0" w:color="auto"/>
                            <w:bottom w:val="none" w:sz="0" w:space="0" w:color="auto"/>
                            <w:right w:val="none" w:sz="0" w:space="0" w:color="auto"/>
                          </w:divBdr>
                        </w:div>
                        <w:div w:id="1481582528">
                          <w:marLeft w:val="0"/>
                          <w:marRight w:val="0"/>
                          <w:marTop w:val="0"/>
                          <w:marBottom w:val="0"/>
                          <w:divBdr>
                            <w:top w:val="none" w:sz="0" w:space="0" w:color="auto"/>
                            <w:left w:val="none" w:sz="0" w:space="0" w:color="auto"/>
                            <w:bottom w:val="none" w:sz="0" w:space="0" w:color="auto"/>
                            <w:right w:val="none" w:sz="0" w:space="0" w:color="auto"/>
                          </w:divBdr>
                        </w:div>
                        <w:div w:id="181012634">
                          <w:marLeft w:val="0"/>
                          <w:marRight w:val="0"/>
                          <w:marTop w:val="0"/>
                          <w:marBottom w:val="0"/>
                          <w:divBdr>
                            <w:top w:val="none" w:sz="0" w:space="0" w:color="auto"/>
                            <w:left w:val="none" w:sz="0" w:space="0" w:color="auto"/>
                            <w:bottom w:val="none" w:sz="0" w:space="0" w:color="auto"/>
                            <w:right w:val="none" w:sz="0" w:space="0" w:color="auto"/>
                          </w:divBdr>
                        </w:div>
                        <w:div w:id="59639971">
                          <w:marLeft w:val="0"/>
                          <w:marRight w:val="0"/>
                          <w:marTop w:val="0"/>
                          <w:marBottom w:val="0"/>
                          <w:divBdr>
                            <w:top w:val="none" w:sz="0" w:space="0" w:color="auto"/>
                            <w:left w:val="none" w:sz="0" w:space="0" w:color="auto"/>
                            <w:bottom w:val="none" w:sz="0" w:space="0" w:color="auto"/>
                            <w:right w:val="none" w:sz="0" w:space="0" w:color="auto"/>
                          </w:divBdr>
                        </w:div>
                        <w:div w:id="1298954084">
                          <w:marLeft w:val="0"/>
                          <w:marRight w:val="0"/>
                          <w:marTop w:val="0"/>
                          <w:marBottom w:val="0"/>
                          <w:divBdr>
                            <w:top w:val="none" w:sz="0" w:space="0" w:color="auto"/>
                            <w:left w:val="none" w:sz="0" w:space="0" w:color="auto"/>
                            <w:bottom w:val="none" w:sz="0" w:space="0" w:color="auto"/>
                            <w:right w:val="none" w:sz="0" w:space="0" w:color="auto"/>
                          </w:divBdr>
                        </w:div>
                      </w:divsChild>
                    </w:div>
                    <w:div w:id="2018263109">
                      <w:marLeft w:val="0"/>
                      <w:marRight w:val="0"/>
                      <w:marTop w:val="0"/>
                      <w:marBottom w:val="0"/>
                      <w:divBdr>
                        <w:top w:val="none" w:sz="0" w:space="0" w:color="auto"/>
                        <w:left w:val="none" w:sz="0" w:space="0" w:color="auto"/>
                        <w:bottom w:val="none" w:sz="0" w:space="0" w:color="auto"/>
                        <w:right w:val="none" w:sz="0" w:space="0" w:color="auto"/>
                      </w:divBdr>
                      <w:divsChild>
                        <w:div w:id="8272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51ff50ad71164c5bba477d385b5bfbf2" PartId="18c8c3af9f13442b8a18248aff323463"/>
</Parts>
</file>

<file path=customXml/itemProps1.xml><?xml version="1.0" encoding="utf-8"?>
<ds:datastoreItem xmlns:ds="http://schemas.openxmlformats.org/officeDocument/2006/customXml" ds:itemID="{A3DF9706-E44A-498B-905A-D1CA7C2E1061}">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6EBAB045-0CB9-429D-BF5A-67C048C8089C}">
  <ds:schemaRefs>
    <ds:schemaRef ds:uri="http://schemas.microsoft.com/sharepoint/v3/contenttype/forms"/>
  </ds:schemaRefs>
</ds:datastoreItem>
</file>

<file path=customXml/itemProps3.xml><?xml version="1.0" encoding="utf-8"?>
<ds:datastoreItem xmlns:ds="http://schemas.openxmlformats.org/officeDocument/2006/customXml" ds:itemID="{07883E56-AC56-480B-A9F0-E77336E831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1AE045-2320-474B-8D9C-6B4DAD1C10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227</Words>
  <Characters>1640</Characters>
  <Application>Microsoft Office Word</Application>
  <DocSecurity>4</DocSecurity>
  <Lines>48</Lines>
  <Paragraphs>19</Paragraphs>
  <ScaleCrop>false</ScaleCrop>
  <Company/>
  <LinksUpToDate>false</LinksUpToDate>
  <CharactersWithSpaces>1848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g-dubickaite</dc:creator>
  <lastModifiedBy>adlibuser</lastModifiedBy>
  <lastPrinted>2015-04-23T08:59:00Z</lastPrinted>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