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abe134c06ae04273ae65b40ed31cda82"/>
        <w:lock w:val="sdtLocked"/>
        <w:richText/>
      </w:sdtPr>
      <w:sdtContent>
        <w:p>
          <w:pPr>
            <w:tabs>
              <w:tab w:val="center" w:pos="4986"/>
              <w:tab w:val="right" w:pos="9972"/>
            </w:tabs>
            <w:rPr>
              <w:kern w:val="2"/>
              <w:sz w:val="22"/>
              <w:szCs w:val="22"/>
            </w:rPr>
          </w:pPr>
        </w:p>
        <w:p>
          <w:pPr>
            <w:spacing w:line="259" w:lineRule="auto"/>
            <w:jc w:val="center"/>
            <w:rPr>
              <w:b/>
              <w:bCs/>
              <w:kern w:val="2"/>
              <w:szCs w:val="24"/>
            </w:rPr>
          </w:pPr>
          <w:r>
            <w:rPr>
              <w:b/>
              <w:bCs/>
              <w:kern w:val="2"/>
              <w:szCs w:val="24"/>
            </w:rPr>
            <w:t>DIREKTYVOS 2001/18/EB IR APLINKOS APSAUGOS VALSTYBINĖS KONTROLĖS ĮSTATYMO PAKEITIMO ĮSTATYMO PROJEKTO ATITIKTIES LENTELĖ</w:t>
          </w:r>
        </w:p>
        <w:p>
          <w:pPr>
            <w:rPr>
              <w:sz w:val="14"/>
              <w:szCs w:val="14"/>
            </w:rPr>
          </w:pPr>
        </w:p>
        <w:p>
          <w:pPr>
            <w:spacing w:line="259" w:lineRule="auto"/>
            <w:rPr>
              <w:kern w:val="2"/>
              <w:szCs w:val="24"/>
            </w:rPr>
          </w:pPr>
        </w:p>
        <w:p>
          <w:pPr>
            <w:rPr>
              <w:sz w:val="14"/>
              <w:szCs w:val="1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07"/>
            <w:gridCol w:w="6379"/>
            <w:gridCol w:w="1807"/>
          </w:tblGrid>
          <w:tr>
            <w:tc>
              <w:tcPr>
                <w:tcW w:w="5807" w:type="dxa"/>
              </w:tcPr>
              <w:p>
                <w:pPr>
                  <w:jc w:val="both"/>
                  <w:rPr>
                    <w:b/>
                    <w:bCs/>
                    <w:kern w:val="2"/>
                    <w:szCs w:val="24"/>
                  </w:rPr>
                </w:pPr>
                <w:r>
                  <w:rPr>
                    <w:b/>
                    <w:bCs/>
                    <w:kern w:val="2"/>
                    <w:szCs w:val="24"/>
                  </w:rPr>
                  <w:t xml:space="preserve">2001 m. kovo 12 d. Europos Parlamento ir Tarybos direktyva </w:t>
                </w:r>
                <w:fldSimple w:instr="HYPERLINK http://eur-lex.europa.eu/legal-content/LIT/TXT/?uri=CELEX:32001L0018&amp;locale=lt \t _blank">
                  <w:r>
                    <w:rPr>
                      <w:b/>
                      <w:bCs/>
                      <w:kern w:val="2"/>
                      <w:szCs w:val="24"/>
                      <w:u w:val="single"/>
                      <w:color w:val="0000FF" w:themeColor="hyperlink"/>
                    </w:rPr>
                    <w:t>2001/18/EB</w:t>
                  </w:r>
                </w:fldSimple>
                <w:r>
                  <w:rPr>
                    <w:b/>
                    <w:bCs/>
                    <w:kern w:val="2"/>
                    <w:szCs w:val="24"/>
                  </w:rPr>
                  <w:t xml:space="preserve"> dėl genetiškai modifikuotų organizmų apgalvoto išleidimo į aplinką ir panaikinanti Tarybos direktyvą </w:t>
                </w:r>
                <w:fldSimple w:instr="HYPERLINK http://eur-lex.europa.eu/legal-content/LIT/TXT/?uri=CELEX:31990L0220&amp;locale=lt \t _blank">
                  <w:r>
                    <w:rPr>
                      <w:b/>
                      <w:bCs/>
                      <w:kern w:val="2"/>
                      <w:szCs w:val="24"/>
                      <w:u w:val="single"/>
                      <w:color w:val="0000FF" w:themeColor="hyperlink"/>
                    </w:rPr>
                    <w:t>90/220/EEB</w:t>
                  </w:r>
                </w:fldSimple>
              </w:p>
            </w:tc>
            <w:tc>
              <w:tcPr>
                <w:tcW w:w="6379" w:type="dxa"/>
              </w:tcPr>
              <w:p>
                <w:pPr>
                  <w:rPr>
                    <w:b/>
                    <w:bCs/>
                    <w:kern w:val="2"/>
                    <w:szCs w:val="24"/>
                  </w:rPr>
                </w:pPr>
                <w:r>
                  <w:rPr>
                    <w:b/>
                    <w:bCs/>
                    <w:kern w:val="2"/>
                    <w:szCs w:val="24"/>
                  </w:rPr>
                  <w:t>Aplinkos apsaugos valstybinės kontrolės įstatymo pakeitimo įstatymo projektas (toliau – Projektas)</w:t>
                </w:r>
              </w:p>
            </w:tc>
            <w:tc>
              <w:tcPr>
                <w:tcW w:w="1807" w:type="dxa"/>
              </w:tcPr>
              <w:p>
                <w:pPr>
                  <w:rPr>
                    <w:b/>
                    <w:bCs/>
                    <w:kern w:val="2"/>
                    <w:szCs w:val="24"/>
                  </w:rPr>
                </w:pPr>
                <w:r>
                  <w:rPr>
                    <w:b/>
                    <w:bCs/>
                    <w:kern w:val="2"/>
                    <w:szCs w:val="24"/>
                  </w:rPr>
                  <w:t>Direktyvos perkėlimo lygis</w:t>
                </w:r>
              </w:p>
            </w:tc>
          </w:tr>
          <w:tr>
            <w:tc>
              <w:tcPr>
                <w:tcW w:w="5807" w:type="dxa"/>
              </w:tcPr>
              <w:p>
                <w:pPr>
                  <w:rPr>
                    <w:b/>
                    <w:bCs/>
                    <w:kern w:val="2"/>
                    <w:szCs w:val="24"/>
                  </w:rPr>
                </w:pPr>
                <w:r>
                  <w:rPr>
                    <w:b/>
                    <w:bCs/>
                    <w:kern w:val="2"/>
                    <w:szCs w:val="24"/>
                  </w:rPr>
                  <w:t>4 straipsnis</w:t>
                </w:r>
              </w:p>
              <w:p>
                <w:pPr>
                  <w:rPr>
                    <w:b/>
                    <w:bCs/>
                    <w:kern w:val="2"/>
                    <w:szCs w:val="24"/>
                  </w:rPr>
                </w:pPr>
                <w:r>
                  <w:rPr>
                    <w:b/>
                    <w:bCs/>
                    <w:kern w:val="2"/>
                    <w:szCs w:val="24"/>
                  </w:rPr>
                  <w:t>Bendrieji įpareigojimai</w:t>
                </w:r>
              </w:p>
              <w:p>
                <w:pPr>
                  <w:rPr>
                    <w:sz w:val="10"/>
                    <w:szCs w:val="10"/>
                  </w:rPr>
                </w:pPr>
              </w:p>
              <w:p>
                <w:pPr>
                  <w:shd w:val="clear" w:color="auto" w:fill="FFFFFF"/>
                  <w:jc w:val="both"/>
                  <w:rPr>
                    <w:kern w:val="2"/>
                    <w:sz w:val="22"/>
                    <w:szCs w:val="22"/>
                  </w:rPr>
                </w:pPr>
                <w:r>
                  <w:rPr>
                    <w:color w:val="000000"/>
                    <w:kern w:val="2"/>
                    <w:szCs w:val="24"/>
                  </w:rPr>
                  <w:t xml:space="preserve">1.  Valstybės narės, remdamosi atsargumo principu, užtikrina, kad būtų imamasi visų reikiamų priemonių, siekiant išvengti žmonių sveikatai ir aplinkai neigiamo poveikio, galinčio kilti dėl GMO apgalvoto išleidimo į aplinką ar pateikimo į rinką. GMO gali būti apgalvotai išleisti į aplinką arba pateikti į rinką tik laikantis atitinkamai B arba C dalių nuostatų.</w:t>
                </w:r>
              </w:p>
              <w:p>
                <w:pPr>
                  <w:rPr>
                    <w:sz w:val="10"/>
                    <w:szCs w:val="10"/>
                  </w:rPr>
                </w:pPr>
              </w:p>
              <w:p>
                <w:pPr>
                  <w:shd w:val="clear" w:color="auto" w:fill="FFFFFF"/>
                  <w:jc w:val="both"/>
                  <w:rPr>
                    <w:kern w:val="2"/>
                    <w:sz w:val="22"/>
                    <w:szCs w:val="22"/>
                  </w:rPr>
                </w:pPr>
                <w:r>
                  <w:rPr>
                    <w:color w:val="000000"/>
                    <w:kern w:val="2"/>
                    <w:szCs w:val="24"/>
                  </w:rPr>
                  <w:t xml:space="preserve">2.  Prieš pateikdami pagal B arba C dalį pranešimą, visi asmenys įvertina riziką aplinkai. Informacija, kurios gali prireikti aplinkai keliamai rizikai įvertinti, yra nustatyta III priede. Siekdamos nustatyti ir palaipsniui panaikinti GMO esančias atsparumo antibiotikams dalis, galinčias daryti neigiamą poveikį žmonių sveikatai ir aplinkai, valstybės narės ir Komisija užtikrina, kad įvertinant riziką aplinkai ypatingas dėmesys būtų skiriamas tiems GMO, kurie turi genų, atsparių antibiotikams, vartojamiems žmonių ir veterinariniam gydymui. Pagal C dalį į rinką pateikiamuose GMO šios dalys panaikinamos iki 2004 m. gruodžio 31 d., o pagal B dalį pateikti į rinką leidžiamuose GMO — iki 2008 m. gruodžio 31 d.</w:t>
                </w:r>
              </w:p>
              <w:p>
                <w:pPr>
                  <w:rPr>
                    <w:sz w:val="10"/>
                    <w:szCs w:val="10"/>
                  </w:rPr>
                </w:pPr>
              </w:p>
              <w:p>
                <w:pPr>
                  <w:shd w:val="clear" w:color="auto" w:fill="FFFFFF"/>
                  <w:jc w:val="both"/>
                  <w:rPr>
                    <w:kern w:val="2"/>
                    <w:sz w:val="22"/>
                    <w:szCs w:val="22"/>
                  </w:rPr>
                </w:pPr>
                <w:r>
                  <w:rPr>
                    <w:color w:val="000000"/>
                    <w:kern w:val="2"/>
                    <w:szCs w:val="24"/>
                  </w:rPr>
                  <w:t xml:space="preserve">3.  Valstybės narės ir, jei reikia, Komisija užtikrina, kad kiekvienu atveju būtų kruopščiai įvertintas galimas neigiamas poveikis žmonių sveikatai ir aplinkai, kurį gali tiesiogiai ar netiesiogiai sukelti genų perkėlimas iš GMO į kitus organizmus. Vertinama pagal II priedo reikalavimus atsižvelgiant į poveikį aplinkai pagal perkelto organizmo ir priimančios aplinkos kilmę.</w:t>
                </w:r>
              </w:p>
              <w:p>
                <w:pPr>
                  <w:rPr>
                    <w:sz w:val="10"/>
                    <w:szCs w:val="10"/>
                  </w:rPr>
                </w:pPr>
              </w:p>
              <w:p>
                <w:pPr>
                  <w:shd w:val="clear" w:color="auto" w:fill="FFFFFF"/>
                  <w:jc w:val="both"/>
                  <w:rPr>
                    <w:kern w:val="2"/>
                    <w:sz w:val="22"/>
                    <w:szCs w:val="22"/>
                  </w:rPr>
                </w:pPr>
                <w:r>
                  <w:rPr>
                    <w:color w:val="000000"/>
                    <w:kern w:val="2"/>
                    <w:szCs w:val="24"/>
                  </w:rPr>
                  <w:t xml:space="preserve">4.  Valstybės narės paskiria kompetentingą instituciją ar institucijas, atsakingas už šios direktyvos reikalavimų vykdymą. Kompetentinga institucija išnagrinėja pagal B ir C dalis pateiktus pranešimus ir nustato, ar jie atitinka šios direktyvos reikalavimus ir ar tinkamai buvo atliktas šio straipsnio 2 dalyje numatytas įvertinimas.</w:t>
                </w:r>
              </w:p>
              <w:p>
                <w:pPr>
                  <w:rPr>
                    <w:sz w:val="10"/>
                    <w:szCs w:val="10"/>
                  </w:rPr>
                </w:pPr>
              </w:p>
              <w:p>
                <w:pPr>
                  <w:shd w:val="clear" w:color="auto" w:fill="FFFFFF"/>
                  <w:jc w:val="both"/>
                  <w:rPr>
                    <w:kern w:val="2"/>
                    <w:sz w:val="22"/>
                    <w:szCs w:val="22"/>
                  </w:rPr>
                </w:pPr>
                <w:r>
                  <w:rPr>
                    <w:color w:val="000000"/>
                    <w:kern w:val="2"/>
                    <w:szCs w:val="24"/>
                  </w:rPr>
                  <w:t xml:space="preserve">5.  Siekdamos garantuoti, kad būtų laikomasi šios direktyvos, valstybės narės užtikrina, kad kompetentinga institucija organizuotų patikrinimus ir, jei reikia, taikytų kitas kontrolės priemones. Jei leidimo neturintis (-ys) GMO kaip atskiras (-i) produktas (-ai) ar esantis (-ys) kituose produktuose yra išleidžiamas (-i) į aplinką arba pateikiamas (-i) į rinką, atitinkama valstybė narė užtikrina, kad būtų imtasi reikiamų priemonių išleidimui į aplinką ar pateikimui į rinką nutraukti, jei tikslinga, kad būtų imtasi atkuriamųjų priemonių ir informuota tos valstybės narės visuomenė, Komisija ir kitos valstybės narės.</w:t>
                </w:r>
              </w:p>
              <w:p>
                <w:pPr>
                  <w:jc w:val="both"/>
                  <w:rPr>
                    <w:kern w:val="2"/>
                    <w:szCs w:val="24"/>
                  </w:rPr>
                </w:pPr>
              </w:p>
              <w:p>
                <w:pPr>
                  <w:jc w:val="both"/>
                  <w:rPr>
                    <w:kern w:val="2"/>
                    <w:szCs w:val="24"/>
                  </w:rPr>
                </w:pPr>
              </w:p>
            </w:tc>
            <w:tc>
              <w:tcPr>
                <w:tcW w:w="6379" w:type="dxa"/>
              </w:tcPr>
              <w:p>
                <w:pPr>
                  <w:jc w:val="both"/>
                  <w:rPr>
                    <w:b/>
                    <w:bCs/>
                    <w:color w:val="000000"/>
                    <w:kern w:val="2"/>
                    <w:szCs w:val="24"/>
                  </w:rPr>
                </w:pPr>
                <w:r>
                  <w:rPr>
                    <w:b/>
                    <w:bCs/>
                    <w:color w:val="000000"/>
                    <w:kern w:val="2"/>
                    <w:szCs w:val="24"/>
                  </w:rPr>
                  <w:t>Projektas</w:t>
                </w:r>
              </w:p>
              <w:p>
                <w:pPr>
                  <w:jc w:val="both"/>
                  <w:rPr>
                    <w:b/>
                    <w:bCs/>
                    <w:color w:val="000000"/>
                    <w:kern w:val="2"/>
                    <w:szCs w:val="24"/>
                  </w:rPr>
                </w:pPr>
                <w:r>
                  <w:rPr>
                    <w:b/>
                    <w:bCs/>
                    <w:color w:val="000000"/>
                    <w:kern w:val="2"/>
                    <w:szCs w:val="24"/>
                  </w:rPr>
                  <w:t>1 straipsnio 2 dalies 1 punktas</w:t>
                </w:r>
              </w:p>
              <w:p>
                <w:pPr>
                  <w:jc w:val="both"/>
                  <w:rPr>
                    <w:kern w:val="2"/>
                    <w:szCs w:val="24"/>
                    <w:lang w:val="lt"/>
                  </w:rPr>
                </w:pPr>
                <w:r>
                  <w:rPr>
                    <w:b/>
                    <w:bCs/>
                    <w:color w:val="000000"/>
                    <w:kern w:val="2"/>
                    <w:szCs w:val="24"/>
                  </w:rPr>
                  <w:t>“</w:t>
                </w:r>
                <w:r>
                  <w:rPr>
                    <w:b/>
                    <w:bCs/>
                    <w:kern w:val="2"/>
                    <w:szCs w:val="24"/>
                    <w:lang w:val="lt"/>
                  </w:rPr>
                  <w:t>Aplinkos apsaugos valstybinės priežiūros objektai:</w:t>
                </w:r>
              </w:p>
              <w:p>
                <w:pPr>
                  <w:jc w:val="both"/>
                  <w:rPr>
                    <w:kern w:val="2"/>
                    <w:sz w:val="22"/>
                    <w:szCs w:val="22"/>
                  </w:rPr>
                </w:pPr>
                <w:r>
                  <w:rPr>
                    <w:b/>
                    <w:bCs/>
                    <w:kern w:val="2"/>
                    <w:szCs w:val="24"/>
                    <w:lang w:val="lt"/>
                  </w:rPr>
                  <w:t xml:space="preserve">1) </w:t>
                </w:r>
                <w:r>
                  <w:rPr>
                    <w:b/>
                    <w:bCs/>
                    <w:kern w:val="2"/>
                    <w:szCs w:val="24"/>
                  </w:rPr>
                  <w:t>aplinkos apsaugos ir taršos prevencijos srityje (toliau – aplinkos apsaugos sritis) – kraštovaizdis ir biologinė įvairovė, genetiškai modifikuoti organizmai, vanduo ir nuotekos, atliekos (išskyrus radioaktyviąsias), cheminės medžiagos ir cheminiai mišiniai, aplinkos oras, poveikio aplinkai vertinimas, strateginis pasekmių aplinkai vertinimas, klimato kaita, aplinkos monitoringas (išskyrus radiologinį);</w:t>
                </w:r>
                <w:r>
                  <w:rPr>
                    <w:b/>
                    <w:bCs/>
                    <w:color w:val="000000"/>
                    <w:kern w:val="2"/>
                    <w:szCs w:val="24"/>
                  </w:rPr>
                  <w:t>”</w:t>
                </w:r>
              </w:p>
              <w:p>
                <w:pPr>
                  <w:jc w:val="both"/>
                  <w:rPr>
                    <w:b/>
                    <w:bCs/>
                    <w:color w:val="000000"/>
                    <w:kern w:val="2"/>
                    <w:szCs w:val="24"/>
                  </w:rPr>
                </w:pPr>
              </w:p>
              <w:p>
                <w:pPr>
                  <w:jc w:val="both"/>
                  <w:rPr>
                    <w:kern w:val="2"/>
                    <w:szCs w:val="24"/>
                  </w:rPr>
                </w:pPr>
                <w:r>
                  <w:rPr>
                    <w:b/>
                    <w:bCs/>
                    <w:color w:val="000000"/>
                    <w:kern w:val="2"/>
                    <w:szCs w:val="24"/>
                  </w:rPr>
                  <w:t>5 straipsnis</w:t>
                </w:r>
              </w:p>
              <w:p>
                <w:pPr>
                  <w:jc w:val="both"/>
                  <w:rPr>
                    <w:b/>
                    <w:bCs/>
                    <w:kern w:val="2"/>
                    <w:szCs w:val="24"/>
                  </w:rPr>
                </w:pPr>
                <w:r>
                  <w:rPr>
                    <w:b/>
                    <w:bCs/>
                    <w:color w:val="000000"/>
                    <w:kern w:val="2"/>
                    <w:szCs w:val="24"/>
                    <w:shd w:val="clear" w:color="auto" w:fill="FFFFFF"/>
                  </w:rPr>
                  <w:t>„</w:t>
                </w:r>
                <w:r>
                  <w:rPr>
                    <w:b/>
                    <w:bCs/>
                    <w:color w:val="000000"/>
                    <w:kern w:val="2"/>
                    <w:szCs w:val="24"/>
                  </w:rPr>
                  <w:t>Aplinkos apsaugos valstybinę priežiūrą Lietuvos Respublikoje atlieka Lietuvos Respublikos Vyriausybės įgaliota institucija.</w:t>
                </w:r>
                <w:r>
                  <w:rPr>
                    <w:b/>
                    <w:bCs/>
                    <w:kern w:val="2"/>
                    <w:szCs w:val="24"/>
                  </w:rPr>
                  <w:t>“</w:t>
                </w:r>
              </w:p>
              <w:p>
                <w:pPr>
                  <w:jc w:val="both"/>
                  <w:rPr>
                    <w:b/>
                    <w:bCs/>
                    <w:kern w:val="2"/>
                    <w:szCs w:val="24"/>
                  </w:rPr>
                </w:pPr>
              </w:p>
              <w:p>
                <w:pPr>
                  <w:jc w:val="both"/>
                  <w:rPr>
                    <w:b/>
                    <w:bCs/>
                    <w:kern w:val="2"/>
                    <w:szCs w:val="24"/>
                  </w:rPr>
                </w:pPr>
                <w:r>
                  <w:rPr>
                    <w:b/>
                    <w:bCs/>
                    <w:kern w:val="2"/>
                    <w:szCs w:val="24"/>
                  </w:rPr>
                  <w:t>6 straipsnio 11 punktas</w:t>
                </w:r>
              </w:p>
              <w:p>
                <w:pPr>
                  <w:jc w:val="both"/>
                  <w:rPr>
                    <w:b/>
                    <w:bCs/>
                    <w:kern w:val="2"/>
                    <w:szCs w:val="24"/>
                    <w:lang w:val="lt"/>
                  </w:rPr>
                </w:pPr>
                <w:r>
                  <w:rPr>
                    <w:b/>
                    <w:bCs/>
                    <w:kern w:val="2"/>
                    <w:szCs w:val="24"/>
                  </w:rPr>
                  <w:t>“</w:t>
                </w:r>
                <w:r>
                  <w:rPr>
                    <w:b/>
                    <w:bCs/>
                    <w:kern w:val="2"/>
                    <w:szCs w:val="24"/>
                    <w:lang w:val="lt"/>
                  </w:rPr>
                  <w:t>Aplinkos apsaugos valstybinę priežiūrą atliekanti institucija:</w:t>
                </w:r>
              </w:p>
              <w:p>
                <w:pPr>
                  <w:jc w:val="both"/>
                  <w:rPr>
                    <w:b/>
                    <w:bCs/>
                    <w:kern w:val="2"/>
                    <w:szCs w:val="24"/>
                  </w:rPr>
                </w:pPr>
                <w:r>
                  <w:rPr>
                    <w:b/>
                    <w:bCs/>
                    <w:kern w:val="2"/>
                    <w:szCs w:val="24"/>
                  </w:rPr>
                  <w:t>11) prižiūri, ar genetiškai modifikuoti mikroorganizmai ir organizmai ribotai naudojami, išleidžiami į aplinką laikantis teisės aktuose nustatytų reikalavimų;”</w:t>
                </w:r>
              </w:p>
              <w:p>
                <w:pPr>
                  <w:jc w:val="both"/>
                  <w:rPr>
                    <w:kern w:val="2"/>
                    <w:szCs w:val="24"/>
                  </w:rPr>
                </w:pPr>
              </w:p>
              <w:p>
                <w:pPr>
                  <w:jc w:val="both"/>
                  <w:rPr>
                    <w:b/>
                    <w:bCs/>
                    <w:kern w:val="2"/>
                    <w:szCs w:val="24"/>
                  </w:rPr>
                </w:pPr>
                <w:r>
                  <w:rPr>
                    <w:b/>
                    <w:bCs/>
                    <w:kern w:val="2"/>
                    <w:szCs w:val="24"/>
                  </w:rPr>
                  <w:t>11 straipsnio 1 dalies 3-4, 6-7,12-14, 16-18 punktai</w:t>
                </w:r>
              </w:p>
              <w:p>
                <w:pPr>
                  <w:jc w:val="both"/>
                  <w:rPr>
                    <w:kern w:val="2"/>
                    <w:szCs w:val="24"/>
                  </w:rPr>
                </w:pPr>
                <w:r>
                  <w:rPr>
                    <w:b/>
                    <w:bCs/>
                    <w:kern w:val="2"/>
                    <w:szCs w:val="24"/>
                  </w:rPr>
                  <w:t>„Aplinkos apsaugos valstybinės priežiūros pareigūnų teisės ir pareigos:</w:t>
                </w:r>
              </w:p>
              <w:p>
                <w:pPr>
                  <w:spacing w:line="276" w:lineRule="auto"/>
                  <w:ind w:firstLine="720"/>
                  <w:jc w:val="both"/>
                  <w:rPr>
                    <w:b/>
                    <w:bCs/>
                    <w:kern w:val="2"/>
                    <w:szCs w:val="24"/>
                  </w:rPr>
                </w:pPr>
                <w:r>
                  <w:rPr>
                    <w:b/>
                    <w:bCs/>
                    <w:kern w:val="2"/>
                    <w:szCs w:val="24"/>
                  </w:rPr>
                  <w:t>&lt;...&gt;</w:t>
                </w:r>
              </w:p>
              <w:p>
                <w:pPr>
                  <w:spacing w:line="276" w:lineRule="auto"/>
                  <w:ind w:firstLine="720"/>
                  <w:jc w:val="both"/>
                  <w:rPr>
                    <w:b/>
                    <w:bCs/>
                    <w:kern w:val="2"/>
                    <w:szCs w:val="24"/>
                  </w:rPr>
                </w:pPr>
                <w:r>
                  <w:rPr>
                    <w:b/>
                    <w:bCs/>
                    <w:kern w:val="2"/>
                    <w:szCs w:val="24"/>
                  </w:rPr>
                  <w:t>3) reido metu, siekiant vykdyti aplinkos apsaugą ir gamtos išteklių naudojimą reglamentuojančių teisės aktų pažeidimų prevenciją, atskleisti ir ištirti aplinkos apsaugą ir gamtos išteklių naudojimą reglamentuojančių teisės aktų pažeidimus, be išankstinio įspėjimo vykdyti nenuolatinę teritorijų (išskyrus karines teritorijas) ir (ar) jose esančių objektų (statinių, įrenginių, patalpų (išskyrus gyvenamųjų patalpų), transporto priemonių) ir (ar) daiktų (gamtos išteklių, medžiagų, įrankių ir priemonių) apžiūrą iš sausumos, vandens ir oro, pasitelkiant vaizdo stebėjimo ir (ar) fiksavimo priemones aplinkos apsaugos valstybinę priežiūrą atliekančios institucijos vadovo nustatyta tvarka, laikantis šiame įstatyme ir kituose teisės aktuose, reglamentuojančiuose asmens duomenų tvarkymą, įtvirtintų reikalavimų;</w:t>
                </w:r>
              </w:p>
              <w:p>
                <w:pPr>
                  <w:spacing w:line="276" w:lineRule="auto"/>
                  <w:ind w:firstLine="720"/>
                  <w:jc w:val="both"/>
                  <w:rPr>
                    <w:b/>
                    <w:bCs/>
                    <w:kern w:val="2"/>
                    <w:szCs w:val="24"/>
                  </w:rPr>
                </w:pPr>
                <w:r>
                  <w:rPr>
                    <w:b/>
                    <w:bCs/>
                    <w:kern w:val="2"/>
                    <w:szCs w:val="24"/>
                  </w:rPr>
                  <w:t>4) tikrinti dokumentų, daiktų (gamtos išteklių, medžiagų, įrankių ir priemonių), vykdomos veiklos atitiktį aplinkos apsaugą ir gamtos išteklių naudojimą reglamentuojančių teisės aktų reikalavimams;</w:t>
                </w:r>
              </w:p>
              <w:p>
                <w:pPr>
                  <w:spacing w:line="276" w:lineRule="auto"/>
                  <w:ind w:firstLine="720"/>
                  <w:jc w:val="both"/>
                  <w:rPr>
                    <w:b/>
                    <w:bCs/>
                    <w:kern w:val="2"/>
                    <w:szCs w:val="24"/>
                  </w:rPr>
                </w:pPr>
                <w:r>
                  <w:rPr>
                    <w:b/>
                    <w:bCs/>
                    <w:kern w:val="2"/>
                    <w:szCs w:val="24"/>
                  </w:rPr>
                  <w:t>&lt;...&gt;</w:t>
                </w:r>
              </w:p>
              <w:p>
                <w:pPr>
                  <w:spacing w:line="276" w:lineRule="auto"/>
                  <w:ind w:firstLine="720"/>
                  <w:jc w:val="both"/>
                  <w:rPr>
                    <w:b/>
                    <w:bCs/>
                    <w:kern w:val="2"/>
                    <w:szCs w:val="24"/>
                  </w:rPr>
                </w:pPr>
                <w:r>
                  <w:rPr>
                    <w:b/>
                    <w:bCs/>
                    <w:kern w:val="2"/>
                    <w:szCs w:val="24"/>
                  </w:rPr>
                  <w:t>6) aplinkos apsaugos valstybinę priežiūrą atliekančios institucijos vadovo nustatyta tvarka stabdyti su Lietuvos valstybės vėliava ar užsienio valstybės vėliava Lietuvos Respublikos vidaus vandenyse, Lietuvos Respublikos teritorinėje jūroje ir Lietuvos Respublikos išskirtinėje ekonominėje zonoje plaukiojančius laivus, atlikti juose aplinkos apsaugos valstybinę priežiūrą; šio įstatymo nustatyta tvarka atlikti tyrimą dėl jūros aplinkos teršimo ar kitų aplinkos apsaugą ir gamtos išteklių naudojimą reglamentuojančių teisės aktų pažeidimų, sulaikyti laivus, nukreipti juos į saugų uostą ar kitą saugią stovėjimo vietą nekeliant pavojaus jūros aplinkai; atlikti aplinkos apsaugos valstybinę priežiūrą atviroje jūroje su Lietuvos Respublikos vėliava plaukiojančiuose laivuose. Šio punkto nuostatos netaikomos karo laivams, pagalbiniams karo laivyno laivams arba kitiems valstybei nuosavybės teise priklausantiems ar jos eksploatuojamiems ir tuo metu tik nekomercine valstybės veikla užsiimantiems laivams;</w:t>
                </w:r>
              </w:p>
              <w:p>
                <w:pPr>
                  <w:spacing w:line="276" w:lineRule="auto"/>
                  <w:ind w:firstLine="720"/>
                  <w:jc w:val="both"/>
                  <w:rPr>
                    <w:b/>
                    <w:bCs/>
                    <w:kern w:val="2"/>
                    <w:szCs w:val="24"/>
                  </w:rPr>
                </w:pPr>
                <w:r>
                  <w:rPr>
                    <w:b/>
                    <w:bCs/>
                    <w:kern w:val="2"/>
                    <w:szCs w:val="24"/>
                  </w:rPr>
                  <w:t>7) kad būtų išaiškinti aplinkos apsaugą ir gamtos išteklių naudojimą reglamentuojančių teisės aktų pažeidimai, už kuriuos numatyta teisinė atsakomybė, ar užkirstas kelias jiems, taip pat grėsmei dėl žalos aplinkai, aplinkos apsaugos valstybinę priežiūrą atliekančios institucijos nustatyta tvarka apžiūrėti transporto priemones, atlikti transporto priemonių į aplinką išmetamų teršalų kontrolę;</w:t>
                </w:r>
              </w:p>
              <w:p>
                <w:pPr>
                  <w:spacing w:line="276" w:lineRule="auto"/>
                  <w:ind w:firstLine="720"/>
                  <w:jc w:val="both"/>
                  <w:rPr>
                    <w:b/>
                    <w:bCs/>
                    <w:kern w:val="2"/>
                    <w:szCs w:val="24"/>
                  </w:rPr>
                </w:pPr>
                <w:r>
                  <w:rPr>
                    <w:b/>
                    <w:bCs/>
                    <w:kern w:val="2"/>
                    <w:szCs w:val="24"/>
                  </w:rPr>
                  <w:t>&lt;...&gt;</w:t>
                </w:r>
              </w:p>
              <w:p>
                <w:pPr>
                  <w:spacing w:line="276" w:lineRule="auto"/>
                  <w:ind w:firstLine="720"/>
                  <w:jc w:val="both"/>
                  <w:rPr>
                    <w:b/>
                    <w:bCs/>
                    <w:kern w:val="2"/>
                    <w:szCs w:val="24"/>
                  </w:rPr>
                </w:pPr>
                <w:r>
                  <w:rPr>
                    <w:b/>
                    <w:bCs/>
                    <w:kern w:val="2"/>
                    <w:szCs w:val="24"/>
                  </w:rPr>
                  <w:t>12) gavę pranešimą ir (ar) informaciją apie galimus aplinkos apsaugą ir gamtos išteklių naudojimą reglamentuojančių teisės aktų pažeidimus, imtis priemonių, kad pažeidimas būtų išaiškintas ir nustatyti pažeidėjai, jeigu pagal kompetenciją patys to padaryti negali, – informuoti kompetentingą valstybės instituciją, kad ši imtųsi priemonių išaiškinti pažeidimą ir nustatyti pažeidėją. Priimant sprendimą dėl reagavimo ar nereagavimo į pranešimus ar gautą informaciją apie galimus aplinkos apsaugą ir gamtos išteklių naudojimą reglamentuojančių teisės aktų pažeidimus, įvertinamas informacijos pagrįstumas, patikimumas, įtariamo pažeidimo keliama grėsmė saugomai vertybei (reikšmingumas), institucijos išteklių naudojimo efektyvumas ir pagrįstumas. Sprendimų dėl reagavimo į pranešimus ir (ar) informaciją apie galimus aplinkos apsaugą ir gamtos išteklių naudojimą reglamentuojančių teisės aktų pažeidimus priėmimo tvarką nustato aplinkos ministras ar jo įgaliota institucija;</w:t>
                </w:r>
              </w:p>
              <w:p>
                <w:pPr>
                  <w:spacing w:line="276" w:lineRule="auto"/>
                  <w:ind w:firstLine="720"/>
                  <w:jc w:val="both"/>
                  <w:rPr>
                    <w:b/>
                    <w:bCs/>
                    <w:kern w:val="2"/>
                    <w:szCs w:val="24"/>
                  </w:rPr>
                </w:pPr>
                <w:r>
                  <w:rPr>
                    <w:b/>
                    <w:bCs/>
                    <w:kern w:val="2"/>
                    <w:szCs w:val="24"/>
                  </w:rPr>
                  <w:t xml:space="preserve">13) nustačius aplinkos apsaugą ir gamtos išteklių naudojimą reglamentuojančių teisės aktų pažeidimą, kuriuo aplinkai buvo padaryta žala, ir įvertinus padarytą žalą aplinkai, išskyrus atvejus, kai padarytas reikšmingas neigiamas poveikis aplinkai, dėl kurio turi būti taikomas aplinkos būklės atkūrimas iki pirminės būklės, privalo aplinkos ministro nustatyta tvarka pasiūlyti pažeidėjui gera valia atlyginti žalą aplinkai ir kitus nuostolius. Jeigu pažeidėjas per aplinkos apsaugos valstybinės priežiūros pareigūno nurodytą terminą savanoriškai neatlygina žalos aplinkai ir kitų nuostolių, aplinkos apsaugos valstybinės priežiūros pareigūnas, </w:t>
                </w:r>
                <w:r>
                  <w:rPr>
                    <w:b/>
                    <w:bCs/>
                    <w:kern w:val="2"/>
                    <w:szCs w:val="24"/>
                    <w:lang w:val="lt"/>
                  </w:rPr>
                  <w:t xml:space="preserve">vadovaudamasis Aplinkos apsaugos įstatymo </w:t>
                </w:r>
                <w:r>
                  <w:rPr>
                    <w:b/>
                    <w:bCs/>
                    <w:kern w:val="2"/>
                    <w:szCs w:val="24"/>
                  </w:rPr>
                  <w:t>33 straipsniu, privalo pateikti ieškinį teisme dėl žalos aplinkai ir kitų nuostolių atlyginimo;</w:t>
                </w:r>
              </w:p>
              <w:p>
                <w:pPr>
                  <w:spacing w:line="276" w:lineRule="auto"/>
                  <w:ind w:firstLine="720"/>
                  <w:jc w:val="both"/>
                  <w:rPr>
                    <w:b/>
                    <w:bCs/>
                    <w:kern w:val="2"/>
                    <w:szCs w:val="24"/>
                  </w:rPr>
                </w:pPr>
                <w:r>
                  <w:rPr>
                    <w:b/>
                    <w:bCs/>
                    <w:kern w:val="2"/>
                    <w:szCs w:val="24"/>
                  </w:rPr>
                  <w:t>14) pasitelkti nešališkus kompetentingus ekspertus ar specialistus, turinčius reikiamą įrangą, dalyvauti patikrinime ir (ar) vertinti patikrinimo duomenis, ir (ar) imti ėminius, ir (ar) atlikti tyrimus ir matavimus, kai reikia specialių žinių ir (ar) įrangos;</w:t>
                </w:r>
              </w:p>
              <w:p>
                <w:pPr>
                  <w:spacing w:line="276" w:lineRule="auto"/>
                  <w:ind w:firstLine="720"/>
                  <w:jc w:val="both"/>
                  <w:rPr>
                    <w:b/>
                    <w:bCs/>
                    <w:kern w:val="2"/>
                    <w:szCs w:val="24"/>
                  </w:rPr>
                </w:pPr>
                <w:r>
                  <w:rPr>
                    <w:b/>
                    <w:bCs/>
                    <w:kern w:val="2"/>
                    <w:szCs w:val="24"/>
                  </w:rPr>
                  <w:t>&lt;...&gt;</w:t>
                </w:r>
              </w:p>
              <w:p>
                <w:pPr>
                  <w:spacing w:line="276" w:lineRule="auto"/>
                  <w:ind w:firstLine="720"/>
                  <w:jc w:val="both"/>
                  <w:rPr>
                    <w:b/>
                    <w:bCs/>
                    <w:kern w:val="2"/>
                    <w:szCs w:val="24"/>
                  </w:rPr>
                </w:pPr>
                <w:r>
                  <w:rPr>
                    <w:b/>
                    <w:bCs/>
                    <w:kern w:val="2"/>
                    <w:szCs w:val="24"/>
                  </w:rPr>
                  <w:t>16) šio įstatymo 18 straipsnyje nustatyta tvarka atlikti į aplinką patenkančių teršalų ir jų paveiktos aplinkos užterštumo matavimus;</w:t>
                </w:r>
              </w:p>
              <w:p>
                <w:pPr>
                  <w:spacing w:line="276" w:lineRule="auto"/>
                  <w:ind w:firstLine="720"/>
                  <w:jc w:val="both"/>
                  <w:rPr>
                    <w:b/>
                    <w:bCs/>
                    <w:kern w:val="2"/>
                    <w:szCs w:val="24"/>
                  </w:rPr>
                </w:pPr>
                <w:r>
                  <w:rPr>
                    <w:b/>
                    <w:bCs/>
                    <w:kern w:val="2"/>
                    <w:szCs w:val="24"/>
                  </w:rPr>
                  <w:t>17) prižiūrėti, ar teisėtai naudojamas Bendrijos aplinkosaugos vadybos ir audito sistemos logotipas ir Europos Sąjungos ekologinis ženklas;</w:t>
                </w:r>
              </w:p>
              <w:p>
                <w:pPr>
                  <w:spacing w:line="276" w:lineRule="auto"/>
                  <w:ind w:firstLine="720"/>
                  <w:jc w:val="both"/>
                  <w:rPr>
                    <w:b/>
                    <w:bCs/>
                    <w:kern w:val="2"/>
                    <w:szCs w:val="24"/>
                  </w:rPr>
                </w:pPr>
                <w:r>
                  <w:rPr>
                    <w:b/>
                    <w:bCs/>
                    <w:kern w:val="2"/>
                    <w:szCs w:val="24"/>
                  </w:rPr>
                  <w:t>18) atlikti kitus šiame ir kituose teisės aktuose reglamentuojančiuose aplinkos apsaugą ir gamtos išteklių naudojimą nustatytus aplinkos apsaugos valstybinės priežiūros veiksmus.</w:t>
                </w:r>
              </w:p>
              <w:p>
                <w:pPr>
                  <w:jc w:val="both"/>
                  <w:rPr>
                    <w:b/>
                    <w:bCs/>
                    <w:color w:val="000000"/>
                    <w:kern w:val="2"/>
                    <w:szCs w:val="24"/>
                  </w:rPr>
                </w:pPr>
              </w:p>
              <w:p>
                <w:pPr>
                  <w:jc w:val="both"/>
                  <w:rPr>
                    <w:b/>
                    <w:bCs/>
                    <w:color w:val="000000"/>
                    <w:kern w:val="2"/>
                    <w:szCs w:val="24"/>
                  </w:rPr>
                </w:pPr>
              </w:p>
              <w:p>
                <w:pPr>
                  <w:jc w:val="both"/>
                  <w:rPr>
                    <w:kern w:val="2"/>
                    <w:szCs w:val="24"/>
                  </w:rPr>
                </w:pPr>
                <w:r>
                  <w:rPr>
                    <w:b/>
                    <w:bCs/>
                    <w:kern w:val="2"/>
                    <w:szCs w:val="24"/>
                  </w:rPr>
                  <w:t>14 straipsnio 3 dalis</w:t>
                </w:r>
              </w:p>
              <w:p>
                <w:pPr>
                  <w:jc w:val="both"/>
                  <w:rPr>
                    <w:b/>
                    <w:bCs/>
                    <w:kern w:val="2"/>
                    <w:szCs w:val="24"/>
                  </w:rPr>
                </w:pPr>
                <w:r>
                  <w:rPr>
                    <w:b/>
                    <w:bCs/>
                    <w:kern w:val="2"/>
                    <w:szCs w:val="24"/>
                  </w:rPr>
                  <w:t>„&lt;...&gt;</w:t>
                </w:r>
              </w:p>
              <w:p>
                <w:pPr>
                  <w:spacing w:line="276" w:lineRule="auto"/>
                  <w:ind w:firstLine="720"/>
                  <w:jc w:val="both"/>
                  <w:rPr>
                    <w:b/>
                    <w:bCs/>
                    <w:kern w:val="2"/>
                    <w:szCs w:val="24"/>
                  </w:rPr>
                </w:pPr>
                <w:r>
                  <w:rPr>
                    <w:b/>
                    <w:bCs/>
                    <w:kern w:val="2"/>
                    <w:szCs w:val="24"/>
                  </w:rPr>
                  <w:t>3. Planuojamų tikrinti ūkio subjektų plano (toliau – patikrinimų planas) įgyvendinimas, informacijos apie atliekamą patikrinimą visuomenės informavimo priemonėms ir su patikrinimu nesusijusiems asmenims pateikimas, poveikio priemonių taikymas ūkio subjektams, su ūkio subjektų veiklos aplinkos apsaugos valstybine priežiūra susijusios informacijos skelbimas, informacijos aplinkos apsaugos valstybinę priežiūrą atliekančiai institucijai teikimas, aplinkos apsaugos valstybinę priežiūrą atliekančios institucijos veiklos vertinimas ir atskaitomybė atliekami Viešojo administravimo įstatyme ir kituose teisės aktuose nustatyta tvarka.“</w:t>
                </w:r>
              </w:p>
              <w:p>
                <w:pPr>
                  <w:jc w:val="both"/>
                  <w:rPr>
                    <w:kern w:val="2"/>
                    <w:szCs w:val="24"/>
                  </w:rPr>
                </w:pPr>
              </w:p>
            </w:tc>
            <w:tc>
              <w:tcPr>
                <w:tcW w:w="1807" w:type="dxa"/>
              </w:tcPr>
              <w:p>
                <w:pPr>
                  <w:rPr>
                    <w:kern w:val="2"/>
                    <w:szCs w:val="24"/>
                  </w:rPr>
                </w:pPr>
                <w:r>
                  <w:rPr>
                    <w:kern w:val="2"/>
                    <w:szCs w:val="24"/>
                  </w:rPr>
                  <w:t>Dalinis</w:t>
                </w:r>
              </w:p>
              <w:p>
                <w:pPr>
                  <w:rPr>
                    <w:kern w:val="2"/>
                    <w:szCs w:val="24"/>
                  </w:rPr>
                </w:pPr>
              </w:p>
              <w:p>
                <w:pPr>
                  <w:spacing w:line="259" w:lineRule="auto"/>
                  <w:rPr>
                    <w:kern w:val="2"/>
                    <w:szCs w:val="24"/>
                  </w:rPr>
                </w:pPr>
                <w:r>
                  <w:rPr>
                    <w:kern w:val="2"/>
                    <w:szCs w:val="24"/>
                  </w:rPr>
                  <w:t>Atsakinga institucija – Aplinkos ministerija</w:t>
                </w:r>
              </w:p>
              <w:p>
                <w:pPr>
                  <w:rPr>
                    <w:kern w:val="2"/>
                    <w:szCs w:val="24"/>
                  </w:rPr>
                </w:pPr>
              </w:p>
            </w:tc>
          </w:tr>
        </w:tbl>
        <w:p/>
      </w:sdtContent>
    </w:sdt>
    <w:sdt>
      <w:sdtPr>
        <w:alias w:val="pastraipa"/>
        <w:tag w:val="part_f4c2c3adc56a45858c9d30b1bfc7bf27"/>
        <w:lock w:val="sdtLocked"/>
        <w:richText/>
      </w:sdtPr>
      <w:sdtContent>
        <w:p>
          <w:pPr>
            <w:spacing w:line="259" w:lineRule="auto"/>
            <w:jc w:val="center"/>
            <w:rPr>
              <w:kern w:val="2"/>
              <w:szCs w:val="24"/>
            </w:rPr>
          </w:pPr>
          <w:r>
            <w:rPr>
              <w:kern w:val="2"/>
              <w:szCs w:val="24"/>
            </w:rPr>
            <w:t>_______________________</w:t>
          </w:r>
        </w:p>
      </w:sdtContent>
    </w:sdt>
    <w:sectPr>
      <w:headerReference w:type="even" r:id="rId9"/>
      <w:headerReference w:type="default" r:id="rId10"/>
      <w:footerReference w:type="even" r:id="rId11"/>
      <w:footerReference w:type="default" r:id="rId12"/>
      <w:headerReference w:type="first" r:id="rId13"/>
      <w:footerReference w:type="first" r:id="rId14"/>
      <w:pgSz w:w="16838" w:h="11906" w:orient="landscape"/>
      <w:pgMar w:top="1701" w:right="1701" w:bottom="567"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kern w:val="2"/>
          <w:sz w:val="22"/>
          <w:szCs w:val="22"/>
        </w:rPr>
      </w:pPr>
      <w:r>
        <w:rPr>
          <w:kern w:val="2"/>
          <w:sz w:val="22"/>
          <w:szCs w:val="22"/>
        </w:rPr>
        <w:separator/>
      </w:r>
    </w:p>
  </w:endnote>
  <w:endnote w:type="continuationSeparator" w:id="0">
    <w:p>
      <w:pPr>
        <w:rPr>
          <w:kern w:val="2"/>
          <w:sz w:val="22"/>
          <w:szCs w:val="22"/>
        </w:rPr>
      </w:pPr>
      <w:r>
        <w:rPr>
          <w:kern w:val="2"/>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kern w:val="2"/>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kern w:val="2"/>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kern w:val="2"/>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kern w:val="2"/>
          <w:sz w:val="22"/>
          <w:szCs w:val="22"/>
        </w:rPr>
      </w:pPr>
      <w:r>
        <w:rPr>
          <w:kern w:val="2"/>
          <w:sz w:val="22"/>
          <w:szCs w:val="22"/>
        </w:rPr>
        <w:separator/>
      </w:r>
    </w:p>
  </w:footnote>
  <w:footnote w:type="continuationSeparator" w:id="0">
    <w:p>
      <w:pPr>
        <w:rPr>
          <w:kern w:val="2"/>
          <w:sz w:val="22"/>
          <w:szCs w:val="22"/>
        </w:rPr>
      </w:pPr>
      <w:r>
        <w:rPr>
          <w:kern w:val="2"/>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kern w:val="2"/>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jc w:val="center"/>
      <w:rPr>
        <w:kern w:val="2"/>
        <w:sz w:val="22"/>
        <w:szCs w:val="22"/>
      </w:rPr>
    </w:pPr>
    <w:r>
      <w:rPr>
        <w:kern w:val="2"/>
        <w:sz w:val="22"/>
        <w:szCs w:val="22"/>
      </w:rPr>
      <w:fldChar w:fldCharType="begin"/>
    </w:r>
    <w:r>
      <w:rPr>
        <w:kern w:val="2"/>
        <w:sz w:val="22"/>
        <w:szCs w:val="22"/>
      </w:rPr>
      <w:instrText xml:space="preserve"> PAGE   \* MERGEFORMAT </w:instrText>
    </w:r>
    <w:r>
      <w:rPr>
        <w:kern w:val="2"/>
        <w:sz w:val="22"/>
        <w:szCs w:val="22"/>
      </w:rPr>
      <w:fldChar w:fldCharType="separate"/>
    </w:r>
    <w:r>
      <w:rPr>
        <w:kern w:val="2"/>
        <w:sz w:val="22"/>
        <w:szCs w:val="22"/>
      </w:rPr>
      <w:t>2</w:t>
    </w:r>
    <w:r>
      <w:rPr>
        <w:kern w:val="2"/>
        <w:sz w:val="22"/>
        <w:szCs w:val="22"/>
      </w:rPr>
      <w:fldChar w:fldCharType="end"/>
    </w:r>
  </w:p>
  <w:p>
    <w:pPr>
      <w:tabs>
        <w:tab w:val="center" w:pos="4986"/>
        <w:tab w:val="right" w:pos="9972"/>
      </w:tabs>
      <w:rPr>
        <w:kern w:val="2"/>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kern w:val="2"/>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34A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7EE6B1F-DDA8-4283-AFFE-7F2035D49A1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28832615">
      <w:bodyDiv w:val="1"/>
      <w:marLeft w:val="0"/>
      <w:marRight w:val="0"/>
      <w:marTop w:val="0"/>
      <w:marBottom w:val="0"/>
      <w:divBdr>
        <w:top w:val="none" w:sz="0" w:space="0" w:color="auto"/>
        <w:left w:val="none" w:sz="0" w:space="0" w:color="auto"/>
        <w:bottom w:val="none" w:sz="0" w:space="0" w:color="auto"/>
        <w:right w:val="none" w:sz="0" w:space="0" w:color="auto"/>
      </w:divBdr>
    </w:div>
    <w:div w:id="716272371">
      <w:bodyDiv w:val="1"/>
      <w:marLeft w:val="0"/>
      <w:marRight w:val="0"/>
      <w:marTop w:val="0"/>
      <w:marBottom w:val="0"/>
      <w:divBdr>
        <w:top w:val="none" w:sz="0" w:space="0" w:color="auto"/>
        <w:left w:val="none" w:sz="0" w:space="0" w:color="auto"/>
        <w:bottom w:val="none" w:sz="0" w:space="0" w:color="auto"/>
        <w:right w:val="none" w:sz="0" w:space="0" w:color="auto"/>
      </w:divBdr>
    </w:div>
    <w:div w:id="13484828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4" ma:contentTypeDescription="Create a new document." ma:contentTypeScope="" ma:versionID="d2bc7d94e0fdd6257c7d135845e2192a">
  <xsd:schema xmlns:xsd="http://www.w3.org/2001/XMLSchema" xmlns:xs="http://www.w3.org/2001/XMLSchema" xmlns:p="http://schemas.microsoft.com/office/2006/metadata/properties" xmlns:ns2="f5aad5d0-9c26-490e-8743-a6c7ceabd501" xmlns:ns3="19cf09c5-daa1-4028-a0ff-74a0be4ec5cc" targetNamespace="http://schemas.microsoft.com/office/2006/metadata/properties" ma:root="true" ma:fieldsID="ca837404b1ccc1fb26cc1e8af066edfe" ns2:_="" ns3:_="">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LengthInSeconds" minOccurs="0"/>
                <xsd:element ref="ns2:MediaServiceDateTaken"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8d413371-acda-413a-967f-24b530484914}" ma:internalName="TaxCatchAll" ma:showField="CatchAllData" ma:web="19cf09c5-daa1-4028-a0ff-74a0be4ec5c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19cf09c5-daa1-4028-a0ff-74a0be4ec5cc" xsi:nil="true"/>
    <lcf76f155ced4ddcb4097134ff3c332f xmlns="f5aad5d0-9c26-490e-8743-a6c7ceabd501">
      <Terms xmlns="http://schemas.microsoft.com/office/infopath/2007/PartnerControls"/>
    </lcf76f155ced4ddcb4097134ff3c332f>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lentele" DocPartId="fa6683c463704340a9d7b2e141213f5e" PartId="abe134c06ae04273ae65b40ed31cda82"/>
  <Part Type="pastraipa" DocPartId="7d8fea24a9a34708b3cce51b0f9cd8b7" PartId="f4c2c3adc56a45858c9d30b1bfc7bf27"/>
</Parts>
</file>

<file path=customXml/itemProps1.xml><?xml version="1.0" encoding="utf-8"?>
<ds:datastoreItem xmlns:ds="http://schemas.openxmlformats.org/officeDocument/2006/customXml" ds:itemID="{69A937EB-8F1B-44CD-BB11-51866AF3908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A5ACCBE-7DC1-4CFC-9B5C-22424B201536}">
  <ds:schemaRefs>
    <ds:schemaRef ds:uri="http://schemas.microsoft.com/office/2006/metadata/properties"/>
    <ds:schemaRef ds:uri="http://schemas.microsoft.com/office/infopath/2007/PartnerControls"/>
    <ds:schemaRef ds:uri="19cf09c5-daa1-4028-a0ff-74a0be4ec5cc"/>
    <ds:schemaRef ds:uri="f5aad5d0-9c26-490e-8743-a6c7ceabd501"/>
  </ds:schemaRefs>
</ds:datastoreItem>
</file>

<file path=customXml/itemProps3.xml><?xml version="1.0" encoding="utf-8"?>
<ds:datastoreItem xmlns:ds="http://schemas.openxmlformats.org/officeDocument/2006/customXml" ds:itemID="{9EBD04D3-74A4-4A80-BF0E-41A74C9ED5B7}">
  <ds:schemaRefs>
    <ds:schemaRef ds:uri="http://schemas.microsoft.com/sharepoint/v3/contenttype/forms"/>
  </ds:schemaRefs>
</ds:datastoreItem>
</file>

<file path=customXml/itemProps4.xml><?xml version="1.0" encoding="utf-8"?>
<ds:datastoreItem xmlns:ds="http://schemas.openxmlformats.org/officeDocument/2006/customXml" ds:itemID="{7A7ED911-5958-4867-A2BB-D7A3E630540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1169</Words>
  <Characters>8383</Characters>
  <Application>Microsoft Office Word</Application>
  <DocSecurity>4</DocSecurity>
  <Lines>209</Lines>
  <Paragraphs>47</Paragraphs>
  <ScaleCrop>false</ScaleCrop>
  <Company/>
  <LinksUpToDate>false</LinksUpToDate>
  <CharactersWithSpaces>9505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2024-06-27T09:51:00Z</dcterms:created>
  <dc:creator>Toma Leonova</dc:creator>
  <lastModifiedBy>adlibuser</lastModifiedBy>
  <dcterms:modified xsi:type="dcterms:W3CDTF">2024-06-27T09:51:00Z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ies>
</file>