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41aa9b46a34f426b84356dea1ae8c6be"/>
        <w:lock w:val="sdtLocked"/>
        <w:richText/>
      </w:sdtPr>
      <w:sdtContent>
        <w:p>
          <w:pPr>
            <w:tabs>
              <w:tab w:val="center" w:pos="4986"/>
              <w:tab w:val="right" w:pos="9972"/>
            </w:tabs>
            <w:rPr>
              <w:kern w:val="2"/>
              <w:sz w:val="22"/>
              <w:szCs w:val="22"/>
            </w:rPr>
          </w:pPr>
        </w:p>
        <w:p>
          <w:pPr>
            <w:spacing w:line="259" w:lineRule="auto"/>
            <w:jc w:val="center"/>
            <w:rPr>
              <w:b/>
              <w:bCs/>
              <w:kern w:val="2"/>
              <w:szCs w:val="24"/>
            </w:rPr>
          </w:pPr>
          <w:r>
            <w:rPr>
              <w:b/>
              <w:bCs/>
              <w:kern w:val="2"/>
              <w:szCs w:val="24"/>
            </w:rPr>
            <w:t xml:space="preserve">REGLAMENTO (ES) NR. </w:t>
          </w:r>
          <w:r>
            <w:rPr>
              <w:b/>
              <w:bCs/>
              <w:color w:val="000000"/>
              <w:kern w:val="2"/>
              <w:szCs w:val="24"/>
              <w:bdr w:val="none" w:sz="0" w:space="0" w:color="auto" w:frame="1"/>
            </w:rPr>
            <w:t xml:space="preserve">2017/852 </w:t>
          </w:r>
          <w:r>
            <w:rPr>
              <w:b/>
              <w:bCs/>
              <w:kern w:val="2"/>
              <w:szCs w:val="24"/>
            </w:rPr>
            <w:t>IR APLINKOS APSAUGOS VALSTYBINĖS KONTROLĖS ĮSTATYMO PAKEITIMO ĮSTATYMO PROJEKTO ATITIKTIES LENTELĖ</w:t>
          </w:r>
        </w:p>
        <w:p>
          <w:pPr>
            <w:rPr>
              <w:sz w:val="14"/>
              <w:szCs w:val="14"/>
            </w:rPr>
          </w:pPr>
        </w:p>
        <w:p>
          <w:pPr>
            <w:spacing w:line="259" w:lineRule="auto"/>
            <w:rPr>
              <w:kern w:val="2"/>
              <w:szCs w:val="24"/>
            </w:rPr>
          </w:pPr>
        </w:p>
        <w:p>
          <w:pPr>
            <w:rPr>
              <w:sz w:val="14"/>
              <w:szCs w:val="14"/>
            </w:rPr>
          </w:pPr>
        </w:p>
        <w:tbl>
          <w:tblPr>
            <w:tblW w:w="13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15"/>
            <w:gridCol w:w="5571"/>
            <w:gridCol w:w="1807"/>
          </w:tblGrid>
          <w:tr>
            <w:tc>
              <w:tcPr>
                <w:tcW w:w="6615" w:type="dxa"/>
              </w:tcPr>
              <w:p>
                <w:pPr>
                  <w:jc w:val="both"/>
                  <w:rPr>
                    <w:b/>
                    <w:bCs/>
                    <w:kern w:val="2"/>
                    <w:szCs w:val="24"/>
                  </w:rPr>
                </w:pPr>
                <w:r>
                  <w:rPr>
                    <w:b/>
                    <w:bCs/>
                    <w:color w:val="000000"/>
                    <w:kern w:val="2"/>
                    <w:szCs w:val="24"/>
                    <w:bdr w:val="none" w:sz="0" w:space="0" w:color="auto" w:frame="1"/>
                  </w:rPr>
                  <w:t xml:space="preserve">2017 m. gegužės 17 d. Europos Parlamento ir Tarybos reglamentas </w:t>
                </w:r>
                <w:fldSimple w:instr="HYPERLINK http://eur-lex.europa.eu/legal-content/LIT/TXT/?uri=CELEX:32017R0852&amp;locale=lt \t _blank">
                  <w:r>
                    <w:rPr>
                      <w:b/>
                      <w:bCs/>
                      <w:color w:val="0000FF" w:themeColor="hyperlink"/>
                      <w:kern w:val="2"/>
                      <w:szCs w:val="24"/>
                      <w:bdr w:val="none" w:sz="0" w:space="0" w:color="auto" w:frame="1"/>
                      <w:u w:val="single"/>
                    </w:rPr>
                    <w:t>(ES) 2017/852</w:t>
                  </w:r>
                </w:fldSimple>
                <w:r>
                  <w:rPr>
                    <w:b/>
                    <w:bCs/>
                    <w:color w:val="000000"/>
                    <w:kern w:val="2"/>
                    <w:szCs w:val="24"/>
                    <w:bdr w:val="none" w:sz="0" w:space="0" w:color="auto" w:frame="1"/>
                  </w:rPr>
                  <w:t xml:space="preserve"> dėl gyvsidabrio, kuriuo panaikinamas Reglamentas </w:t>
                </w:r>
                <w:fldSimple w:instr="HYPERLINK http://eur-lex.europa.eu/legal-content/LIT/TXT/?uri=CELEX:32008R1102&amp;locale=lt \t _blank">
                  <w:r>
                    <w:rPr>
                      <w:b/>
                      <w:bCs/>
                      <w:color w:val="0000FF" w:themeColor="hyperlink"/>
                      <w:kern w:val="2"/>
                      <w:szCs w:val="24"/>
                      <w:bdr w:val="none" w:sz="0" w:space="0" w:color="auto" w:frame="1"/>
                      <w:u w:val="single"/>
                    </w:rPr>
                    <w:t>(EB) Nr. 1102/2008</w:t>
                  </w:r>
                </w:fldSimple>
                <w:r>
                  <w:rPr>
                    <w:b/>
                    <w:bCs/>
                    <w:color w:val="000000"/>
                    <w:kern w:val="2"/>
                    <w:szCs w:val="24"/>
                    <w:bdr w:val="none" w:sz="0" w:space="0" w:color="auto" w:frame="1"/>
                  </w:rPr>
                  <w:t xml:space="preserve"> </w:t>
                </w:r>
              </w:p>
            </w:tc>
            <w:tc>
              <w:tcPr>
                <w:tcW w:w="5571" w:type="dxa"/>
              </w:tcPr>
              <w:p>
                <w:pPr>
                  <w:rPr>
                    <w:b/>
                    <w:bCs/>
                    <w:kern w:val="2"/>
                    <w:szCs w:val="24"/>
                  </w:rPr>
                </w:pPr>
                <w:r>
                  <w:rPr>
                    <w:b/>
                    <w:bCs/>
                    <w:kern w:val="2"/>
                    <w:szCs w:val="24"/>
                  </w:rPr>
                  <w:t>Aplinkos apsaugos valstybinės kontrolės įstatymo pakeitimo įstatymo projektas (toliau – Projektas)</w:t>
                </w:r>
              </w:p>
            </w:tc>
            <w:tc>
              <w:tcPr>
                <w:tcW w:w="1807" w:type="dxa"/>
              </w:tcPr>
              <w:p>
                <w:pPr>
                  <w:rPr>
                    <w:b/>
                    <w:bCs/>
                    <w:kern w:val="2"/>
                    <w:szCs w:val="24"/>
                  </w:rPr>
                </w:pPr>
                <w:r>
                  <w:rPr>
                    <w:b/>
                    <w:bCs/>
                    <w:kern w:val="2"/>
                    <w:szCs w:val="24"/>
                  </w:rPr>
                  <w:t>Reglamento perkėlimo lygis</w:t>
                </w:r>
              </w:p>
            </w:tc>
          </w:tr>
          <w:tr>
            <w:tc>
              <w:tcPr>
                <w:tcW w:w="6615" w:type="dxa"/>
              </w:tcPr>
              <w:p>
                <w:pPr>
                  <w:shd w:val="clear" w:color="auto" w:fill="FFFFFF"/>
                  <w:jc w:val="both"/>
                  <w:rPr>
                    <w:b/>
                    <w:bCs/>
                    <w:color w:val="000000"/>
                    <w:szCs w:val="24"/>
                  </w:rPr>
                </w:pPr>
                <w:r>
                  <w:rPr>
                    <w:b/>
                    <w:bCs/>
                    <w:color w:val="000000"/>
                    <w:szCs w:val="24"/>
                  </w:rPr>
                  <w:t>17 straipsnis</w:t>
                </w:r>
              </w:p>
              <w:p>
                <w:pPr>
                  <w:shd w:val="clear" w:color="auto" w:fill="FFFFFF"/>
                  <w:jc w:val="both"/>
                  <w:rPr>
                    <w:b/>
                    <w:bCs/>
                    <w:color w:val="000000"/>
                    <w:szCs w:val="24"/>
                  </w:rPr>
                </w:pPr>
                <w:r>
                  <w:rPr>
                    <w:b/>
                    <w:bCs/>
                    <w:color w:val="000000"/>
                    <w:szCs w:val="24"/>
                  </w:rPr>
                  <w:t>Kompetentingos institucijos</w:t>
                </w:r>
              </w:p>
              <w:p>
                <w:pPr>
                  <w:rPr>
                    <w:sz w:val="10"/>
                    <w:szCs w:val="10"/>
                  </w:rPr>
                </w:pPr>
              </w:p>
              <w:p>
                <w:pPr>
                  <w:shd w:val="clear" w:color="auto" w:fill="FFFFFF"/>
                  <w:jc w:val="both"/>
                  <w:rPr>
                    <w:color w:val="000000"/>
                    <w:szCs w:val="24"/>
                  </w:rPr>
                </w:pPr>
                <w:r>
                  <w:rPr>
                    <w:color w:val="000000"/>
                    <w:szCs w:val="24"/>
                  </w:rPr>
                  <w:t>Valstybės narės paskiria kompetentingas institucijas, kurios atsako už šiame reglamente nustatytų pareigų vykdymą.</w:t>
                </w:r>
              </w:p>
              <w:p>
                <w:pPr>
                  <w:jc w:val="both"/>
                  <w:rPr>
                    <w:kern w:val="2"/>
                    <w:szCs w:val="24"/>
                  </w:rPr>
                </w:pPr>
              </w:p>
            </w:tc>
            <w:tc>
              <w:tcPr>
                <w:tcW w:w="5571" w:type="dxa"/>
              </w:tcPr>
              <w:p>
                <w:pPr>
                  <w:jc w:val="both"/>
                  <w:rPr>
                    <w:b/>
                    <w:bCs/>
                    <w:color w:val="000000"/>
                    <w:kern w:val="2"/>
                    <w:szCs w:val="24"/>
                  </w:rPr>
                </w:pPr>
                <w:r>
                  <w:rPr>
                    <w:b/>
                    <w:bCs/>
                    <w:color w:val="000000"/>
                    <w:kern w:val="2"/>
                    <w:szCs w:val="24"/>
                  </w:rPr>
                  <w:t>Projektas</w:t>
                </w:r>
              </w:p>
              <w:p>
                <w:pPr>
                  <w:jc w:val="both"/>
                  <w:rPr>
                    <w:b/>
                    <w:bCs/>
                    <w:kern w:val="2"/>
                    <w:szCs w:val="24"/>
                  </w:rPr>
                </w:pPr>
                <w:r>
                  <w:rPr>
                    <w:b/>
                    <w:bCs/>
                    <w:color w:val="000000"/>
                    <w:kern w:val="2"/>
                    <w:szCs w:val="24"/>
                  </w:rPr>
                  <w:t>5 straipsnis</w:t>
                </w:r>
              </w:p>
              <w:p>
                <w:pPr>
                  <w:jc w:val="both"/>
                  <w:rPr>
                    <w:b/>
                    <w:bCs/>
                    <w:kern w:val="2"/>
                    <w:szCs w:val="24"/>
                  </w:rPr>
                </w:pPr>
                <w:r>
                  <w:rPr>
                    <w:b/>
                    <w:bCs/>
                    <w:color w:val="000000"/>
                    <w:kern w:val="2"/>
                    <w:szCs w:val="24"/>
                    <w:shd w:val="clear" w:color="auto" w:fill="FFFFFF"/>
                  </w:rPr>
                  <w:t>„</w:t>
                </w:r>
                <w:r>
                  <w:rPr>
                    <w:b/>
                    <w:bCs/>
                    <w:color w:val="000000"/>
                    <w:kern w:val="2"/>
                    <w:szCs w:val="24"/>
                  </w:rPr>
                  <w:t>Aplinkos apsaugos valstybinę priežiūrą Lietuvos Respublikoje atlieka Lietuvos Respublikos Vyriausybės įgaliota institucija</w:t>
                </w:r>
                <w:r>
                  <w:rPr>
                    <w:b/>
                    <w:bCs/>
                    <w:kern w:val="2"/>
                    <w:szCs w:val="24"/>
                  </w:rPr>
                  <w:t>.“</w:t>
                </w:r>
              </w:p>
              <w:p>
                <w:pPr>
                  <w:jc w:val="both"/>
                  <w:rPr>
                    <w:b/>
                    <w:bCs/>
                    <w:kern w:val="2"/>
                    <w:szCs w:val="24"/>
                  </w:rPr>
                </w:pPr>
              </w:p>
              <w:p>
                <w:pPr>
                  <w:jc w:val="both"/>
                  <w:rPr>
                    <w:kern w:val="2"/>
                    <w:szCs w:val="24"/>
                  </w:rPr>
                </w:pPr>
                <w:r>
                  <w:rPr>
                    <w:b/>
                    <w:bCs/>
                    <w:kern w:val="2"/>
                    <w:szCs w:val="24"/>
                  </w:rPr>
                  <w:t>6 straipsnis</w:t>
                </w:r>
              </w:p>
              <w:p>
                <w:pPr>
                  <w:ind w:firstLine="720"/>
                  <w:jc w:val="both"/>
                  <w:rPr>
                    <w:b/>
                    <w:bCs/>
                    <w:kern w:val="2"/>
                    <w:szCs w:val="24"/>
                  </w:rPr>
                </w:pPr>
                <w:r>
                  <w:rPr>
                    <w:b/>
                    <w:bCs/>
                    <w:kern w:val="2"/>
                    <w:szCs w:val="24"/>
                  </w:rPr>
                  <w:t>„</w:t>
                </w:r>
                <w:r>
                  <w:rPr>
                    <w:b/>
                    <w:bCs/>
                    <w:color w:val="000000"/>
                    <w:kern w:val="2"/>
                    <w:szCs w:val="24"/>
                  </w:rPr>
                  <w:t xml:space="preserve">Aplinkos apsaugos valstybinę priežiūrą atliekanti institucija: </w:t>
                </w:r>
              </w:p>
              <w:p>
                <w:pPr>
                  <w:spacing w:line="276" w:lineRule="auto"/>
                  <w:ind w:firstLine="720"/>
                  <w:jc w:val="both"/>
                  <w:rPr>
                    <w:b/>
                    <w:bCs/>
                    <w:kern w:val="2"/>
                    <w:szCs w:val="24"/>
                  </w:rPr>
                </w:pPr>
                <w:r>
                  <w:rPr>
                    <w:b/>
                    <w:bCs/>
                    <w:kern w:val="2"/>
                    <w:szCs w:val="24"/>
                  </w:rPr>
                  <w:t>1) organizuoja ir vykdo prevencinę veiklą, kuria siekiama, kad asmenys elgtųsi aplinkai palankiai ir laikytųsi aplinkos apsaugą ir gamtos išteklių naudojimą reglamentuojančių teisės aktų reikalavimų;</w:t>
                </w:r>
              </w:p>
              <w:p>
                <w:pPr>
                  <w:spacing w:line="276" w:lineRule="auto"/>
                  <w:ind w:firstLine="720"/>
                  <w:jc w:val="both"/>
                  <w:rPr>
                    <w:b/>
                    <w:bCs/>
                    <w:kern w:val="2"/>
                    <w:szCs w:val="24"/>
                  </w:rPr>
                </w:pPr>
                <w:r>
                  <w:rPr>
                    <w:b/>
                    <w:bCs/>
                    <w:kern w:val="2"/>
                    <w:szCs w:val="24"/>
                  </w:rPr>
                  <w:t>2) teikia metodinę pagalbą asmenims, juos konsultuoja, atlieka jų veiklos patikrinimus;</w:t>
                </w:r>
              </w:p>
              <w:p>
                <w:pPr>
                  <w:spacing w:line="276" w:lineRule="auto"/>
                  <w:ind w:firstLine="720"/>
                  <w:jc w:val="both"/>
                  <w:rPr>
                    <w:b/>
                    <w:bCs/>
                    <w:kern w:val="2"/>
                    <w:szCs w:val="24"/>
                  </w:rPr>
                </w:pPr>
                <w:r>
                  <w:rPr>
                    <w:b/>
                    <w:bCs/>
                    <w:kern w:val="2"/>
                    <w:szCs w:val="24"/>
                  </w:rPr>
                  <w:t>3) tiria aplinkos apsaugą ir gamtos išteklių naudojimą reglamentuojančių teisės aktų nustatytų reikalavimų pažeidimus, aplinkos teršimo incidentus, renka ir vertina duomenis, susijusius su aplinkos apsaugos srities įvykiais, ekstremaliaisiais įvykiais, jų priežastimis ir pasekmėmis;</w:t>
                </w:r>
              </w:p>
              <w:p>
                <w:pPr>
                  <w:spacing w:line="276" w:lineRule="auto"/>
                  <w:ind w:firstLine="720"/>
                  <w:jc w:val="both"/>
                  <w:rPr>
                    <w:b/>
                    <w:bCs/>
                    <w:kern w:val="2"/>
                    <w:szCs w:val="24"/>
                  </w:rPr>
                </w:pPr>
                <w:r>
                  <w:rPr>
                    <w:b/>
                    <w:bCs/>
                    <w:kern w:val="2"/>
                    <w:szCs w:val="24"/>
                  </w:rPr>
                  <w:t>4) vertina aplinkos apsaugą ir gamtos išteklių naudojimą reglamentuojančių teisės aktų reikalavimų pažeidimų pasekmes aplinkai ir (ar) žalą aplinkai, imasi priemonių, kad teršėjas atlygintų žalą aplinkai ir kitus nuostolius;</w:t>
                </w:r>
              </w:p>
              <w:p>
                <w:pPr>
                  <w:spacing w:line="276" w:lineRule="auto"/>
                  <w:ind w:firstLine="720"/>
                  <w:jc w:val="both"/>
                  <w:rPr>
                    <w:b/>
                    <w:bCs/>
                    <w:kern w:val="2"/>
                    <w:szCs w:val="24"/>
                  </w:rPr>
                </w:pPr>
                <w:r>
                  <w:rPr>
                    <w:b/>
                    <w:bCs/>
                    <w:kern w:val="2"/>
                    <w:szCs w:val="24"/>
                  </w:rPr>
                  <w:t xml:space="preserve">5) taiko aplinkos apsaugą ir gamtos išteklių naudojimą reglamentuojančių teisės aktų pažeidėjams teisinę atsakomybę,  šiame ir kituose įstatymuose nustatytas teisinio poveikio priemones – nustatyta tvarka skiria administracines nuobaudas (įstatymų nustatytais atvejais perduoda medžiagą teisėsaugos institucijoms spręsti klausimą dėl kaltų asmenų patraukimo baudžiamojon atsakomybėn) ir taiko ekonomines sankcijas, taiko kitas įstatymų nustatytas teisinio poveikio priemones; </w:t>
                </w:r>
              </w:p>
              <w:p>
                <w:pPr>
                  <w:spacing w:line="276" w:lineRule="auto"/>
                  <w:ind w:firstLine="720"/>
                  <w:jc w:val="both"/>
                  <w:rPr>
                    <w:b/>
                    <w:bCs/>
                    <w:kern w:val="2"/>
                    <w:szCs w:val="24"/>
                  </w:rPr>
                </w:pPr>
                <w:r>
                  <w:rPr>
                    <w:b/>
                    <w:bCs/>
                    <w:kern w:val="2"/>
                    <w:szCs w:val="24"/>
                  </w:rPr>
                  <w:t>6) prižiūri, ar asmenys laikosi nustatytų teršalų išmetimo ir išleidimo į aplinką reikalavimų bei aplinkos kokybės normų;</w:t>
                </w:r>
              </w:p>
              <w:p>
                <w:pPr>
                  <w:spacing w:line="276" w:lineRule="auto"/>
                  <w:ind w:firstLine="720"/>
                  <w:jc w:val="both"/>
                  <w:rPr>
                    <w:b/>
                    <w:bCs/>
                    <w:color w:val="000000"/>
                    <w:kern w:val="2"/>
                    <w:szCs w:val="24"/>
                  </w:rPr>
                </w:pPr>
                <w:r>
                  <w:rPr>
                    <w:b/>
                    <w:bCs/>
                    <w:kern w:val="2"/>
                    <w:szCs w:val="24"/>
                  </w:rPr>
                  <w:t>7) prižiūri, ar asmenys laikosi taršos integruotos prevencijos ir kontrolės leidimų ir (ar) taršos leidimų sąlygų, išskyrus kitų institucijų šiuose leidimuose pagal kompetenciją nustatytas sąlygas triukšmo ir kvapų valdymo srityje,</w:t>
                </w:r>
                <w:r>
                  <w:rPr>
                    <w:b/>
                    <w:bCs/>
                    <w:color w:val="000000"/>
                    <w:kern w:val="2"/>
                    <w:szCs w:val="24"/>
                  </w:rPr>
                  <w:t xml:space="preserve"> leidimų naudoti žemės gelmių išteklius ar žemės gelmių ertmes sąlygų;</w:t>
                </w:r>
              </w:p>
              <w:p>
                <w:pPr>
                  <w:spacing w:line="276" w:lineRule="auto"/>
                  <w:ind w:firstLine="720"/>
                  <w:jc w:val="both"/>
                  <w:rPr>
                    <w:b/>
                    <w:bCs/>
                    <w:kern w:val="2"/>
                    <w:szCs w:val="24"/>
                  </w:rPr>
                </w:pPr>
                <w:r>
                  <w:rPr>
                    <w:b/>
                    <w:bCs/>
                    <w:kern w:val="2"/>
                    <w:szCs w:val="24"/>
                  </w:rPr>
                  <w:t>8) prižiūri, ar asmenys laikosi aplinkos tyrimų apskaitos ir (ar) ataskaitų teikimo reikalavimų, nustatytų aplinkos apsaugą ir gamtos išteklių naudojimą reglamentuojančiuose teisės aktuose; </w:t>
                </w:r>
              </w:p>
              <w:p>
                <w:pPr>
                  <w:spacing w:line="276" w:lineRule="auto"/>
                  <w:ind w:firstLine="720"/>
                  <w:jc w:val="both"/>
                  <w:rPr>
                    <w:b/>
                    <w:bCs/>
                    <w:kern w:val="2"/>
                    <w:szCs w:val="24"/>
                  </w:rPr>
                </w:pPr>
                <w:r>
                  <w:rPr>
                    <w:b/>
                    <w:bCs/>
                    <w:kern w:val="2"/>
                    <w:szCs w:val="24"/>
                  </w:rPr>
                  <w:t>9) prižiūri, ar asmenys, turintys pareigą įveisti ar atkurti gamtos išteklius, laiku ir tinkamai šią pareigą vykdo;</w:t>
                </w:r>
              </w:p>
              <w:p>
                <w:pPr>
                  <w:spacing w:line="276" w:lineRule="auto"/>
                  <w:ind w:firstLine="720"/>
                  <w:jc w:val="both"/>
                  <w:rPr>
                    <w:b/>
                    <w:bCs/>
                    <w:kern w:val="2"/>
                    <w:szCs w:val="24"/>
                  </w:rPr>
                </w:pPr>
                <w:r>
                  <w:rPr>
                    <w:b/>
                    <w:bCs/>
                    <w:kern w:val="2"/>
                    <w:szCs w:val="24"/>
                  </w:rPr>
                  <w:t>10) prižiūri, ar cheminės medžiagos ir cheminiai mišiniai (išskyrus tiekiamas rinkai chemines medžiagas ir cheminius mišinius, skirtus vartotojų asmeniniams ir namų ūkio poreikiams tenkinti) klasifikuojami, ženklinami, pakuojami, įtraukiami į apskaitą ir jų apskaita tvarkoma pagal teisės aktų reikalavimus; ar laikomasi cheminių medžiagų registracijos, pavojingųjų cheminių medžiagų autorizacijos reikalavimų ir sąlygų, cheminių medžiagų ar cheminių mišinių saugos duomenų lapų sudarymo ir pateikimo, informacijos apie chemines medžiagas perdavimo jų tiekimo grandinėje, ataskaitų apie cheminių medžiagų ir cheminių mišinių teikimo, pavojingųjų cheminių medžiagų, cheminių mišinių ir gaminių gamybos, naudojimo, tiekimo rinkai apribojimų reikalavimų; pagal kompetenciją prižiūri, ar laikomasi pavojingųjų cheminių medžiagų, jų turinčių cheminių mišinių ar gaminių importo ar eksporto reikalavimų;</w:t>
                </w:r>
              </w:p>
              <w:p>
                <w:pPr>
                  <w:spacing w:line="276" w:lineRule="auto"/>
                  <w:ind w:firstLine="720"/>
                  <w:jc w:val="both"/>
                  <w:rPr>
                    <w:b/>
                    <w:bCs/>
                    <w:kern w:val="2"/>
                    <w:szCs w:val="24"/>
                  </w:rPr>
                </w:pPr>
                <w:r>
                  <w:rPr>
                    <w:b/>
                    <w:bCs/>
                    <w:kern w:val="2"/>
                    <w:szCs w:val="24"/>
                  </w:rPr>
                  <w:t>11) prižiūri, ar genetiškai modifikuoti mikroorganizmai ir organizmai ribotai naudojami, išleidžiami į aplinką laikantis teisės aktuose nustatytų reikalavimų;</w:t>
                </w:r>
              </w:p>
              <w:p>
                <w:pPr>
                  <w:spacing w:line="276" w:lineRule="auto"/>
                  <w:ind w:firstLine="720"/>
                  <w:jc w:val="both"/>
                  <w:rPr>
                    <w:b/>
                    <w:bCs/>
                    <w:kern w:val="2"/>
                    <w:szCs w:val="24"/>
                  </w:rPr>
                </w:pPr>
                <w:r>
                  <w:rPr>
                    <w:b/>
                    <w:bCs/>
                    <w:kern w:val="2"/>
                    <w:szCs w:val="24"/>
                  </w:rPr>
                  <w:t>12) prižiūri, ar teisėtai ir laikantis nustatytų reikalavimų naudojamas Bendrijos aplinkosaugos vadybos ir audito sistemos logotipas ir Europos Sąjungos ekologinis ženklas;</w:t>
                </w:r>
              </w:p>
              <w:p>
                <w:pPr>
                  <w:spacing w:line="276" w:lineRule="auto"/>
                  <w:ind w:firstLine="720"/>
                  <w:jc w:val="both"/>
                  <w:rPr>
                    <w:b/>
                    <w:bCs/>
                    <w:kern w:val="2"/>
                    <w:szCs w:val="24"/>
                  </w:rPr>
                </w:pPr>
                <w:r>
                  <w:rPr>
                    <w:b/>
                    <w:bCs/>
                    <w:kern w:val="2"/>
                    <w:szCs w:val="24"/>
                  </w:rPr>
                  <w:t>13) prižiūri, ar žmogaus palaikų kremavimo veikla vykdoma laikantis Žmonių palaikų laidojimo įstatymo 9 straipsnio 1 dalyje, 11 straipsnio 1 ir 2 dalyse, 13 straipsnyje, 14 straipsnio 1 ir 2 dalyse nustatytų reikalavimų;</w:t>
                </w:r>
              </w:p>
              <w:p>
                <w:pPr>
                  <w:spacing w:line="276" w:lineRule="auto"/>
                  <w:ind w:firstLine="720"/>
                  <w:jc w:val="both"/>
                  <w:rPr>
                    <w:b/>
                    <w:bCs/>
                    <w:kern w:val="2"/>
                    <w:szCs w:val="24"/>
                  </w:rPr>
                </w:pPr>
                <w:r>
                  <w:rPr>
                    <w:b/>
                    <w:bCs/>
                    <w:kern w:val="2"/>
                    <w:szCs w:val="24"/>
                  </w:rPr>
                  <w:t>14) prižiūri, kaip įgyvendinamos aplinkos apsaugos programos ir priemonės;</w:t>
                </w:r>
              </w:p>
              <w:p>
                <w:pPr>
                  <w:spacing w:line="276" w:lineRule="auto"/>
                  <w:ind w:firstLine="720"/>
                  <w:jc w:val="both"/>
                  <w:rPr>
                    <w:b/>
                    <w:bCs/>
                    <w:kern w:val="2"/>
                    <w:szCs w:val="24"/>
                  </w:rPr>
                </w:pPr>
                <w:r>
                  <w:rPr>
                    <w:b/>
                    <w:bCs/>
                    <w:kern w:val="2"/>
                    <w:szCs w:val="24"/>
                  </w:rPr>
                  <w:t>15) prižiūri, ar asmenys laikosi nustatytų medžiagų ir daiktų priskyrimo prie šalutinių produktų kriterijų;</w:t>
                </w:r>
              </w:p>
              <w:p>
                <w:pPr>
                  <w:spacing w:line="276" w:lineRule="auto"/>
                  <w:ind w:firstLine="720"/>
                  <w:jc w:val="both"/>
                  <w:rPr>
                    <w:b/>
                    <w:bCs/>
                    <w:kern w:val="2"/>
                    <w:szCs w:val="24"/>
                  </w:rPr>
                </w:pPr>
                <w:r>
                  <w:rPr>
                    <w:b/>
                    <w:bCs/>
                    <w:kern w:val="2"/>
                    <w:szCs w:val="24"/>
                  </w:rPr>
                  <w:t>16) prižiūri, ar asmenys laikosi gamintojų ir importuotojų atsakomybę reglamentuojančiuose įstatymuose nustatytų reikalavimų;</w:t>
                </w:r>
              </w:p>
              <w:p>
                <w:pPr>
                  <w:spacing w:line="276" w:lineRule="auto"/>
                  <w:ind w:firstLine="720"/>
                  <w:jc w:val="both"/>
                  <w:rPr>
                    <w:b/>
                    <w:bCs/>
                    <w:kern w:val="2"/>
                    <w:szCs w:val="24"/>
                  </w:rPr>
                </w:pPr>
                <w:r>
                  <w:rPr>
                    <w:b/>
                    <w:bCs/>
                    <w:kern w:val="2"/>
                    <w:szCs w:val="24"/>
                  </w:rPr>
                  <w:t>17) prižiūri, ar asmenys naudoja žemės, žemės gelmių, paviršinio ir požeminio vandens, aplinkos oro, augalijos, gyvūnijos, miškų ir kitus gamtos išteklius laikydamiesi žemės, žemės gelmių, paviršinio ir požeminio vandens, aplinkos oro, augalijos, gyvūnijos, miškų ir kitų gamtos išteklių naudojimą reglamentuojančių teisės aktų reikalavimų.“</w:t>
                </w:r>
              </w:p>
              <w:p>
                <w:pPr>
                  <w:rPr>
                    <w:kern w:val="2"/>
                    <w:szCs w:val="24"/>
                  </w:rPr>
                </w:pPr>
              </w:p>
            </w:tc>
            <w:tc>
              <w:tcPr>
                <w:tcW w:w="1807" w:type="dxa"/>
              </w:tcPr>
              <w:p>
                <w:pPr>
                  <w:rPr>
                    <w:kern w:val="2"/>
                    <w:szCs w:val="24"/>
                  </w:rPr>
                </w:pPr>
                <w:r>
                  <w:rPr>
                    <w:kern w:val="2"/>
                    <w:szCs w:val="24"/>
                  </w:rPr>
                  <w:t>Dalinis</w:t>
                </w:r>
              </w:p>
              <w:p>
                <w:pPr>
                  <w:spacing w:line="259" w:lineRule="auto"/>
                  <w:rPr>
                    <w:kern w:val="2"/>
                    <w:szCs w:val="24"/>
                  </w:rPr>
                </w:pPr>
                <w:r>
                  <w:rPr>
                    <w:kern w:val="2"/>
                    <w:szCs w:val="24"/>
                  </w:rPr>
                  <w:t>Atsakinga institucija – Aplinkos ministerija</w:t>
                </w:r>
              </w:p>
              <w:p>
                <w:pPr>
                  <w:rPr>
                    <w:kern w:val="2"/>
                    <w:szCs w:val="24"/>
                  </w:rPr>
                </w:pPr>
              </w:p>
            </w:tc>
          </w:tr>
        </w:tbl>
        <w:p/>
      </w:sdtContent>
    </w:sdt>
    <w:sdt>
      <w:sdtPr>
        <w:alias w:val="pastraipa"/>
        <w:tag w:val="part_5df0616d453c4ed09f45c44f154a8797"/>
        <w:lock w:val="sdtLocked"/>
        <w:richText/>
      </w:sdtPr>
      <w:sdtContent>
        <w:p>
          <w:pPr>
            <w:spacing w:line="259" w:lineRule="auto"/>
            <w:jc w:val="center"/>
            <w:rPr>
              <w:kern w:val="2"/>
              <w:szCs w:val="24"/>
            </w:rPr>
          </w:pPr>
          <w:r>
            <w:rPr>
              <w:kern w:val="2"/>
              <w:szCs w:val="24"/>
            </w:rPr>
            <w:t>____________________________</w:t>
          </w:r>
        </w:p>
      </w:sdtContent>
    </w:sdt>
    <w:sectPr>
      <w:headerReference w:type="even" r:id="rId9"/>
      <w:headerReference w:type="default" r:id="rId10"/>
      <w:footerReference w:type="even" r:id="rId11"/>
      <w:footerReference w:type="default" r:id="rId12"/>
      <w:headerReference w:type="first" r:id="rId13"/>
      <w:footerReference w:type="first" r:id="rId14"/>
      <w:pgSz w:w="16838" w:h="11906" w:orient="landscape"/>
      <w:pgMar w:top="1701"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rPr>
      </w:pPr>
      <w:r>
        <w:rPr>
          <w:kern w:val="2"/>
          <w:sz w:val="22"/>
          <w:szCs w:val="22"/>
        </w:rPr>
        <w:separator/>
      </w:r>
    </w:p>
  </w:endnote>
  <w:endnote w:type="continuationSeparator" w:id="0">
    <w:p>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rPr>
      </w:pPr>
      <w:r>
        <w:rPr>
          <w:kern w:val="2"/>
          <w:sz w:val="22"/>
          <w:szCs w:val="22"/>
        </w:rPr>
        <w:separator/>
      </w:r>
    </w:p>
  </w:footnote>
  <w:footnote w:type="continuationSeparator" w:id="0">
    <w:p>
      <w:pPr>
        <w:rPr>
          <w:kern w:val="2"/>
          <w:sz w:val="22"/>
          <w:szCs w:val="22"/>
        </w:rPr>
      </w:pPr>
      <w:r>
        <w:rPr>
          <w:kern w:val="2"/>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jc w:val="center"/>
      <w:rPr>
        <w:kern w:val="2"/>
        <w:sz w:val="22"/>
        <w:szCs w:val="22"/>
      </w:rPr>
    </w:pPr>
    <w:r>
      <w:rPr>
        <w:kern w:val="2"/>
        <w:sz w:val="22"/>
        <w:szCs w:val="22"/>
      </w:rPr>
      <w:fldChar w:fldCharType="begin"/>
    </w:r>
    <w:r>
      <w:rPr>
        <w:kern w:val="2"/>
        <w:sz w:val="22"/>
        <w:szCs w:val="22"/>
      </w:rPr>
      <w:instrText xml:space="preserve"> PAGE   \* MERGEFORMAT </w:instrText>
    </w:r>
    <w:r>
      <w:rPr>
        <w:kern w:val="2"/>
        <w:sz w:val="22"/>
        <w:szCs w:val="22"/>
      </w:rPr>
      <w:fldChar w:fldCharType="separate"/>
    </w:r>
    <w:r>
      <w:rPr>
        <w:kern w:val="2"/>
        <w:sz w:val="22"/>
        <w:szCs w:val="22"/>
      </w:rPr>
      <w:t>2</w:t>
    </w:r>
    <w:r>
      <w:rPr>
        <w:kern w:val="2"/>
        <w:sz w:val="22"/>
        <w:szCs w:val="22"/>
      </w:rPr>
      <w:fldChar w:fldCharType="end"/>
    </w:r>
  </w:p>
  <w:p>
    <w:pPr>
      <w:tabs>
        <w:tab w:val="center" w:pos="4986"/>
        <w:tab w:val="right" w:pos="9972"/>
      </w:tabs>
      <w:rPr>
        <w:kern w:val="2"/>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34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7EE6B1F-DDA8-4283-AFFE-7F2035D49A1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16272371">
      <w:bodyDiv w:val="1"/>
      <w:marLeft w:val="0"/>
      <w:marRight w:val="0"/>
      <w:marTop w:val="0"/>
      <w:marBottom w:val="0"/>
      <w:divBdr>
        <w:top w:val="none" w:sz="0" w:space="0" w:color="auto"/>
        <w:left w:val="none" w:sz="0" w:space="0" w:color="auto"/>
        <w:bottom w:val="none" w:sz="0" w:space="0" w:color="auto"/>
        <w:right w:val="none" w:sz="0" w:space="0" w:color="auto"/>
      </w:divBdr>
    </w:div>
    <w:div w:id="1027412111">
      <w:bodyDiv w:val="1"/>
      <w:marLeft w:val="0"/>
      <w:marRight w:val="0"/>
      <w:marTop w:val="0"/>
      <w:marBottom w:val="0"/>
      <w:divBdr>
        <w:top w:val="none" w:sz="0" w:space="0" w:color="auto"/>
        <w:left w:val="none" w:sz="0" w:space="0" w:color="auto"/>
        <w:bottom w:val="none" w:sz="0" w:space="0" w:color="auto"/>
        <w:right w:val="none" w:sz="0" w:space="0" w:color="auto"/>
      </w:divBdr>
      <w:divsChild>
        <w:div w:id="20515208">
          <w:marLeft w:val="0"/>
          <w:marRight w:val="0"/>
          <w:marTop w:val="0"/>
          <w:marBottom w:val="0"/>
          <w:divBdr>
            <w:top w:val="none" w:sz="0" w:space="0" w:color="auto"/>
            <w:left w:val="none" w:sz="0" w:space="0" w:color="auto"/>
            <w:bottom w:val="none" w:sz="0" w:space="0" w:color="auto"/>
            <w:right w:val="none" w:sz="0" w:space="0" w:color="auto"/>
          </w:divBdr>
        </w:div>
      </w:divsChild>
    </w:div>
    <w:div w:id="1348482881">
      <w:bodyDiv w:val="1"/>
      <w:marLeft w:val="0"/>
      <w:marRight w:val="0"/>
      <w:marTop w:val="0"/>
      <w:marBottom w:val="0"/>
      <w:divBdr>
        <w:top w:val="none" w:sz="0" w:space="0" w:color="auto"/>
        <w:left w:val="none" w:sz="0" w:space="0" w:color="auto"/>
        <w:bottom w:val="none" w:sz="0" w:space="0" w:color="auto"/>
        <w:right w:val="none" w:sz="0" w:space="0" w:color="auto"/>
      </w:divBdr>
    </w:div>
    <w:div w:id="1637762855">
      <w:bodyDiv w:val="1"/>
      <w:marLeft w:val="0"/>
      <w:marRight w:val="0"/>
      <w:marTop w:val="0"/>
      <w:marBottom w:val="0"/>
      <w:divBdr>
        <w:top w:val="none" w:sz="0" w:space="0" w:color="auto"/>
        <w:left w:val="none" w:sz="0" w:space="0" w:color="auto"/>
        <w:bottom w:val="none" w:sz="0" w:space="0" w:color="auto"/>
        <w:right w:val="none" w:sz="0" w:space="0" w:color="auto"/>
      </w:divBdr>
      <w:divsChild>
        <w:div w:id="2058436165">
          <w:marLeft w:val="0"/>
          <w:marRight w:val="0"/>
          <w:marTop w:val="0"/>
          <w:marBottom w:val="0"/>
          <w:divBdr>
            <w:top w:val="none" w:sz="0" w:space="0" w:color="auto"/>
            <w:left w:val="none" w:sz="0" w:space="0" w:color="auto"/>
            <w:bottom w:val="none" w:sz="0" w:space="0" w:color="auto"/>
            <w:right w:val="none" w:sz="0" w:space="0" w:color="auto"/>
          </w:divBdr>
        </w:div>
        <w:div w:id="1066684005">
          <w:marLeft w:val="0"/>
          <w:marRight w:val="0"/>
          <w:marTop w:val="0"/>
          <w:marBottom w:val="0"/>
          <w:divBdr>
            <w:top w:val="none" w:sz="0" w:space="0" w:color="auto"/>
            <w:left w:val="none" w:sz="0" w:space="0" w:color="auto"/>
            <w:bottom w:val="none" w:sz="0" w:space="0" w:color="auto"/>
            <w:right w:val="none" w:sz="0" w:space="0" w:color="auto"/>
          </w:divBdr>
          <w:divsChild>
            <w:div w:id="3480339">
              <w:marLeft w:val="0"/>
              <w:marRight w:val="0"/>
              <w:marTop w:val="0"/>
              <w:marBottom w:val="0"/>
              <w:divBdr>
                <w:top w:val="none" w:sz="0" w:space="0" w:color="auto"/>
                <w:left w:val="none" w:sz="0" w:space="0" w:color="auto"/>
                <w:bottom w:val="none" w:sz="0" w:space="0" w:color="auto"/>
                <w:right w:val="none" w:sz="0" w:space="0" w:color="auto"/>
              </w:divBdr>
            </w:div>
          </w:divsChild>
        </w:div>
        <w:div w:id="659844108">
          <w:marLeft w:val="0"/>
          <w:marRight w:val="0"/>
          <w:marTop w:val="0"/>
          <w:marBottom w:val="0"/>
          <w:divBdr>
            <w:top w:val="none" w:sz="0" w:space="0" w:color="auto"/>
            <w:left w:val="none" w:sz="0" w:space="0" w:color="auto"/>
            <w:bottom w:val="none" w:sz="0" w:space="0" w:color="auto"/>
            <w:right w:val="none" w:sz="0" w:space="0" w:color="auto"/>
          </w:divBdr>
          <w:divsChild>
            <w:div w:id="88818013">
              <w:marLeft w:val="0"/>
              <w:marRight w:val="0"/>
              <w:marTop w:val="0"/>
              <w:marBottom w:val="0"/>
              <w:divBdr>
                <w:top w:val="none" w:sz="0" w:space="0" w:color="auto"/>
                <w:left w:val="none" w:sz="0" w:space="0" w:color="auto"/>
                <w:bottom w:val="none" w:sz="0" w:space="0" w:color="auto"/>
                <w:right w:val="none" w:sz="0" w:space="0" w:color="auto"/>
              </w:divBdr>
            </w:div>
          </w:divsChild>
        </w:div>
        <w:div w:id="1523012416">
          <w:marLeft w:val="0"/>
          <w:marRight w:val="0"/>
          <w:marTop w:val="0"/>
          <w:marBottom w:val="0"/>
          <w:divBdr>
            <w:top w:val="none" w:sz="0" w:space="0" w:color="auto"/>
            <w:left w:val="none" w:sz="0" w:space="0" w:color="auto"/>
            <w:bottom w:val="none" w:sz="0" w:space="0" w:color="auto"/>
            <w:right w:val="none" w:sz="0" w:space="0" w:color="auto"/>
          </w:divBdr>
          <w:divsChild>
            <w:div w:id="623539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8368443">
      <w:bodyDiv w:val="1"/>
      <w:marLeft w:val="0"/>
      <w:marRight w:val="0"/>
      <w:marTop w:val="0"/>
      <w:marBottom w:val="0"/>
      <w:divBdr>
        <w:top w:val="none" w:sz="0" w:space="0" w:color="auto"/>
        <w:left w:val="none" w:sz="0" w:space="0" w:color="auto"/>
        <w:bottom w:val="none" w:sz="0" w:space="0" w:color="auto"/>
        <w:right w:val="none" w:sz="0" w:space="0" w:color="auto"/>
      </w:divBdr>
      <w:divsChild>
        <w:div w:id="18692481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4" ma:contentTypeDescription="Create a new document." ma:contentTypeScope="" ma:versionID="d2bc7d94e0fdd6257c7d135845e2192a">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ca837404b1ccc1fb26cc1e8af066edfe"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8d413371-acda-413a-967f-24b530484914}"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4.xml><?xml version="1.0" encoding="utf-8"?>
<Parts xmlns="http://lrs.lt/TAIS/DocParts">
  <Part Type="lentele" DocPartId="64a258bc22df4cae97f4a66877e29944" PartId="41aa9b46a34f426b84356dea1ae8c6be"/>
  <Part Type="pastraipa" DocPartId="27b8ebac867844dabf8f480e2072c744" PartId="5df0616d453c4ed09f45c44f154a8797"/>
</Parts>
</file>

<file path=customXml/itemProps1.xml><?xml version="1.0" encoding="utf-8"?>
<ds:datastoreItem xmlns:ds="http://schemas.openxmlformats.org/officeDocument/2006/customXml" ds:itemID="{55AE140A-37CE-4F3A-AFC4-E98F305ECE36}">
  <ds:schemaRefs>
    <ds:schemaRef ds:uri="http://schemas.microsoft.com/sharepoint/v3/contenttype/forms"/>
  </ds:schemaRefs>
</ds:datastoreItem>
</file>

<file path=customXml/itemProps2.xml><?xml version="1.0" encoding="utf-8"?>
<ds:datastoreItem xmlns:ds="http://schemas.openxmlformats.org/officeDocument/2006/customXml" ds:itemID="{C4BD7365-A466-4112-9DFB-E8F45D0888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B52DDBB-A5C5-4E2E-9414-CACBC3A18AA6}">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4.xml><?xml version="1.0" encoding="utf-8"?>
<ds:datastoreItem xmlns:ds="http://schemas.openxmlformats.org/officeDocument/2006/customXml" ds:itemID="{6283EE77-11D4-4C31-B2FF-8E827BD0AC1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603</Words>
  <Characters>4382</Characters>
  <Application>Microsoft Office Word</Application>
  <DocSecurity>4</DocSecurity>
  <Lines>128</Lines>
  <Paragraphs>36</Paragraphs>
  <ScaleCrop>false</ScaleCrop>
  <Company/>
  <LinksUpToDate>false</LinksUpToDate>
  <CharactersWithSpaces>4949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2024-06-27T09:51:00Z</dcterms:created>
  <dc:creator>Toma Leonova</dc:creator>
  <lastModifiedBy>adlibuser</lastModifiedBy>
  <dcterms:modified xsi:type="dcterms:W3CDTF">2024-06-27T09:51:00Z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