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272b8385cbeb4a59916c483a98d2c771"/>
        <w:lock w:val="sdtLocked"/>
        <w:richText/>
      </w:sdtPr>
      <w:sdtContent>
        <w:p>
          <w:pPr>
            <w:tabs>
              <w:tab w:val="center" w:pos="4986"/>
              <w:tab w:val="right" w:pos="9972"/>
            </w:tabs>
            <w:jc w:val="center"/>
            <w:rPr>
              <w:kern w:val="2"/>
              <w:sz w:val="22"/>
              <w:szCs w:val="22"/>
            </w:rPr>
          </w:pPr>
          <w:r>
            <w:rPr>
              <w:kern w:val="2"/>
              <w:sz w:val="22"/>
              <w:szCs w:val="22"/>
            </w:rPr>
            <w:fldChar w:fldCharType="begin" w:fldLock="1"/>
          </w:r>
          <w:r>
            <w:rPr>
              <w:kern w:val="2"/>
              <w:sz w:val="22"/>
              <w:szCs w:val="22"/>
            </w:rPr>
            <w:instrText xml:space="preserve"> PAGE   \* MERGEFORMAT </w:instrText>
          </w:r>
          <w:r>
            <w:rPr>
              <w:kern w:val="2"/>
              <w:sz w:val="22"/>
              <w:szCs w:val="22"/>
            </w:rPr>
            <w:fldChar w:fldCharType="separate"/>
          </w:r>
          <w:r>
            <w:rPr>
              <w:kern w:val="2"/>
              <w:sz w:val="22"/>
              <w:szCs w:val="22"/>
            </w:rPr>
            <w:t>2</w:t>
          </w:r>
          <w:r>
            <w:rPr>
              <w:kern w:val="2"/>
              <w:sz w:val="22"/>
              <w:szCs w:val="22"/>
            </w:rPr>
            <w:fldChar w:fldCharType="end"/>
          </w:r>
        </w:p>
        <w:p>
          <w:pPr>
            <w:tabs>
              <w:tab w:val="center" w:pos="4986"/>
              <w:tab w:val="right" w:pos="9972"/>
            </w:tabs>
            <w:rPr>
              <w:kern w:val="2"/>
              <w:sz w:val="22"/>
              <w:szCs w:val="22"/>
            </w:rPr>
          </w:pPr>
        </w:p>
        <w:p>
          <w:pPr>
            <w:spacing w:line="259" w:lineRule="auto"/>
            <w:jc w:val="center"/>
            <w:rPr>
              <w:b/>
              <w:bCs/>
              <w:kern w:val="2"/>
              <w:szCs w:val="24"/>
            </w:rPr>
          </w:pPr>
          <w:r>
            <w:rPr>
              <w:b/>
              <w:bCs/>
              <w:kern w:val="2"/>
              <w:szCs w:val="24"/>
            </w:rPr>
            <w:t>REGLAMENTO (ES) NR. 2024/573 IR APLINKOS APSAUGOS VALSTYBINĖS KONTROLĖS ĮSTATYMO PAKEITIMO ĮSTATYMO PROJEKTO ATITIKTIES LENTELĖ</w:t>
          </w:r>
        </w:p>
        <w:p>
          <w:pPr>
            <w:rPr>
              <w:sz w:val="14"/>
              <w:szCs w:val="14"/>
            </w:rPr>
          </w:pPr>
        </w:p>
        <w:p>
          <w:pPr>
            <w:spacing w:line="259" w:lineRule="auto"/>
            <w:rPr>
              <w:kern w:val="2"/>
              <w:szCs w:val="24"/>
            </w:rPr>
          </w:pPr>
        </w:p>
        <w:p>
          <w:pPr>
            <w:rPr>
              <w:sz w:val="14"/>
              <w:szCs w:val="14"/>
            </w:rPr>
          </w:pPr>
        </w:p>
        <w:tbl>
          <w:tblPr>
            <w:tblW w:w="139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66"/>
            <w:gridCol w:w="4949"/>
            <w:gridCol w:w="1678"/>
          </w:tblGrid>
          <w:tr>
            <w:tc>
              <w:tcPr>
                <w:tcW w:w="7366" w:type="dxa"/>
              </w:tcPr>
              <w:p>
                <w:pPr>
                  <w:jc w:val="both"/>
                  <w:textAlignment w:val="baseline"/>
                  <w:rPr>
                    <w:kern w:val="2"/>
                    <w:szCs w:val="24"/>
                  </w:rPr>
                </w:pPr>
                <w:r>
                  <w:rPr>
                    <w:b/>
                    <w:bCs/>
                    <w:kern w:val="2"/>
                    <w:szCs w:val="24"/>
                  </w:rPr>
                  <w:t xml:space="preserve">2024 m. vasario 7 d. Europos Parlamento ir Tarybos reglamentas </w:t>
                </w:r>
                <w:fldSimple w:instr="HYPERLINK http://eur-lex.europa.eu/legal-content/LIT/TXT/?uri=CELEX:32573R2024&amp;locale=lt \t _blank">
                  <w:r>
                    <w:rPr>
                      <w:b/>
                      <w:bCs/>
                      <w:kern w:val="2"/>
                      <w:szCs w:val="24"/>
                      <w:u w:val="single"/>
                      <w:color w:val="0000FF" w:themeColor="hyperlink"/>
                    </w:rPr>
                    <w:t>(ES) Nr. 2024/573</w:t>
                  </w:r>
                </w:fldSimple>
                <w:r>
                  <w:rPr>
                    <w:b/>
                    <w:bCs/>
                    <w:kern w:val="2"/>
                    <w:szCs w:val="24"/>
                  </w:rPr>
                  <w:t xml:space="preserve"> </w:t>
                </w:r>
                <w:r>
                  <w:rPr>
                    <w:b/>
                    <w:bCs/>
                    <w:color w:val="000000"/>
                    <w:kern w:val="2"/>
                    <w:szCs w:val="24"/>
                    <w:shd w:val="clear" w:color="auto" w:fill="FFFFFF"/>
                  </w:rPr>
                  <w:t xml:space="preserve">dėl fluorintų šiltnamio efektą sukeliančių dujų, kuriuo iš dalies keičiama Direktyva </w:t>
                </w:r>
                <w:fldSimple w:instr="HYPERLINK http://eur-lex.europa.eu/legal-content/LIT/TXT/?uri=CELEX:32019L1937&amp;locale=lt \t _blank">
                  <w:r>
                    <w:rPr>
                      <w:b/>
                      <w:bCs/>
                      <w:color w:val="0000FF" w:themeColor="hyperlink"/>
                      <w:kern w:val="2"/>
                      <w:szCs w:val="24"/>
                      <w:shd w:val="clear" w:color="auto" w:fill="FFFFFF"/>
                      <w:u w:val="single"/>
                    </w:rPr>
                    <w:t>(ES) 2019/1937</w:t>
                  </w:r>
                </w:fldSimple>
                <w:r>
                  <w:rPr>
                    <w:b/>
                    <w:bCs/>
                    <w:color w:val="000000"/>
                    <w:kern w:val="2"/>
                    <w:szCs w:val="24"/>
                    <w:shd w:val="clear" w:color="auto" w:fill="FFFFFF"/>
                  </w:rPr>
                  <w:t xml:space="preserve"> ir panaikinamas Reglamentas </w:t>
                </w:r>
                <w:fldSimple w:instr="HYPERLINK http://eur-lex.europa.eu/legal-content/LIT/TXT/?uri=CELEX:32014R0517&amp;locale=lt \t _blank">
                  <w:r>
                    <w:rPr>
                      <w:b/>
                      <w:bCs/>
                      <w:color w:val="0000FF" w:themeColor="hyperlink"/>
                      <w:kern w:val="2"/>
                      <w:szCs w:val="24"/>
                      <w:shd w:val="clear" w:color="auto" w:fill="FFFFFF"/>
                      <w:u w:val="single"/>
                    </w:rPr>
                    <w:t>(ES) Nr. 517/2014</w:t>
                  </w:r>
                </w:fldSimple>
              </w:p>
              <w:p>
                <w:pPr>
                  <w:ind w:firstLine="62"/>
                  <w:jc w:val="both"/>
                  <w:rPr>
                    <w:b/>
                    <w:bCs/>
                    <w:color w:val="000000"/>
                    <w:kern w:val="2"/>
                    <w:szCs w:val="24"/>
                  </w:rPr>
                </w:pPr>
              </w:p>
            </w:tc>
            <w:tc>
              <w:tcPr>
                <w:tcW w:w="4949" w:type="dxa"/>
              </w:tcPr>
              <w:p>
                <w:pPr>
                  <w:rPr>
                    <w:b/>
                    <w:bCs/>
                    <w:kern w:val="2"/>
                    <w:szCs w:val="24"/>
                  </w:rPr>
                </w:pPr>
                <w:r>
                  <w:rPr>
                    <w:b/>
                    <w:bCs/>
                    <w:kern w:val="2"/>
                    <w:szCs w:val="24"/>
                  </w:rPr>
                  <w:t>Aplinkos apsaugos valstybinės kontrolės įstatymo pakeitimo įstatymo projektas (toliau – Projektas)</w:t>
                </w:r>
              </w:p>
            </w:tc>
            <w:tc>
              <w:tcPr>
                <w:tcW w:w="1678" w:type="dxa"/>
              </w:tcPr>
              <w:p>
                <w:pPr>
                  <w:rPr>
                    <w:b/>
                    <w:bCs/>
                    <w:kern w:val="2"/>
                    <w:szCs w:val="24"/>
                  </w:rPr>
                </w:pPr>
                <w:r>
                  <w:rPr>
                    <w:b/>
                    <w:bCs/>
                    <w:kern w:val="2"/>
                    <w:szCs w:val="24"/>
                  </w:rPr>
                  <w:t>Reglamento perkėlimo lygis</w:t>
                </w:r>
              </w:p>
            </w:tc>
          </w:tr>
          <w:tr>
            <w:tc>
              <w:tcPr>
                <w:tcW w:w="7366" w:type="dxa"/>
              </w:tcPr>
              <w:p>
                <w:pPr>
                  <w:shd w:val="clear" w:color="auto" w:fill="FFFFFF"/>
                  <w:rPr>
                    <w:b/>
                    <w:bCs/>
                    <w:color w:val="000000"/>
                    <w:szCs w:val="24"/>
                  </w:rPr>
                </w:pPr>
                <w:r>
                  <w:rPr>
                    <w:b/>
                    <w:bCs/>
                    <w:color w:val="000000"/>
                    <w:szCs w:val="24"/>
                  </w:rPr>
                  <w:t>28 straipsnis</w:t>
                </w:r>
              </w:p>
              <w:p>
                <w:pPr>
                  <w:shd w:val="clear" w:color="auto" w:fill="FFFFFF"/>
                  <w:rPr>
                    <w:b/>
                    <w:bCs/>
                    <w:color w:val="000000"/>
                    <w:szCs w:val="24"/>
                  </w:rPr>
                </w:pPr>
                <w:r>
                  <w:rPr>
                    <w:b/>
                    <w:bCs/>
                    <w:color w:val="000000"/>
                    <w:szCs w:val="24"/>
                  </w:rPr>
                  <w:t>Bendradarbiavimas ir keitimasis informacija</w:t>
                </w:r>
              </w:p>
              <w:p>
                <w:pPr>
                  <w:rPr>
                    <w:sz w:val="10"/>
                    <w:szCs w:val="10"/>
                  </w:rPr>
                </w:pPr>
              </w:p>
              <w:p>
                <w:pPr>
                  <w:shd w:val="clear" w:color="auto" w:fill="FFFFFF"/>
                  <w:jc w:val="both"/>
                  <w:rPr>
                    <w:color w:val="000000"/>
                    <w:szCs w:val="24"/>
                  </w:rPr>
                </w:pPr>
                <w:r>
                  <w:rPr>
                    <w:color w:val="000000"/>
                    <w:szCs w:val="24"/>
                  </w:rPr>
                  <w:t>1.   Kai reikia užtikrinti šio reglamento laikymąsi, kiekvienos valstybės narės kompetentingos institucijos, įskaitant muitines, rinkos priežiūros institucijas, aplinkos apsaugos institucijas ir bet kurią kitą tikrinimo funkcijas atliekančią kompetentingą instituciją, bendradarbiauja tarpusavyje, su kitų valstybių narių kompetentingomis institucijomis, su Komisija ir, jei būtina, su trečiųjų valstybių administracinėmis institucijomis.</w:t>
                </w:r>
              </w:p>
              <w:p>
                <w:pPr>
                  <w:rPr>
                    <w:sz w:val="10"/>
                    <w:szCs w:val="10"/>
                  </w:rPr>
                </w:pPr>
              </w:p>
              <w:p>
                <w:pPr>
                  <w:shd w:val="clear" w:color="auto" w:fill="FFFFFF"/>
                  <w:jc w:val="both"/>
                  <w:rPr>
                    <w:color w:val="000000"/>
                    <w:szCs w:val="24"/>
                  </w:rPr>
                </w:pPr>
                <w:r>
                  <w:rPr>
                    <w:color w:val="000000"/>
                    <w:szCs w:val="24"/>
                  </w:rPr>
                  <w:t>&lt;…&gt;</w:t>
                </w:r>
              </w:p>
              <w:p>
                <w:pPr>
                  <w:rPr>
                    <w:sz w:val="10"/>
                    <w:szCs w:val="10"/>
                  </w:rPr>
                </w:pPr>
              </w:p>
              <w:p>
                <w:pPr>
                  <w:shd w:val="clear" w:color="auto" w:fill="FFFFFF"/>
                  <w:ind w:left="-20" w:right="-20"/>
                  <w:jc w:val="both"/>
                  <w:rPr>
                    <w:kern w:val="2"/>
                    <w:sz w:val="22"/>
                    <w:szCs w:val="22"/>
                  </w:rPr>
                </w:pPr>
                <w:r>
                  <w:rPr>
                    <w:color w:val="000000"/>
                    <w:kern w:val="2"/>
                    <w:szCs w:val="24"/>
                  </w:rPr>
                  <w:t>3. Valstybės narės užtikrina, kad jų kompetentingos institucijos galėtų veiksmingai susipažinti su visa informacija, būtina šio reglamento vykdymui užtikrinti, ir ja tarpusavyje keistis. Tokia informacija apima su muitine susijusius duomenis, informaciją apie nuosavybę ir finansinę padėtį, visus aplinkosaugos teisės aktų pažeidimus, taip pat licencijavimo sistemoje užregistruotus duomenis.</w:t>
                </w:r>
              </w:p>
              <w:p>
                <w:pPr>
                  <w:rPr>
                    <w:sz w:val="10"/>
                    <w:szCs w:val="10"/>
                  </w:rPr>
                </w:pPr>
              </w:p>
              <w:p>
                <w:pPr>
                  <w:shd w:val="clear" w:color="auto" w:fill="FFFFFF"/>
                  <w:ind w:left="-20" w:right="-20"/>
                  <w:jc w:val="both"/>
                  <w:rPr>
                    <w:kern w:val="2"/>
                    <w:sz w:val="22"/>
                    <w:szCs w:val="22"/>
                  </w:rPr>
                </w:pPr>
                <w:r>
                  <w:rPr>
                    <w:color w:val="000000"/>
                    <w:kern w:val="2"/>
                    <w:szCs w:val="24"/>
                  </w:rPr>
                  <w:t>Pirmoje pastraipoje nurodyta informacija taip pat pateikiama kitų valstybių narių kompetentingoms institucijoms ir Komisijai, kai to reikia siekiant užtikrinti šio reglamento vykdymą.</w:t>
                </w:r>
              </w:p>
              <w:p>
                <w:pPr>
                  <w:rPr>
                    <w:sz w:val="10"/>
                    <w:szCs w:val="10"/>
                  </w:rPr>
                </w:pPr>
              </w:p>
              <w:p>
                <w:pPr>
                  <w:shd w:val="clear" w:color="auto" w:fill="FFFFFF"/>
                  <w:spacing w:line="259" w:lineRule="auto"/>
                  <w:ind w:left="-20" w:right="-20"/>
                  <w:jc w:val="both"/>
                  <w:rPr>
                    <w:kern w:val="2"/>
                    <w:sz w:val="22"/>
                    <w:szCs w:val="22"/>
                  </w:rPr>
                </w:pPr>
                <w:r>
                  <w:rPr>
                    <w:color w:val="000000"/>
                    <w:kern w:val="2"/>
                    <w:szCs w:val="24"/>
                  </w:rPr>
                  <w:t>&lt;...&gt;</w:t>
                </w:r>
              </w:p>
            </w:tc>
            <w:tc>
              <w:tcPr>
                <w:tcW w:w="4949" w:type="dxa"/>
              </w:tcPr>
              <w:p>
                <w:pPr>
                  <w:jc w:val="both"/>
                  <w:rPr>
                    <w:b/>
                    <w:bCs/>
                    <w:color w:val="000000"/>
                    <w:kern w:val="2"/>
                    <w:szCs w:val="24"/>
                  </w:rPr>
                </w:pPr>
                <w:r>
                  <w:rPr>
                    <w:b/>
                    <w:bCs/>
                    <w:color w:val="000000"/>
                    <w:kern w:val="2"/>
                    <w:szCs w:val="24"/>
                  </w:rPr>
                  <w:t>Projektas</w:t>
                </w:r>
              </w:p>
              <w:p>
                <w:pPr>
                  <w:jc w:val="both"/>
                  <w:rPr>
                    <w:b/>
                    <w:bCs/>
                    <w:kern w:val="2"/>
                    <w:szCs w:val="24"/>
                  </w:rPr>
                </w:pPr>
                <w:r>
                  <w:rPr>
                    <w:b/>
                    <w:bCs/>
                    <w:color w:val="000000"/>
                    <w:kern w:val="2"/>
                    <w:szCs w:val="24"/>
                  </w:rPr>
                  <w:t>5 straipsnis</w:t>
                </w:r>
              </w:p>
              <w:p>
                <w:pPr>
                  <w:jc w:val="both"/>
                  <w:rPr>
                    <w:b/>
                    <w:bCs/>
                    <w:kern w:val="2"/>
                    <w:szCs w:val="24"/>
                  </w:rPr>
                </w:pPr>
                <w:r>
                  <w:rPr>
                    <w:b/>
                    <w:bCs/>
                    <w:color w:val="000000"/>
                    <w:kern w:val="2"/>
                    <w:szCs w:val="24"/>
                    <w:shd w:val="clear" w:color="auto" w:fill="FFFFFF"/>
                  </w:rPr>
                  <w:t>„</w:t>
                </w:r>
                <w:r>
                  <w:rPr>
                    <w:b/>
                    <w:bCs/>
                    <w:color w:val="000000"/>
                    <w:kern w:val="2"/>
                    <w:szCs w:val="24"/>
                  </w:rPr>
                  <w:t>Aplinkos apsaugos valstybinę priežiūrą Lietuvos Respublikoje atlieka Lietuvos Respublikos Vyriausybės įgaliota institucija</w:t>
                </w:r>
                <w:r>
                  <w:rPr>
                    <w:b/>
                    <w:bCs/>
                    <w:kern w:val="2"/>
                    <w:szCs w:val="24"/>
                  </w:rPr>
                  <w:t>.“</w:t>
                </w:r>
              </w:p>
              <w:p>
                <w:pPr>
                  <w:jc w:val="both"/>
                  <w:rPr>
                    <w:b/>
                    <w:bCs/>
                    <w:kern w:val="2"/>
                    <w:szCs w:val="24"/>
                  </w:rPr>
                </w:pPr>
              </w:p>
              <w:p>
                <w:pPr>
                  <w:tabs>
                    <w:tab w:val="left" w:pos="2127"/>
                  </w:tabs>
                  <w:jc w:val="both"/>
                  <w:rPr>
                    <w:b/>
                    <w:bCs/>
                    <w:kern w:val="2"/>
                    <w:szCs w:val="24"/>
                  </w:rPr>
                </w:pPr>
                <w:r>
                  <w:rPr>
                    <w:b/>
                    <w:bCs/>
                    <w:kern w:val="2"/>
                    <w:szCs w:val="24"/>
                  </w:rPr>
                  <w:t>8 straipsnio 1, 3, 4 dalys</w:t>
                </w:r>
              </w:p>
              <w:p>
                <w:pPr>
                  <w:spacing w:line="276" w:lineRule="auto"/>
                  <w:ind w:firstLine="567"/>
                  <w:jc w:val="both"/>
                  <w:rPr>
                    <w:b/>
                    <w:bCs/>
                    <w:kern w:val="2"/>
                    <w:szCs w:val="24"/>
                  </w:rPr>
                </w:pPr>
                <w:r>
                  <w:rPr>
                    <w:b/>
                    <w:bCs/>
                    <w:kern w:val="2"/>
                    <w:szCs w:val="24"/>
                  </w:rPr>
                  <w:t>„1. Aplinkos apsaugos valstybinę priežiūrą atliekanti institucija bendradarbiauja su valstybės ir savivaldybių institucijomis, įstaigomis, asociacijomis, kitais asmenimis vykdydama aplinkos apsaugą ir gamtos išteklių naudojimą reglamentuojančių teisės aktų pažeidimų prevencijos programas, atlikdama priežiūros veiksmus. Aplinkos apsaugos valstybinę priežiūrą atliekanti institucija bendradarbiauja su visuomene, siekdama, kad būtų ugdomas aplinkosaugos raštingumas, visuomenės nariai dalyvautų užtikrinant aplinkos apsaugą ir gamtos išteklių naudojimą reglamentuojančių teisės aktų reikalavimų laikymąsi.</w:t>
                </w:r>
              </w:p>
              <w:p>
                <w:pPr>
                  <w:spacing w:line="276" w:lineRule="auto"/>
                  <w:ind w:firstLine="567"/>
                  <w:jc w:val="both"/>
                  <w:rPr>
                    <w:b/>
                    <w:bCs/>
                    <w:kern w:val="2"/>
                    <w:szCs w:val="24"/>
                  </w:rPr>
                </w:pPr>
                <w:r>
                  <w:rPr>
                    <w:b/>
                    <w:bCs/>
                    <w:kern w:val="2"/>
                    <w:szCs w:val="24"/>
                  </w:rPr>
                  <w:t>&lt;...&gt;</w:t>
                </w:r>
              </w:p>
              <w:p>
                <w:pPr>
                  <w:spacing w:line="276" w:lineRule="auto"/>
                  <w:ind w:firstLine="567"/>
                  <w:jc w:val="both"/>
                  <w:rPr>
                    <w:b/>
                    <w:bCs/>
                    <w:kern w:val="2"/>
                    <w:szCs w:val="24"/>
                  </w:rPr>
                </w:pPr>
                <w:r>
                  <w:rPr>
                    <w:b/>
                    <w:bCs/>
                    <w:kern w:val="2"/>
                    <w:szCs w:val="24"/>
                  </w:rPr>
                  <w:t>3.</w:t>
                </w:r>
                <w:r>
                  <w:rPr>
                    <w:b/>
                    <w:bCs/>
                    <w:i/>
                    <w:iCs/>
                    <w:kern w:val="2"/>
                    <w:szCs w:val="24"/>
                  </w:rPr>
                  <w:t xml:space="preserve"> </w:t>
                </w:r>
                <w:r>
                  <w:rPr>
                    <w:b/>
                    <w:bCs/>
                    <w:kern w:val="2"/>
                    <w:szCs w:val="24"/>
                  </w:rPr>
                  <w:t>Aplinkos apsaugos valstybinę priežiūrą atliekanti institucija ir aplinkos apsaugos valstybinės priežiūros kontrolę vykdanti institucija kitų valstybės ir savivaldybių institucijų prašymu privalo neatlygintinai joms pateikti turimą informaciją, būtiną šių institucijų funkcijoms atlikti.</w:t>
                </w:r>
              </w:p>
              <w:p>
                <w:pPr>
                  <w:spacing w:line="276" w:lineRule="auto"/>
                  <w:ind w:firstLine="567"/>
                  <w:jc w:val="both"/>
                  <w:rPr>
                    <w:b/>
                    <w:bCs/>
                    <w:kern w:val="2"/>
                    <w:szCs w:val="24"/>
                  </w:rPr>
                </w:pPr>
                <w:r>
                  <w:rPr>
                    <w:b/>
                    <w:bCs/>
                    <w:kern w:val="2"/>
                    <w:szCs w:val="24"/>
                  </w:rPr>
                  <w:t>4. Kitos valstybės ir savivaldybių institucijos, valstybės ir savivaldybių valdomos įmonės aplinkos apsaugos valstybinę priežiūrą atliekančios ir aplinkos apsaugos valstybinės priežiūros kontrolę vykdančios institucijų prašymu privalo neatlygintinai teikti turimą informaciją, būtiną aplinkos apsaugos valstybinei priežiūrai organizuoti, vykdyti ir priežiūros kontrolei atlikti.</w:t>
                </w:r>
                <w:r>
                  <w:rPr>
                    <w:b/>
                    <w:bCs/>
                    <w:color w:val="000000"/>
                    <w:kern w:val="2"/>
                    <w:szCs w:val="24"/>
                  </w:rPr>
                  <w:t>”</w:t>
                </w:r>
              </w:p>
              <w:p>
                <w:pPr>
                  <w:rPr>
                    <w:b/>
                    <w:bCs/>
                    <w:kern w:val="2"/>
                    <w:szCs w:val="24"/>
                  </w:rPr>
                </w:pPr>
              </w:p>
            </w:tc>
            <w:tc>
              <w:tcPr>
                <w:tcW w:w="1678" w:type="dxa"/>
              </w:tcPr>
              <w:p>
                <w:pPr>
                  <w:rPr>
                    <w:kern w:val="2"/>
                    <w:szCs w:val="24"/>
                  </w:rPr>
                </w:pPr>
                <w:r>
                  <w:rPr>
                    <w:kern w:val="2"/>
                    <w:szCs w:val="24"/>
                  </w:rPr>
                  <w:t>Dalinis</w:t>
                </w:r>
              </w:p>
              <w:p>
                <w:pPr>
                  <w:spacing w:line="259" w:lineRule="auto"/>
                  <w:rPr>
                    <w:kern w:val="2"/>
                    <w:szCs w:val="24"/>
                  </w:rPr>
                </w:pPr>
                <w:r>
                  <w:rPr>
                    <w:kern w:val="2"/>
                    <w:szCs w:val="24"/>
                  </w:rPr>
                  <w:t>Atsakinga institucija – Aplinkos ministerija</w:t>
                </w:r>
              </w:p>
              <w:p>
                <w:pPr>
                  <w:rPr>
                    <w:kern w:val="2"/>
                    <w:szCs w:val="24"/>
                  </w:rPr>
                </w:pPr>
              </w:p>
            </w:tc>
          </w:tr>
          <w:tr>
            <w:trPr>
              <w:trHeight w:val="300"/>
            </w:trPr>
            <w:tc>
              <w:tcPr>
                <w:tcW w:w="7366" w:type="dxa"/>
              </w:tcPr>
              <w:p>
                <w:pPr>
                  <w:shd w:val="clear" w:color="auto" w:fill="FFFFFF"/>
                  <w:rPr>
                    <w:b/>
                    <w:bCs/>
                    <w:color w:val="000000"/>
                    <w:szCs w:val="24"/>
                  </w:rPr>
                </w:pPr>
                <w:r>
                  <w:rPr>
                    <w:b/>
                    <w:bCs/>
                    <w:color w:val="000000"/>
                    <w:szCs w:val="24"/>
                    <w:lang w:val="en-US"/>
                  </w:rPr>
                  <w:t>2</w:t>
                </w:r>
                <w:r>
                  <w:rPr>
                    <w:b/>
                    <w:bCs/>
                    <w:color w:val="000000"/>
                    <w:szCs w:val="24"/>
                  </w:rPr>
                  <w:t>9 straipsnis</w:t>
                </w:r>
              </w:p>
              <w:p>
                <w:pPr>
                  <w:shd w:val="clear" w:color="auto" w:fill="FFFFFF"/>
                  <w:rPr>
                    <w:b/>
                    <w:bCs/>
                    <w:color w:val="000000"/>
                    <w:szCs w:val="24"/>
                  </w:rPr>
                </w:pPr>
                <w:r>
                  <w:rPr>
                    <w:b/>
                    <w:bCs/>
                    <w:color w:val="000000"/>
                    <w:szCs w:val="24"/>
                  </w:rPr>
                  <w:t>Įpareigojimas atlikti patikrinimus</w:t>
                </w:r>
              </w:p>
              <w:p>
                <w:pPr>
                  <w:shd w:val="clear" w:color="auto" w:fill="FFFFFF"/>
                  <w:jc w:val="both"/>
                  <w:rPr>
                    <w:color w:val="000000"/>
                    <w:szCs w:val="24"/>
                  </w:rPr>
                </w:pPr>
                <w:r>
                  <w:rPr>
                    <w:color w:val="000000"/>
                    <w:szCs w:val="24"/>
                  </w:rPr>
                  <w:t>1.   Valstybių narių kompetentingos institucijos atlieka patikrinimus, siekdamos nustatyti, ar įmonės laikosi savo įsipareigojimų pagal šį reglamentą.</w:t>
                </w:r>
              </w:p>
              <w:p>
                <w:pPr>
                  <w:rPr>
                    <w:sz w:val="10"/>
                    <w:szCs w:val="10"/>
                  </w:rPr>
                </w:pPr>
              </w:p>
              <w:p>
                <w:pPr>
                  <w:shd w:val="clear" w:color="auto" w:fill="FFFFFF"/>
                  <w:jc w:val="both"/>
                  <w:rPr>
                    <w:color w:val="000000"/>
                    <w:szCs w:val="24"/>
                  </w:rPr>
                </w:pPr>
                <w:r>
                  <w:rPr>
                    <w:color w:val="000000"/>
                    <w:szCs w:val="24"/>
                  </w:rPr>
                  <w:t>2.   Patikrinimai atliekami laikantis rizika grindžiamo požiūrio, kuriuo visų pirma atsižvelgiama į įmonių atitikties reikalavimams istoriją, konkretaus gaminio neatitikties šiam reglamentui riziką ir visą kitą svarbią informaciją, gautą iš Komisijos, muitinių, rinkos priežiūros institucijų, aplinkos apsaugos institucijų ir kitų valstybių narių institucijų, atliekančių tikrinimo funkcijas, arba iš trečiųjų šalių kompetentingų institucijų.</w:t>
                </w:r>
              </w:p>
              <w:p>
                <w:pPr>
                  <w:rPr>
                    <w:sz w:val="10"/>
                    <w:szCs w:val="10"/>
                  </w:rPr>
                </w:pPr>
              </w:p>
              <w:p>
                <w:pPr>
                  <w:shd w:val="clear" w:color="auto" w:fill="FFFFFF"/>
                  <w:jc w:val="both"/>
                  <w:rPr>
                    <w:color w:val="000000"/>
                    <w:szCs w:val="24"/>
                  </w:rPr>
                </w:pPr>
                <w:r>
                  <w:rPr>
                    <w:color w:val="000000"/>
                    <w:szCs w:val="24"/>
                  </w:rPr>
                  <w:t>Valstybių narių kompetentingos institucijos taip pat atlieka patikrinimus, kai jos turi įrodymų ar kitos svarbios informacijos, be kita ko, pagrįstos trečiųjų šalių ar Komisijos pagrįstu susirūpinimu, dėl galimo šio reglamento nesilaikymo.</w:t>
                </w:r>
              </w:p>
              <w:p>
                <w:pPr>
                  <w:rPr>
                    <w:sz w:val="10"/>
                    <w:szCs w:val="10"/>
                  </w:rPr>
                </w:pPr>
              </w:p>
              <w:p>
                <w:pPr>
                  <w:shd w:val="clear" w:color="auto" w:fill="FFFFFF"/>
                  <w:jc w:val="both"/>
                  <w:rPr>
                    <w:color w:val="000000"/>
                    <w:szCs w:val="24"/>
                  </w:rPr>
                </w:pPr>
                <w:r>
                  <w:rPr>
                    <w:color w:val="000000"/>
                    <w:szCs w:val="24"/>
                  </w:rPr>
                  <w:t>3.   1 ir 2 dalyse nurodyti patikrinimai apima:</w:t>
                </w:r>
              </w:p>
              <w:tbl>
                <w:tblPr>
                  <w:tblW w:w="5000" w:type="pct"/>
                  <w:tblCellMar>
                    <w:left w:w="0" w:type="dxa"/>
                    <w:right w:w="0" w:type="dxa"/>
                  </w:tblCellMar>
                  <w:tblLook w:val="04A0" w:firstRow="1" w:lastRow="0" w:firstColumn="1" w:lastColumn="0" w:noHBand="0" w:noVBand="1"/>
                </w:tblPr>
                <w:tblGrid>
                  <w:gridCol w:w="187"/>
                  <w:gridCol w:w="6963"/>
                </w:tblGrid>
                <w:tr>
                  <w:tc>
                    <w:tcPr>
                      <w:tcW w:w="0" w:type="auto"/>
                      <w:shd w:val="clear" w:color="auto" w:fill="auto"/>
                      <w:hideMark/>
                    </w:tcPr>
                    <w:p>
                      <w:pPr>
                        <w:rPr>
                          <w:sz w:val="10"/>
                          <w:szCs w:val="10"/>
                        </w:rPr>
                      </w:pPr>
                    </w:p>
                    <w:p>
                      <w:pPr>
                        <w:jc w:val="both"/>
                        <w:rPr>
                          <w:szCs w:val="24"/>
                        </w:rPr>
                      </w:pPr>
                      <w:r>
                        <w:rPr>
                          <w:szCs w:val="24"/>
                        </w:rPr>
                        <w:t>a)</w:t>
                      </w:r>
                    </w:p>
                  </w:tc>
                  <w:tc>
                    <w:tcPr>
                      <w:tcW w:w="0" w:type="auto"/>
                      <w:shd w:val="clear" w:color="auto" w:fill="auto"/>
                      <w:hideMark/>
                    </w:tcPr>
                    <w:p>
                      <w:pPr>
                        <w:rPr>
                          <w:sz w:val="10"/>
                          <w:szCs w:val="10"/>
                        </w:rPr>
                      </w:pPr>
                    </w:p>
                    <w:p>
                      <w:pPr>
                        <w:jc w:val="both"/>
                        <w:rPr>
                          <w:szCs w:val="24"/>
                        </w:rPr>
                      </w:pPr>
                      <w:r>
                        <w:rPr>
                          <w:szCs w:val="24"/>
                        </w:rPr>
                        <w:t>tinkamo dažnumo įmonių patikrinimus vietoje ir atitinkamų dokumentų bei įrangos tikrinimą ir</w:t>
                      </w:r>
                    </w:p>
                  </w:tc>
                </w:tr>
              </w:tbl>
              <w:p>
                <w:pPr>
                  <w:shd w:val="clear" w:color="auto" w:fill="FFFFFF"/>
                  <w:rPr>
                    <w:vanish/>
                    <w:color w:val="000000"/>
                    <w:kern w:val="2"/>
                    <w:szCs w:val="24"/>
                  </w:rPr>
                </w:pPr>
              </w:p>
              <w:tbl>
                <w:tblPr>
                  <w:tblW w:w="5000" w:type="pct"/>
                  <w:tblCellMar>
                    <w:left w:w="0" w:type="dxa"/>
                    <w:right w:w="0" w:type="dxa"/>
                  </w:tblCellMar>
                  <w:tblLook w:val="04A0" w:firstRow="1" w:lastRow="0" w:firstColumn="1" w:lastColumn="0" w:noHBand="0" w:noVBand="1"/>
                </w:tblPr>
                <w:tblGrid>
                  <w:gridCol w:w="303"/>
                  <w:gridCol w:w="6847"/>
                </w:tblGrid>
                <w:tr>
                  <w:tc>
                    <w:tcPr>
                      <w:tcW w:w="0" w:type="auto"/>
                      <w:shd w:val="clear" w:color="auto" w:fill="auto"/>
                      <w:hideMark/>
                    </w:tcPr>
                    <w:p>
                      <w:pPr>
                        <w:rPr>
                          <w:sz w:val="10"/>
                          <w:szCs w:val="10"/>
                        </w:rPr>
                      </w:pPr>
                    </w:p>
                    <w:p>
                      <w:pPr>
                        <w:jc w:val="both"/>
                        <w:rPr>
                          <w:szCs w:val="24"/>
                        </w:rPr>
                      </w:pPr>
                      <w:r>
                        <w:rPr>
                          <w:szCs w:val="24"/>
                        </w:rPr>
                        <w:t>b)</w:t>
                      </w:r>
                    </w:p>
                  </w:tc>
                  <w:tc>
                    <w:tcPr>
                      <w:tcW w:w="0" w:type="auto"/>
                      <w:shd w:val="clear" w:color="auto" w:fill="auto"/>
                      <w:hideMark/>
                    </w:tcPr>
                    <w:p>
                      <w:pPr>
                        <w:rPr>
                          <w:sz w:val="10"/>
                          <w:szCs w:val="10"/>
                        </w:rPr>
                      </w:pPr>
                    </w:p>
                    <w:p>
                      <w:pPr>
                        <w:jc w:val="both"/>
                        <w:rPr>
                          <w:szCs w:val="24"/>
                        </w:rPr>
                      </w:pPr>
                      <w:r>
                        <w:rPr>
                          <w:szCs w:val="24"/>
                        </w:rPr>
                        <w:t>interneto platformų patikrinimus pagal šią dalį.</w:t>
                      </w:r>
                    </w:p>
                  </w:tc>
                </w:tr>
              </w:tbl>
              <w:p>
                <w:pPr>
                  <w:rPr>
                    <w:sz w:val="10"/>
                    <w:szCs w:val="10"/>
                  </w:rPr>
                </w:pPr>
              </w:p>
              <w:p>
                <w:pPr>
                  <w:shd w:val="clear" w:color="auto" w:fill="FFFFFF"/>
                  <w:jc w:val="both"/>
                  <w:rPr>
                    <w:color w:val="000000"/>
                    <w:szCs w:val="24"/>
                  </w:rPr>
                </w:pPr>
                <w:r>
                  <w:rPr>
                    <w:color w:val="000000"/>
                    <w:szCs w:val="24"/>
                  </w:rPr>
                  <w:t xml:space="preserve">Nedarant poveikio Europos Parlamento ir Tarybos reglamentui </w:t>
                </w:r>
                <w:fldSimple w:instr="HYPERLINK http://eur-lex.europa.eu/legal-content/LIT/TXT/?uri=CELEX:32022R2065&amp;locale=lt \t _blank">
                  <w:r>
                    <w:rPr>
                      <w:color w:val="0000FF" w:themeColor="hyperlink"/>
                      <w:szCs w:val="24"/>
                      <w:u w:val="single"/>
                    </w:rPr>
                    <w:t>(ES) 2022/2065</w:t>
                  </w:r>
                </w:fldSimple>
                <w:r>
                  <w:rPr>
                    <w:color w:val="000000"/>
                    <w:szCs w:val="24"/>
                  </w:rPr>
                  <w:t> </w:t>
                </w:r>
                <w:r>
                  <w:rPr>
                    <w:color w:val="337AB7"/>
                    <w:szCs w:val="24"/>
                    <w:u w:val="single"/>
                  </w:rPr>
                  <w:t>(</w:t>
                </w:r>
                <w:r>
                  <w:rPr>
                    <w:color w:val="337AB7"/>
                    <w:szCs w:val="24"/>
                    <w:vertAlign w:val="superscript"/>
                  </w:rPr>
                  <w:t>29</w:t>
                </w:r>
                <w:r>
                  <w:rPr>
                    <w:color w:val="337AB7"/>
                    <w:szCs w:val="24"/>
                    <w:u w:val="single"/>
                  </w:rPr>
                  <w:t>)</w:t>
                </w:r>
                <w:r>
                  <w:rPr>
                    <w:color w:val="000000"/>
                    <w:szCs w:val="24"/>
                  </w:rPr>
                  <w:t xml:space="preserve">, kai interneto platforma, kuriai taikomas to reglamento III skyriaus 4 skirsnis, leidžia sudaryti nuotolinės prekybos sutartis su įmonėmis, siūlančiomis fluorintas šiltnamio efektą sukeliančias dujas arba produktus ir įrangą, kuriuose yra tokių dujų, valstybių narių kompetentingos institucijos patikrina, ar įmonė, siūlomos fluorintos šiltnamio efektą sukeliančios dujos, produktai ar įranga atitinka šiame reglamente nustatytus reikalavimus. Valstybių narių kompetentingos institucijos informuoja Komisiją ir atitinkamas kompetentingas institucijas, nurodytas Reglamento </w:t>
                </w:r>
                <w:fldSimple w:instr="HYPERLINK http://eur-lex.europa.eu/legal-content/LIT/TXT/?uri=CELEX:32022R2065&amp;locale=lt \t _blank">
                  <w:r>
                    <w:rPr>
                      <w:color w:val="0000FF" w:themeColor="hyperlink"/>
                      <w:szCs w:val="24"/>
                      <w:u w:val="single"/>
                    </w:rPr>
                    <w:t>(ES) 2022/2065</w:t>
                  </w:r>
                </w:fldSimple>
                <w:r>
                  <w:rPr>
                    <w:color w:val="000000"/>
                    <w:szCs w:val="24"/>
                  </w:rPr>
                  <w:t> 49 straipsnyje, ir su jomis bendradarbiauja, siekdamos užtikrinti, kad būtų laikomasi reglamento.</w:t>
                </w:r>
              </w:p>
              <w:p>
                <w:pPr>
                  <w:rPr>
                    <w:sz w:val="10"/>
                    <w:szCs w:val="10"/>
                  </w:rPr>
                </w:pPr>
              </w:p>
              <w:p>
                <w:pPr>
                  <w:shd w:val="clear" w:color="auto" w:fill="FFFFFF"/>
                  <w:jc w:val="both"/>
                  <w:rPr>
                    <w:color w:val="000000"/>
                    <w:szCs w:val="24"/>
                  </w:rPr>
                </w:pPr>
                <w:r>
                  <w:rPr>
                    <w:color w:val="000000"/>
                    <w:szCs w:val="24"/>
                  </w:rPr>
                  <w:t>Patikrinimai atliekami iš anksto neįspėjant įmonės, išskyrus atvejus, kai apie tai būtina pranešti iš anksto, kad būtų užtikrintas patikrinimų veiksmingumas. Valstybės narės užtikrina, kad įmonės suteiktų kompetentingoms institucijoms visą būtiną pagalbą, kad šios galėtų atlikti šiame straipsnyje numatytus patikrinimus.</w:t>
                </w:r>
              </w:p>
              <w:p>
                <w:pPr>
                  <w:rPr>
                    <w:sz w:val="10"/>
                    <w:szCs w:val="10"/>
                  </w:rPr>
                </w:pPr>
              </w:p>
              <w:p>
                <w:pPr>
                  <w:shd w:val="clear" w:color="auto" w:fill="FFFFFF"/>
                  <w:jc w:val="both"/>
                  <w:rPr>
                    <w:color w:val="000000"/>
                    <w:szCs w:val="24"/>
                  </w:rPr>
                </w:pPr>
                <w:r>
                  <w:rPr>
                    <w:color w:val="000000"/>
                    <w:szCs w:val="24"/>
                  </w:rPr>
                  <w:t>4.   Valstybių narių kompetentingos institucijos dokumentuoja patikrinimus, visų pirma nurodydamos jų pobūdį, rezultatus ir priemones, kurių buvo imtasi reikalavimų nesilaikymo atveju. Visų patikrinimų duomenys saugomi bent 5 metus.</w:t>
                </w:r>
              </w:p>
              <w:p>
                <w:pPr>
                  <w:rPr>
                    <w:sz w:val="10"/>
                    <w:szCs w:val="10"/>
                  </w:rPr>
                </w:pPr>
              </w:p>
              <w:p>
                <w:pPr>
                  <w:shd w:val="clear" w:color="auto" w:fill="FFFFFF"/>
                  <w:jc w:val="both"/>
                  <w:rPr>
                    <w:color w:val="000000"/>
                    <w:szCs w:val="24"/>
                  </w:rPr>
                </w:pPr>
                <w:r>
                  <w:rPr>
                    <w:color w:val="000000"/>
                    <w:szCs w:val="24"/>
                    <w:shd w:val="clear" w:color="auto" w:fill="FFFFFF"/>
                  </w:rPr>
                  <w:t xml:space="preserve">5.   Valstybė narė, kitos valstybės narės prašymu, gali atlikti patikrinimus ar kitus oficialius tyrimus tos valstybės narės teritorijoje veiklą vykdančiose įmonėse, kurios įtariamos dalyvavimu neteisėtai gabenant dujas, produktus ir įrangą, kuriems taikomas šis reglamentas. </w:t>
                </w:r>
                <w:r>
                  <w:rPr>
                    <w:color w:val="000000"/>
                    <w:szCs w:val="24"/>
                    <w:shd w:val="clear" w:color="auto" w:fill="FFFFFF"/>
                    <w:lang w:val="en-US"/>
                  </w:rPr>
                  <w:t>Apie patikrinimo ar tyrimo rezultatą pranešama prašančiajai valstybei narei.</w:t>
                </w:r>
              </w:p>
              <w:p>
                <w:pPr>
                  <w:rPr>
                    <w:sz w:val="10"/>
                    <w:szCs w:val="10"/>
                  </w:rPr>
                </w:pPr>
              </w:p>
              <w:p>
                <w:pPr>
                  <w:shd w:val="clear" w:color="auto" w:fill="FFFFFF"/>
                  <w:jc w:val="both"/>
                  <w:rPr>
                    <w:color w:val="000000"/>
                    <w:szCs w:val="24"/>
                  </w:rPr>
                </w:pPr>
                <w:r>
                  <w:rPr>
                    <w:color w:val="000000"/>
                    <w:szCs w:val="24"/>
                  </w:rPr>
                  <w:t>&lt;...&gt;</w:t>
                </w:r>
              </w:p>
              <w:p>
                <w:pPr>
                  <w:jc w:val="center"/>
                  <w:rPr>
                    <w:i/>
                    <w:iCs/>
                    <w:color w:val="000000"/>
                    <w:kern w:val="2"/>
                    <w:szCs w:val="24"/>
                  </w:rPr>
                </w:pPr>
              </w:p>
            </w:tc>
            <w:tc>
              <w:tcPr>
                <w:tcW w:w="4949" w:type="dxa"/>
              </w:tcPr>
              <w:p>
                <w:pPr>
                  <w:jc w:val="both"/>
                  <w:rPr>
                    <w:b/>
                    <w:bCs/>
                    <w:color w:val="000000"/>
                    <w:kern w:val="2"/>
                    <w:szCs w:val="24"/>
                  </w:rPr>
                </w:pPr>
                <w:r>
                  <w:rPr>
                    <w:b/>
                    <w:bCs/>
                    <w:color w:val="000000"/>
                    <w:kern w:val="2"/>
                    <w:szCs w:val="24"/>
                  </w:rPr>
                  <w:t>Projektas</w:t>
                </w:r>
              </w:p>
              <w:p>
                <w:pPr>
                  <w:jc w:val="both"/>
                  <w:rPr>
                    <w:b/>
                    <w:bCs/>
                    <w:kern w:val="2"/>
                    <w:szCs w:val="24"/>
                  </w:rPr>
                </w:pPr>
                <w:r>
                  <w:rPr>
                    <w:b/>
                    <w:bCs/>
                    <w:color w:val="000000"/>
                    <w:kern w:val="2"/>
                    <w:szCs w:val="24"/>
                  </w:rPr>
                  <w:t>5 straipsnis</w:t>
                </w:r>
              </w:p>
              <w:p>
                <w:pPr>
                  <w:jc w:val="both"/>
                  <w:rPr>
                    <w:b/>
                    <w:bCs/>
                    <w:kern w:val="2"/>
                    <w:szCs w:val="24"/>
                  </w:rPr>
                </w:pPr>
                <w:r>
                  <w:rPr>
                    <w:b/>
                    <w:bCs/>
                    <w:color w:val="000000"/>
                    <w:kern w:val="2"/>
                    <w:szCs w:val="24"/>
                  </w:rPr>
                  <w:t>„Aplinkos apsaugos valstybinę priežiūrą Lietuvos Respublikoje atlieka Lietuvos Respublikos Vyriausybės įgaliota institucija.</w:t>
                </w:r>
                <w:r>
                  <w:rPr>
                    <w:b/>
                    <w:bCs/>
                    <w:kern w:val="2"/>
                    <w:szCs w:val="24"/>
                  </w:rPr>
                  <w:t>“</w:t>
                </w:r>
              </w:p>
              <w:p>
                <w:pPr>
                  <w:jc w:val="both"/>
                  <w:rPr>
                    <w:b/>
                    <w:bCs/>
                    <w:kern w:val="2"/>
                    <w:szCs w:val="24"/>
                  </w:rPr>
                </w:pPr>
              </w:p>
              <w:p>
                <w:pPr>
                  <w:jc w:val="both"/>
                  <w:rPr>
                    <w:kern w:val="2"/>
                    <w:szCs w:val="24"/>
                  </w:rPr>
                </w:pPr>
                <w:r>
                  <w:rPr>
                    <w:b/>
                    <w:bCs/>
                    <w:kern w:val="2"/>
                    <w:szCs w:val="24"/>
                  </w:rPr>
                  <w:t>16 straipsnio 1, 2, 5 dalys</w:t>
                </w:r>
              </w:p>
              <w:p>
                <w:pPr>
                  <w:tabs>
                    <w:tab w:val="left" w:pos="494"/>
                  </w:tabs>
                  <w:spacing w:line="276" w:lineRule="auto"/>
                  <w:ind w:firstLine="720"/>
                  <w:jc w:val="both"/>
                  <w:rPr>
                    <w:b/>
                    <w:bCs/>
                    <w:kern w:val="2"/>
                    <w:szCs w:val="24"/>
                  </w:rPr>
                </w:pPr>
                <w:r>
                  <w:rPr>
                    <w:b/>
                    <w:bCs/>
                    <w:kern w:val="2"/>
                    <w:szCs w:val="24"/>
                  </w:rPr>
                  <w:t xml:space="preserve">„1. Aplinkos apsaugos valstybinę priežiūrą atliekanti institucija  asmenų patikrinimų planų sudarymo kriterijus, planinių patikrinimų tvarką ir trukmę įtvirtinančias taisykles, tikrinamų asmenų  atrankos kriterijus įtvirtinančias taisykles rengia ir tvirtina, taip pat patikrinimų planą rengia, tvirtina, skelbia ir keičia Viešojo administravimo įstatyme nustatyta tvarka.</w:t>
                </w:r>
              </w:p>
              <w:p>
                <w:pPr>
                  <w:tabs>
                    <w:tab w:val="left" w:pos="494"/>
                  </w:tabs>
                  <w:spacing w:line="276" w:lineRule="auto"/>
                  <w:ind w:firstLine="720"/>
                  <w:jc w:val="both"/>
                  <w:rPr>
                    <w:b/>
                    <w:bCs/>
                    <w:kern w:val="2"/>
                    <w:szCs w:val="24"/>
                  </w:rPr>
                </w:pPr>
                <w:r>
                  <w:rPr>
                    <w:b/>
                    <w:bCs/>
                    <w:kern w:val="2"/>
                    <w:szCs w:val="24"/>
                  </w:rPr>
                  <w:t>2. Patikrinimą įforminančių dokumentų formas ir jų pildymo reikalavimus tvirtina aplinkos apsaugos valstybinę priežiūrą atliekančios institucijos vadovas.</w:t>
                </w:r>
              </w:p>
              <w:p>
                <w:pPr>
                  <w:tabs>
                    <w:tab w:val="left" w:pos="494"/>
                  </w:tabs>
                  <w:spacing w:line="259" w:lineRule="auto"/>
                  <w:ind w:firstLine="720"/>
                  <w:jc w:val="both"/>
                  <w:rPr>
                    <w:kern w:val="2"/>
                    <w:sz w:val="22"/>
                    <w:szCs w:val="22"/>
                  </w:rPr>
                </w:pPr>
                <w:r>
                  <w:rPr>
                    <w:color w:val="000000"/>
                    <w:kern w:val="2"/>
                    <w:szCs w:val="24"/>
                  </w:rPr>
                  <w:t>&lt;...&gt;</w:t>
                </w:r>
              </w:p>
              <w:p>
                <w:pPr>
                  <w:tabs>
                    <w:tab w:val="left" w:pos="426"/>
                  </w:tabs>
                  <w:spacing w:line="276" w:lineRule="auto"/>
                  <w:ind w:firstLine="720"/>
                  <w:jc w:val="both"/>
                  <w:rPr>
                    <w:b/>
                    <w:bCs/>
                    <w:kern w:val="2"/>
                    <w:szCs w:val="24"/>
                  </w:rPr>
                </w:pPr>
                <w:r>
                  <w:rPr>
                    <w:b/>
                    <w:bCs/>
                    <w:kern w:val="2"/>
                    <w:szCs w:val="24"/>
                  </w:rPr>
                  <w:t>5. Patikrinimų dokumentai saugomi ne trumpiau kaip penkerius metus Lietuvos Respublikos dokumentų ir archyvų įstatyme nustatyta tvarka</w:t>
                </w:r>
                <w:r>
                  <w:rPr>
                    <w:kern w:val="2"/>
                    <w:szCs w:val="24"/>
                  </w:rPr>
                  <w:t>.</w:t>
                </w:r>
                <w:r>
                  <w:rPr>
                    <w:b/>
                    <w:bCs/>
                    <w:kern w:val="2"/>
                    <w:szCs w:val="24"/>
                  </w:rPr>
                  <w:t>“</w:t>
                </w:r>
              </w:p>
            </w:tc>
            <w:tc>
              <w:tcPr>
                <w:tcW w:w="1678" w:type="dxa"/>
              </w:tcPr>
              <w:p>
                <w:pPr>
                  <w:rPr>
                    <w:kern w:val="2"/>
                    <w:szCs w:val="24"/>
                  </w:rPr>
                </w:pPr>
                <w:r>
                  <w:rPr>
                    <w:kern w:val="2"/>
                    <w:szCs w:val="24"/>
                  </w:rPr>
                  <w:t>Dalinis</w:t>
                </w:r>
              </w:p>
              <w:p>
                <w:pPr>
                  <w:spacing w:line="259" w:lineRule="auto"/>
                  <w:rPr>
                    <w:kern w:val="2"/>
                    <w:szCs w:val="24"/>
                  </w:rPr>
                </w:pPr>
                <w:r>
                  <w:rPr>
                    <w:kern w:val="2"/>
                    <w:szCs w:val="24"/>
                  </w:rPr>
                  <w:t>Atsakinga institucija – Aplinkos ministerija</w:t>
                </w:r>
              </w:p>
              <w:p>
                <w:pPr>
                  <w:rPr>
                    <w:kern w:val="2"/>
                    <w:szCs w:val="24"/>
                  </w:rPr>
                </w:pPr>
              </w:p>
            </w:tc>
          </w:tr>
        </w:tbl>
        <w:p/>
        <w:p>
          <w:pPr>
            <w:spacing w:after="160" w:line="259" w:lineRule="auto"/>
            <w:rPr>
              <w:kern w:val="2"/>
              <w:sz w:val="22"/>
              <w:szCs w:val="24"/>
            </w:rPr>
          </w:pPr>
        </w:p>
      </w:sdtContent>
    </w:sdt>
    <w:sectPr>
      <w:headerReference w:type="even" r:id="rId10"/>
      <w:headerReference w:type="default" r:id="rId11"/>
      <w:footerReference w:type="even" r:id="rId12"/>
      <w:footerReference w:type="default" r:id="rId13"/>
      <w:headerReference w:type="first" r:id="rId14"/>
      <w:footerReference w:type="first" r:id="rId15"/>
      <w:pgSz w:w="16838" w:h="11906" w:orient="landscape"/>
      <w:pgMar w:top="1134" w:right="1701" w:bottom="567" w:left="1134"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kern w:val="2"/>
          <w:sz w:val="22"/>
          <w:szCs w:val="22"/>
        </w:rPr>
      </w:pPr>
      <w:r>
        <w:rPr>
          <w:kern w:val="2"/>
          <w:sz w:val="22"/>
          <w:szCs w:val="22"/>
        </w:rPr>
        <w:separator/>
      </w:r>
    </w:p>
  </w:endnote>
  <w:endnote w:type="continuationSeparator" w:id="0">
    <w:p>
      <w:pPr>
        <w:rPr>
          <w:kern w:val="2"/>
          <w:sz w:val="22"/>
          <w:szCs w:val="22"/>
        </w:rPr>
      </w:pPr>
      <w:r>
        <w:rPr>
          <w:kern w:val="2"/>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Yu Gothic Light">
    <w:charset w:val="80"/>
    <w:family w:val="swiss"/>
    <w:pitch w:val="variable"/>
    <w:sig w:usb0="E00002FF" w:usb1="2AC7FDFF" w:usb2="00000016" w:usb3="00000000" w:csb0="0002009F" w:csb1="00000000"/>
  </w:font>
  <w:font w:name="Calibri Light">
    <w:panose1 w:val="020F0302020204030204"/>
    <w:charset w:val="BA"/>
    <w:family w:val="swiss"/>
    <w:pitch w:val="variable"/>
    <w:sig w:usb0="E0002AFF" w:usb1="C000247B" w:usb2="00000009" w:usb3="00000000" w:csb0="000001FF" w:csb1="00000000"/>
  </w:font>
  <w:font w:name="Yu Mincho">
    <w:charset w:val="80"/>
    <w:family w:val="roman"/>
    <w:pitch w:val="variable"/>
    <w:sig w:usb0="800002E7" w:usb1="2AC7FCFF" w:usb2="00000012" w:usb3="00000000" w:csb0="0002009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kern w:val="2"/>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kern w:val="2"/>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kern w:val="2"/>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kern w:val="2"/>
          <w:sz w:val="22"/>
          <w:szCs w:val="22"/>
        </w:rPr>
      </w:pPr>
      <w:r>
        <w:rPr>
          <w:kern w:val="2"/>
          <w:sz w:val="22"/>
          <w:szCs w:val="22"/>
        </w:rPr>
        <w:separator/>
      </w:r>
    </w:p>
  </w:footnote>
  <w:footnote w:type="continuationSeparator" w:id="0">
    <w:p>
      <w:pPr>
        <w:rPr>
          <w:kern w:val="2"/>
          <w:sz w:val="22"/>
          <w:szCs w:val="22"/>
        </w:rPr>
      </w:pPr>
      <w:r>
        <w:rPr>
          <w:kern w:val="2"/>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kern w:val="2"/>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jc w:val="center"/>
      <w:rPr>
        <w:kern w:val="2"/>
        <w:sz w:val="22"/>
        <w:szCs w:val="22"/>
      </w:rPr>
    </w:pPr>
    <w:r>
      <w:rPr>
        <w:kern w:val="2"/>
        <w:sz w:val="22"/>
        <w:szCs w:val="22"/>
      </w:rPr>
      <w:fldChar w:fldCharType="begin"/>
    </w:r>
    <w:r>
      <w:rPr>
        <w:kern w:val="2"/>
        <w:sz w:val="22"/>
        <w:szCs w:val="22"/>
      </w:rPr>
      <w:instrText xml:space="preserve"> PAGE   \* MERGEFORMAT </w:instrText>
    </w:r>
    <w:r>
      <w:rPr>
        <w:kern w:val="2"/>
        <w:sz w:val="22"/>
        <w:szCs w:val="22"/>
      </w:rPr>
      <w:fldChar w:fldCharType="separate"/>
    </w:r>
    <w:r>
      <w:rPr>
        <w:kern w:val="2"/>
        <w:sz w:val="22"/>
        <w:szCs w:val="22"/>
      </w:rPr>
      <w:t>2</w:t>
    </w:r>
    <w:r>
      <w:rPr>
        <w:kern w:val="2"/>
        <w:sz w:val="22"/>
        <w:szCs w:val="22"/>
      </w:rPr>
      <w:fldChar w:fldCharType="end"/>
    </w:r>
  </w:p>
  <w:p>
    <w:pPr>
      <w:tabs>
        <w:tab w:val="center" w:pos="4986"/>
        <w:tab w:val="right" w:pos="9972"/>
      </w:tabs>
      <w:rPr>
        <w:kern w:val="2"/>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kern w:val="2"/>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134A3"/>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9F333EE-FA11-43F9-A91D-C080837056E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46444923">
      <w:bodyDiv w:val="1"/>
      <w:marLeft w:val="0"/>
      <w:marRight w:val="0"/>
      <w:marTop w:val="0"/>
      <w:marBottom w:val="0"/>
      <w:divBdr>
        <w:top w:val="none" w:sz="0" w:space="0" w:color="auto"/>
        <w:left w:val="none" w:sz="0" w:space="0" w:color="auto"/>
        <w:bottom w:val="none" w:sz="0" w:space="0" w:color="auto"/>
        <w:right w:val="none" w:sz="0" w:space="0" w:color="auto"/>
      </w:divBdr>
    </w:div>
    <w:div w:id="610281820">
      <w:bodyDiv w:val="1"/>
      <w:marLeft w:val="0"/>
      <w:marRight w:val="0"/>
      <w:marTop w:val="0"/>
      <w:marBottom w:val="0"/>
      <w:divBdr>
        <w:top w:val="none" w:sz="0" w:space="0" w:color="auto"/>
        <w:left w:val="none" w:sz="0" w:space="0" w:color="auto"/>
        <w:bottom w:val="none" w:sz="0" w:space="0" w:color="auto"/>
        <w:right w:val="none" w:sz="0" w:space="0" w:color="auto"/>
      </w:divBdr>
    </w:div>
    <w:div w:id="716272371">
      <w:bodyDiv w:val="1"/>
      <w:marLeft w:val="0"/>
      <w:marRight w:val="0"/>
      <w:marTop w:val="0"/>
      <w:marBottom w:val="0"/>
      <w:divBdr>
        <w:top w:val="none" w:sz="0" w:space="0" w:color="auto"/>
        <w:left w:val="none" w:sz="0" w:space="0" w:color="auto"/>
        <w:bottom w:val="none" w:sz="0" w:space="0" w:color="auto"/>
        <w:right w:val="none" w:sz="0" w:space="0" w:color="auto"/>
      </w:divBdr>
    </w:div>
    <w:div w:id="1348482881">
      <w:bodyDiv w:val="1"/>
      <w:marLeft w:val="0"/>
      <w:marRight w:val="0"/>
      <w:marTop w:val="0"/>
      <w:marBottom w:val="0"/>
      <w:divBdr>
        <w:top w:val="none" w:sz="0" w:space="0" w:color="auto"/>
        <w:left w:val="none" w:sz="0" w:space="0" w:color="auto"/>
        <w:bottom w:val="none" w:sz="0" w:space="0" w:color="auto"/>
        <w:right w:val="none" w:sz="0" w:space="0" w:color="auto"/>
      </w:divBdr>
    </w:div>
    <w:div w:id="1637762855">
      <w:bodyDiv w:val="1"/>
      <w:marLeft w:val="0"/>
      <w:marRight w:val="0"/>
      <w:marTop w:val="0"/>
      <w:marBottom w:val="0"/>
      <w:divBdr>
        <w:top w:val="none" w:sz="0" w:space="0" w:color="auto"/>
        <w:left w:val="none" w:sz="0" w:space="0" w:color="auto"/>
        <w:bottom w:val="none" w:sz="0" w:space="0" w:color="auto"/>
        <w:right w:val="none" w:sz="0" w:space="0" w:color="auto"/>
      </w:divBdr>
      <w:divsChild>
        <w:div w:id="659844108">
          <w:marLeft w:val="0"/>
          <w:marRight w:val="0"/>
          <w:marTop w:val="0"/>
          <w:marBottom w:val="0"/>
          <w:divBdr>
            <w:top w:val="none" w:sz="0" w:space="0" w:color="auto"/>
            <w:left w:val="none" w:sz="0" w:space="0" w:color="auto"/>
            <w:bottom w:val="none" w:sz="0" w:space="0" w:color="auto"/>
            <w:right w:val="none" w:sz="0" w:space="0" w:color="auto"/>
          </w:divBdr>
          <w:divsChild>
            <w:div w:id="88818013">
              <w:marLeft w:val="0"/>
              <w:marRight w:val="0"/>
              <w:marTop w:val="0"/>
              <w:marBottom w:val="0"/>
              <w:divBdr>
                <w:top w:val="none" w:sz="0" w:space="0" w:color="auto"/>
                <w:left w:val="none" w:sz="0" w:space="0" w:color="auto"/>
                <w:bottom w:val="none" w:sz="0" w:space="0" w:color="auto"/>
                <w:right w:val="none" w:sz="0" w:space="0" w:color="auto"/>
              </w:divBdr>
            </w:div>
          </w:divsChild>
        </w:div>
        <w:div w:id="1066684005">
          <w:marLeft w:val="0"/>
          <w:marRight w:val="0"/>
          <w:marTop w:val="0"/>
          <w:marBottom w:val="0"/>
          <w:divBdr>
            <w:top w:val="none" w:sz="0" w:space="0" w:color="auto"/>
            <w:left w:val="none" w:sz="0" w:space="0" w:color="auto"/>
            <w:bottom w:val="none" w:sz="0" w:space="0" w:color="auto"/>
            <w:right w:val="none" w:sz="0" w:space="0" w:color="auto"/>
          </w:divBdr>
          <w:divsChild>
            <w:div w:id="3480339">
              <w:marLeft w:val="0"/>
              <w:marRight w:val="0"/>
              <w:marTop w:val="0"/>
              <w:marBottom w:val="0"/>
              <w:divBdr>
                <w:top w:val="none" w:sz="0" w:space="0" w:color="auto"/>
                <w:left w:val="none" w:sz="0" w:space="0" w:color="auto"/>
                <w:bottom w:val="none" w:sz="0" w:space="0" w:color="auto"/>
                <w:right w:val="none" w:sz="0" w:space="0" w:color="auto"/>
              </w:divBdr>
            </w:div>
          </w:divsChild>
        </w:div>
        <w:div w:id="1523012416">
          <w:marLeft w:val="0"/>
          <w:marRight w:val="0"/>
          <w:marTop w:val="0"/>
          <w:marBottom w:val="0"/>
          <w:divBdr>
            <w:top w:val="none" w:sz="0" w:space="0" w:color="auto"/>
            <w:left w:val="none" w:sz="0" w:space="0" w:color="auto"/>
            <w:bottom w:val="none" w:sz="0" w:space="0" w:color="auto"/>
            <w:right w:val="none" w:sz="0" w:space="0" w:color="auto"/>
          </w:divBdr>
          <w:divsChild>
            <w:div w:id="623539607">
              <w:marLeft w:val="0"/>
              <w:marRight w:val="0"/>
              <w:marTop w:val="0"/>
              <w:marBottom w:val="0"/>
              <w:divBdr>
                <w:top w:val="none" w:sz="0" w:space="0" w:color="auto"/>
                <w:left w:val="none" w:sz="0" w:space="0" w:color="auto"/>
                <w:bottom w:val="none" w:sz="0" w:space="0" w:color="auto"/>
                <w:right w:val="none" w:sz="0" w:space="0" w:color="auto"/>
              </w:divBdr>
            </w:div>
          </w:divsChild>
        </w:div>
        <w:div w:id="2058436165">
          <w:marLeft w:val="0"/>
          <w:marRight w:val="0"/>
          <w:marTop w:val="0"/>
          <w:marBottom w:val="0"/>
          <w:divBdr>
            <w:top w:val="none" w:sz="0" w:space="0" w:color="auto"/>
            <w:left w:val="none" w:sz="0" w:space="0" w:color="auto"/>
            <w:bottom w:val="none" w:sz="0" w:space="0" w:color="auto"/>
            <w:right w:val="none" w:sz="0" w:space="0" w:color="auto"/>
          </w:divBdr>
        </w:div>
      </w:divsChild>
    </w:div>
    <w:div w:id="1868368443">
      <w:bodyDiv w:val="1"/>
      <w:marLeft w:val="0"/>
      <w:marRight w:val="0"/>
      <w:marTop w:val="0"/>
      <w:marBottom w:val="0"/>
      <w:divBdr>
        <w:top w:val="none" w:sz="0" w:space="0" w:color="auto"/>
        <w:left w:val="none" w:sz="0" w:space="0" w:color="auto"/>
        <w:bottom w:val="none" w:sz="0" w:space="0" w:color="auto"/>
        <w:right w:val="none" w:sz="0" w:space="0" w:color="auto"/>
      </w:divBdr>
      <w:divsChild>
        <w:div w:id="186924817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4.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styles" Target="styles.xml"/>
  <Relationship Id="rId5" Type="http://schemas.openxmlformats.org/officeDocument/2006/relationships/settings" Target="settings.xml"/>
  <Relationship Id="rId6" Type="http://schemas.openxmlformats.org/officeDocument/2006/relationships/webSettings" Target="webSettings.xml"/>
  <Relationship Id="rId7" Type="http://schemas.openxmlformats.org/officeDocument/2006/relationships/footnotes" Target="footnotes.xml"/>
  <Relationship Id="rId8"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19cf09c5-daa1-4028-a0ff-74a0be4ec5cc" xsi:nil="true"/>
    <lcf76f155ced4ddcb4097134ff3c332f xmlns="f5aad5d0-9c26-490e-8743-a6c7ceabd501">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AA351E0ECF89C14A900DE8C04996CFDF" ma:contentTypeVersion="14" ma:contentTypeDescription="Create a new document." ma:contentTypeScope="" ma:versionID="d2bc7d94e0fdd6257c7d135845e2192a">
  <xsd:schema xmlns:xsd="http://www.w3.org/2001/XMLSchema" xmlns:xs="http://www.w3.org/2001/XMLSchema" xmlns:p="http://schemas.microsoft.com/office/2006/metadata/properties" xmlns:ns2="f5aad5d0-9c26-490e-8743-a6c7ceabd501" xmlns:ns3="19cf09c5-daa1-4028-a0ff-74a0be4ec5cc" targetNamespace="http://schemas.microsoft.com/office/2006/metadata/properties" ma:root="true" ma:fieldsID="ca837404b1ccc1fb26cc1e8af066edfe" ns2:_="" ns3:_="">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ObjectDetectorVersions" minOccurs="0"/>
                <xsd:element ref="ns2:MediaLengthInSeconds" minOccurs="0"/>
                <xsd:element ref="ns2:MediaServiceDateTaken"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7" nillable="true" ma:displayName="Taxonomy Catch All Column" ma:hidden="true" ma:list="{8d413371-acda-413a-967f-24b530484914}" ma:internalName="TaxCatchAll" ma:showField="CatchAllData" ma:web="19cf09c5-daa1-4028-a0ff-74a0be4ec5cc">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lentele" DocPartId="6e69035939f14ff49234ae00ddbc1e11" PartId="272b8385cbeb4a59916c483a98d2c771"/>
</Parts>
</file>

<file path=customXml/itemProps1.xml><?xml version="1.0" encoding="utf-8"?>
<ds:datastoreItem xmlns:ds="http://schemas.openxmlformats.org/officeDocument/2006/customXml" ds:itemID="{55AE140A-37CE-4F3A-AFC4-E98F305ECE36}">
  <ds:schemaRefs>
    <ds:schemaRef ds:uri="http://schemas.microsoft.com/sharepoint/v3/contenttype/forms"/>
  </ds:schemaRefs>
</ds:datastoreItem>
</file>

<file path=customXml/itemProps2.xml><?xml version="1.0" encoding="utf-8"?>
<ds:datastoreItem xmlns:ds="http://schemas.openxmlformats.org/officeDocument/2006/customXml" ds:itemID="{4B52DDBB-A5C5-4E2E-9414-CACBC3A18AA6}">
  <ds:schemaRefs>
    <ds:schemaRef ds:uri="http://schemas.microsoft.com/office/2006/metadata/properties"/>
    <ds:schemaRef ds:uri="http://schemas.microsoft.com/office/infopath/2007/PartnerControls"/>
    <ds:schemaRef ds:uri="19cf09c5-daa1-4028-a0ff-74a0be4ec5cc"/>
    <ds:schemaRef ds:uri="f5aad5d0-9c26-490e-8743-a6c7ceabd501"/>
  </ds:schemaRefs>
</ds:datastoreItem>
</file>

<file path=customXml/itemProps3.xml><?xml version="1.0" encoding="utf-8"?>
<ds:datastoreItem xmlns:ds="http://schemas.openxmlformats.org/officeDocument/2006/customXml" ds:itemID="{25CEAAF4-3BB5-42D9-8550-3AB600D5606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3C7DFF1-BF88-43DF-B854-6335F38FAA1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806</Words>
  <Characters>6120</Characters>
  <Application>Microsoft Office Word</Application>
  <DocSecurity>4</DocSecurity>
  <Lines>170</Lines>
  <Paragraphs>53</Paragraphs>
  <ScaleCrop>false</ScaleCrop>
  <Company/>
  <LinksUpToDate>false</LinksUpToDate>
  <CharactersWithSpaces>6873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2024-06-27T09:51:00Z</dcterms:created>
  <dc:creator>Toma Leonova</dc:creator>
  <lastModifiedBy>adlibuser</lastModifiedBy>
  <dcterms:modified xsi:type="dcterms:W3CDTF">2024-06-27T09:51:00Z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y fmtid="{D5CDD505-2E9C-101B-9397-08002B2CF9AE}" pid="3" name="MediaServiceImageTags">
    <vt:lpwstr/>
  </property>
</Properties>
</file>