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lentele"/>
        <w:tag w:val="part_53b35c330b184433963d64734286d0d0"/>
        <w:lock w:val="sdtLocked"/>
        <w:richText/>
      </w:sdtPr>
      <w:sdtContent>
        <w:p>
          <w:pPr>
            <w:tabs>
              <w:tab w:val="center" w:pos="4986"/>
              <w:tab w:val="right" w:pos="9972"/>
            </w:tabs>
            <w:rPr>
              <w:kern w:val="2"/>
              <w:sz w:val="22"/>
              <w:szCs w:val="22"/>
            </w:rPr>
          </w:pPr>
        </w:p>
        <w:p>
          <w:pPr>
            <w:spacing w:line="259" w:lineRule="auto"/>
            <w:jc w:val="center"/>
            <w:rPr>
              <w:b/>
              <w:bCs/>
              <w:kern w:val="2"/>
              <w:szCs w:val="24"/>
            </w:rPr>
          </w:pPr>
          <w:r>
            <w:rPr>
              <w:b/>
              <w:bCs/>
              <w:kern w:val="2"/>
              <w:szCs w:val="24"/>
            </w:rPr>
            <w:t>REGLAMENTO (EB) NR. 1221/2009 IR APLINKOS APSAUGOS VALSTYBINĖS KONTROLĖS ĮSTATYMO PAKEITIMO ĮSTATYMO PROJEKTO ATITIKTIES LENTELĖ</w:t>
          </w:r>
        </w:p>
        <w:p>
          <w:pPr>
            <w:rPr>
              <w:sz w:val="14"/>
              <w:szCs w:val="14"/>
            </w:rPr>
          </w:pPr>
        </w:p>
        <w:p>
          <w:pPr>
            <w:spacing w:line="259" w:lineRule="auto"/>
            <w:rPr>
              <w:kern w:val="2"/>
              <w:szCs w:val="24"/>
            </w:rPr>
          </w:pPr>
        </w:p>
        <w:p>
          <w:pPr>
            <w:rPr>
              <w:sz w:val="14"/>
              <w:szCs w:val="14"/>
            </w:rPr>
          </w:pPr>
        </w:p>
        <w:tbl>
          <w:tblPr>
            <w:tblW w:w="139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975"/>
            <w:gridCol w:w="5211"/>
            <w:gridCol w:w="1807"/>
          </w:tblGrid>
          <w:tr>
            <w:tc>
              <w:tcPr>
                <w:tcW w:w="6975" w:type="dxa"/>
              </w:tcPr>
              <w:p>
                <w:pPr>
                  <w:ind w:left="-20" w:right="-20"/>
                  <w:jc w:val="both"/>
                  <w:rPr>
                    <w:b/>
                    <w:bCs/>
                    <w:kern w:val="2"/>
                    <w:szCs w:val="24"/>
                    <w:lang w:val="lt"/>
                  </w:rPr>
                </w:pPr>
                <w:r>
                  <w:rPr>
                    <w:b/>
                    <w:bCs/>
                    <w:kern w:val="2"/>
                    <w:szCs w:val="24"/>
                    <w:lang w:val="lt"/>
                  </w:rPr>
                  <w:t xml:space="preserve">2009 m. lapkričio 25 d. Europos Parlamento ir Tarybos reglamentas </w:t>
                </w:r>
                <w:fldSimple w:instr="HYPERLINK http://eur-lex.europa.eu/legal-content/LIT/TXT/?uri=CELEX:32009R1221&amp;locale=lt \t _blank">
                  <w:r>
                    <w:rPr>
                      <w:b/>
                      <w:bCs/>
                      <w:kern w:val="2"/>
                      <w:szCs w:val="24"/>
                      <w:lang w:val="lt"/>
                      <w:u w:val="single"/>
                      <w:color w:val="0000FF" w:themeColor="hyperlink"/>
                    </w:rPr>
                    <w:t>(EB) Nr. 1221/2009</w:t>
                  </w:r>
                </w:fldSimple>
                <w:r>
                  <w:rPr>
                    <w:b/>
                    <w:bCs/>
                    <w:kern w:val="2"/>
                    <w:szCs w:val="24"/>
                    <w:lang w:val="lt"/>
                  </w:rPr>
                  <w:t xml:space="preserve"> dėl organizacijų savanoriško Bendrijos aplinkosaugos vadybos ir audito sistemos (EMAS) taikymo, panaikinantis Reglamentą </w:t>
                </w:r>
                <w:fldSimple w:instr="HYPERLINK http://eur-lex.europa.eu/legal-content/LIT/TXT/?uri=CELEX:32001R0761&amp;locale=lt \t _blank">
                  <w:r>
                    <w:rPr>
                      <w:b/>
                      <w:bCs/>
                      <w:kern w:val="2"/>
                      <w:szCs w:val="24"/>
                      <w:lang w:val="lt"/>
                      <w:u w:val="single"/>
                      <w:color w:val="0000FF" w:themeColor="hyperlink"/>
                    </w:rPr>
                    <w:t>(EB) Nr. 761/2001</w:t>
                  </w:r>
                </w:fldSimple>
                <w:r>
                  <w:rPr>
                    <w:b/>
                    <w:bCs/>
                    <w:kern w:val="2"/>
                    <w:szCs w:val="24"/>
                    <w:lang w:val="lt"/>
                  </w:rPr>
                  <w:t xml:space="preserve"> ir Komisijos sprendimus </w:t>
                </w:r>
                <w:fldSimple w:instr="HYPERLINK http://eur-lex.europa.eu/legal-content/LIT/TXT/?uri=CELEX:32001D0681&amp;locale=lt \t _blank">
                  <w:r>
                    <w:rPr>
                      <w:b/>
                      <w:bCs/>
                      <w:kern w:val="2"/>
                      <w:szCs w:val="24"/>
                      <w:lang w:val="lt"/>
                      <w:u w:val="single"/>
                      <w:color w:val="0000FF" w:themeColor="hyperlink"/>
                    </w:rPr>
                    <w:t>2001/681/EB</w:t>
                  </w:r>
                </w:fldSimple>
                <w:r>
                  <w:rPr>
                    <w:b/>
                    <w:bCs/>
                    <w:kern w:val="2"/>
                    <w:szCs w:val="24"/>
                    <w:lang w:val="lt"/>
                  </w:rPr>
                  <w:t xml:space="preserve"> bei </w:t>
                </w:r>
                <w:fldSimple w:instr="HYPERLINK http://eur-lex.europa.eu/legal-content/LIT/TXT/?uri=CELEX:32006D0193&amp;locale=lt \t _blank">
                  <w:r>
                    <w:rPr>
                      <w:b/>
                      <w:bCs/>
                      <w:kern w:val="2"/>
                      <w:szCs w:val="24"/>
                      <w:lang w:val="lt"/>
                      <w:u w:val="single"/>
                      <w:color w:val="0000FF" w:themeColor="hyperlink"/>
                    </w:rPr>
                    <w:t>2006/193/EB</w:t>
                  </w:r>
                </w:fldSimple>
                <w:r>
                  <w:rPr>
                    <w:b/>
                    <w:bCs/>
                    <w:kern w:val="2"/>
                    <w:szCs w:val="24"/>
                    <w:lang w:val="lt"/>
                  </w:rPr>
                  <w:t xml:space="preserve"> </w:t>
                </w:r>
              </w:p>
            </w:tc>
            <w:tc>
              <w:tcPr>
                <w:tcW w:w="5211" w:type="dxa"/>
              </w:tcPr>
              <w:p>
                <w:pPr>
                  <w:rPr>
                    <w:b/>
                    <w:bCs/>
                    <w:kern w:val="2"/>
                    <w:szCs w:val="24"/>
                  </w:rPr>
                </w:pPr>
                <w:r>
                  <w:rPr>
                    <w:b/>
                    <w:bCs/>
                    <w:kern w:val="2"/>
                    <w:szCs w:val="24"/>
                  </w:rPr>
                  <w:t>Aplinkos apsaugos valstybinės kontrolės įstatymo pakeitimo įstatymo projektas (toliau – Projektas)</w:t>
                </w:r>
              </w:p>
            </w:tc>
            <w:tc>
              <w:tcPr>
                <w:tcW w:w="1807" w:type="dxa"/>
              </w:tcPr>
              <w:p>
                <w:pPr>
                  <w:rPr>
                    <w:b/>
                    <w:bCs/>
                    <w:kern w:val="2"/>
                    <w:szCs w:val="24"/>
                  </w:rPr>
                </w:pPr>
                <w:r>
                  <w:rPr>
                    <w:b/>
                    <w:bCs/>
                    <w:kern w:val="2"/>
                    <w:szCs w:val="24"/>
                  </w:rPr>
                  <w:t>Reglamento perkėlimo lygis</w:t>
                </w:r>
              </w:p>
            </w:tc>
          </w:tr>
          <w:tr>
            <w:tc>
              <w:tcPr>
                <w:tcW w:w="6975" w:type="dxa"/>
              </w:tcPr>
              <w:p>
                <w:pPr>
                  <w:rPr>
                    <w:b/>
                    <w:bCs/>
                    <w:kern w:val="2"/>
                    <w:szCs w:val="24"/>
                  </w:rPr>
                </w:pPr>
                <w:r>
                  <w:rPr>
                    <w:b/>
                    <w:bCs/>
                    <w:kern w:val="2"/>
                    <w:szCs w:val="24"/>
                  </w:rPr>
                  <w:t>12 straipsnis</w:t>
                </w:r>
              </w:p>
              <w:p>
                <w:pPr>
                  <w:rPr>
                    <w:b/>
                    <w:bCs/>
                    <w:kern w:val="2"/>
                    <w:szCs w:val="24"/>
                  </w:rPr>
                </w:pPr>
                <w:r>
                  <w:rPr>
                    <w:b/>
                    <w:bCs/>
                    <w:kern w:val="2"/>
                    <w:szCs w:val="24"/>
                  </w:rPr>
                  <w:t>Su registracijos procesu susijusios pareigos</w:t>
                </w:r>
              </w:p>
              <w:p>
                <w:pPr>
                  <w:ind w:left="-20" w:right="-20"/>
                  <w:jc w:val="both"/>
                  <w:rPr>
                    <w:color w:val="000000"/>
                    <w:kern w:val="2"/>
                    <w:szCs w:val="24"/>
                  </w:rPr>
                </w:pPr>
                <w:r>
                  <w:rPr>
                    <w:color w:val="000000"/>
                    <w:kern w:val="2"/>
                    <w:szCs w:val="24"/>
                  </w:rPr>
                  <w:t>1. Kompetentingos įstaigos nustato organizacijų registracijos procedūras. Visų pirma jos parengia taisykles, susijusias su:</w:t>
                </w:r>
              </w:p>
              <w:p>
                <w:pPr>
                  <w:rPr>
                    <w:sz w:val="10"/>
                    <w:szCs w:val="10"/>
                  </w:rPr>
                </w:pPr>
              </w:p>
              <w:p>
                <w:pPr>
                  <w:shd w:val="clear" w:color="auto" w:fill="FFFFFF"/>
                  <w:ind w:left="-20" w:right="-20"/>
                  <w:jc w:val="both"/>
                  <w:rPr>
                    <w:color w:val="000000"/>
                    <w:kern w:val="2"/>
                    <w:szCs w:val="24"/>
                  </w:rPr>
                </w:pPr>
                <w:r>
                  <w:rPr>
                    <w:color w:val="000000"/>
                    <w:kern w:val="2"/>
                    <w:szCs w:val="24"/>
                  </w:rPr>
                  <w:t xml:space="preserve">a) </w:t>
                </w:r>
              </w:p>
              <w:p>
                <w:pPr>
                  <w:rPr>
                    <w:sz w:val="10"/>
                    <w:szCs w:val="10"/>
                  </w:rPr>
                </w:pPr>
              </w:p>
              <w:p>
                <w:pPr>
                  <w:shd w:val="clear" w:color="auto" w:fill="FFFFFF"/>
                  <w:ind w:left="-20" w:right="-20"/>
                  <w:jc w:val="both"/>
                  <w:rPr>
                    <w:color w:val="000000"/>
                    <w:kern w:val="2"/>
                    <w:szCs w:val="24"/>
                  </w:rPr>
                </w:pPr>
                <w:r>
                  <w:rPr>
                    <w:color w:val="000000"/>
                    <w:kern w:val="2"/>
                    <w:szCs w:val="24"/>
                  </w:rPr>
                  <w:t>suinteresuotųjų šalių, įskaitant akreditavimo ir leidimus išduodančias įstaigas ir kompetentingas vykdymo priežiūros institucijas bei organizacijas atstovaujančius organus, pastabų dėl registracijos paraišką pateikusių ar įregistruotų organizacijų svarstymu;</w:t>
                </w:r>
              </w:p>
              <w:p>
                <w:pPr>
                  <w:rPr>
                    <w:sz w:val="10"/>
                    <w:szCs w:val="10"/>
                  </w:rPr>
                </w:pPr>
              </w:p>
              <w:p>
                <w:pPr>
                  <w:shd w:val="clear" w:color="auto" w:fill="FFFFFF"/>
                  <w:spacing w:line="259" w:lineRule="auto"/>
                  <w:ind w:left="-20" w:right="-20"/>
                  <w:jc w:val="both"/>
                  <w:rPr>
                    <w:kern w:val="2"/>
                    <w:sz w:val="22"/>
                    <w:szCs w:val="22"/>
                  </w:rPr>
                </w:pPr>
                <w:r>
                  <w:rPr>
                    <w:color w:val="000000"/>
                    <w:kern w:val="2"/>
                    <w:szCs w:val="24"/>
                  </w:rPr>
                  <w:t>&lt;...&gt;.</w:t>
                </w:r>
              </w:p>
              <w:p>
                <w:pPr>
                  <w:jc w:val="both"/>
                  <w:rPr>
                    <w:kern w:val="2"/>
                    <w:szCs w:val="24"/>
                  </w:rPr>
                </w:pPr>
              </w:p>
            </w:tc>
            <w:tc>
              <w:tcPr>
                <w:tcW w:w="5211" w:type="dxa"/>
              </w:tcPr>
              <w:p>
                <w:pPr>
                  <w:jc w:val="both"/>
                  <w:rPr>
                    <w:b/>
                    <w:bCs/>
                    <w:color w:val="000000"/>
                    <w:kern w:val="2"/>
                    <w:szCs w:val="24"/>
                  </w:rPr>
                </w:pPr>
                <w:r>
                  <w:rPr>
                    <w:b/>
                    <w:bCs/>
                    <w:color w:val="000000"/>
                    <w:kern w:val="2"/>
                    <w:szCs w:val="24"/>
                  </w:rPr>
                  <w:t>Projektas</w:t>
                </w:r>
              </w:p>
              <w:p>
                <w:pPr>
                  <w:jc w:val="both"/>
                  <w:rPr>
                    <w:b/>
                    <w:bCs/>
                    <w:kern w:val="2"/>
                    <w:szCs w:val="24"/>
                  </w:rPr>
                </w:pPr>
                <w:r>
                  <w:rPr>
                    <w:b/>
                    <w:bCs/>
                    <w:color w:val="000000"/>
                    <w:kern w:val="2"/>
                    <w:szCs w:val="24"/>
                  </w:rPr>
                  <w:t>5 straipsnis</w:t>
                </w:r>
              </w:p>
              <w:p>
                <w:pPr>
                  <w:jc w:val="both"/>
                  <w:rPr>
                    <w:b/>
                    <w:bCs/>
                    <w:kern w:val="2"/>
                    <w:szCs w:val="24"/>
                  </w:rPr>
                </w:pPr>
                <w:r>
                  <w:rPr>
                    <w:b/>
                    <w:bCs/>
                    <w:color w:val="000000"/>
                    <w:kern w:val="2"/>
                    <w:szCs w:val="24"/>
                    <w:shd w:val="clear" w:color="auto" w:fill="FFFFFF"/>
                  </w:rPr>
                  <w:t>„</w:t>
                </w:r>
                <w:r>
                  <w:rPr>
                    <w:b/>
                    <w:bCs/>
                    <w:color w:val="000000"/>
                    <w:kern w:val="2"/>
                    <w:szCs w:val="24"/>
                  </w:rPr>
                  <w:t>Aplinkos apsaugos valstybinę priežiūrą Lietuvos Respublikoje atlieka Lietuvos Respublikos Vyriausybės įgaliota institucija</w:t>
                </w:r>
                <w:r>
                  <w:rPr>
                    <w:b/>
                    <w:bCs/>
                    <w:kern w:val="2"/>
                    <w:szCs w:val="24"/>
                  </w:rPr>
                  <w:t>.“</w:t>
                </w:r>
              </w:p>
              <w:p>
                <w:pPr>
                  <w:jc w:val="both"/>
                  <w:rPr>
                    <w:b/>
                    <w:bCs/>
                    <w:kern w:val="2"/>
                    <w:szCs w:val="24"/>
                  </w:rPr>
                </w:pPr>
              </w:p>
              <w:p>
                <w:pPr>
                  <w:jc w:val="both"/>
                  <w:rPr>
                    <w:b/>
                    <w:bCs/>
                    <w:kern w:val="2"/>
                    <w:szCs w:val="24"/>
                  </w:rPr>
                </w:pPr>
                <w:r>
                  <w:rPr>
                    <w:b/>
                    <w:bCs/>
                    <w:kern w:val="2"/>
                    <w:szCs w:val="24"/>
                  </w:rPr>
                  <w:t>6 straipsnio 12 punktas</w:t>
                </w:r>
              </w:p>
              <w:p>
                <w:pPr>
                  <w:jc w:val="both"/>
                  <w:rPr>
                    <w:b/>
                    <w:bCs/>
                    <w:kern w:val="2"/>
                    <w:szCs w:val="24"/>
                  </w:rPr>
                </w:pPr>
                <w:r>
                  <w:rPr>
                    <w:b/>
                    <w:bCs/>
                    <w:kern w:val="2"/>
                    <w:szCs w:val="24"/>
                  </w:rPr>
                  <w:t>“</w:t>
                </w:r>
                <w:r>
                  <w:rPr>
                    <w:b/>
                    <w:bCs/>
                    <w:color w:val="000000"/>
                    <w:kern w:val="2"/>
                    <w:szCs w:val="24"/>
                  </w:rPr>
                  <w:t>Aplinkos apsaugos valstybinę priežiūrą atliekanti institucija:</w:t>
                </w:r>
              </w:p>
              <w:p>
                <w:pPr>
                  <w:jc w:val="both"/>
                  <w:rPr>
                    <w:b/>
                    <w:bCs/>
                    <w:kern w:val="2"/>
                    <w:szCs w:val="24"/>
                  </w:rPr>
                </w:pPr>
                <w:r>
                  <w:rPr>
                    <w:b/>
                    <w:bCs/>
                    <w:kern w:val="2"/>
                    <w:szCs w:val="24"/>
                  </w:rPr>
                  <w:t>&lt;...&gt;</w:t>
                </w:r>
              </w:p>
              <w:p>
                <w:pPr>
                  <w:jc w:val="both"/>
                  <w:rPr>
                    <w:b/>
                    <w:bCs/>
                    <w:kern w:val="2"/>
                    <w:szCs w:val="24"/>
                  </w:rPr>
                </w:pPr>
                <w:r>
                  <w:rPr>
                    <w:b/>
                    <w:bCs/>
                    <w:color w:val="000000"/>
                    <w:kern w:val="2"/>
                    <w:szCs w:val="24"/>
                  </w:rPr>
                  <w:t xml:space="preserve">12) </w:t>
                </w:r>
                <w:r>
                  <w:rPr>
                    <w:b/>
                    <w:bCs/>
                    <w:kern w:val="2"/>
                    <w:szCs w:val="24"/>
                  </w:rPr>
                  <w:t>prižiūri, ar teisėtai ir laikantis nustatytų reikalavimų naudojamas Bendrijos aplinkosaugos vadybos ir audito sistemos logotipas ir Europos Sąjungos ekologinis ženkla</w:t>
                </w:r>
                <w:r>
                  <w:rPr>
                    <w:b/>
                    <w:bCs/>
                    <w:color w:val="000000"/>
                    <w:kern w:val="2"/>
                    <w:szCs w:val="24"/>
                  </w:rPr>
                  <w:t>s;</w:t>
                </w:r>
              </w:p>
              <w:p>
                <w:pPr>
                  <w:jc w:val="both"/>
                  <w:rPr>
                    <w:b/>
                    <w:bCs/>
                    <w:kern w:val="2"/>
                    <w:szCs w:val="24"/>
                  </w:rPr>
                </w:pPr>
                <w:r>
                  <w:rPr>
                    <w:b/>
                    <w:bCs/>
                    <w:kern w:val="2"/>
                    <w:szCs w:val="24"/>
                  </w:rPr>
                  <w:t>&lt;...&gt;“</w:t>
                </w:r>
              </w:p>
              <w:p>
                <w:pPr>
                  <w:jc w:val="both"/>
                  <w:rPr>
                    <w:b/>
                    <w:bCs/>
                    <w:kern w:val="2"/>
                    <w:szCs w:val="24"/>
                  </w:rPr>
                </w:pPr>
              </w:p>
              <w:p>
                <w:pPr>
                  <w:jc w:val="both"/>
                  <w:rPr>
                    <w:kern w:val="2"/>
                    <w:szCs w:val="24"/>
                  </w:rPr>
                </w:pPr>
                <w:r>
                  <w:rPr>
                    <w:b/>
                    <w:bCs/>
                    <w:kern w:val="2"/>
                    <w:szCs w:val="24"/>
                  </w:rPr>
                  <w:t>14 straipsnio 1-2 dalys</w:t>
                </w:r>
              </w:p>
              <w:p>
                <w:pPr>
                  <w:spacing w:line="276" w:lineRule="auto"/>
                  <w:ind w:firstLine="720"/>
                  <w:jc w:val="both"/>
                  <w:rPr>
                    <w:b/>
                    <w:bCs/>
                    <w:kern w:val="2"/>
                    <w:szCs w:val="24"/>
                  </w:rPr>
                </w:pPr>
                <w:r>
                  <w:rPr>
                    <w:b/>
                    <w:bCs/>
                    <w:kern w:val="2"/>
                    <w:szCs w:val="24"/>
                    <w:lang w:eastAsia="ja-JP"/>
                  </w:rPr>
                  <w:t>„1. Asmenų konsultavimas yra neatsiejama aplinkos apsaugos valstybinės priežiūros dalis ir atliekamas Viešojo administravimo įstatyme nustatyta tvarka.</w:t>
                </w:r>
              </w:p>
              <w:p>
                <w:pPr>
                  <w:spacing w:line="276" w:lineRule="auto"/>
                  <w:ind w:firstLine="720"/>
                  <w:jc w:val="both"/>
                  <w:rPr>
                    <w:b/>
                    <w:bCs/>
                    <w:kern w:val="2"/>
                    <w:szCs w:val="24"/>
                  </w:rPr>
                </w:pPr>
                <w:r>
                  <w:rPr>
                    <w:b/>
                    <w:bCs/>
                    <w:kern w:val="2"/>
                    <w:szCs w:val="24"/>
                  </w:rPr>
                  <w:t xml:space="preserve">2. Aplinkos apsaugos valstybinę priežiūrą atliekanti institucija, atlikdama asmenų veiklos priežiūrą, turi teikti metodinę pagalbą, siekti užkirsti kelią žalai teisės normų saugomoms vertybėms atsirasti (teisės aktų pažeidimų prevencijai) ir išlaikyti; ūkio subjektų veiklos priežiūros atveju –  siekti užtikrinti tvarų ūkinės veiklos vykdymą ir verslo plėtrą.</w:t>
                </w:r>
              </w:p>
              <w:p>
                <w:pPr>
                  <w:jc w:val="both"/>
                  <w:rPr>
                    <w:b/>
                    <w:bCs/>
                    <w:kern w:val="2"/>
                    <w:szCs w:val="24"/>
                  </w:rPr>
                </w:pPr>
                <w:r>
                  <w:rPr>
                    <w:b/>
                    <w:bCs/>
                    <w:kern w:val="2"/>
                    <w:szCs w:val="24"/>
                  </w:rPr>
                  <w:t>&lt;...&gt;“</w:t>
                </w:r>
              </w:p>
              <w:p>
                <w:pPr>
                  <w:tabs>
                    <w:tab w:val="left" w:pos="494"/>
                  </w:tabs>
                  <w:jc w:val="both"/>
                  <w:rPr>
                    <w:b/>
                    <w:bCs/>
                    <w:kern w:val="2"/>
                    <w:szCs w:val="24"/>
                  </w:rPr>
                </w:pPr>
              </w:p>
            </w:tc>
            <w:tc>
              <w:tcPr>
                <w:tcW w:w="1807" w:type="dxa"/>
              </w:tcPr>
              <w:p>
                <w:pPr>
                  <w:rPr>
                    <w:kern w:val="2"/>
                    <w:szCs w:val="24"/>
                  </w:rPr>
                </w:pPr>
                <w:r>
                  <w:rPr>
                    <w:kern w:val="2"/>
                    <w:szCs w:val="24"/>
                  </w:rPr>
                  <w:t>Dalinis</w:t>
                </w:r>
              </w:p>
              <w:p>
                <w:pPr>
                  <w:spacing w:line="259" w:lineRule="auto"/>
                  <w:rPr>
                    <w:kern w:val="2"/>
                    <w:szCs w:val="24"/>
                  </w:rPr>
                </w:pPr>
                <w:r>
                  <w:rPr>
                    <w:kern w:val="2"/>
                    <w:szCs w:val="24"/>
                  </w:rPr>
                  <w:t>Atsakinga institucija – Aplinkos ministerija</w:t>
                </w:r>
              </w:p>
              <w:p>
                <w:pPr>
                  <w:rPr>
                    <w:kern w:val="2"/>
                    <w:szCs w:val="24"/>
                  </w:rPr>
                </w:pPr>
              </w:p>
            </w:tc>
          </w:tr>
          <w:tr>
            <w:trPr>
              <w:trHeight w:val="300"/>
            </w:trPr>
            <w:tc>
              <w:tcPr>
                <w:tcW w:w="6975" w:type="dxa"/>
              </w:tcPr>
              <w:p>
                <w:pPr>
                  <w:rPr>
                    <w:sz w:val="20"/>
                  </w:rPr>
                </w:pPr>
              </w:p>
              <w:p>
                <w:pPr>
                  <w:shd w:val="clear" w:color="auto" w:fill="FFFFFF"/>
                  <w:rPr>
                    <w:b/>
                    <w:bCs/>
                    <w:color w:val="000000"/>
                    <w:kern w:val="2"/>
                    <w:szCs w:val="24"/>
                  </w:rPr>
                </w:pPr>
                <w:r>
                  <w:rPr>
                    <w:b/>
                    <w:bCs/>
                    <w:color w:val="000000"/>
                    <w:kern w:val="2"/>
                    <w:szCs w:val="24"/>
                  </w:rPr>
                  <w:t>32 straipsnis</w:t>
                </w:r>
              </w:p>
              <w:p>
                <w:pPr>
                  <w:rPr>
                    <w:sz w:val="20"/>
                  </w:rPr>
                </w:pPr>
              </w:p>
              <w:p>
                <w:pPr>
                  <w:shd w:val="clear" w:color="auto" w:fill="FFFFFF"/>
                  <w:rPr>
                    <w:b/>
                    <w:bCs/>
                    <w:color w:val="000000"/>
                    <w:kern w:val="2"/>
                    <w:szCs w:val="24"/>
                  </w:rPr>
                </w:pPr>
                <w:r>
                  <w:rPr>
                    <w:b/>
                    <w:bCs/>
                    <w:color w:val="000000"/>
                    <w:kern w:val="2"/>
                    <w:szCs w:val="24"/>
                  </w:rPr>
                  <w:t>Pagalba organizacijoms, susijusi su aplinka susijusių teisinių reikalavimų laikymusi</w:t>
                </w:r>
              </w:p>
              <w:p>
                <w:pPr>
                  <w:rPr>
                    <w:sz w:val="10"/>
                    <w:szCs w:val="10"/>
                  </w:rPr>
                </w:pPr>
              </w:p>
              <w:p>
                <w:pPr>
                  <w:ind w:left="-20" w:right="-20"/>
                  <w:rPr>
                    <w:kern w:val="2"/>
                    <w:sz w:val="22"/>
                    <w:szCs w:val="22"/>
                  </w:rPr>
                </w:pPr>
                <w:r>
                  <w:rPr>
                    <w:color w:val="000000"/>
                    <w:kern w:val="2"/>
                    <w:szCs w:val="24"/>
                  </w:rPr>
                  <w:t xml:space="preserve">1.   Valstybės narės užtikrina, kad organizacijos galėtų naudotis informacija ir pagalba, susijusia su aplinka susijusiais tos valstybės narės teisiniais reikalavimais.</w:t>
                </w:r>
              </w:p>
              <w:p>
                <w:pPr>
                  <w:ind w:left="-20" w:right="-20"/>
                  <w:rPr>
                    <w:kern w:val="2"/>
                    <w:sz w:val="22"/>
                    <w:szCs w:val="22"/>
                  </w:rPr>
                </w:pPr>
                <w:r>
                  <w:rPr>
                    <w:color w:val="000000"/>
                    <w:kern w:val="2"/>
                    <w:szCs w:val="24"/>
                  </w:rPr>
                  <w:t xml:space="preserve">2.   Pagalbą sudaro:</w:t>
                </w:r>
              </w:p>
              <w:p>
                <w:pPr>
                  <w:rPr>
                    <w:sz w:val="10"/>
                    <w:szCs w:val="10"/>
                  </w:rPr>
                </w:pPr>
              </w:p>
              <w:p>
                <w:pPr>
                  <w:shd w:val="clear" w:color="auto" w:fill="FFFFFF"/>
                  <w:ind w:left="-20" w:right="-20"/>
                  <w:rPr>
                    <w:kern w:val="2"/>
                    <w:sz w:val="22"/>
                    <w:szCs w:val="22"/>
                  </w:rPr>
                </w:pPr>
                <w:r>
                  <w:rPr>
                    <w:color w:val="000000"/>
                    <w:kern w:val="2"/>
                    <w:szCs w:val="24"/>
                  </w:rPr>
                  <w:t>a) informacija apie taikomus su aplinka susijusius teisinius reikalavimus;</w:t>
                </w:r>
              </w:p>
              <w:p>
                <w:pPr>
                  <w:rPr>
                    <w:sz w:val="10"/>
                    <w:szCs w:val="10"/>
                  </w:rPr>
                </w:pPr>
              </w:p>
              <w:p>
                <w:pPr>
                  <w:shd w:val="clear" w:color="auto" w:fill="FFFFFF"/>
                  <w:ind w:left="-20" w:right="-20"/>
                  <w:rPr>
                    <w:kern w:val="2"/>
                    <w:sz w:val="22"/>
                    <w:szCs w:val="22"/>
                  </w:rPr>
                </w:pPr>
                <w:r>
                  <w:rPr>
                    <w:color w:val="000000"/>
                    <w:kern w:val="2"/>
                    <w:szCs w:val="24"/>
                  </w:rPr>
                  <w:t>b) kompetentingų vykdymo priežiūros institucijų nurodymas konkrečių su aplinka susijusių teisinių reikalavimų, kurie nustatyti kaip taikomi, atveju.</w:t>
                </w:r>
              </w:p>
              <w:p>
                <w:pPr>
                  <w:ind w:left="-20" w:right="-20"/>
                  <w:rPr>
                    <w:kern w:val="2"/>
                    <w:sz w:val="22"/>
                    <w:szCs w:val="22"/>
                  </w:rPr>
                </w:pPr>
                <w:r>
                  <w:rPr>
                    <w:color w:val="000000"/>
                    <w:kern w:val="2"/>
                    <w:szCs w:val="24"/>
                  </w:rPr>
                  <w:t xml:space="preserve">3.   Valstybės narės gali perduoti 1 ir 2 dalyse nurodytas užduotis kompetentingoms įstaigoms arba bet kuriai kitai įstaigai, turinčiai reikiamų žinių ir reikiamų išteklių užduočiai atlikti.</w:t>
                </w:r>
              </w:p>
              <w:p>
                <w:pPr>
                  <w:ind w:left="-20" w:right="-20"/>
                  <w:rPr>
                    <w:kern w:val="2"/>
                    <w:sz w:val="22"/>
                    <w:szCs w:val="22"/>
                  </w:rPr>
                </w:pPr>
                <w:r>
                  <w:rPr>
                    <w:color w:val="000000"/>
                    <w:kern w:val="2"/>
                    <w:szCs w:val="24"/>
                  </w:rPr>
                  <w:t xml:space="preserve">4.   Valstybės narės užtikrina, kad vykdymo priežiūros institucijos atsakytų bent į mažų organizacijų užklausas dėl joms taikomų su aplinka susijusių teisinių reikalavimų, kurie priklauso jų kompetencijai, ir suteiktų organizacijoms informaciją apie būdus, kaip įrodyti, kad organizacijos atitinka atitinkamus teisinius reikalavimus.</w:t>
                </w:r>
              </w:p>
              <w:p>
                <w:pPr>
                  <w:ind w:left="-20" w:right="-20"/>
                  <w:rPr>
                    <w:kern w:val="2"/>
                    <w:sz w:val="22"/>
                    <w:szCs w:val="22"/>
                  </w:rPr>
                </w:pPr>
                <w:r>
                  <w:rPr>
                    <w:color w:val="000000"/>
                    <w:kern w:val="2"/>
                    <w:szCs w:val="24"/>
                  </w:rPr>
                  <w:t xml:space="preserve">5.   Valstybės narės užtikrina, kad kompetentingos vykdymo priežiūros institucijos praneštų kompetentingai įstaigai, įregistravusiai organizaciją, apie tai, kad įregistruota organizacija neatitinka taikomų su aplinka susijusių teisinių reikalavimų.</w:t>
                </w:r>
              </w:p>
              <w:p>
                <w:pPr>
                  <w:rPr>
                    <w:sz w:val="10"/>
                    <w:szCs w:val="10"/>
                  </w:rPr>
                </w:pPr>
              </w:p>
              <w:p>
                <w:pPr>
                  <w:shd w:val="clear" w:color="auto" w:fill="FFFFFF"/>
                  <w:ind w:left="-20" w:right="-20"/>
                  <w:rPr>
                    <w:kern w:val="2"/>
                    <w:sz w:val="22"/>
                    <w:szCs w:val="22"/>
                  </w:rPr>
                </w:pPr>
                <w:r>
                  <w:rPr>
                    <w:color w:val="000000"/>
                    <w:kern w:val="2"/>
                    <w:szCs w:val="24"/>
                  </w:rPr>
                  <w:t>Kompetentinga vykdymo priežiūros institucija apie tai praneša tai kompetentingai įstaigai kuo skubiau ir ne vėliau kaip per vieną mėnesį po to, kai sužinojo, kad nesilaikoma reikalavimų.</w:t>
                </w:r>
              </w:p>
              <w:p>
                <w:pPr>
                  <w:jc w:val="center"/>
                  <w:rPr>
                    <w:kern w:val="2"/>
                    <w:szCs w:val="24"/>
                  </w:rPr>
                </w:pPr>
              </w:p>
            </w:tc>
            <w:tc>
              <w:tcPr>
                <w:tcW w:w="5211" w:type="dxa"/>
              </w:tcPr>
              <w:p>
                <w:pPr>
                  <w:ind w:left="-20" w:right="-20"/>
                  <w:jc w:val="both"/>
                  <w:rPr>
                    <w:b/>
                    <w:bCs/>
                    <w:kern w:val="2"/>
                    <w:szCs w:val="24"/>
                    <w:lang w:val="lt"/>
                  </w:rPr>
                </w:pPr>
                <w:r>
                  <w:rPr>
                    <w:b/>
                    <w:bCs/>
                    <w:kern w:val="2"/>
                    <w:szCs w:val="24"/>
                    <w:lang w:val="lt"/>
                  </w:rPr>
                  <w:t>Projektas</w:t>
                </w:r>
              </w:p>
              <w:p>
                <w:pPr>
                  <w:ind w:left="-20" w:right="-20"/>
                  <w:jc w:val="both"/>
                  <w:rPr>
                    <w:b/>
                    <w:bCs/>
                    <w:kern w:val="2"/>
                    <w:szCs w:val="24"/>
                    <w:lang w:val="lt"/>
                  </w:rPr>
                </w:pPr>
                <w:r>
                  <w:rPr>
                    <w:b/>
                    <w:bCs/>
                    <w:kern w:val="2"/>
                    <w:szCs w:val="24"/>
                    <w:lang w:val="lt"/>
                  </w:rPr>
                  <w:t>6 straipsnio 2 punktas</w:t>
                </w:r>
              </w:p>
              <w:p>
                <w:pPr>
                  <w:ind w:left="-20" w:right="-20"/>
                  <w:jc w:val="both"/>
                  <w:rPr>
                    <w:b/>
                    <w:bCs/>
                    <w:kern w:val="2"/>
                    <w:sz w:val="22"/>
                    <w:szCs w:val="22"/>
                  </w:rPr>
                </w:pPr>
                <w:r>
                  <w:rPr>
                    <w:b/>
                    <w:bCs/>
                    <w:color w:val="000000"/>
                    <w:kern w:val="2"/>
                    <w:szCs w:val="24"/>
                    <w:lang w:val="lt"/>
                  </w:rPr>
                  <w:t xml:space="preserve">„Aplinkos apsaugos valstybinę priežiūrą atliekanti institucija: </w:t>
                </w:r>
              </w:p>
              <w:p>
                <w:pPr>
                  <w:ind w:left="-20" w:right="-20"/>
                  <w:jc w:val="both"/>
                  <w:rPr>
                    <w:b/>
                    <w:bCs/>
                    <w:kern w:val="2"/>
                    <w:sz w:val="22"/>
                    <w:szCs w:val="22"/>
                  </w:rPr>
                </w:pPr>
                <w:r>
                  <w:rPr>
                    <w:b/>
                    <w:bCs/>
                    <w:kern w:val="2"/>
                    <w:szCs w:val="24"/>
                    <w:lang w:val="lt"/>
                  </w:rPr>
                  <w:t>&lt;...&gt;</w:t>
                </w:r>
              </w:p>
              <w:p>
                <w:pPr>
                  <w:jc w:val="both"/>
                  <w:rPr>
                    <w:b/>
                    <w:bCs/>
                    <w:kern w:val="2"/>
                    <w:szCs w:val="24"/>
                    <w:lang w:val="lt"/>
                  </w:rPr>
                </w:pPr>
                <w:r>
                  <w:rPr>
                    <w:b/>
                    <w:bCs/>
                    <w:kern w:val="2"/>
                    <w:szCs w:val="24"/>
                    <w:lang w:eastAsia="ja-JP"/>
                  </w:rPr>
                  <w:t xml:space="preserve">2) </w:t>
                </w:r>
                <w:r>
                  <w:rPr>
                    <w:b/>
                    <w:bCs/>
                    <w:color w:val="000000"/>
                    <w:kern w:val="2"/>
                    <w:szCs w:val="24"/>
                  </w:rPr>
                  <w:t>t</w:t>
                </w:r>
                <w:r>
                  <w:rPr>
                    <w:b/>
                    <w:bCs/>
                    <w:kern w:val="2"/>
                    <w:szCs w:val="24"/>
                    <w:lang w:eastAsia="ja-JP"/>
                  </w:rPr>
                  <w:t>eikia metodinę pagalbą asmenims, juos konsultuoja, atlieka jų veiklos patikrinimus;</w:t>
                </w:r>
              </w:p>
              <w:p>
                <w:pPr>
                  <w:ind w:left="-20" w:right="-20"/>
                  <w:jc w:val="both"/>
                  <w:rPr>
                    <w:b/>
                    <w:bCs/>
                    <w:kern w:val="2"/>
                    <w:szCs w:val="24"/>
                    <w:lang w:val="lt"/>
                  </w:rPr>
                </w:pPr>
                <w:r>
                  <w:rPr>
                    <w:b/>
                    <w:bCs/>
                    <w:kern w:val="2"/>
                    <w:szCs w:val="24"/>
                    <w:lang w:val="lt"/>
                  </w:rPr>
                  <w:t>&lt;...&gt;“</w:t>
                </w:r>
              </w:p>
              <w:p>
                <w:pPr>
                  <w:ind w:left="-20" w:right="-20"/>
                  <w:jc w:val="both"/>
                  <w:rPr>
                    <w:b/>
                    <w:bCs/>
                    <w:kern w:val="2"/>
                    <w:szCs w:val="24"/>
                    <w:lang w:val="lt"/>
                  </w:rPr>
                </w:pPr>
              </w:p>
              <w:p>
                <w:pPr>
                  <w:jc w:val="both"/>
                  <w:rPr>
                    <w:kern w:val="2"/>
                    <w:szCs w:val="24"/>
                    <w:lang w:val="lt"/>
                  </w:rPr>
                </w:pPr>
                <w:r>
                  <w:rPr>
                    <w:b/>
                    <w:bCs/>
                    <w:kern w:val="2"/>
                    <w:szCs w:val="24"/>
                  </w:rPr>
                  <w:t>14 straipsnis</w:t>
                </w:r>
              </w:p>
              <w:p>
                <w:pPr>
                  <w:spacing w:line="276" w:lineRule="auto"/>
                  <w:ind w:firstLine="720"/>
                  <w:jc w:val="both"/>
                  <w:rPr>
                    <w:b/>
                    <w:bCs/>
                    <w:kern w:val="2"/>
                    <w:szCs w:val="24"/>
                  </w:rPr>
                </w:pPr>
                <w:r>
                  <w:rPr>
                    <w:b/>
                    <w:bCs/>
                    <w:kern w:val="2"/>
                    <w:szCs w:val="24"/>
                    <w:lang w:eastAsia="ja-JP"/>
                  </w:rPr>
                  <w:t>„1. Asmenų konsultavimas yra neatsiejama aplinkos apsaugos valstybinės priežiūros dalis ir atliekamas Viešojo administravimo įstatyme nustatyta tvarka.</w:t>
                </w:r>
              </w:p>
              <w:p>
                <w:pPr>
                  <w:spacing w:line="276" w:lineRule="auto"/>
                  <w:ind w:firstLine="720"/>
                  <w:jc w:val="both"/>
                  <w:rPr>
                    <w:b/>
                    <w:bCs/>
                    <w:kern w:val="2"/>
                    <w:szCs w:val="24"/>
                  </w:rPr>
                </w:pPr>
                <w:r>
                  <w:rPr>
                    <w:b/>
                    <w:bCs/>
                    <w:kern w:val="2"/>
                    <w:szCs w:val="24"/>
                  </w:rPr>
                  <w:t xml:space="preserve">2. Aplinkos apsaugos valstybinę priežiūrą atliekanti institucija, atlikdama asmenų veiklos priežiūrą, turi teikti metodinę pagalbą, siekti užkirsti kelią žalai teisės normų saugomoms vertybėms atsirasti (teisės aktų pažeidimų prevencijai) ir išlaikyti; ūkio subjektų veiklos priežiūros atveju –  siekti užtikrinti tvarų ūkinės veiklos vykdymą ir verslo plėtrą.</w:t>
                </w:r>
              </w:p>
              <w:p>
                <w:pPr>
                  <w:spacing w:line="276" w:lineRule="auto"/>
                  <w:ind w:firstLine="720"/>
                  <w:jc w:val="both"/>
                  <w:rPr>
                    <w:b/>
                    <w:bCs/>
                    <w:kern w:val="2"/>
                    <w:szCs w:val="24"/>
                    <w:lang w:val="lt"/>
                  </w:rPr>
                </w:pPr>
                <w:r>
                  <w:rPr>
                    <w:b/>
                    <w:bCs/>
                    <w:kern w:val="2"/>
                    <w:szCs w:val="24"/>
                  </w:rPr>
                  <w:t>3. Planuojamų tikrinti ūkio subjektų plano (toliau – patikrinimų planas) įgyvendinimas, informacijos apie atliekamą patikrinimą visuomenės informavimo priemonėms ir su patikrinimu nesusijusiems asmenims pateikimas, poveikio priemonių taikymas ūkio subjektams, su ūkio subjektų veiklos aplinkos apsaugos valstybine priežiūra susijusios informacijos skelbimas, informacijos aplinkos apsaugos valstybinę priežiūrą atliekančiai institucijai teikimas, aplinkos apsaugos valstybinę priežiūrą atliekančios institucijos veiklos vertinimas ir atskaitomybė atliekami Viešojo administravimo įstatyme ir kituose teisės aktuose nustatyta tvarka.“</w:t>
                </w:r>
              </w:p>
              <w:p>
                <w:pPr>
                  <w:rPr>
                    <w:b/>
                    <w:bCs/>
                    <w:kern w:val="2"/>
                    <w:szCs w:val="24"/>
                  </w:rPr>
                </w:pPr>
              </w:p>
            </w:tc>
            <w:tc>
              <w:tcPr>
                <w:tcW w:w="1807" w:type="dxa"/>
              </w:tcPr>
              <w:p>
                <w:pPr>
                  <w:rPr>
                    <w:kern w:val="2"/>
                    <w:szCs w:val="24"/>
                  </w:rPr>
                </w:pPr>
                <w:r>
                  <w:rPr>
                    <w:kern w:val="2"/>
                    <w:szCs w:val="24"/>
                  </w:rPr>
                  <w:t>Dalinis</w:t>
                </w:r>
              </w:p>
              <w:p>
                <w:pPr>
                  <w:spacing w:line="259" w:lineRule="auto"/>
                  <w:rPr>
                    <w:kern w:val="2"/>
                    <w:szCs w:val="24"/>
                  </w:rPr>
                </w:pPr>
                <w:r>
                  <w:rPr>
                    <w:kern w:val="2"/>
                    <w:szCs w:val="24"/>
                  </w:rPr>
                  <w:t>Atsakinga institucija – Aplinkos ministerija</w:t>
                </w:r>
              </w:p>
              <w:p>
                <w:pPr>
                  <w:rPr>
                    <w:kern w:val="2"/>
                    <w:szCs w:val="24"/>
                  </w:rPr>
                </w:pPr>
              </w:p>
            </w:tc>
          </w:tr>
        </w:tbl>
        <w:p/>
      </w:sdtContent>
    </w:sdt>
    <w:sdt>
      <w:sdtPr>
        <w:alias w:val="pastraipa"/>
        <w:tag w:val="part_45111f03f3784c44bd2f4d03183df271"/>
        <w:lock w:val="sdtLocked"/>
        <w:richText/>
      </w:sdtPr>
      <w:sdtContent>
        <w:p>
          <w:pPr>
            <w:spacing w:after="160" w:line="259" w:lineRule="auto"/>
            <w:jc w:val="center"/>
            <w:rPr>
              <w:kern w:val="2"/>
              <w:sz w:val="22"/>
              <w:szCs w:val="24"/>
            </w:rPr>
          </w:pPr>
          <w:r>
            <w:rPr>
              <w:kern w:val="2"/>
              <w:szCs w:val="24"/>
            </w:rPr>
            <w:t>______________________</w:t>
          </w:r>
        </w:p>
      </w:sdtContent>
    </w:sdt>
    <w:sectPr>
      <w:headerReference w:type="even" r:id="rId9"/>
      <w:headerReference w:type="default" r:id="rId10"/>
      <w:footerReference w:type="even" r:id="rId11"/>
      <w:footerReference w:type="default" r:id="rId12"/>
      <w:headerReference w:type="first" r:id="rId13"/>
      <w:footerReference w:type="first" r:id="rId14"/>
      <w:pgSz w:w="16838" w:h="11906" w:orient="landscape"/>
      <w:pgMar w:top="1701" w:right="1701" w:bottom="567" w:left="1134"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kern w:val="2"/>
          <w:sz w:val="22"/>
          <w:szCs w:val="22"/>
        </w:rPr>
      </w:pPr>
      <w:r>
        <w:rPr>
          <w:kern w:val="2"/>
          <w:sz w:val="22"/>
          <w:szCs w:val="22"/>
        </w:rPr>
        <w:separator/>
      </w:r>
    </w:p>
  </w:endnote>
  <w:endnote w:type="continuationSeparator" w:id="0">
    <w:p>
      <w:pPr>
        <w:rPr>
          <w:kern w:val="2"/>
          <w:sz w:val="22"/>
          <w:szCs w:val="22"/>
        </w:rPr>
      </w:pPr>
      <w:r>
        <w:rPr>
          <w:kern w:val="2"/>
          <w:sz w:val="22"/>
          <w:szCs w:val="22"/>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rPr>
        <w:kern w:val="2"/>
        <w:sz w:val="22"/>
        <w:szCs w:val="22"/>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rPr>
        <w:kern w:val="2"/>
        <w:sz w:val="22"/>
        <w:szCs w:val="22"/>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rPr>
        <w:kern w:val="2"/>
        <w:sz w:val="22"/>
        <w:szCs w:val="22"/>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kern w:val="2"/>
          <w:sz w:val="22"/>
          <w:szCs w:val="22"/>
        </w:rPr>
      </w:pPr>
      <w:r>
        <w:rPr>
          <w:kern w:val="2"/>
          <w:sz w:val="22"/>
          <w:szCs w:val="22"/>
        </w:rPr>
        <w:separator/>
      </w:r>
    </w:p>
  </w:footnote>
  <w:footnote w:type="continuationSeparator" w:id="0">
    <w:p>
      <w:pPr>
        <w:rPr>
          <w:kern w:val="2"/>
          <w:sz w:val="22"/>
          <w:szCs w:val="22"/>
        </w:rPr>
      </w:pPr>
      <w:r>
        <w:rPr>
          <w:kern w:val="2"/>
          <w:sz w:val="22"/>
          <w:szCs w:val="22"/>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rPr>
        <w:kern w:val="2"/>
        <w:sz w:val="22"/>
        <w:szCs w:val="22"/>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jc w:val="center"/>
      <w:rPr>
        <w:kern w:val="2"/>
        <w:sz w:val="22"/>
        <w:szCs w:val="22"/>
      </w:rPr>
    </w:pPr>
    <w:r>
      <w:rPr>
        <w:kern w:val="2"/>
        <w:sz w:val="22"/>
        <w:szCs w:val="22"/>
      </w:rPr>
      <w:fldChar w:fldCharType="begin"/>
    </w:r>
    <w:r>
      <w:rPr>
        <w:kern w:val="2"/>
        <w:sz w:val="22"/>
        <w:szCs w:val="22"/>
      </w:rPr>
      <w:instrText xml:space="preserve"> PAGE   \* MERGEFORMAT </w:instrText>
    </w:r>
    <w:r>
      <w:rPr>
        <w:kern w:val="2"/>
        <w:sz w:val="22"/>
        <w:szCs w:val="22"/>
      </w:rPr>
      <w:fldChar w:fldCharType="separate"/>
    </w:r>
    <w:r>
      <w:rPr>
        <w:kern w:val="2"/>
        <w:sz w:val="22"/>
        <w:szCs w:val="22"/>
      </w:rPr>
      <w:t>2</w:t>
    </w:r>
    <w:r>
      <w:rPr>
        <w:kern w:val="2"/>
        <w:sz w:val="22"/>
        <w:szCs w:val="22"/>
      </w:rPr>
      <w:fldChar w:fldCharType="end"/>
    </w:r>
  </w:p>
  <w:p>
    <w:pPr>
      <w:tabs>
        <w:tab w:val="center" w:pos="4986"/>
        <w:tab w:val="right" w:pos="9972"/>
      </w:tabs>
      <w:rPr>
        <w:kern w:val="2"/>
        <w:sz w:val="22"/>
        <w:szCs w:val="22"/>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rPr>
        <w:kern w:val="2"/>
        <w:sz w:val="22"/>
        <w:szCs w:val="22"/>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134A3"/>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07EE6B1F-DDA8-4283-AFFE-7F2035D49A14}"/>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528832615">
      <w:bodyDiv w:val="1"/>
      <w:marLeft w:val="0"/>
      <w:marRight w:val="0"/>
      <w:marTop w:val="0"/>
      <w:marBottom w:val="0"/>
      <w:divBdr>
        <w:top w:val="none" w:sz="0" w:space="0" w:color="auto"/>
        <w:left w:val="none" w:sz="0" w:space="0" w:color="auto"/>
        <w:bottom w:val="none" w:sz="0" w:space="0" w:color="auto"/>
        <w:right w:val="none" w:sz="0" w:space="0" w:color="auto"/>
      </w:divBdr>
    </w:div>
    <w:div w:id="716272371">
      <w:bodyDiv w:val="1"/>
      <w:marLeft w:val="0"/>
      <w:marRight w:val="0"/>
      <w:marTop w:val="0"/>
      <w:marBottom w:val="0"/>
      <w:divBdr>
        <w:top w:val="none" w:sz="0" w:space="0" w:color="auto"/>
        <w:left w:val="none" w:sz="0" w:space="0" w:color="auto"/>
        <w:bottom w:val="none" w:sz="0" w:space="0" w:color="auto"/>
        <w:right w:val="none" w:sz="0" w:space="0" w:color="auto"/>
      </w:divBdr>
    </w:div>
    <w:div w:id="134848288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2.xml"/>
  <Relationship Id="rId11" Type="http://schemas.openxmlformats.org/officeDocument/2006/relationships/footer" Target="footer1.xml"/>
  <Relationship Id="rId12" Type="http://schemas.openxmlformats.org/officeDocument/2006/relationships/footer" Target="footer2.xml"/>
  <Relationship Id="rId13" Type="http://schemas.openxmlformats.org/officeDocument/2006/relationships/header" Target="header3.xml"/>
  <Relationship Id="rId14" Type="http://schemas.openxmlformats.org/officeDocument/2006/relationships/footer" Target="footer3.xml"/>
  <Relationship Id="rId15" Type="http://schemas.openxmlformats.org/officeDocument/2006/relationships/fontTable" Target="fontTable.xml"/>
  <Relationship Id="rId16" Type="http://schemas.openxmlformats.org/officeDocument/2006/relationships/theme" Target="theme/theme1.xml"/>
  <Relationship Id="rId17" Type="http://schemas.openxmlformats.org/officeDocument/2006/relationships/customXml" Target="../customXml/item4.xml"/>
  <Relationship Id="rId2" Type="http://schemas.openxmlformats.org/officeDocument/2006/relationships/customXml" Target="../customXml/item2.xml"/>
  <Relationship Id="rId3" Type="http://schemas.openxmlformats.org/officeDocument/2006/relationships/customXml" Target="../customXml/item3.xml"/>
  <Relationship Id="rId4" Type="http://schemas.openxmlformats.org/officeDocument/2006/relationships/styles" Target="styles.xml"/>
  <Relationship Id="rId5" Type="http://schemas.openxmlformats.org/officeDocument/2006/relationships/settings" Target="settings.xml"/>
  <Relationship Id="rId6" Type="http://schemas.openxmlformats.org/officeDocument/2006/relationships/webSettings" Target="webSettings.xml"/>
  <Relationship Id="rId7" Type="http://schemas.openxmlformats.org/officeDocument/2006/relationships/footnotes" Target="footnotes.xml"/>
  <Relationship Id="rId8" Type="http://schemas.openxmlformats.org/officeDocument/2006/relationships/endnotes" Target="endnotes.xml"/>
  <Relationship Id="rId9" Type="http://schemas.openxmlformats.org/officeDocument/2006/relationships/header" Target="header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AA351E0ECF89C14A900DE8C04996CFDF" ma:contentTypeVersion="14" ma:contentTypeDescription="Create a new document." ma:contentTypeScope="" ma:versionID="d2bc7d94e0fdd6257c7d135845e2192a">
  <xsd:schema xmlns:xsd="http://www.w3.org/2001/XMLSchema" xmlns:xs="http://www.w3.org/2001/XMLSchema" xmlns:p="http://schemas.microsoft.com/office/2006/metadata/properties" xmlns:ns2="f5aad5d0-9c26-490e-8743-a6c7ceabd501" xmlns:ns3="19cf09c5-daa1-4028-a0ff-74a0be4ec5cc" targetNamespace="http://schemas.microsoft.com/office/2006/metadata/properties" ma:root="true" ma:fieldsID="ca837404b1ccc1fb26cc1e8af066edfe" ns2:_="" ns3:_="">
    <xsd:import namespace="f5aad5d0-9c26-490e-8743-a6c7ceabd501"/>
    <xsd:import namespace="19cf09c5-daa1-4028-a0ff-74a0be4ec5cc"/>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ObjectDetectorVersions" minOccurs="0"/>
                <xsd:element ref="ns2:MediaLengthInSeconds" minOccurs="0"/>
                <xsd:element ref="ns2:MediaServiceDateTaken" minOccurs="0"/>
                <xsd:element ref="ns2:lcf76f155ced4ddcb4097134ff3c332f" minOccurs="0"/>
                <xsd:element ref="ns3:TaxCatchAll" minOccurs="0"/>
                <xsd:element ref="ns2:MediaServiceGenerationTime" minOccurs="0"/>
                <xsd:element ref="ns2:MediaServiceEventHashCode" minOccurs="0"/>
                <xsd:element ref="ns2:MediaServiceOCR"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5aad5d0-9c26-490e-8743-a6c7ceabd50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2" nillable="true" ma:displayName="MediaServiceObjectDetectorVersions" ma:hidden="true" ma:indexed="true" ma:internalName="MediaServiceObjectDetectorVersions" ma:readOnly="true">
      <xsd:simpleType>
        <xsd:restriction base="dms:Text"/>
      </xsd:simpleType>
    </xsd:element>
    <xsd:element name="MediaLengthInSeconds" ma:index="13" nillable="true" ma:displayName="MediaLengthInSeconds" ma:hidden="true" ma:internalName="MediaLengthInSeconds" ma:readOnly="true">
      <xsd:simpleType>
        <xsd:restriction base="dms:Unknown"/>
      </xsd:simpleType>
    </xsd:element>
    <xsd:element name="MediaServiceDateTaken" ma:index="14" nillable="true" ma:displayName="MediaServiceDateTaken" ma:hidden="true" ma:indexed="true" ma:internalName="MediaServiceDateTaken" ma:readOnly="true">
      <xsd:simpleType>
        <xsd:restriction base="dms:Text"/>
      </xsd:simpleType>
    </xsd:element>
    <xsd:element name="lcf76f155ced4ddcb4097134ff3c332f" ma:index="16" nillable="true" ma:taxonomy="true" ma:internalName="lcf76f155ced4ddcb4097134ff3c332f" ma:taxonomyFieldName="MediaServiceImageTags" ma:displayName="Image Tags" ma:readOnly="false" ma:fieldId="{5cf76f15-5ced-4ddc-b409-7134ff3c332f}" ma:taxonomyMulti="true" ma:sspId="b763af57-ddc4-4b49-90b1-28f02697adfa" ma:termSetId="09814cd3-568e-fe90-9814-8d621ff8fb84" ma:anchorId="fba54fb3-c3e1-fe81-a776-ca4b69148c4d" ma:open="true" ma:isKeyword="false">
      <xsd:complexType>
        <xsd:sequence>
          <xsd:element ref="pc:Terms" minOccurs="0" maxOccurs="1"/>
        </xsd:sequence>
      </xsd:complex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ServiceOCR" ma:index="20" nillable="true" ma:displayName="Extracted Text" ma:internalName="MediaServiceOCR" ma:readOnly="true">
      <xsd:simpleType>
        <xsd:restriction base="dms:Note">
          <xsd:maxLength value="255"/>
        </xsd:restriction>
      </xsd:simpleType>
    </xsd:element>
    <xsd:element name="MediaServiceSearchProperties" ma:index="21"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19cf09c5-daa1-4028-a0ff-74a0be4ec5cc"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TaxCatchAll" ma:index="17" nillable="true" ma:displayName="Taxonomy Catch All Column" ma:hidden="true" ma:list="{8d413371-acda-413a-967f-24b530484914}" ma:internalName="TaxCatchAll" ma:showField="CatchAllData" ma:web="19cf09c5-daa1-4028-a0ff-74a0be4ec5cc">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TaxCatchAll xmlns="19cf09c5-daa1-4028-a0ff-74a0be4ec5cc" xsi:nil="true"/>
    <lcf76f155ced4ddcb4097134ff3c332f xmlns="f5aad5d0-9c26-490e-8743-a6c7ceabd501">
      <Terms xmlns="http://schemas.microsoft.com/office/infopath/2007/PartnerControls"/>
    </lcf76f155ced4ddcb4097134ff3c332f>
  </documentManagement>
</p:properties>
</file>

<file path=customXml/item4.xml><?xml version="1.0" encoding="utf-8"?>
<Parts xmlns="http://lrs.lt/TAIS/DocParts">
  <Part Type="lentele" DocPartId="54fb4a981e054b7c9c239fe5cec9a86c" PartId="53b35c330b184433963d64734286d0d0"/>
  <Part Type="pastraipa" DocPartId="5d239f472643455aace5f3af6cee7045" PartId="45111f03f3784c44bd2f4d03183df271"/>
</Parts>
</file>

<file path=customXml/itemProps1.xml><?xml version="1.0" encoding="utf-8"?>
<ds:datastoreItem xmlns:ds="http://schemas.openxmlformats.org/officeDocument/2006/customXml" ds:itemID="{74498E83-E498-466B-A582-EED711FA09E1}">
  <ds:schemaRefs>
    <ds:schemaRef ds:uri="http://schemas.microsoft.com/sharepoint/v3/contenttype/forms"/>
  </ds:schemaRefs>
</ds:datastoreItem>
</file>

<file path=customXml/itemProps2.xml><?xml version="1.0" encoding="utf-8"?>
<ds:datastoreItem xmlns:ds="http://schemas.openxmlformats.org/officeDocument/2006/customXml" ds:itemID="{7B4BF3C8-ACA0-4D5E-B9DE-62F389055F5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5aad5d0-9c26-490e-8743-a6c7ceabd501"/>
    <ds:schemaRef ds:uri="19cf09c5-daa1-4028-a0ff-74a0be4ec5c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2D7EDECA-3100-4981-B07E-F7AA319D48ED}">
  <ds:schemaRefs>
    <ds:schemaRef ds:uri="http://schemas.microsoft.com/office/2006/metadata/properties"/>
    <ds:schemaRef ds:uri="http://schemas.microsoft.com/office/infopath/2007/PartnerControls"/>
    <ds:schemaRef ds:uri="19cf09c5-daa1-4028-a0ff-74a0be4ec5cc"/>
    <ds:schemaRef ds:uri="f5aad5d0-9c26-490e-8743-a6c7ceabd501"/>
  </ds:schemaRefs>
</ds:datastoreItem>
</file>

<file path=customXml/itemProps4.xml><?xml version="1.0" encoding="utf-8"?>
<ds:datastoreItem xmlns:ds="http://schemas.openxmlformats.org/officeDocument/2006/customXml" ds:itemID="{D37D8453-2531-478F-A319-5D22F2562AE6}">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574</Words>
  <Characters>4367</Characters>
  <Application>Microsoft Office Word</Application>
  <DocSecurity>4</DocSecurity>
  <Lines>136</Lines>
  <Paragraphs>53</Paragraphs>
  <ScaleCrop>false</ScaleCrop>
  <Company/>
  <LinksUpToDate>false</LinksUpToDate>
  <CharactersWithSpaces>4888</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2024-06-27T09:51:00Z</dcterms:created>
  <dc:creator>Toma Leonova</dc:creator>
  <lastModifiedBy>adlibuser</lastModifiedBy>
  <dcterms:modified xsi:type="dcterms:W3CDTF">2024-06-27T09:51:00Z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0x010100AA351E0ECF89C14A900DE8C04996CFDF</vt:lpwstr>
  </property>
  <property fmtid="{D5CDD505-2E9C-101B-9397-08002B2CF9AE}" pid="3" name="MediaServiceImageTags">
    <vt:lpwstr/>
  </property>
</Properties>
</file>