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lentele"/>
        <w:tag w:val="part_40246bf6a5d2434fb324b2519e4ff850"/>
        <w:lock w:val="sdtLocked"/>
        <w:richText/>
      </w:sdtPr>
      <w:sdtContent>
        <w:p>
          <w:pPr>
            <w:widowControl w:val="0"/>
            <w:tabs>
              <w:tab w:val="center" w:pos="4320"/>
              <w:tab w:val="right" w:pos="8640"/>
            </w:tabs>
            <w:suppressAutoHyphens/>
            <w:rPr>
              <w:rFonts w:eastAsia="Lucida Sans Unicode"/>
            </w:rPr>
          </w:pPr>
        </w:p>
        <w:p>
          <w:pPr>
            <w:widowControl w:val="0"/>
            <w:suppressAutoHyphens/>
            <w:jc w:val="center"/>
            <w:rPr>
              <w:rFonts w:eastAsia="Lucida Sans Unicode"/>
              <w:b/>
              <w:bCs/>
            </w:rPr>
          </w:pPr>
          <w:r>
            <w:rPr>
              <w:rFonts w:eastAsia="Lucida Sans Unicode"/>
              <w:b/>
              <w:bCs/>
            </w:rPr>
            <w:t>DIREKTYVOS 2004/35/EB IR APLINKOS APSAUGOS VALSTYBINĖS KONTROLĖS ĮSTATYMO PAKEITIMO ĮSTATYMO PROJEKTO ATITIKTIES LENTELĖ</w:t>
          </w:r>
        </w:p>
        <w:p>
          <w:pPr>
            <w:rPr>
              <w:sz w:val="10"/>
              <w:szCs w:val="10"/>
            </w:rPr>
          </w:pPr>
        </w:p>
        <w:p>
          <w:pPr>
            <w:widowControl w:val="0"/>
            <w:suppressAutoHyphens/>
            <w:jc w:val="center"/>
            <w:rPr>
              <w:rFonts w:eastAsia="Lucida Sans Unicode"/>
              <w:b/>
              <w:bCs/>
              <w:szCs w:val="24"/>
            </w:rPr>
          </w:pPr>
        </w:p>
        <w:p>
          <w:pPr>
            <w:rPr>
              <w:sz w:val="10"/>
              <w:szCs w:val="10"/>
            </w:rPr>
          </w:pPr>
        </w:p>
        <w:tbl>
          <w:tblPr>
            <w:tblW w:w="16025" w:type="dxa"/>
            <w:tblInd w:w="-135" w:type="dxa"/>
            <w:tblLayout w:type="fixed"/>
            <w:tblCellMar>
              <w:top w:w="57" w:type="dxa"/>
              <w:left w:w="57" w:type="dxa"/>
              <w:bottom w:w="57" w:type="dxa"/>
              <w:right w:w="57" w:type="dxa"/>
            </w:tblCellMar>
            <w:tblLook w:val="0000" w:firstRow="0" w:lastRow="0" w:firstColumn="0" w:lastColumn="0" w:noHBand="0" w:noVBand="0"/>
          </w:tblPr>
          <w:tblGrid>
            <w:gridCol w:w="7126"/>
            <w:gridCol w:w="7056"/>
            <w:gridCol w:w="1843"/>
          </w:tblGrid>
          <w:tr>
            <w:tc>
              <w:tcPr>
                <w:tcW w:w="7126" w:type="dxa"/>
                <w:tcBorders>
                  <w:top w:val="single" w:sz="4" w:space="0" w:color="000000" w:themeColor="text1"/>
                  <w:left w:val="single" w:sz="4" w:space="0" w:color="000000" w:themeColor="text1"/>
                  <w:bottom w:val="single" w:sz="4" w:space="0" w:color="000000" w:themeColor="text1"/>
                </w:tcBorders>
              </w:tcPr>
              <w:p>
                <w:pPr>
                  <w:widowControl w:val="0"/>
                  <w:suppressAutoHyphens/>
                  <w:snapToGrid w:val="0"/>
                  <w:rPr>
                    <w:rFonts w:eastAsia="Lucida Sans Unicode"/>
                    <w:b/>
                    <w:bCs/>
                    <w:szCs w:val="22"/>
                  </w:rPr>
                </w:pPr>
                <w:r>
                  <w:rPr>
                    <w:rFonts w:eastAsia="Lucida Sans Unicode"/>
                    <w:b/>
                    <w:bCs/>
                    <w:szCs w:val="22"/>
                  </w:rPr>
                  <w:t xml:space="preserve">2004 m. balandžio 21 d. Europos Parlamento ir Tarybos direktyva </w:t>
                </w:r>
                <w:fldSimple w:instr="HYPERLINK http://eur-lex.europa.eu/legal-content/LIT/TXT/?uri=CELEX:32004L0035&amp;locale=lt \t _blank">
                  <w:r>
                    <w:rPr>
                      <w:rFonts w:eastAsia="Lucida Sans Unicode"/>
                      <w:b/>
                      <w:bCs/>
                      <w:szCs w:val="22"/>
                      <w:u w:val="single"/>
                      <w:color w:val="0000FF" w:themeColor="hyperlink"/>
                    </w:rPr>
                    <w:t>2004/35/EB</w:t>
                  </w:r>
                </w:fldSimple>
                <w:r>
                  <w:rPr>
                    <w:rFonts w:eastAsia="Lucida Sans Unicode"/>
                    <w:b/>
                    <w:bCs/>
                    <w:szCs w:val="22"/>
                  </w:rPr>
                  <w:t xml:space="preserve"> dėl atsakomybės už aplinkos apsaugą siekiant išvengti žalos aplinkai ir ją ištaisyti (atlyginti)</w:t>
                </w:r>
              </w:p>
            </w:tc>
            <w:tc>
              <w:tcPr>
                <w:tcW w:w="7056" w:type="dxa"/>
                <w:tcBorders>
                  <w:top w:val="single" w:sz="4" w:space="0" w:color="000000" w:themeColor="text1"/>
                  <w:left w:val="single" w:sz="4" w:space="0" w:color="000000" w:themeColor="text1"/>
                  <w:bottom w:val="single" w:sz="4" w:space="0" w:color="000000" w:themeColor="text1"/>
                </w:tcBorders>
              </w:tcPr>
              <w:p>
                <w:pPr>
                  <w:widowControl w:val="0"/>
                  <w:suppressAutoHyphens/>
                  <w:snapToGrid w:val="0"/>
                  <w:jc w:val="both"/>
                  <w:rPr>
                    <w:rFonts w:eastAsia="Lucida Sans Unicode"/>
                    <w:b/>
                    <w:bCs/>
                  </w:rPr>
                </w:pPr>
                <w:r>
                  <w:rPr>
                    <w:rFonts w:eastAsia="Lucida Sans Unicode"/>
                    <w:b/>
                    <w:bCs/>
                  </w:rPr>
                  <w:t>Aplinkos apsaugos valstybinės kontrolės įstatymo pakeitimo įstatymo projektas (toliau – Projektas)</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keepNext/>
                  <w:widowControl w:val="0"/>
                  <w:suppressAutoHyphens/>
                  <w:snapToGrid w:val="0"/>
                  <w:outlineLvl w:val="7"/>
                  <w:rPr>
                    <w:rFonts w:eastAsia="Lucida Sans Unicode"/>
                    <w:b/>
                    <w:bCs/>
                    <w:szCs w:val="22"/>
                  </w:rPr>
                </w:pPr>
                <w:r>
                  <w:rPr>
                    <w:rFonts w:eastAsia="Lucida Sans Unicode"/>
                    <w:b/>
                    <w:bCs/>
                    <w:szCs w:val="22"/>
                  </w:rPr>
                  <w:t>Direktyvos perkėlimo lygis</w:t>
                </w:r>
              </w:p>
            </w:tc>
          </w:tr>
          <w:tr>
            <w:trPr>
              <w:trHeight w:val="300"/>
            </w:trPr>
            <w:tc>
              <w:tcPr>
                <w:tcW w:w="7126" w:type="dxa"/>
                <w:tcBorders>
                  <w:left w:val="single" w:sz="4" w:space="0" w:color="000000" w:themeColor="text1"/>
                  <w:bottom w:val="single" w:sz="4" w:space="0" w:color="000000" w:themeColor="text1"/>
                </w:tcBorders>
              </w:tcPr>
              <w:p>
                <w:pPr>
                  <w:rPr>
                    <w:sz w:val="20"/>
                  </w:rPr>
                </w:pPr>
              </w:p>
              <w:p>
                <w:pPr>
                  <w:widowControl w:val="0"/>
                  <w:shd w:val="clear" w:color="auto" w:fill="FFFFFF"/>
                  <w:suppressAutoHyphens/>
                  <w:rPr>
                    <w:b/>
                    <w:bCs/>
                    <w:color w:val="000000"/>
                    <w:szCs w:val="24"/>
                  </w:rPr>
                </w:pPr>
                <w:r>
                  <w:rPr>
                    <w:b/>
                    <w:bCs/>
                    <w:color w:val="000000"/>
                    <w:szCs w:val="24"/>
                  </w:rPr>
                  <w:t>5 straipsnis</w:t>
                </w:r>
              </w:p>
              <w:p>
                <w:pPr>
                  <w:rPr>
                    <w:sz w:val="20"/>
                  </w:rPr>
                </w:pPr>
              </w:p>
              <w:p>
                <w:pPr>
                  <w:widowControl w:val="0"/>
                  <w:shd w:val="clear" w:color="auto" w:fill="FFFFFF"/>
                  <w:suppressAutoHyphens/>
                  <w:rPr>
                    <w:b/>
                    <w:bCs/>
                    <w:color w:val="000000"/>
                    <w:szCs w:val="24"/>
                  </w:rPr>
                </w:pPr>
                <w:r>
                  <w:rPr>
                    <w:b/>
                    <w:bCs/>
                    <w:color w:val="000000"/>
                    <w:szCs w:val="24"/>
                  </w:rPr>
                  <w:t>Prevencinė veikla</w:t>
                </w:r>
              </w:p>
              <w:p>
                <w:pPr>
                  <w:rPr>
                    <w:sz w:val="10"/>
                    <w:szCs w:val="10"/>
                  </w:rPr>
                </w:pPr>
              </w:p>
              <w:p>
                <w:pPr>
                  <w:widowControl w:val="0"/>
                  <w:shd w:val="clear" w:color="auto" w:fill="FFFFFF"/>
                  <w:suppressAutoHyphens/>
                  <w:spacing w:line="259" w:lineRule="auto"/>
                  <w:jc w:val="both"/>
                  <w:rPr>
                    <w:rFonts w:eastAsia="Lucida Sans Unicode"/>
                  </w:rPr>
                </w:pPr>
                <w:r>
                  <w:rPr>
                    <w:color w:val="000000"/>
                    <w:szCs w:val="24"/>
                  </w:rPr>
                  <w:t>&lt;...&gt;</w:t>
                </w:r>
              </w:p>
              <w:p>
                <w:pPr>
                  <w:rPr>
                    <w:sz w:val="10"/>
                    <w:szCs w:val="10"/>
                  </w:rPr>
                </w:pPr>
              </w:p>
              <w:p>
                <w:pPr>
                  <w:widowControl w:val="0"/>
                  <w:shd w:val="clear" w:color="auto" w:fill="FFFFFF"/>
                  <w:suppressAutoHyphens/>
                  <w:jc w:val="both"/>
                  <w:rPr>
                    <w:rFonts w:eastAsia="Lucida Sans Unicode"/>
                  </w:rPr>
                </w:pPr>
                <w:r>
                  <w:rPr>
                    <w:color w:val="000000"/>
                    <w:szCs w:val="24"/>
                  </w:rPr>
                  <w:t xml:space="preserve">3.  Kompetentinga institucija bet kuriuo metu gali:</w:t>
                </w:r>
              </w:p>
              <w:p>
                <w:pPr>
                  <w:rPr>
                    <w:sz w:val="10"/>
                    <w:szCs w:val="10"/>
                  </w:rPr>
                </w:pPr>
              </w:p>
              <w:p>
                <w:pPr>
                  <w:widowControl w:val="0"/>
                  <w:shd w:val="clear" w:color="auto" w:fill="FFFFFF"/>
                  <w:suppressAutoHyphens/>
                  <w:ind w:left="480" w:right="-20" w:hanging="480"/>
                  <w:jc w:val="both"/>
                  <w:rPr>
                    <w:rFonts w:eastAsia="Lucida Sans Unicode"/>
                  </w:rPr>
                </w:pPr>
                <w:r>
                  <w:rPr>
                    <w:color w:val="000000"/>
                    <w:szCs w:val="24"/>
                  </w:rPr>
                  <w:t>a) reikalauti, kad subjektas pateiktų informaciją apie bet kokią žalos aplinkai neišvengiamą grėsmę arba įtartinais atvejais, įtarus tokią neišvengiamą grėsmę;</w:t>
                </w:r>
              </w:p>
              <w:p>
                <w:pPr>
                  <w:rPr>
                    <w:sz w:val="10"/>
                    <w:szCs w:val="10"/>
                  </w:rPr>
                </w:pPr>
              </w:p>
              <w:p>
                <w:pPr>
                  <w:widowControl w:val="0"/>
                  <w:shd w:val="clear" w:color="auto" w:fill="FFFFFF"/>
                  <w:suppressAutoHyphens/>
                  <w:ind w:left="480" w:right="-20" w:hanging="480"/>
                  <w:jc w:val="both"/>
                  <w:rPr>
                    <w:rFonts w:eastAsia="Lucida Sans Unicode"/>
                  </w:rPr>
                </w:pPr>
                <w:r>
                  <w:rPr>
                    <w:color w:val="000000"/>
                    <w:szCs w:val="24"/>
                  </w:rPr>
                  <w:t>b) reikalauti, kad subjektas imtųsi būtinų prevencinių priemonių;</w:t>
                </w:r>
              </w:p>
              <w:p>
                <w:pPr>
                  <w:rPr>
                    <w:sz w:val="10"/>
                    <w:szCs w:val="10"/>
                  </w:rPr>
                </w:pPr>
              </w:p>
              <w:p>
                <w:pPr>
                  <w:widowControl w:val="0"/>
                  <w:shd w:val="clear" w:color="auto" w:fill="FFFFFF"/>
                  <w:suppressAutoHyphens/>
                  <w:ind w:left="480" w:right="-20" w:hanging="480"/>
                  <w:jc w:val="both"/>
                  <w:rPr>
                    <w:rFonts w:eastAsia="Lucida Sans Unicode"/>
                  </w:rPr>
                </w:pPr>
                <w:r>
                  <w:rPr>
                    <w:color w:val="000000"/>
                    <w:szCs w:val="24"/>
                  </w:rPr>
                  <w:t>c) duoti nurodymus subjektui, kurių jis turi laikytis dėl taikytinų būtinų prevencinių priemonių; arba</w:t>
                </w:r>
              </w:p>
              <w:p>
                <w:pPr>
                  <w:rPr>
                    <w:sz w:val="10"/>
                    <w:szCs w:val="10"/>
                  </w:rPr>
                </w:pPr>
              </w:p>
              <w:p>
                <w:pPr>
                  <w:widowControl w:val="0"/>
                  <w:shd w:val="clear" w:color="auto" w:fill="FFFFFF"/>
                  <w:suppressAutoHyphens/>
                  <w:ind w:left="480" w:right="-20" w:hanging="480"/>
                  <w:jc w:val="both"/>
                  <w:rPr>
                    <w:rFonts w:eastAsia="Lucida Sans Unicode"/>
                  </w:rPr>
                </w:pPr>
                <w:r>
                  <w:rPr>
                    <w:color w:val="000000"/>
                    <w:szCs w:val="24"/>
                  </w:rPr>
                  <w:t>d) pati imtis būtinų prevencinių priemonių.</w:t>
                </w:r>
              </w:p>
              <w:p>
                <w:pPr>
                  <w:rPr>
                    <w:sz w:val="10"/>
                    <w:szCs w:val="10"/>
                  </w:rPr>
                </w:pPr>
              </w:p>
              <w:p>
                <w:pPr>
                  <w:widowControl w:val="0"/>
                  <w:shd w:val="clear" w:color="auto" w:fill="FFFFFF"/>
                  <w:suppressAutoHyphens/>
                  <w:jc w:val="both"/>
                  <w:rPr>
                    <w:rFonts w:eastAsia="Lucida Sans Unicode"/>
                  </w:rPr>
                </w:pPr>
                <w:r>
                  <w:rPr>
                    <w:color w:val="000000"/>
                    <w:szCs w:val="24"/>
                  </w:rPr>
                  <w:t xml:space="preserve">4.  Kompetentinga institucija reikalauja, kad subjektas imtųsi prevencinių priemonių. Jei subjektas nevykdo straipsnio 1 dalyje arba 3 dalies b) arba c) punktuose nustatytų įsipareigojimų, negali būti nustatytas arba nereikalaujama, kad jis padengtų(atlygintų) išlaidas pagal šią direktyvą, kompetentinga institucija gali pati imtis šių priemonių.</w:t>
                </w:r>
              </w:p>
              <w:p>
                <w:pPr>
                  <w:widowControl w:val="0"/>
                  <w:suppressAutoHyphens/>
                  <w:jc w:val="center"/>
                  <w:rPr>
                    <w:rFonts w:eastAsia="Lucida Sans Unicode"/>
                    <w:i/>
                    <w:iCs/>
                  </w:rPr>
                </w:pPr>
              </w:p>
            </w:tc>
            <w:tc>
              <w:tcPr>
                <w:tcW w:w="7056" w:type="dxa"/>
                <w:tcBorders>
                  <w:left w:val="single" w:sz="4" w:space="0" w:color="000000" w:themeColor="text1"/>
                  <w:bottom w:val="single" w:sz="4" w:space="0" w:color="000000" w:themeColor="text1"/>
                </w:tcBorders>
              </w:tcPr>
              <w:p>
                <w:pPr>
                  <w:widowControl w:val="0"/>
                  <w:suppressAutoHyphens/>
                  <w:jc w:val="both"/>
                  <w:rPr>
                    <w:b/>
                    <w:bCs/>
                    <w:color w:val="000000"/>
                  </w:rPr>
                </w:pPr>
                <w:r>
                  <w:rPr>
                    <w:b/>
                    <w:bCs/>
                    <w:color w:val="000000"/>
                  </w:rPr>
                  <w:t>Projektas</w:t>
                </w:r>
              </w:p>
              <w:p>
                <w:pPr>
                  <w:widowControl w:val="0"/>
                  <w:suppressAutoHyphens/>
                  <w:jc w:val="both"/>
                  <w:rPr>
                    <w:b/>
                    <w:bCs/>
                    <w:color w:val="000000"/>
                  </w:rPr>
                </w:pPr>
                <w:r>
                  <w:rPr>
                    <w:b/>
                    <w:bCs/>
                    <w:color w:val="000000"/>
                  </w:rPr>
                  <w:t>11 straipsnio 1 dalies 2 punktas</w:t>
                </w:r>
              </w:p>
              <w:p>
                <w:pPr>
                  <w:widowControl w:val="0"/>
                  <w:suppressAutoHyphens/>
                  <w:jc w:val="both"/>
                  <w:rPr>
                    <w:b/>
                    <w:bCs/>
                    <w:color w:val="000000"/>
                  </w:rPr>
                </w:pPr>
                <w:r>
                  <w:rPr>
                    <w:b/>
                    <w:bCs/>
                    <w:color w:val="000000"/>
                  </w:rPr>
                  <w:t>„1. Aplinkos apsaugos valstybinės priežiūros pareigūnai turi šias teises ir pareigas:</w:t>
                </w:r>
              </w:p>
              <w:p>
                <w:pPr>
                  <w:widowControl w:val="0"/>
                  <w:suppressAutoHyphens/>
                  <w:jc w:val="both"/>
                  <w:rPr>
                    <w:b/>
                    <w:bCs/>
                    <w:color w:val="000000"/>
                  </w:rPr>
                </w:pPr>
                <w:r>
                  <w:rPr>
                    <w:b/>
                    <w:bCs/>
                    <w:color w:val="000000"/>
                  </w:rPr>
                  <w:t>&lt;...&gt;</w:t>
                </w:r>
              </w:p>
              <w:p>
                <w:pPr>
                  <w:widowControl w:val="0"/>
                  <w:suppressAutoHyphens/>
                  <w:jc w:val="both"/>
                  <w:rPr>
                    <w:b/>
                    <w:bCs/>
                    <w:color w:val="000000"/>
                  </w:rPr>
                </w:pPr>
                <w:r>
                  <w:rPr>
                    <w:b/>
                    <w:bCs/>
                    <w:color w:val="000000"/>
                  </w:rPr>
                  <w:t xml:space="preserve">2) </w:t>
                </w:r>
                <w:r>
                  <w:rPr>
                    <w:b/>
                    <w:bCs/>
                    <w:szCs w:val="24"/>
                  </w:rPr>
                  <w:t xml:space="preserve">neatlygintinai gauti iš asmenų informaciją ir (ar) duomenis, ir (ar) dokumentus, susijusius su galimais aplinkos apsaugos ar gamtos išteklius reglamentuojančios teisės pažeidimais, reikalingus aplinkos apsaugos valstybinei priežiūrai atlikti, užkirsti kelią aplinkos apsaugą ir gamtos išteklių naudojimą reglamentuojančių teisės aktų pažeidimams ar žalai aplinkai, išaiškinti pažeidimus ir nustatyti pažeidėjus, patraukti juos atsakomybėn, įvertinti žalą aplinkai, taip pat gauti informaciją apie ūkinės veiklos poveikį aplinkai, </w:t>
                </w:r>
                <w:r>
                  <w:rPr>
                    <w:b/>
                    <w:bCs/>
                    <w:color w:val="000000"/>
                  </w:rPr>
                  <w:t>&lt;...&gt;;“</w:t>
                </w:r>
              </w:p>
              <w:p>
                <w:pPr>
                  <w:widowControl w:val="0"/>
                  <w:suppressAutoHyphens/>
                  <w:ind w:firstLine="720"/>
                  <w:jc w:val="both"/>
                  <w:rPr>
                    <w:b/>
                    <w:bCs/>
                    <w:color w:val="000000"/>
                  </w:rPr>
                </w:pPr>
              </w:p>
              <w:p>
                <w:pPr>
                  <w:widowControl w:val="0"/>
                  <w:suppressAutoHyphens/>
                  <w:jc w:val="both"/>
                  <w:rPr>
                    <w:b/>
                    <w:bCs/>
                    <w:color w:val="000000"/>
                  </w:rPr>
                </w:pPr>
                <w:r>
                  <w:rPr>
                    <w:b/>
                    <w:bCs/>
                    <w:color w:val="000000"/>
                  </w:rPr>
                  <w:t>21 straipsnio 1 dalies 1, 4, 9 punktai</w:t>
                </w:r>
              </w:p>
              <w:p>
                <w:pPr>
                  <w:widowControl w:val="0"/>
                  <w:suppressAutoHyphens/>
                  <w:jc w:val="both"/>
                  <w:rPr>
                    <w:b/>
                    <w:bCs/>
                    <w:color w:val="000000"/>
                  </w:rPr>
                </w:pPr>
                <w:r>
                  <w:rPr>
                    <w:b/>
                    <w:bCs/>
                    <w:color w:val="000000"/>
                  </w:rPr>
                  <w:t>„1. Privalomasis nurodymas duodamas šiais atvejais:</w:t>
                </w:r>
              </w:p>
              <w:p>
                <w:pPr>
                  <w:widowControl w:val="0"/>
                  <w:suppressAutoHyphens/>
                  <w:ind w:firstLine="720"/>
                  <w:jc w:val="both"/>
                  <w:rPr>
                    <w:szCs w:val="24"/>
                  </w:rPr>
                </w:pPr>
                <w:r>
                  <w:rPr>
                    <w:b/>
                    <w:bCs/>
                    <w:color w:val="000000"/>
                  </w:rPr>
                  <w:t xml:space="preserve">1) </w:t>
                </w:r>
                <w:r>
                  <w:rPr>
                    <w:b/>
                    <w:bCs/>
                    <w:szCs w:val="24"/>
                  </w:rPr>
                  <w:t xml:space="preserve">kai dėl taršos integruotos prevencijos ir kontrolės leidimo ar taršos leidimo sąlygų nesilaikymo kyla reali grėsmė, kad bus padarytas tiesioginis reikšmingas neigiamas poveikis aplinkai ir (ar) kyla tiesioginis pavojus žmonių sveikatai ar gyvybei, nėra galimybės kitais būdais to išvengti, duodamas privalomasis nurodymas sustabdyti įrenginio, kuriam eksploatuoti išduotas taršos integruotos prevencijos ir kontrolės leidimas ar taršos leidimas,  ar jo dalies eksploatavimą;</w:t>
                </w:r>
              </w:p>
              <w:p>
                <w:pPr>
                  <w:widowControl w:val="0"/>
                  <w:suppressAutoHyphens/>
                  <w:jc w:val="both"/>
                  <w:rPr>
                    <w:b/>
                    <w:bCs/>
                    <w:color w:val="000000"/>
                  </w:rPr>
                </w:pPr>
                <w:r>
                  <w:rPr>
                    <w:b/>
                    <w:bCs/>
                    <w:color w:val="000000"/>
                  </w:rPr>
                  <w:t>&lt;...&gt;</w:t>
                </w:r>
              </w:p>
              <w:p>
                <w:pPr>
                  <w:widowControl w:val="0"/>
                  <w:suppressAutoHyphens/>
                  <w:ind w:firstLine="720"/>
                  <w:jc w:val="both"/>
                  <w:rPr>
                    <w:szCs w:val="24"/>
                  </w:rPr>
                </w:pPr>
                <w:r>
                  <w:rPr>
                    <w:b/>
                    <w:bCs/>
                    <w:color w:val="000000"/>
                  </w:rPr>
                  <w:t xml:space="preserve">4) </w:t>
                </w:r>
                <w:r>
                  <w:rPr>
                    <w:b/>
                    <w:bCs/>
                    <w:szCs w:val="24"/>
                  </w:rPr>
                  <w:t>kai yra reali grėsmė, kad gali būti padaryta žala aplinkai ir nesiimama visų būtinų žalos aplinkai prevencijos priemonių, kad būtų išvengta žalos aplinkai ar ji būtų sumažinta, duodamas privalomasis nurodymas taikyti konkrečias žalos aplinkai prevencijos priemones;</w:t>
                </w:r>
              </w:p>
              <w:p>
                <w:pPr>
                  <w:widowControl w:val="0"/>
                  <w:suppressAutoHyphens/>
                  <w:jc w:val="both"/>
                  <w:rPr>
                    <w:b/>
                    <w:bCs/>
                    <w:color w:val="000000"/>
                  </w:rPr>
                </w:pPr>
                <w:r>
                  <w:rPr>
                    <w:b/>
                    <w:bCs/>
                    <w:color w:val="000000"/>
                  </w:rPr>
                  <w:t>&lt;...&gt;</w:t>
                </w:r>
              </w:p>
              <w:p>
                <w:pPr>
                  <w:widowControl w:val="0"/>
                  <w:suppressAutoHyphens/>
                  <w:jc w:val="both"/>
                  <w:rPr>
                    <w:b/>
                    <w:bCs/>
                  </w:rPr>
                </w:pPr>
                <w:r>
                  <w:rPr>
                    <w:b/>
                    <w:bCs/>
                    <w:color w:val="000000"/>
                  </w:rPr>
                  <w:t xml:space="preserve">9) </w:t>
                </w:r>
                <w:r>
                  <w:rPr>
                    <w:b/>
                    <w:bCs/>
                    <w:szCs w:val="24"/>
                  </w:rPr>
                  <w:t>kai aplinkos apsaugą ir (ar) gamtos išteklių naudojimą reglamentuojančių teisės aktų nustatyta tvarka neteikiamos ataskaitos ar (ir) neteikiama kita privaloma informacija, ar (ir) nevykdomi teisėti aplinkos apsaugos valstybinės priežiūros pareigūnų ar aplinkos apsaugos valstybinę priežiūrą atliekančios institucijos reikalavimai (išskyrus reikalavimus, duotus pagal privalomuosius nurodymus), duodamas privalomasis nurodymas pateikti ataskaitas ar (ir) kitą privalomą informaciją, ar (ir) vykdyti teisėtus reikalavimus.</w:t>
                </w:r>
                <w:r>
                  <w:rPr>
                    <w:b/>
                    <w:bCs/>
                    <w:color w:val="000000"/>
                  </w:rPr>
                  <w:t>“</w:t>
                </w:r>
              </w:p>
              <w:p>
                <w:pPr>
                  <w:widowControl w:val="0"/>
                  <w:suppressAutoHyphens/>
                  <w:rPr>
                    <w:rFonts w:eastAsia="Lucida Sans Unicode"/>
                    <w:b/>
                    <w:bCs/>
                  </w:rPr>
                </w:pPr>
              </w:p>
            </w:tc>
            <w:tc>
              <w:tcPr>
                <w:tcW w:w="1843" w:type="dxa"/>
                <w:tcBorders>
                  <w:left w:val="single" w:sz="4" w:space="0" w:color="000000" w:themeColor="text1"/>
                  <w:bottom w:val="single" w:sz="4" w:space="0" w:color="000000" w:themeColor="text1"/>
                  <w:right w:val="single" w:sz="4" w:space="0" w:color="000000" w:themeColor="text1"/>
                </w:tcBorders>
              </w:tcPr>
              <w:p>
                <w:pPr>
                  <w:widowControl w:val="0"/>
                  <w:suppressAutoHyphens/>
                  <w:rPr>
                    <w:rFonts w:eastAsia="Lucida Sans Unicode"/>
                  </w:rPr>
                </w:pPr>
                <w:r>
                  <w:rPr>
                    <w:rFonts w:eastAsia="Lucida Sans Unicode"/>
                  </w:rPr>
                  <w:t>Dalinis</w:t>
                </w:r>
              </w:p>
              <w:p>
                <w:pPr>
                  <w:widowControl w:val="0"/>
                  <w:suppressAutoHyphens/>
                  <w:spacing w:line="259" w:lineRule="auto"/>
                  <w:rPr>
                    <w:szCs w:val="24"/>
                  </w:rPr>
                </w:pPr>
                <w:r>
                  <w:rPr>
                    <w:szCs w:val="24"/>
                  </w:rPr>
                  <w:t>Atsakinga institucija – Aplinkos ministerija</w:t>
                </w:r>
              </w:p>
              <w:p/>
            </w:tc>
          </w:tr>
          <w:tr>
            <w:trPr>
              <w:trHeight w:val="300"/>
            </w:trPr>
            <w:tc>
              <w:tcPr>
                <w:tcW w:w="7126" w:type="dxa"/>
                <w:tcBorders>
                  <w:left w:val="single" w:sz="4" w:space="0" w:color="000000" w:themeColor="text1"/>
                  <w:bottom w:val="single" w:sz="4" w:space="0" w:color="000000" w:themeColor="text1"/>
                </w:tcBorders>
              </w:tcPr>
              <w:p>
                <w:pPr>
                  <w:widowControl w:val="0"/>
                  <w:suppressAutoHyphens/>
                  <w:rPr>
                    <w:rFonts w:eastAsia="Lucida Sans Unicode"/>
                    <w:sz w:val="20"/>
                  </w:rPr>
                </w:pPr>
              </w:p>
              <w:p>
                <w:pPr>
                  <w:widowControl w:val="0"/>
                  <w:shd w:val="clear" w:color="auto" w:fill="FFFFFF"/>
                  <w:suppressAutoHyphens/>
                  <w:rPr>
                    <w:b/>
                    <w:bCs/>
                    <w:color w:val="000000"/>
                    <w:szCs w:val="24"/>
                  </w:rPr>
                </w:pPr>
                <w:r>
                  <w:rPr>
                    <w:b/>
                    <w:bCs/>
                    <w:color w:val="000000"/>
                    <w:szCs w:val="24"/>
                  </w:rPr>
                  <w:t>6 straipsnis</w:t>
                </w:r>
              </w:p>
              <w:p>
                <w:pPr>
                  <w:rPr>
                    <w:sz w:val="20"/>
                  </w:rPr>
                </w:pPr>
              </w:p>
              <w:p>
                <w:pPr>
                  <w:widowControl w:val="0"/>
                  <w:shd w:val="clear" w:color="auto" w:fill="FFFFFF"/>
                  <w:suppressAutoHyphens/>
                  <w:rPr>
                    <w:b/>
                    <w:bCs/>
                    <w:color w:val="000000"/>
                    <w:szCs w:val="24"/>
                  </w:rPr>
                </w:pPr>
                <w:r>
                  <w:rPr>
                    <w:b/>
                    <w:bCs/>
                    <w:color w:val="000000"/>
                    <w:szCs w:val="24"/>
                  </w:rPr>
                  <w:t>Žalos ištaisymo (atlyginimo) veikla</w:t>
                </w:r>
              </w:p>
              <w:p>
                <w:pPr>
                  <w:rPr>
                    <w:sz w:val="10"/>
                    <w:szCs w:val="10"/>
                  </w:rPr>
                </w:pPr>
              </w:p>
              <w:p>
                <w:pPr>
                  <w:widowControl w:val="0"/>
                  <w:shd w:val="clear" w:color="auto" w:fill="FFFFFF"/>
                  <w:suppressAutoHyphens/>
                  <w:spacing w:line="259" w:lineRule="auto"/>
                  <w:jc w:val="both"/>
                  <w:rPr>
                    <w:rFonts w:eastAsia="Lucida Sans Unicode"/>
                  </w:rPr>
                </w:pPr>
                <w:r>
                  <w:rPr>
                    <w:color w:val="000000"/>
                    <w:szCs w:val="24"/>
                  </w:rPr>
                  <w:t>&lt;...&gt;</w:t>
                </w:r>
              </w:p>
              <w:p>
                <w:pPr>
                  <w:rPr>
                    <w:sz w:val="10"/>
                    <w:szCs w:val="10"/>
                  </w:rPr>
                </w:pPr>
              </w:p>
              <w:p>
                <w:pPr>
                  <w:widowControl w:val="0"/>
                  <w:shd w:val="clear" w:color="auto" w:fill="FFFFFF"/>
                  <w:suppressAutoHyphens/>
                  <w:jc w:val="both"/>
                  <w:rPr>
                    <w:rFonts w:eastAsia="Lucida Sans Unicode"/>
                  </w:rPr>
                </w:pPr>
                <w:r>
                  <w:rPr>
                    <w:color w:val="000000"/>
                    <w:szCs w:val="24"/>
                  </w:rPr>
                  <w:t xml:space="preserve">2.  Kompetentinga institucija bet kuriuo metu gali:</w:t>
                </w:r>
              </w:p>
              <w:p>
                <w:pPr>
                  <w:rPr>
                    <w:sz w:val="10"/>
                    <w:szCs w:val="10"/>
                  </w:rPr>
                </w:pPr>
              </w:p>
              <w:p>
                <w:pPr>
                  <w:widowControl w:val="0"/>
                  <w:shd w:val="clear" w:color="auto" w:fill="FFFFFF"/>
                  <w:suppressAutoHyphens/>
                  <w:ind w:left="480" w:right="-20" w:hanging="480"/>
                  <w:jc w:val="both"/>
                  <w:rPr>
                    <w:rFonts w:eastAsia="Lucida Sans Unicode"/>
                  </w:rPr>
                </w:pPr>
                <w:r>
                  <w:rPr>
                    <w:color w:val="000000"/>
                    <w:szCs w:val="24"/>
                  </w:rPr>
                  <w:t>a) reikalauti, kad subjektas pateiktų papildomą informaciją apie bet kokią padarytą žalą;</w:t>
                </w:r>
              </w:p>
              <w:p>
                <w:pPr>
                  <w:rPr>
                    <w:sz w:val="10"/>
                    <w:szCs w:val="10"/>
                  </w:rPr>
                </w:pPr>
              </w:p>
              <w:p>
                <w:pPr>
                  <w:widowControl w:val="0"/>
                  <w:shd w:val="clear" w:color="auto" w:fill="FFFFFF"/>
                  <w:suppressAutoHyphens/>
                  <w:ind w:left="480" w:right="-20" w:hanging="480"/>
                  <w:jc w:val="both"/>
                  <w:rPr>
                    <w:rFonts w:eastAsia="Lucida Sans Unicode"/>
                  </w:rPr>
                </w:pPr>
                <w:r>
                  <w:rPr>
                    <w:color w:val="000000"/>
                    <w:szCs w:val="24"/>
                  </w:rPr>
                  <w:t>b) imtis, reikalauti, kad subjektas imtųsi, arba duoti nurodymus subjektui dėl visų įgyvendinamų priemonių, kad nedelsdamas kontroliuotų, sustabdytų, pašalintų arba kitaip tvarkytų atitinkamus teršalus ir (arba) kitus žalą sukeliančius veiksnius tam, kad apribotų arba padėtų išvengti tolimesnės žalos aplinkai ir neigiamo poveikio žmonių sveikatai ir tolimesnio funkcijų pablogėjimo;</w:t>
                </w:r>
              </w:p>
              <w:p>
                <w:pPr>
                  <w:rPr>
                    <w:sz w:val="10"/>
                    <w:szCs w:val="10"/>
                  </w:rPr>
                </w:pPr>
              </w:p>
              <w:p>
                <w:pPr>
                  <w:widowControl w:val="0"/>
                  <w:shd w:val="clear" w:color="auto" w:fill="FFFFFF"/>
                  <w:suppressAutoHyphens/>
                  <w:ind w:left="480" w:right="-20" w:hanging="480"/>
                  <w:jc w:val="both"/>
                  <w:rPr>
                    <w:rFonts w:eastAsia="Lucida Sans Unicode"/>
                  </w:rPr>
                </w:pPr>
                <w:r>
                  <w:rPr>
                    <w:color w:val="000000"/>
                    <w:szCs w:val="24"/>
                  </w:rPr>
                  <w:t>c) reikalauti, kad subjektas imtųsi būtinų žalos ištaisymo priemonių;</w:t>
                </w:r>
              </w:p>
              <w:p>
                <w:pPr>
                  <w:rPr>
                    <w:sz w:val="10"/>
                    <w:szCs w:val="10"/>
                  </w:rPr>
                </w:pPr>
              </w:p>
              <w:p>
                <w:pPr>
                  <w:widowControl w:val="0"/>
                  <w:shd w:val="clear" w:color="auto" w:fill="FFFFFF"/>
                  <w:suppressAutoHyphens/>
                  <w:ind w:left="480" w:right="-20" w:hanging="480"/>
                  <w:jc w:val="both"/>
                  <w:rPr>
                    <w:rFonts w:eastAsia="Lucida Sans Unicode"/>
                  </w:rPr>
                </w:pPr>
                <w:r>
                  <w:rPr>
                    <w:color w:val="000000"/>
                    <w:szCs w:val="24"/>
                  </w:rPr>
                  <w:t>d) duoti subjektui privalomus vykdyti nurodymus, dėl taikytinų būtinų žalos ištaisymo priemonių; arba</w:t>
                </w:r>
              </w:p>
              <w:p>
                <w:pPr>
                  <w:rPr>
                    <w:sz w:val="10"/>
                    <w:szCs w:val="10"/>
                  </w:rPr>
                </w:pPr>
              </w:p>
              <w:p>
                <w:pPr>
                  <w:widowControl w:val="0"/>
                  <w:shd w:val="clear" w:color="auto" w:fill="FFFFFF"/>
                  <w:suppressAutoHyphens/>
                  <w:ind w:left="480" w:right="-20" w:hanging="480"/>
                  <w:jc w:val="both"/>
                  <w:rPr>
                    <w:rFonts w:eastAsia="Lucida Sans Unicode"/>
                  </w:rPr>
                </w:pPr>
                <w:r>
                  <w:rPr>
                    <w:color w:val="000000"/>
                    <w:szCs w:val="24"/>
                  </w:rPr>
                  <w:t>e) pati imtis būtinų žalos ištaisymo priemonių.</w:t>
                </w:r>
              </w:p>
              <w:p>
                <w:pPr>
                  <w:rPr>
                    <w:sz w:val="10"/>
                    <w:szCs w:val="10"/>
                  </w:rPr>
                </w:pPr>
              </w:p>
              <w:p>
                <w:pPr>
                  <w:widowControl w:val="0"/>
                  <w:shd w:val="clear" w:color="auto" w:fill="FFFFFF"/>
                  <w:suppressAutoHyphens/>
                  <w:jc w:val="both"/>
                  <w:rPr>
                    <w:rFonts w:eastAsia="Lucida Sans Unicode"/>
                  </w:rPr>
                </w:pPr>
                <w:r>
                  <w:rPr>
                    <w:color w:val="000000"/>
                    <w:szCs w:val="24"/>
                  </w:rPr>
                  <w:t xml:space="preserve">3.  Kompetentinga institucija reikalauja, kad subjektas imtųsi žalos ištaisymo priemonių. Jei subjektas nevykdo straipsnio 1 dalyje arba 2 dalies b), c) arba d) punktuose nustatytų įpareigojimų, negali būti nustatytas arba nereikalaujama, kad jis atlygintų išlaidas pagal šią direktyvą, kompetentinga institucija gali, jeigu nėra kitos išeities, imtis šių priemonių pati.</w:t>
                </w:r>
              </w:p>
              <w:p>
                <w:pPr>
                  <w:widowControl w:val="0"/>
                  <w:suppressAutoHyphens/>
                  <w:jc w:val="center"/>
                  <w:rPr>
                    <w:i/>
                    <w:iCs/>
                    <w:color w:val="000000"/>
                    <w:szCs w:val="24"/>
                  </w:rPr>
                </w:pPr>
              </w:p>
            </w:tc>
            <w:tc>
              <w:tcPr>
                <w:tcW w:w="7056" w:type="dxa"/>
                <w:tcBorders>
                  <w:left w:val="single" w:sz="4" w:space="0" w:color="000000" w:themeColor="text1"/>
                  <w:bottom w:val="single" w:sz="4" w:space="0" w:color="000000" w:themeColor="text1"/>
                </w:tcBorders>
              </w:tcPr>
              <w:p>
                <w:pPr>
                  <w:widowControl w:val="0"/>
                  <w:suppressAutoHyphens/>
                  <w:jc w:val="both"/>
                  <w:rPr>
                    <w:b/>
                    <w:bCs/>
                    <w:color w:val="000000"/>
                  </w:rPr>
                </w:pPr>
                <w:r>
                  <w:rPr>
                    <w:b/>
                    <w:bCs/>
                    <w:color w:val="000000"/>
                  </w:rPr>
                  <w:t>Projektas</w:t>
                </w:r>
              </w:p>
              <w:p>
                <w:pPr>
                  <w:widowControl w:val="0"/>
                  <w:suppressAutoHyphens/>
                  <w:jc w:val="both"/>
                  <w:rPr>
                    <w:b/>
                    <w:bCs/>
                    <w:color w:val="000000"/>
                  </w:rPr>
                </w:pPr>
                <w:r>
                  <w:rPr>
                    <w:b/>
                    <w:bCs/>
                    <w:color w:val="000000"/>
                  </w:rPr>
                  <w:t>11 straipsnio 1 dalies 2 punktas</w:t>
                </w:r>
              </w:p>
              <w:p>
                <w:pPr>
                  <w:widowControl w:val="0"/>
                  <w:suppressAutoHyphens/>
                  <w:jc w:val="both"/>
                  <w:rPr>
                    <w:b/>
                    <w:bCs/>
                    <w:color w:val="000000"/>
                  </w:rPr>
                </w:pPr>
                <w:r>
                  <w:rPr>
                    <w:b/>
                    <w:bCs/>
                    <w:color w:val="000000"/>
                  </w:rPr>
                  <w:t>„1. Aplinkos apsaugos valstybinės priežiūros pareigūnai turi šias teises ir pareigas:</w:t>
                </w:r>
              </w:p>
              <w:p>
                <w:pPr>
                  <w:widowControl w:val="0"/>
                  <w:suppressAutoHyphens/>
                  <w:jc w:val="both"/>
                  <w:rPr>
                    <w:b/>
                    <w:bCs/>
                    <w:color w:val="000000"/>
                  </w:rPr>
                </w:pPr>
                <w:r>
                  <w:rPr>
                    <w:b/>
                    <w:bCs/>
                    <w:color w:val="000000"/>
                  </w:rPr>
                  <w:t>&lt;...&gt;</w:t>
                </w:r>
              </w:p>
              <w:p>
                <w:pPr>
                  <w:widowControl w:val="0"/>
                  <w:suppressAutoHyphens/>
                  <w:jc w:val="both"/>
                  <w:rPr>
                    <w:b/>
                    <w:bCs/>
                    <w:color w:val="000000"/>
                  </w:rPr>
                </w:pPr>
                <w:r>
                  <w:rPr>
                    <w:b/>
                    <w:bCs/>
                    <w:color w:val="000000"/>
                  </w:rPr>
                  <w:t xml:space="preserve">2) </w:t>
                </w:r>
                <w:r>
                  <w:rPr>
                    <w:b/>
                    <w:bCs/>
                    <w:szCs w:val="24"/>
                  </w:rPr>
                  <w:t>neatlygintinai gauti iš asmenų informaciją ir (ar) duomenis, ir (ar) dokumentus, susijusius su galimais aplinkos apsaugos ar gamtos išteklius reglamentuojančios teisės pažeidimais, reikalingus aplinkos apsaugos valstybinei priežiūrai atlikti, užkirsti kelią aplinkos apsaugą ir gamtos išteklių naudojimą reglamentuojančių teisės aktų pažeidimams ar žalai aplinkai, išaiškinti pažeidimus ir nustatyti pažeidėjus, patraukti juos atsakomybėn, įvertinti žalą aplinkai, taip pat gauti informaciją apie ūkinės veiklos poveikį aplinkai,</w:t>
                </w:r>
                <w:r>
                  <w:rPr>
                    <w:b/>
                    <w:bCs/>
                    <w:color w:val="000000"/>
                  </w:rPr>
                  <w:t xml:space="preserve"> &lt;...&gt;;“</w:t>
                </w:r>
              </w:p>
              <w:p>
                <w:pPr>
                  <w:widowControl w:val="0"/>
                  <w:suppressAutoHyphens/>
                  <w:jc w:val="both"/>
                  <w:rPr>
                    <w:b/>
                    <w:bCs/>
                    <w:color w:val="000000"/>
                  </w:rPr>
                </w:pPr>
              </w:p>
              <w:p>
                <w:pPr>
                  <w:widowControl w:val="0"/>
                  <w:suppressAutoHyphens/>
                  <w:jc w:val="both"/>
                  <w:rPr>
                    <w:b/>
                    <w:bCs/>
                    <w:color w:val="000000"/>
                  </w:rPr>
                </w:pPr>
                <w:r>
                  <w:rPr>
                    <w:b/>
                    <w:bCs/>
                    <w:color w:val="000000"/>
                  </w:rPr>
                  <w:t>21 straipsnio 1 dalies 2, 5, 6, 9 punktai</w:t>
                </w:r>
              </w:p>
              <w:p>
                <w:pPr>
                  <w:widowControl w:val="0"/>
                  <w:suppressAutoHyphens/>
                  <w:jc w:val="both"/>
                  <w:rPr>
                    <w:b/>
                    <w:bCs/>
                    <w:color w:val="000000"/>
                  </w:rPr>
                </w:pPr>
                <w:r>
                  <w:rPr>
                    <w:b/>
                    <w:bCs/>
                    <w:color w:val="000000"/>
                  </w:rPr>
                  <w:t>„1. Privalomasis nurodymas duodamas šiais atvejais:</w:t>
                </w:r>
              </w:p>
              <w:p>
                <w:pPr>
                  <w:widowControl w:val="0"/>
                  <w:suppressAutoHyphens/>
                  <w:jc w:val="both"/>
                  <w:rPr>
                    <w:b/>
                    <w:bCs/>
                    <w:color w:val="000000"/>
                  </w:rPr>
                </w:pPr>
                <w:r>
                  <w:rPr>
                    <w:b/>
                    <w:bCs/>
                    <w:color w:val="000000"/>
                  </w:rPr>
                  <w:t>&lt;...&gt;</w:t>
                </w:r>
              </w:p>
              <w:p>
                <w:pPr>
                  <w:widowControl w:val="0"/>
                  <w:suppressAutoHyphens/>
                  <w:ind w:firstLine="720"/>
                  <w:jc w:val="both"/>
                  <w:rPr>
                    <w:b/>
                    <w:bCs/>
                    <w:szCs w:val="24"/>
                  </w:rPr>
                </w:pPr>
                <w:r>
                  <w:rPr>
                    <w:b/>
                    <w:bCs/>
                    <w:color w:val="000000"/>
                  </w:rPr>
                  <w:t xml:space="preserve">2) </w:t>
                </w:r>
                <w:r>
                  <w:rPr>
                    <w:b/>
                    <w:bCs/>
                    <w:szCs w:val="24"/>
                  </w:rPr>
                  <w:t>jeigu nustatytas taršos integruotos prevencijos ir kontrolės leidimo ar taršos leidimo sąlygų nesilaikymas dėl neleistino teršalų išmetimo, atliekų susidarymo, laikymo ar apdorojimo arba neteisėto gamtos išteklių naudojimo ir (ar) vykdomas neteisėtas aplinkos teršimas, ir (ar) neteisėtai naudojami ar naikinami gamtos ištekliai, ir (ar) daroma žala aplinkai, ir vykdoma veikla didina pažeidimo mastą, duodamas privalomasis nurodymas sustabdyti tai lemiančią konkrečią veiklą;</w:t>
                </w:r>
              </w:p>
              <w:p>
                <w:pPr>
                  <w:widowControl w:val="0"/>
                  <w:suppressAutoHyphens/>
                  <w:jc w:val="both"/>
                  <w:rPr>
                    <w:b/>
                    <w:bCs/>
                    <w:color w:val="000000"/>
                  </w:rPr>
                </w:pPr>
                <w:r>
                  <w:rPr>
                    <w:b/>
                    <w:bCs/>
                    <w:color w:val="000000"/>
                  </w:rPr>
                  <w:t>&lt;...&gt;</w:t>
                </w:r>
              </w:p>
              <w:p>
                <w:pPr>
                  <w:widowControl w:val="0"/>
                  <w:suppressAutoHyphens/>
                  <w:jc w:val="both"/>
                  <w:rPr>
                    <w:b/>
                    <w:bCs/>
                    <w:szCs w:val="24"/>
                  </w:rPr>
                </w:pPr>
                <w:r>
                  <w:rPr>
                    <w:b/>
                    <w:bCs/>
                    <w:color w:val="000000"/>
                  </w:rPr>
                  <w:t xml:space="preserve">5) </w:t>
                </w:r>
                <w:r>
                  <w:rPr>
                    <w:b/>
                    <w:bCs/>
                    <w:szCs w:val="24"/>
                  </w:rPr>
                  <w:t>kai padaryta žala aplinkai ir nesiimama veiksmų, užtikrinančių teršalų ir (ar) kitokių darančių žalą aplinkai veiksnių priežiūrą, sulaikymą, pašalinimą ar kitokį valdymą, duodamas privalomasis nurodymas užtikrinti teršalų ir (ar) kitokių darančių žalą aplinkai veiksnių priežiūrą, sulaikymą, pašalinimą ar kitokį valdymą;</w:t>
                </w:r>
              </w:p>
              <w:p>
                <w:pPr>
                  <w:widowControl w:val="0"/>
                  <w:suppressAutoHyphens/>
                  <w:jc w:val="both"/>
                  <w:rPr>
                    <w:b/>
                    <w:bCs/>
                    <w:szCs w:val="24"/>
                  </w:rPr>
                </w:pPr>
                <w:r>
                  <w:rPr>
                    <w:b/>
                    <w:bCs/>
                    <w:color w:val="000000"/>
                  </w:rPr>
                  <w:t xml:space="preserve">6) </w:t>
                </w:r>
                <w:r>
                  <w:rPr>
                    <w:b/>
                    <w:bCs/>
                    <w:szCs w:val="24"/>
                  </w:rPr>
                  <w:t>kai atsiradus žalai aplinkai nevykdomos ar netinkamai vykdomos aplinkos atkūrimo priemonės, duodamas privalomasis nurodymas vykdyti ar tinkamai vykdyti aplinkos atkūrimo priemones;</w:t>
                </w:r>
              </w:p>
              <w:p>
                <w:pPr>
                  <w:widowControl w:val="0"/>
                  <w:suppressAutoHyphens/>
                  <w:jc w:val="both"/>
                  <w:rPr>
                    <w:b/>
                    <w:bCs/>
                    <w:color w:val="000000"/>
                  </w:rPr>
                </w:pPr>
                <w:r>
                  <w:rPr>
                    <w:b/>
                    <w:bCs/>
                    <w:color w:val="000000"/>
                  </w:rPr>
                  <w:t>&lt;...&gt;</w:t>
                </w:r>
              </w:p>
              <w:p>
                <w:pPr>
                  <w:widowControl w:val="0"/>
                  <w:suppressAutoHyphens/>
                  <w:jc w:val="both"/>
                  <w:rPr>
                    <w:b/>
                    <w:bCs/>
                  </w:rPr>
                </w:pPr>
                <w:r>
                  <w:rPr>
                    <w:b/>
                    <w:bCs/>
                    <w:color w:val="000000"/>
                  </w:rPr>
                  <w:t xml:space="preserve">9) </w:t>
                </w:r>
                <w:r>
                  <w:rPr>
                    <w:b/>
                    <w:bCs/>
                    <w:szCs w:val="24"/>
                  </w:rPr>
                  <w:t>kai aplinkos apsaugą ir (ar) gamtos išteklių naudojimą reglamentuojančių teisės aktų nustatyta tvarka neteikiamos ataskaitos ar (ir) neteikiama kita privaloma informacija, ar (ir) nevykdomi teisėti aplinkos apsaugos valstybinės priežiūros pareigūnų ar aplinkos apsaugos valstybinę priežiūrą atliekančios institucijos reikalavimai (išskyrus reikalavimus, duotus pagal privalomuosius nurodymus), duodamas privalomasis nurodymas pateikti ataskaitas ar (ir) kitą privalomą informaciją, ar (ir) vykdyti teisėtus reikalavimus.</w:t>
                </w:r>
                <w:r>
                  <w:rPr>
                    <w:b/>
                    <w:bCs/>
                  </w:rPr>
                  <w:t>“</w:t>
                </w:r>
              </w:p>
            </w:tc>
            <w:tc>
              <w:tcPr>
                <w:tcW w:w="1843" w:type="dxa"/>
                <w:tcBorders>
                  <w:left w:val="single" w:sz="4" w:space="0" w:color="000000" w:themeColor="text1"/>
                  <w:bottom w:val="single" w:sz="4" w:space="0" w:color="000000" w:themeColor="text1"/>
                  <w:right w:val="single" w:sz="4" w:space="0" w:color="000000" w:themeColor="text1"/>
                </w:tcBorders>
              </w:tcPr>
              <w:p>
                <w:pPr>
                  <w:widowControl w:val="0"/>
                  <w:suppressAutoHyphens/>
                  <w:rPr>
                    <w:rFonts w:eastAsia="Lucida Sans Unicode"/>
                  </w:rPr>
                </w:pPr>
                <w:r>
                  <w:rPr>
                    <w:rFonts w:eastAsia="Lucida Sans Unicode"/>
                  </w:rPr>
                  <w:t>Dalinis</w:t>
                </w:r>
              </w:p>
              <w:p>
                <w:pPr>
                  <w:widowControl w:val="0"/>
                  <w:suppressAutoHyphens/>
                  <w:spacing w:line="259" w:lineRule="auto"/>
                  <w:rPr>
                    <w:szCs w:val="24"/>
                  </w:rPr>
                </w:pPr>
                <w:r>
                  <w:rPr>
                    <w:szCs w:val="24"/>
                  </w:rPr>
                  <w:t>Atsakinga institucija – Aplinkos ministerija</w:t>
                </w:r>
              </w:p>
              <w:p/>
            </w:tc>
          </w:tr>
          <w:tr>
            <w:tc>
              <w:tcPr>
                <w:tcW w:w="7126" w:type="dxa"/>
                <w:tcBorders>
                  <w:left w:val="single" w:sz="4" w:space="0" w:color="000000" w:themeColor="text1"/>
                  <w:bottom w:val="single" w:sz="4" w:space="0" w:color="000000" w:themeColor="text1"/>
                </w:tcBorders>
              </w:tcPr>
              <w:p>
                <w:pPr>
                  <w:widowControl w:val="0"/>
                  <w:suppressAutoHyphens/>
                  <w:snapToGrid w:val="0"/>
                  <w:rPr>
                    <w:rFonts w:eastAsia="Lucida Sans Unicode"/>
                    <w:b/>
                    <w:bCs/>
                  </w:rPr>
                </w:pPr>
                <w:r>
                  <w:rPr>
                    <w:rFonts w:eastAsia="Lucida Sans Unicode"/>
                    <w:b/>
                    <w:bCs/>
                  </w:rPr>
                  <w:t>11 straipsnis</w:t>
                </w:r>
              </w:p>
              <w:p>
                <w:pPr>
                  <w:keepNext/>
                  <w:widowControl w:val="0"/>
                  <w:tabs>
                    <w:tab w:val="left" w:pos="0"/>
                  </w:tabs>
                  <w:suppressAutoHyphens/>
                  <w:outlineLvl w:val="1"/>
                  <w:rPr>
                    <w:rFonts w:eastAsia="Lucida Sans Unicode"/>
                    <w:b/>
                    <w:bCs/>
                    <w:szCs w:val="24"/>
                  </w:rPr>
                </w:pPr>
                <w:r>
                  <w:rPr>
                    <w:rFonts w:eastAsia="Lucida Sans Unicode"/>
                    <w:b/>
                    <w:bCs/>
                    <w:szCs w:val="24"/>
                  </w:rPr>
                  <w:t>Kompetentinga institucija</w:t>
                </w:r>
              </w:p>
              <w:p>
                <w:pPr>
                  <w:widowControl w:val="0"/>
                  <w:suppressAutoHyphens/>
                  <w:jc w:val="both"/>
                  <w:rPr>
                    <w:rFonts w:eastAsia="Lucida Sans Unicode"/>
                  </w:rPr>
                </w:pPr>
                <w:r>
                  <w:rPr>
                    <w:rFonts w:eastAsia="Lucida Sans Unicode"/>
                  </w:rPr>
                  <w:t>1.</w:t>
                  <w:tab/>
                  <w:t>Valstybės Narės paskiria kompetentingą instituciją arba institucijas, atsakingas už šioje direktyvoje numatytų pareigų vykdymą.</w:t>
                </w:r>
              </w:p>
              <w:p>
                <w:pPr>
                  <w:widowControl w:val="0"/>
                  <w:suppressAutoHyphens/>
                  <w:jc w:val="both"/>
                  <w:rPr>
                    <w:rFonts w:eastAsia="Lucida Sans Unicode"/>
                  </w:rPr>
                </w:pPr>
              </w:p>
              <w:p>
                <w:pPr>
                  <w:widowControl w:val="0"/>
                  <w:suppressAutoHyphens/>
                  <w:jc w:val="both"/>
                  <w:rPr>
                    <w:rFonts w:eastAsia="Lucida Sans Unicode"/>
                  </w:rPr>
                </w:pPr>
                <w:r>
                  <w:rPr>
                    <w:rFonts w:eastAsia="Lucida Sans Unicode"/>
                  </w:rPr>
                  <w:t>2.</w:t>
                  <w:tab/>
                  <w:t>Kompetentingos institucijos pareiga – nustatyti žalą arba žalos neišvengiamą (realią) grėsmę sukėlusį subjektą, įvertinti žalos reikšmingumą ir nustatyti, kokių žalos ištaisymo priemonių reikėtų imtis pagal II priedą. Todėl kompetentinga institucija turi teisę reikalauti, kad atitinkamas subjektas pats atliktų vertinimą ir pateiktų būtiną informaciją ir duomenis.</w:t>
                </w:r>
              </w:p>
              <w:p>
                <w:pPr>
                  <w:widowControl w:val="0"/>
                  <w:suppressAutoHyphens/>
                  <w:jc w:val="both"/>
                  <w:rPr>
                    <w:rFonts w:eastAsia="Lucida Sans Unicode"/>
                  </w:rPr>
                </w:pPr>
              </w:p>
              <w:p>
                <w:pPr>
                  <w:widowControl w:val="0"/>
                  <w:suppressAutoHyphens/>
                  <w:jc w:val="both"/>
                  <w:rPr>
                    <w:rFonts w:eastAsia="Lucida Sans Unicode"/>
                  </w:rPr>
                </w:pPr>
                <w:r>
                  <w:rPr>
                    <w:rFonts w:eastAsia="Lucida Sans Unicode"/>
                  </w:rPr>
                  <w:t>3.</w:t>
                  <w:tab/>
                  <w:t>Valstybės Narės užtikrina, kad kompetentinga institucija galėtų suteikti įgaliojimus trečiosioms šalims ar reikalauti jų vykdyti būtinas žalos prevencijos arba jos ištaisymo priemones.</w:t>
                </w:r>
              </w:p>
              <w:p>
                <w:pPr>
                  <w:widowControl w:val="0"/>
                  <w:suppressAutoHyphens/>
                  <w:jc w:val="both"/>
                  <w:rPr>
                    <w:rFonts w:eastAsia="Lucida Sans Unicode"/>
                  </w:rPr>
                </w:pPr>
              </w:p>
              <w:p>
                <w:pPr>
                  <w:widowControl w:val="0"/>
                  <w:suppressAutoHyphens/>
                  <w:jc w:val="both"/>
                  <w:rPr>
                    <w:rFonts w:eastAsia="Lucida Sans Unicode"/>
                  </w:rPr>
                </w:pPr>
                <w:r>
                  <w:rPr>
                    <w:rFonts w:eastAsia="Lucida Sans Unicode"/>
                  </w:rPr>
                  <w:t>4.</w:t>
                  <w:tab/>
                  <w:t>Bet kokiame pagal šią direktyvą priimtame sprendime, nustatančiame žalos prevencijos arba jos ištaisymo priemones, nurodomos tikslius pagrindas, kuriuo jis yra grindžiamas. Apie tokį sprendimą nedelsiant pranešama atitinkamam subjektui, kuris tuo pačiu metu informuojamas apie jam priklausančius teisinius teisės gynimo būdus pagal atitinkamoje Valstybėje Narėje galiojančius įstatymus ir apie terminus, taikomus tokiems gynimo būdams.</w:t>
                </w:r>
              </w:p>
            </w:tc>
            <w:tc>
              <w:tcPr>
                <w:tcW w:w="7056" w:type="dxa"/>
                <w:tcBorders>
                  <w:left w:val="single" w:sz="4" w:space="0" w:color="000000" w:themeColor="text1"/>
                  <w:bottom w:val="single" w:sz="4" w:space="0" w:color="000000" w:themeColor="text1"/>
                </w:tcBorders>
              </w:tcPr>
              <w:p>
                <w:pPr>
                  <w:widowControl w:val="0"/>
                  <w:suppressAutoHyphens/>
                  <w:rPr>
                    <w:b/>
                    <w:bCs/>
                    <w:color w:val="000000"/>
                  </w:rPr>
                </w:pPr>
                <w:r>
                  <w:rPr>
                    <w:b/>
                    <w:bCs/>
                    <w:color w:val="000000"/>
                  </w:rPr>
                  <w:t>Projektas</w:t>
                </w:r>
              </w:p>
              <w:p>
                <w:pPr>
                  <w:widowControl w:val="0"/>
                  <w:suppressAutoHyphens/>
                  <w:rPr>
                    <w:b/>
                    <w:bCs/>
                    <w:color w:val="000000"/>
                  </w:rPr>
                </w:pPr>
                <w:r>
                  <w:rPr>
                    <w:b/>
                    <w:bCs/>
                    <w:color w:val="000000"/>
                  </w:rPr>
                  <w:t>6 straipsnio 1-5, 9 punktai</w:t>
                </w:r>
              </w:p>
              <w:p>
                <w:pPr>
                  <w:widowControl w:val="0"/>
                  <w:suppressAutoHyphens/>
                  <w:ind w:firstLine="720"/>
                  <w:jc w:val="both"/>
                  <w:rPr>
                    <w:b/>
                    <w:bCs/>
                    <w:color w:val="000000"/>
                  </w:rPr>
                </w:pPr>
                <w:r>
                  <w:rPr>
                    <w:b/>
                    <w:bCs/>
                    <w:color w:val="000000"/>
                    <w:lang w:eastAsia="ja-JP"/>
                  </w:rPr>
                  <w:t>„</w:t>
                </w:r>
                <w:r>
                  <w:rPr>
                    <w:b/>
                    <w:bCs/>
                    <w:color w:val="000000"/>
                    <w:szCs w:val="24"/>
                  </w:rPr>
                  <w:t xml:space="preserve">Aplinkos apsaugos valstybinę priežiūrą atliekanti institucija: </w:t>
                </w:r>
              </w:p>
              <w:p>
                <w:pPr>
                  <w:widowControl w:val="0"/>
                  <w:suppressAutoHyphens/>
                  <w:spacing w:line="276" w:lineRule="auto"/>
                  <w:ind w:firstLine="720"/>
                  <w:jc w:val="both"/>
                  <w:rPr>
                    <w:b/>
                    <w:bCs/>
                    <w:szCs w:val="24"/>
                  </w:rPr>
                </w:pPr>
                <w:r>
                  <w:rPr>
                    <w:b/>
                    <w:bCs/>
                    <w:szCs w:val="24"/>
                    <w:lang w:eastAsia="ja-JP"/>
                  </w:rPr>
                  <w:t>1) organizuoja ir vykdo prevencinę veiklą, kuria siekiama, kad asmenys elgtųsi aplinkai palankiai ir laikytųsi aplinkos apsaugą ir gamtos išteklių naudojimą reglamentuojančių teisės aktų reikalavimų;</w:t>
                </w:r>
              </w:p>
              <w:p>
                <w:pPr>
                  <w:widowControl w:val="0"/>
                  <w:suppressAutoHyphens/>
                  <w:spacing w:line="276" w:lineRule="auto"/>
                  <w:ind w:firstLine="720"/>
                  <w:jc w:val="both"/>
                  <w:rPr>
                    <w:b/>
                    <w:bCs/>
                    <w:szCs w:val="24"/>
                  </w:rPr>
                </w:pPr>
                <w:r>
                  <w:rPr>
                    <w:b/>
                    <w:bCs/>
                    <w:szCs w:val="24"/>
                    <w:lang w:eastAsia="ja-JP"/>
                  </w:rPr>
                  <w:t>2) teikia metodinę pagalbą asmenims, juos konsultuoja, atlieka jų veiklos patikrinimus;</w:t>
                </w:r>
              </w:p>
              <w:p>
                <w:pPr>
                  <w:widowControl w:val="0"/>
                  <w:suppressAutoHyphens/>
                  <w:spacing w:line="276" w:lineRule="auto"/>
                  <w:ind w:firstLine="720"/>
                  <w:jc w:val="both"/>
                  <w:rPr>
                    <w:b/>
                    <w:bCs/>
                    <w:szCs w:val="24"/>
                  </w:rPr>
                </w:pPr>
                <w:r>
                  <w:rPr>
                    <w:b/>
                    <w:bCs/>
                    <w:szCs w:val="24"/>
                    <w:lang w:eastAsia="ja-JP"/>
                  </w:rPr>
                  <w:t>3) tiria aplinkos apsaugą ir gamtos išteklių naudojimą reglamentuojančių teisės aktų nustatytų reikalavimų pažeidimus, aplinkos teršimo incidentus, renka ir vertina duomenis, susijusius su aplinkos apsaugos srities įvykiais, ekstremaliaisiais įvykiais, jų priežastimis ir pasekmėmis;</w:t>
                </w:r>
              </w:p>
              <w:p>
                <w:pPr>
                  <w:widowControl w:val="0"/>
                  <w:suppressAutoHyphens/>
                  <w:spacing w:line="276" w:lineRule="auto"/>
                  <w:ind w:firstLine="720"/>
                  <w:jc w:val="both"/>
                  <w:rPr>
                    <w:b/>
                    <w:bCs/>
                    <w:szCs w:val="24"/>
                  </w:rPr>
                </w:pPr>
                <w:r>
                  <w:rPr>
                    <w:b/>
                    <w:bCs/>
                    <w:szCs w:val="24"/>
                    <w:lang w:eastAsia="ja-JP"/>
                  </w:rPr>
                  <w:t>4) vertina aplinkos apsaugą ir gamtos išteklių naudojimą reglamentuojančių teisės aktų reikalavimų pažeidimų pasekmes aplinkai ir (ar) žalą aplinkai, imasi priemonių, kad teršėjas atlygintų žalą aplinkai ir kitus nuostolius;</w:t>
                </w:r>
              </w:p>
              <w:p>
                <w:pPr>
                  <w:widowControl w:val="0"/>
                  <w:suppressAutoHyphens/>
                  <w:spacing w:line="276" w:lineRule="auto"/>
                  <w:ind w:firstLine="720"/>
                  <w:jc w:val="both"/>
                  <w:rPr>
                    <w:b/>
                    <w:bCs/>
                    <w:szCs w:val="24"/>
                  </w:rPr>
                </w:pPr>
                <w:r>
                  <w:rPr>
                    <w:b/>
                    <w:bCs/>
                    <w:szCs w:val="24"/>
                    <w:lang w:eastAsia="ja-JP"/>
                  </w:rPr>
                  <w:t>5) taiko aplinkos apsaugą ir gamtos išteklių naudojimą reglamentuojančių teisės aktų pažeidėjams teisinę atsakomybę,  šiame ir kituose įstatymuose nustatytas teisinio poveikio priemones – nustatyta tvarka skiria administracines nuobaudas (įstatymų nustatytais atvejais perduoda medžiagą teisėsaugos institucijoms spręsti klausimą dėl kaltų asmenų patraukimo baudžiamojon atsakomybėn) ir taiko ekonomines sankcijas, taiko kitas įstatymų nustatytas teisinio poveikio priemones;</w:t>
                </w:r>
              </w:p>
              <w:p>
                <w:pPr>
                  <w:widowControl w:val="0"/>
                  <w:suppressAutoHyphens/>
                  <w:ind w:firstLine="720"/>
                  <w:jc w:val="both"/>
                  <w:rPr>
                    <w:rFonts w:eastAsia="Lucida Sans Unicode"/>
                  </w:rPr>
                </w:pPr>
                <w:r>
                  <w:rPr>
                    <w:color w:val="000000"/>
                    <w:szCs w:val="24"/>
                  </w:rPr>
                  <w:t>&lt;...&gt;</w:t>
                </w:r>
              </w:p>
              <w:p>
                <w:pPr>
                  <w:widowControl w:val="0"/>
                  <w:suppressAutoHyphens/>
                  <w:ind w:firstLine="720"/>
                  <w:jc w:val="both"/>
                  <w:rPr>
                    <w:rFonts w:eastAsia="Lucida Sans Unicode"/>
                  </w:rPr>
                </w:pPr>
                <w:r>
                  <w:rPr>
                    <w:b/>
                    <w:bCs/>
                    <w:color w:val="000000"/>
                    <w:szCs w:val="24"/>
                  </w:rPr>
                  <w:t>9)</w:t>
                </w:r>
                <w:r>
                  <w:rPr>
                    <w:color w:val="000000"/>
                    <w:szCs w:val="24"/>
                  </w:rPr>
                  <w:t xml:space="preserve"> </w:t>
                </w:r>
                <w:r>
                  <w:rPr>
                    <w:szCs w:val="24"/>
                    <w:lang w:eastAsia="ja-JP"/>
                  </w:rPr>
                  <w:t>prižiūri, ar asmenys, turintys pareigą įveisti ar atkurti gamtos išteklius, laiku ir tinkamai šią pareigą vykdo;</w:t>
                </w:r>
              </w:p>
              <w:p>
                <w:pPr>
                  <w:widowControl w:val="0"/>
                  <w:suppressAutoHyphens/>
                  <w:jc w:val="both"/>
                  <w:rPr>
                    <w:b/>
                    <w:bCs/>
                    <w:color w:val="000000"/>
                    <w:lang w:eastAsia="ja-JP"/>
                  </w:rPr>
                </w:pPr>
                <w:r>
                  <w:rPr>
                    <w:b/>
                    <w:bCs/>
                    <w:color w:val="000000"/>
                    <w:lang w:eastAsia="ja-JP"/>
                  </w:rPr>
                  <w:t>&lt;...&gt;“</w:t>
                </w:r>
              </w:p>
              <w:p>
                <w:pPr>
                  <w:widowControl w:val="0"/>
                  <w:suppressAutoHyphens/>
                  <w:jc w:val="both"/>
                  <w:rPr>
                    <w:rFonts w:eastAsia="Calibri"/>
                    <w:b/>
                    <w:bCs/>
                    <w:color w:val="000000"/>
                    <w:lang w:eastAsia="lt-LT"/>
                  </w:rPr>
                </w:pPr>
              </w:p>
              <w:p>
                <w:pPr>
                  <w:widowControl w:val="0"/>
                  <w:suppressAutoHyphens/>
                  <w:jc w:val="both"/>
                  <w:rPr>
                    <w:rFonts w:eastAsia="Calibri"/>
                    <w:b/>
                    <w:bCs/>
                    <w:color w:val="000000"/>
                    <w:lang w:eastAsia="lt-LT"/>
                  </w:rPr>
                </w:pPr>
                <w:r>
                  <w:rPr>
                    <w:rFonts w:eastAsia="Calibri"/>
                    <w:b/>
                    <w:bCs/>
                    <w:color w:val="000000"/>
                    <w:lang w:eastAsia="lt-LT"/>
                  </w:rPr>
                  <w:t>5 straipsnis</w:t>
                </w:r>
              </w:p>
              <w:p>
                <w:pPr>
                  <w:ind w:firstLine="720"/>
                  <w:jc w:val="both"/>
                  <w:rPr>
                    <w:rFonts w:eastAsia="Calibri"/>
                    <w:b/>
                    <w:bCs/>
                    <w:lang w:eastAsia="lt-LT"/>
                  </w:rPr>
                </w:pPr>
                <w:r>
                  <w:rPr>
                    <w:rFonts w:eastAsia="Calibri"/>
                    <w:b/>
                    <w:bCs/>
                    <w:color w:val="000000"/>
                    <w:shd w:val="clear" w:color="auto" w:fill="FFFFFF"/>
                    <w:lang w:eastAsia="lt-LT"/>
                  </w:rPr>
                  <w:t>„</w:t>
                </w:r>
                <w:r>
                  <w:rPr>
                    <w:b/>
                    <w:bCs/>
                    <w:color w:val="000000"/>
                    <w:szCs w:val="24"/>
                  </w:rPr>
                  <w:t>Aplinkos apsaugos valstybinę priežiūrą Lietuvos Respublikoje atlieka Lietuvos Respublikos Vyriausybės įgaliota institucija.</w:t>
                </w:r>
                <w:r>
                  <w:rPr>
                    <w:rFonts w:eastAsia="Calibri"/>
                    <w:b/>
                    <w:bCs/>
                    <w:lang w:eastAsia="lt-LT"/>
                  </w:rPr>
                  <w:t>“</w:t>
                </w:r>
              </w:p>
              <w:p>
                <w:pPr>
                  <w:widowControl w:val="0"/>
                  <w:suppressAutoHyphens/>
                  <w:snapToGrid w:val="0"/>
                  <w:rPr>
                    <w:rFonts w:eastAsia="Lucida Sans Unicode"/>
                    <w:b/>
                    <w:bCs/>
                  </w:rPr>
                </w:pPr>
              </w:p>
              <w:p>
                <w:pPr>
                  <w:widowControl w:val="0"/>
                  <w:suppressAutoHyphens/>
                  <w:jc w:val="both"/>
                  <w:rPr>
                    <w:b/>
                    <w:bCs/>
                    <w:color w:val="000000"/>
                  </w:rPr>
                </w:pPr>
                <w:r>
                  <w:rPr>
                    <w:b/>
                    <w:bCs/>
                    <w:color w:val="000000"/>
                  </w:rPr>
                  <w:t>11 straipsnio 1 dalies 1-16 punktai</w:t>
                </w:r>
              </w:p>
              <w:p>
                <w:pPr>
                  <w:widowControl w:val="0"/>
                  <w:suppressAutoHyphens/>
                  <w:ind w:firstLine="720"/>
                  <w:jc w:val="both"/>
                  <w:rPr>
                    <w:b/>
                    <w:bCs/>
                    <w:color w:val="000000"/>
                  </w:rPr>
                </w:pPr>
                <w:r>
                  <w:rPr>
                    <w:b/>
                    <w:bCs/>
                    <w:color w:val="000000"/>
                  </w:rPr>
                  <w:t>„</w:t>
                </w:r>
                <w:r>
                  <w:rPr>
                    <w:b/>
                    <w:bCs/>
                    <w:color w:val="000000"/>
                    <w:szCs w:val="24"/>
                  </w:rPr>
                  <w:t>1. Aplinkos apsaugos valstybinės priežiūros pareigūnai turi šias teises ir pareigas:</w:t>
                </w:r>
              </w:p>
              <w:p>
                <w:pPr>
                  <w:widowControl w:val="0"/>
                  <w:suppressAutoHyphens/>
                  <w:spacing w:line="276" w:lineRule="auto"/>
                  <w:ind w:firstLine="720"/>
                  <w:jc w:val="both"/>
                  <w:rPr>
                    <w:b/>
                    <w:bCs/>
                    <w:szCs w:val="24"/>
                  </w:rPr>
                </w:pPr>
                <w:r>
                  <w:rPr>
                    <w:b/>
                    <w:bCs/>
                    <w:szCs w:val="24"/>
                  </w:rPr>
                  <w:t xml:space="preserve">1) pateikę tarnybinį pažymėjimą, netrukdomai patekti (įeiti, įvažiuoti) į visų įmonių, įstaigų, organizacijų, ūkių, karinių dalinių, pasienio ruožo ir privačias teritorijas, jose esančius objektus (statinius, įrenginius, patalpas ir kt.), kitus ūkinės veiklos objektus ir tikrinti, ar juose laikomasi aplinkos apsaugą ir gamtos išteklių naudojimą reglamentuojančių teisės aktų reikalavimų, imti ėminius, atlikti kontrolinius pirkimus, tyrimus ir matavimus, fiksuoti patikrinimą garso ir (ar) vaizdo fiksavimo, ir (ar) įrašymo priemonėmis, neatlygintinai gauti cheminių medžiagų ir cheminių mišinių mėginius (ėminius) jų sudėčiai nustatyti ir savybėms ištirti ar bandymams atlikti, ėminius imant </w:t>
                </w:r>
                <w:r>
                  <w:rPr>
                    <w:b/>
                    <w:bCs/>
                    <w:color w:val="000000"/>
                    <w:szCs w:val="24"/>
                    <w:lang w:val="lt"/>
                  </w:rPr>
                  <w:t>Vyriausybės ar jos įgaliotos institucijos nustatyta tvarka</w:t>
                </w:r>
                <w:r>
                  <w:rPr>
                    <w:b/>
                    <w:bCs/>
                    <w:szCs w:val="24"/>
                  </w:rPr>
                  <w:t>. Į tikrinamo fizinio asmens gyvenamąsias patalpas (tarp jų ir nuomojamas ar naudojamas kitu pagrindu) (toliau – gyvenamosios patalpos) be fizinio asmens sutikimo turi teisę patekti (įeiti, įvažiuoti) pateikę šio įstatymo 12 straipsnyje nustatyta tvarka gautą teismo leidimą;</w:t>
                </w:r>
              </w:p>
              <w:p>
                <w:pPr>
                  <w:widowControl w:val="0"/>
                  <w:suppressAutoHyphens/>
                  <w:spacing w:line="276" w:lineRule="auto"/>
                  <w:ind w:firstLine="720"/>
                  <w:jc w:val="both"/>
                  <w:rPr>
                    <w:b/>
                    <w:bCs/>
                    <w:szCs w:val="24"/>
                  </w:rPr>
                </w:pPr>
                <w:r>
                  <w:rPr>
                    <w:b/>
                    <w:bCs/>
                    <w:szCs w:val="24"/>
                  </w:rPr>
                  <w:t>2) neatlygintinai gauti iš asmenų informaciją ir (ar) duomenis, ir (ar) dokumentus, susijusius su galimais aplinkos apsaugos ar gamtos išteklius reglamentuojančios teisės pažeidimais, reikalingus aplinkos apsaugos valstybinei priežiūrai atlikti, užkirsti kelią aplinkos apsaugą ir gamtos išteklių naudojimą reglamentuojančių teisės aktų pažeidimams ar žalai aplinkai, išaiškinti pažeidimus ir nustatyti pažeidėjus, patraukti juos atsakomybėn, įvertinti žalą aplinkai, taip pat gauti informaciją apie ūkinės veiklos poveikį aplinkai, informaciją apie mokesčius už valstybinius gamtos išteklius, angliavandenilių išteklių mokestį, mokestį už aplinkos teršimą, atskaitymais nuo pajamų pagal Lietuvos Respublikos miškų įstatymą; taip pat teisės aktų, reglamentuojančių valstybės ir tarnybos paslaptis ir komercines paslaptis, nustatyta tvarka gauti</w:t>
                </w:r>
                <w:r>
                  <w:rPr>
                    <w:rFonts w:ascii="Segoe UI" w:eastAsia="Segoe UI" w:hAnsi="Segoe UI" w:cs="Segoe UI"/>
                    <w:b/>
                    <w:bCs/>
                    <w:sz w:val="18"/>
                    <w:szCs w:val="18"/>
                  </w:rPr>
                  <w:t xml:space="preserve"> </w:t>
                </w:r>
                <w:r>
                  <w:rPr>
                    <w:b/>
                    <w:bCs/>
                    <w:szCs w:val="24"/>
                  </w:rPr>
                  <w:t>informaciją ir duomenis, kurie yra valstybės, tarnybos ar komercinė paslaptis, cheminių medžiagų ir cheminių mišinių tvarkymo priežiūrai atlikti;</w:t>
                </w:r>
                <w:r>
                  <w:rPr>
                    <w:b/>
                    <w:bCs/>
                    <w:i/>
                    <w:iCs/>
                    <w:szCs w:val="24"/>
                  </w:rPr>
                  <w:t xml:space="preserve"> </w:t>
                </w:r>
                <w:r>
                  <w:rPr>
                    <w:b/>
                    <w:bCs/>
                    <w:szCs w:val="24"/>
                  </w:rPr>
                  <w:t>aplinkos apsaugos valstybinę priežiūrą atliekančios institucijos nustatyta tvarka ne ilgiau kaip iki patikrinimo pabaigos paimti dokumentus ar patvirtintas jų kopijas ir daiktus, reikalingus patikrinimui atlikti, jeigu šių dokumentų ar daiktų paėmimo nereglamentuoja Lietuvos Respublikos mokesčių administravimo įstatymas;</w:t>
                </w:r>
              </w:p>
              <w:p>
                <w:pPr>
                  <w:widowControl w:val="0"/>
                  <w:suppressAutoHyphens/>
                  <w:spacing w:line="276" w:lineRule="auto"/>
                  <w:ind w:firstLine="720"/>
                  <w:jc w:val="both"/>
                  <w:rPr>
                    <w:b/>
                    <w:bCs/>
                    <w:szCs w:val="24"/>
                  </w:rPr>
                </w:pPr>
                <w:r>
                  <w:rPr>
                    <w:b/>
                    <w:bCs/>
                    <w:szCs w:val="24"/>
                    <w:lang w:eastAsia="ja-JP"/>
                  </w:rPr>
                  <w:t>3) reido metu, siekiant vykdyti aplinkos apsaugą ir gamtos išteklių naudojimą reglamentuojančių teisės aktų pažeidimų prevenciją, atskleisti ir ištirti aplinkos apsaugą ir gamtos išteklių naudojimą reglamentuojančių teisės aktų pažeidimus, be išankstinio įspėjimo vykdyti nenuolatinę teritorijų (išskyrus karines teritorijas) ir (ar) jose esančių objektų (statinių, įrenginių, patalpų (išskyrus gyvenamųjų patalpų), transporto priemonių) ir (ar) daiktų (gamtos išteklių, medžiagų, įrankių ir priemonių) apžiūrą iš sausumos, vandens ir oro, pasitelkiant vaizdo stebėjimo ir (ar) fiksavimo priemones aplinkos apsaugos valstybinę priežiūrą atliekančios institucijos vadovo nustatyta tvarka, laikantis šiame įstatyme ir kituose teisės aktuose, reglamentuojančiuose asmens duomenų tvarkymą, įtvirtintų reikalavimų;</w:t>
                </w:r>
              </w:p>
              <w:p>
                <w:pPr>
                  <w:widowControl w:val="0"/>
                  <w:suppressAutoHyphens/>
                  <w:spacing w:line="276" w:lineRule="auto"/>
                  <w:ind w:firstLine="720"/>
                  <w:jc w:val="both"/>
                  <w:rPr>
                    <w:b/>
                    <w:bCs/>
                    <w:szCs w:val="24"/>
                  </w:rPr>
                </w:pPr>
                <w:r>
                  <w:rPr>
                    <w:b/>
                    <w:bCs/>
                    <w:szCs w:val="24"/>
                  </w:rPr>
                  <w:t>4) tikrinti dokumentų, daiktų (gamtos išteklių, medžiagų, įrankių ir priemonių), vykdomos veiklos atitiktį aplinkos apsaugą ir gamtos išteklių naudojimą reglamentuojančių teisės aktų reikalavimams;</w:t>
                </w:r>
              </w:p>
              <w:p>
                <w:pPr>
                  <w:widowControl w:val="0"/>
                  <w:suppressAutoHyphens/>
                  <w:spacing w:line="276" w:lineRule="auto"/>
                  <w:ind w:firstLine="720"/>
                  <w:jc w:val="both"/>
                  <w:rPr>
                    <w:b/>
                    <w:bCs/>
                    <w:szCs w:val="24"/>
                  </w:rPr>
                </w:pPr>
                <w:r>
                  <w:rPr>
                    <w:b/>
                    <w:bCs/>
                    <w:szCs w:val="24"/>
                    <w:lang w:eastAsia="ja-JP"/>
                  </w:rPr>
                  <w:t>5) šio įstatymo nustatyta tvarka vykdyti reidus ir (ar) dalyvauti kitų institucijų vykdomuose reiduose;</w:t>
                </w:r>
              </w:p>
              <w:p>
                <w:pPr>
                  <w:widowControl w:val="0"/>
                  <w:suppressAutoHyphens/>
                  <w:spacing w:line="276" w:lineRule="auto"/>
                  <w:ind w:firstLine="720"/>
                  <w:jc w:val="both"/>
                  <w:rPr>
                    <w:b/>
                    <w:bCs/>
                    <w:szCs w:val="24"/>
                  </w:rPr>
                </w:pPr>
                <w:r>
                  <w:rPr>
                    <w:b/>
                    <w:bCs/>
                    <w:szCs w:val="24"/>
                  </w:rPr>
                  <w:t>6) aplinkos apsaugos valstybinę priežiūrą atliekančios institucijos vadovo nustatyta tvarka stabdyti su Lietuvos valstybės vėliava ar užsienio valstybės vėliava Lietuvos Respublikos vidaus vandenyse, Lietuvos Respublikos teritorinėje jūroje ir Lietuvos Respublikos išskirtinėje ekonominėje zonoje plaukiojančius laivus, atlikti juose aplinkos apsaugos valstybinę priežiūrą; šio įstatymo nustatyta tvarka atlikti tyrimą dėl jūros aplinkos teršimo ar kitų aplinkos apsaugą ir gamtos išteklių naudojimą reglamentuojančių teisės aktų pažeidimų, sulaikyti laivus, nukreipti juos į saugų uostą ar kitą saugią stovėjimo vietą nekeliant pavojaus jūros aplinkai; atlikti aplinkos apsaugos valstybinę priežiūrą atviroje jūroje su Lietuvos Respublikos vėliava plaukiojančiuose laivuose. Šio punkto nuostatos netaikomos karo laivams, pagalbiniams karo laivyno laivams arba kitiems valstybei nuosavybės teise priklausantiems ar jos eksploatuojamiems ir tuo metu tik nekomercine valstybės veikla užsiimantiems laivams;</w:t>
                </w:r>
              </w:p>
              <w:p>
                <w:pPr>
                  <w:widowControl w:val="0"/>
                  <w:suppressAutoHyphens/>
                  <w:spacing w:line="276" w:lineRule="auto"/>
                  <w:ind w:firstLine="720"/>
                  <w:jc w:val="both"/>
                  <w:rPr>
                    <w:b/>
                    <w:bCs/>
                    <w:szCs w:val="24"/>
                  </w:rPr>
                </w:pPr>
                <w:r>
                  <w:rPr>
                    <w:b/>
                    <w:bCs/>
                    <w:szCs w:val="24"/>
                  </w:rPr>
                  <w:t>7) kad būtų išaiškinti aplinkos apsaugą ir gamtos išteklių naudojimą reglamentuojančių teisės aktų pažeidimai, už kuriuos numatyta teisinė atsakomybė, ar užkirstas kelias jiems, taip pat grėsmei dėl žalos aplinkai, aplinkos apsaugos valstybinę priežiūrą atliekančios institucijos nustatyta tvarka apžiūrėti transporto priemones, atlikti transporto priemonių į aplinką išmetamų teršalų kontrolę;</w:t>
                </w:r>
              </w:p>
              <w:p>
                <w:pPr>
                  <w:widowControl w:val="0"/>
                  <w:suppressAutoHyphens/>
                  <w:spacing w:line="276" w:lineRule="auto"/>
                  <w:ind w:firstLine="720"/>
                  <w:jc w:val="both"/>
                  <w:rPr>
                    <w:b/>
                    <w:bCs/>
                    <w:szCs w:val="24"/>
                  </w:rPr>
                </w:pPr>
                <w:r>
                  <w:rPr>
                    <w:b/>
                    <w:bCs/>
                    <w:szCs w:val="24"/>
                  </w:rPr>
                  <w:t xml:space="preserve">8) Lietuvos Respublikos administracinių nusižengimų kodekse ir Aplinkos apsaugos įstatyme nustatyta tvarka vykdyti </w:t>
                </w:r>
                <w:r>
                  <w:rPr>
                    <w:b/>
                    <w:bCs/>
                    <w:color w:val="242424"/>
                    <w:szCs w:val="24"/>
                  </w:rPr>
                  <w:t xml:space="preserve">administracinių nusižengimų teiseną </w:t>
                </w:r>
                <w:r>
                  <w:rPr>
                    <w:b/>
                    <w:bCs/>
                    <w:szCs w:val="24"/>
                  </w:rPr>
                  <w:t>ir bylų dėl ekonominių sankcijų skyrimo teiseną;</w:t>
                </w:r>
              </w:p>
              <w:p>
                <w:pPr>
                  <w:widowControl w:val="0"/>
                  <w:suppressAutoHyphens/>
                  <w:spacing w:line="276" w:lineRule="auto"/>
                  <w:ind w:firstLine="720"/>
                  <w:jc w:val="both"/>
                  <w:rPr>
                    <w:b/>
                    <w:bCs/>
                    <w:szCs w:val="24"/>
                  </w:rPr>
                </w:pPr>
                <w:r>
                  <w:rPr>
                    <w:b/>
                    <w:bCs/>
                    <w:szCs w:val="24"/>
                  </w:rPr>
                  <w:t>9) šio įstatymo nustatytais atvejais ir tvarka duoti privalomuosius nurodymus asmenims;</w:t>
                </w:r>
              </w:p>
              <w:p>
                <w:pPr>
                  <w:widowControl w:val="0"/>
                  <w:suppressAutoHyphens/>
                  <w:spacing w:line="276" w:lineRule="auto"/>
                  <w:ind w:firstLine="720"/>
                  <w:jc w:val="both"/>
                  <w:rPr>
                    <w:b/>
                    <w:bCs/>
                    <w:szCs w:val="24"/>
                  </w:rPr>
                </w:pPr>
                <w:r>
                  <w:rPr>
                    <w:b/>
                    <w:bCs/>
                    <w:szCs w:val="24"/>
                  </w:rPr>
                  <w:t>10) šio įstatymo ir kitų teisės aktų, reglamentuojančių fizinės, psichinės prievartos naudojimą, šaunamojo ginklo ir specialiųjų priemonių saugojimą, nešiojimą, panaudojimą, nustatyta tvarka naudoti fizinę, psichinę prievartą, saugoti, nešioti ir naudoti šaunamąjį ginklą ir specialiąsias priemones;</w:t>
                </w:r>
              </w:p>
              <w:p>
                <w:pPr>
                  <w:widowControl w:val="0"/>
                  <w:suppressAutoHyphens/>
                  <w:spacing w:line="276" w:lineRule="auto"/>
                  <w:ind w:firstLine="720"/>
                  <w:jc w:val="both"/>
                  <w:rPr>
                    <w:b/>
                    <w:bCs/>
                    <w:szCs w:val="24"/>
                  </w:rPr>
                </w:pPr>
                <w:r>
                  <w:rPr>
                    <w:b/>
                    <w:bCs/>
                    <w:szCs w:val="24"/>
                  </w:rPr>
                  <w:t xml:space="preserve">11) Saugaus eismo automobilių keliais įstatymo nustatyta tvarka naudoti mėlynos ir raudonos arba tik mėlynos spalvos švyturėlius ir specialiuosius garso signalus vairuojant specialiąsias transporto priemones, Administracinių nusižengimų kodekse nustatyta tvarka stabdyti transporto priemones;  </w:t>
                </w:r>
              </w:p>
              <w:p>
                <w:pPr>
                  <w:widowControl w:val="0"/>
                  <w:suppressAutoHyphens/>
                  <w:spacing w:line="276" w:lineRule="auto"/>
                  <w:ind w:firstLine="720"/>
                  <w:jc w:val="both"/>
                  <w:rPr>
                    <w:b/>
                    <w:bCs/>
                    <w:szCs w:val="24"/>
                  </w:rPr>
                </w:pPr>
                <w:r>
                  <w:rPr>
                    <w:b/>
                    <w:bCs/>
                    <w:szCs w:val="24"/>
                  </w:rPr>
                  <w:t>12) gavę pranešimą ir (ar) informaciją apie galimus aplinkos apsaugą ir gamtos išteklių naudojimą reglamentuojančių teisės aktų pažeidimus, imtis priemonių, kad pažeidimas būtų išaiškintas ir nustatyti pažeidėjai, jeigu pagal kompetenciją patys to padaryti negali, – informuoti kompetentingą valstybės instituciją, kad ši imtųsi priemonių išaiškinti pažeidimą ir nustatyti pažeidėją. Priimant sprendimą dėl reagavimo ar nereagavimo į pranešimus ar gautą informaciją apie galimus aplinkos apsaugą ir gamtos išteklių naudojimą reglamentuojančių teisės aktų pažeidimus, įvertinamas informacijos pagrįstumas, patikimumas, įtariamo pažeidimo keliama grėsmė saugomai vertybei (reikšmingumas), institucijos išteklių naudojimo efektyvumas ir pagrįstumas. Sprendimų dėl reagavimo į pranešimus ir (ar) informaciją apie galimus aplinkos apsaugą ir gamtos išteklių naudojimą reglamentuojančių teisės aktų pažeidimus priėmimo tvarką nustato aplinkos ministras ar jo įgaliota institucija;</w:t>
                </w:r>
              </w:p>
              <w:p>
                <w:pPr>
                  <w:widowControl w:val="0"/>
                  <w:suppressAutoHyphens/>
                  <w:spacing w:line="276" w:lineRule="auto"/>
                  <w:ind w:firstLine="720"/>
                  <w:jc w:val="both"/>
                  <w:rPr>
                    <w:b/>
                    <w:bCs/>
                    <w:szCs w:val="24"/>
                  </w:rPr>
                </w:pPr>
                <w:r>
                  <w:rPr>
                    <w:b/>
                    <w:bCs/>
                    <w:szCs w:val="24"/>
                  </w:rPr>
                  <w:t xml:space="preserve">13) nustačius aplinkos apsaugą ir gamtos išteklių naudojimą reglamentuojančių teisės aktų pažeidimą, kuriuo aplinkai buvo padaryta žala, ir įvertinus padarytą žalą aplinkai, išskyrus atvejus, kai padarytas reikšmingas neigiamas poveikis aplinkai, dėl kurio turi būti taikomas aplinkos būklės atkūrimas iki pirminės būklės, privalo aplinkos ministro nustatyta tvarka pasiūlyti pažeidėjui gera valia atlyginti žalą aplinkai ir kitus nuostolius. Jeigu pažeidėjas per aplinkos apsaugos valstybinės priežiūros pareigūno nurodytą terminą savanoriškai neatlygina žalos aplinkai ir kitų nuostolių, aplinkos apsaugos valstybinės priežiūros pareigūnas, </w:t>
                </w:r>
                <w:r>
                  <w:rPr>
                    <w:b/>
                    <w:bCs/>
                    <w:szCs w:val="24"/>
                    <w:lang w:val="lt"/>
                  </w:rPr>
                  <w:t xml:space="preserve">vadovaudamasis Aplinkos apsaugos įstatymo </w:t>
                </w:r>
                <w:r>
                  <w:rPr>
                    <w:b/>
                    <w:bCs/>
                    <w:szCs w:val="24"/>
                  </w:rPr>
                  <w:t>33 straipsniu, privalo pateikti ieškinį teisme dėl žalos aplinkai ir kitų nuostolių atlyginimo;</w:t>
                </w:r>
              </w:p>
              <w:p>
                <w:pPr>
                  <w:widowControl w:val="0"/>
                  <w:suppressAutoHyphens/>
                  <w:spacing w:line="276" w:lineRule="auto"/>
                  <w:ind w:firstLine="720"/>
                  <w:jc w:val="both"/>
                  <w:rPr>
                    <w:b/>
                    <w:bCs/>
                    <w:szCs w:val="24"/>
                  </w:rPr>
                </w:pPr>
                <w:r>
                  <w:rPr>
                    <w:b/>
                    <w:bCs/>
                    <w:szCs w:val="24"/>
                  </w:rPr>
                  <w:t>14) pasitelkti nešališkus kompetentingus ekspertus ar specialistus, turinčius reikiamą įrangą, dalyvauti patikrinime ir (ar) vertinti patikrinimo duomenis, ir (ar) imti ėminius, ir (ar) atlikti tyrimus ir matavimus, kai reikia specialių žinių ir (ar) įrangos;</w:t>
                </w:r>
              </w:p>
              <w:p>
                <w:pPr>
                  <w:widowControl w:val="0"/>
                  <w:suppressAutoHyphens/>
                  <w:spacing w:line="276" w:lineRule="auto"/>
                  <w:ind w:firstLine="720"/>
                  <w:jc w:val="both"/>
                  <w:rPr>
                    <w:b/>
                    <w:bCs/>
                    <w:szCs w:val="24"/>
                  </w:rPr>
                </w:pPr>
                <w:r>
                  <w:rPr>
                    <w:b/>
                    <w:bCs/>
                    <w:szCs w:val="24"/>
                  </w:rPr>
                  <w:t>15) įtardami, kad medžioklėje dalyvaujantis medžiotojas yra neblaivus ir (ar) apsvaigęs nuo narkotinių, psichotropinių ar kitų psichiką veikiančių medžiagų, Vyriausybės nustatyta tvarka tikrinti, ar jis yra neblaivus ar apsvaigęs, taip pat kilus įtarimų dėl neblaivumo ar apsvaigimo, kai medžioklėje dalyvaujantis medžiotojas nesutinka tikrintis dėl neblaivumo ar apsvaigimo, ar užfiksavus, kad medžioklėje dalyvaujantis medžiotojas yra neblaivus ar apsvaigęs, neleisti šiam medžiotojui dalyvauti medžioklėje;</w:t>
                </w:r>
              </w:p>
              <w:p>
                <w:pPr>
                  <w:widowControl w:val="0"/>
                  <w:suppressAutoHyphens/>
                  <w:spacing w:line="276" w:lineRule="auto"/>
                  <w:ind w:firstLine="720"/>
                  <w:jc w:val="both"/>
                  <w:rPr>
                    <w:b/>
                    <w:bCs/>
                    <w:szCs w:val="24"/>
                  </w:rPr>
                </w:pPr>
                <w:r>
                  <w:rPr>
                    <w:b/>
                    <w:bCs/>
                    <w:szCs w:val="24"/>
                  </w:rPr>
                  <w:t>16) šio įstatymo 18 straipsnyje nustatyta tvarka atlikti į aplinką patenkančių teršalų ir jų paveiktos aplinkos užterštumo matavimus;</w:t>
                </w:r>
              </w:p>
              <w:p>
                <w:pPr>
                  <w:widowControl w:val="0"/>
                  <w:suppressAutoHyphens/>
                  <w:ind w:firstLine="720"/>
                  <w:jc w:val="both"/>
                  <w:rPr>
                    <w:rFonts w:eastAsia="Lucida Sans Unicode"/>
                    <w:b/>
                    <w:bCs/>
                  </w:rPr>
                </w:pPr>
                <w:r>
                  <w:rPr>
                    <w:rFonts w:eastAsia="Lucida Sans Unicode"/>
                    <w:b/>
                    <w:bCs/>
                  </w:rPr>
                  <w:t>&lt;...&gt;“</w:t>
                </w:r>
              </w:p>
              <w:p>
                <w:pPr>
                  <w:widowControl w:val="0"/>
                  <w:suppressAutoHyphens/>
                  <w:snapToGrid w:val="0"/>
                  <w:ind w:firstLine="720"/>
                  <w:jc w:val="both"/>
                  <w:rPr>
                    <w:rFonts w:eastAsia="Lucida Sans Unicode"/>
                    <w:b/>
                    <w:bCs/>
                  </w:rPr>
                </w:pPr>
              </w:p>
              <w:p>
                <w:pPr>
                  <w:widowControl w:val="0"/>
                  <w:suppressAutoHyphens/>
                  <w:snapToGrid w:val="0"/>
                  <w:rPr>
                    <w:rFonts w:eastAsia="Lucida Sans Unicode"/>
                    <w:b/>
                    <w:bCs/>
                  </w:rPr>
                </w:pPr>
                <w:r>
                  <w:rPr>
                    <w:rFonts w:eastAsia="Lucida Sans Unicode"/>
                    <w:b/>
                    <w:bCs/>
                  </w:rPr>
                  <w:t>21 straipsnio 1 dalies 4-7 punktai</w:t>
                </w:r>
              </w:p>
              <w:p>
                <w:pPr>
                  <w:widowControl w:val="0"/>
                  <w:suppressAutoHyphens/>
                  <w:snapToGrid w:val="0"/>
                  <w:jc w:val="both"/>
                  <w:rPr>
                    <w:rFonts w:eastAsia="Lucida Sans Unicode"/>
                    <w:b/>
                    <w:bCs/>
                  </w:rPr>
                </w:pPr>
                <w:r>
                  <w:rPr>
                    <w:rFonts w:eastAsia="Lucida Sans Unicode"/>
                    <w:b/>
                    <w:bCs/>
                  </w:rPr>
                  <w:t>„1. Privalomasis nurodymas duodamas šiais atvejais:</w:t>
                </w:r>
              </w:p>
              <w:p>
                <w:pPr>
                  <w:widowControl w:val="0"/>
                  <w:suppressAutoHyphens/>
                  <w:snapToGrid w:val="0"/>
                  <w:jc w:val="both"/>
                  <w:rPr>
                    <w:rFonts w:eastAsia="Lucida Sans Unicode"/>
                    <w:b/>
                    <w:bCs/>
                  </w:rPr>
                </w:pPr>
                <w:r>
                  <w:rPr>
                    <w:rFonts w:eastAsia="Lucida Sans Unicode"/>
                    <w:b/>
                    <w:bCs/>
                  </w:rPr>
                  <w:t>&lt;...&gt;</w:t>
                </w:r>
              </w:p>
              <w:p>
                <w:pPr>
                  <w:widowControl w:val="0"/>
                  <w:suppressAutoHyphens/>
                  <w:snapToGrid w:val="0"/>
                  <w:spacing w:line="276" w:lineRule="auto"/>
                  <w:ind w:firstLine="720"/>
                  <w:jc w:val="both"/>
                  <w:rPr>
                    <w:b/>
                    <w:bCs/>
                    <w:szCs w:val="24"/>
                  </w:rPr>
                </w:pPr>
                <w:r>
                  <w:rPr>
                    <w:b/>
                    <w:bCs/>
                    <w:szCs w:val="24"/>
                  </w:rPr>
                  <w:t>4) kai yra reali grėsmė, kad gali būti padaryta žala aplinkai ir nesiimama visų būtinų žalos aplinkai prevencijos priemonių, kad būtų išvengta žalos aplinkai ar ji būtų sumažinta, duodamas privalomasis nurodymas taikyti konkrečias žalos aplinkai prevencijos priemones;</w:t>
                </w:r>
              </w:p>
              <w:p>
                <w:pPr>
                  <w:widowControl w:val="0"/>
                  <w:suppressAutoHyphens/>
                  <w:snapToGrid w:val="0"/>
                  <w:spacing w:line="276" w:lineRule="auto"/>
                  <w:ind w:firstLine="720"/>
                  <w:jc w:val="both"/>
                  <w:rPr>
                    <w:b/>
                    <w:bCs/>
                    <w:szCs w:val="24"/>
                  </w:rPr>
                </w:pPr>
                <w:r>
                  <w:rPr>
                    <w:b/>
                    <w:bCs/>
                    <w:szCs w:val="24"/>
                  </w:rPr>
                  <w:t>5) kai padaryta žala aplinkai ir nesiimama veiksmų, užtikrinančių teršalų ir (ar) kitokių darančių žalą aplinkai veiksnių priežiūrą, sulaikymą, pašalinimą ar kitokį valdymą, duodamas privalomasis nurodymas užtikrinti teršalų ir (ar) kitokių darančių žalą aplinkai veiksnių priežiūrą, sulaikymą, pašalinimą ar kitokį valdymą;</w:t>
                </w:r>
              </w:p>
              <w:p>
                <w:pPr>
                  <w:widowControl w:val="0"/>
                  <w:suppressAutoHyphens/>
                  <w:snapToGrid w:val="0"/>
                  <w:spacing w:line="276" w:lineRule="auto"/>
                  <w:ind w:firstLine="720"/>
                  <w:jc w:val="both"/>
                  <w:rPr>
                    <w:b/>
                    <w:bCs/>
                    <w:szCs w:val="24"/>
                  </w:rPr>
                </w:pPr>
                <w:r>
                  <w:rPr>
                    <w:b/>
                    <w:bCs/>
                    <w:szCs w:val="24"/>
                  </w:rPr>
                  <w:t>6) kai atsiradus žalai aplinkai nevykdomos ar netinkamai vykdomos aplinkos atkūrimo priemonės, duodamas privalomasis nurodymas vykdyti ar tinkamai vykdyti aplinkos atkūrimo priemones;</w:t>
                </w:r>
              </w:p>
              <w:p>
                <w:pPr>
                  <w:widowControl w:val="0"/>
                  <w:suppressAutoHyphens/>
                  <w:snapToGrid w:val="0"/>
                  <w:spacing w:line="276" w:lineRule="auto"/>
                  <w:ind w:firstLine="720"/>
                  <w:jc w:val="both"/>
                  <w:rPr>
                    <w:rFonts w:eastAsia="Lucida Sans Unicode"/>
                    <w:b/>
                    <w:bCs/>
                  </w:rPr>
                </w:pPr>
                <w:r>
                  <w:rPr>
                    <w:b/>
                    <w:bCs/>
                    <w:szCs w:val="24"/>
                  </w:rPr>
                  <w:t>7) kai dėl asmens veikos kyla reali grėsmė, kad bus pažeisti aplinkos apsaugą ir gamtos išteklių naudojimą reglamentuojančių teisės aktų reikalavimai ir nesiimama veiksmų išvengti pažeidimo, duodamas privalomasis nurodymas imtis veiksmų išvengti pažeidimo;</w:t>
                </w:r>
                <w:r>
                  <w:rPr>
                    <w:rFonts w:eastAsia="Lucida Sans Unicode"/>
                    <w:b/>
                    <w:bCs/>
                  </w:rPr>
                  <w:t xml:space="preserve"> </w:t>
                </w:r>
              </w:p>
              <w:p>
                <w:pPr>
                  <w:widowControl w:val="0"/>
                  <w:suppressAutoHyphens/>
                  <w:snapToGrid w:val="0"/>
                  <w:jc w:val="both"/>
                  <w:rPr>
                    <w:rFonts w:eastAsia="Lucida Sans Unicode"/>
                    <w:b/>
                    <w:bCs/>
                  </w:rPr>
                </w:pPr>
                <w:r>
                  <w:rPr>
                    <w:rFonts w:eastAsia="Lucida Sans Unicode"/>
                    <w:b/>
                    <w:bCs/>
                  </w:rPr>
                  <w:t>&lt;...&gt;“</w:t>
                </w:r>
              </w:p>
              <w:p>
                <w:pPr>
                  <w:widowControl w:val="0"/>
                  <w:suppressAutoHyphens/>
                  <w:snapToGrid w:val="0"/>
                  <w:rPr>
                    <w:rFonts w:eastAsia="Lucida Sans Unicode"/>
                    <w:b/>
                    <w:bCs/>
                  </w:rPr>
                </w:pPr>
              </w:p>
              <w:p>
                <w:pPr>
                  <w:widowControl w:val="0"/>
                  <w:suppressAutoHyphens/>
                  <w:rPr>
                    <w:rFonts w:eastAsia="Lucida Sans Unicode"/>
                    <w:b/>
                    <w:bCs/>
                  </w:rPr>
                </w:pPr>
                <w:r>
                  <w:rPr>
                    <w:rFonts w:eastAsia="Lucida Sans Unicode"/>
                    <w:b/>
                    <w:bCs/>
                  </w:rPr>
                  <w:t>22 straipsnis</w:t>
                </w:r>
              </w:p>
              <w:p>
                <w:pPr>
                  <w:widowControl w:val="0"/>
                  <w:suppressAutoHyphens/>
                  <w:spacing w:line="276" w:lineRule="auto"/>
                  <w:ind w:firstLine="709"/>
                  <w:jc w:val="both"/>
                  <w:rPr>
                    <w:b/>
                    <w:bCs/>
                    <w:szCs w:val="24"/>
                  </w:rPr>
                </w:pPr>
                <w:r>
                  <w:rPr>
                    <w:b/>
                    <w:bCs/>
                    <w:color w:val="000000"/>
                  </w:rPr>
                  <w:t>„</w:t>
                </w:r>
                <w:r>
                  <w:rPr>
                    <w:b/>
                    <w:bCs/>
                    <w:szCs w:val="24"/>
                  </w:rPr>
                  <w:t>1. Privalomajame nurodyme turi būti šie duomenys:</w:t>
                </w:r>
              </w:p>
              <w:p>
                <w:pPr>
                  <w:widowControl w:val="0"/>
                  <w:suppressAutoHyphens/>
                  <w:spacing w:line="276" w:lineRule="auto"/>
                  <w:ind w:firstLine="709"/>
                  <w:jc w:val="both"/>
                  <w:rPr>
                    <w:b/>
                    <w:bCs/>
                    <w:szCs w:val="24"/>
                  </w:rPr>
                </w:pPr>
                <w:r>
                  <w:rPr>
                    <w:b/>
                    <w:bCs/>
                    <w:szCs w:val="24"/>
                  </w:rPr>
                  <w:t>1) aplinkos apsaugos valstybinės kontrolės pareigūno, duodančio privalomąjį nurodymą, vardas, pavardė, pareigos;</w:t>
                </w:r>
              </w:p>
              <w:p>
                <w:pPr>
                  <w:widowControl w:val="0"/>
                  <w:suppressAutoHyphens/>
                  <w:spacing w:line="276" w:lineRule="auto"/>
                  <w:ind w:firstLine="709"/>
                  <w:jc w:val="both"/>
                  <w:rPr>
                    <w:b/>
                    <w:bCs/>
                    <w:szCs w:val="24"/>
                  </w:rPr>
                </w:pPr>
                <w:r>
                  <w:rPr>
                    <w:b/>
                    <w:bCs/>
                    <w:szCs w:val="24"/>
                  </w:rPr>
                  <w:t>2) privalomojo nurodymo surašymo data ir vieta;</w:t>
                </w:r>
              </w:p>
              <w:p>
                <w:pPr>
                  <w:widowControl w:val="0"/>
                  <w:suppressAutoHyphens/>
                  <w:spacing w:line="276" w:lineRule="auto"/>
                  <w:ind w:firstLine="709"/>
                  <w:jc w:val="both"/>
                  <w:rPr>
                    <w:b/>
                    <w:bCs/>
                    <w:szCs w:val="24"/>
                  </w:rPr>
                </w:pPr>
                <w:r>
                  <w:rPr>
                    <w:b/>
                    <w:bCs/>
                    <w:szCs w:val="24"/>
                  </w:rPr>
                  <w:t>3) kam duodamas privalomasis nurodymas – juridinio asmens pavadinimas, juridinio asmens kodas, adresas, kontaktinė informacija. Jeigu privalomasis nurodymas duodamas fiziniam asmeniui, – jo vardas, pavardė, asmens kodas, gyvenamoji vieta, kontaktinė informacija;</w:t>
                </w:r>
              </w:p>
              <w:p>
                <w:pPr>
                  <w:widowControl w:val="0"/>
                  <w:suppressAutoHyphens/>
                  <w:spacing w:line="276" w:lineRule="auto"/>
                  <w:ind w:firstLine="709"/>
                  <w:jc w:val="both"/>
                  <w:rPr>
                    <w:b/>
                    <w:bCs/>
                    <w:szCs w:val="24"/>
                  </w:rPr>
                </w:pPr>
                <w:r>
                  <w:rPr>
                    <w:b/>
                    <w:bCs/>
                    <w:szCs w:val="24"/>
                  </w:rPr>
                  <w:t>4) privalomojo nurodymo davimo pagrindas – pažeisti aplinkos apsaugą ir (ar) gamtos išteklių naudojimą reglamentuojančių įstatymų ar kitų teisės aktų reikalavimai, veika, dėl kurios gali atsirasti pažeidimas, kitos nustatytos aplinkybės, pagrindžiančios privalomąjį nurodymą ;</w:t>
                </w:r>
              </w:p>
              <w:p>
                <w:pPr>
                  <w:widowControl w:val="0"/>
                  <w:suppressAutoHyphens/>
                  <w:spacing w:line="276" w:lineRule="auto"/>
                  <w:ind w:firstLine="709"/>
                  <w:jc w:val="both"/>
                  <w:rPr>
                    <w:b/>
                    <w:bCs/>
                    <w:szCs w:val="24"/>
                  </w:rPr>
                </w:pPr>
                <w:r>
                  <w:rPr>
                    <w:b/>
                    <w:bCs/>
                    <w:szCs w:val="24"/>
                  </w:rPr>
                  <w:t>5) kokius veiksmus turi atlikti asmuo, kuriam duodamas privalomasis nurodymas, per kokį terminą jis tai turi padaryti;</w:t>
                </w:r>
              </w:p>
              <w:p>
                <w:pPr>
                  <w:widowControl w:val="0"/>
                  <w:suppressAutoHyphens/>
                  <w:spacing w:line="276" w:lineRule="auto"/>
                  <w:ind w:firstLine="709"/>
                  <w:jc w:val="both"/>
                  <w:rPr>
                    <w:b/>
                    <w:bCs/>
                    <w:szCs w:val="24"/>
                  </w:rPr>
                </w:pPr>
                <w:r>
                  <w:rPr>
                    <w:b/>
                    <w:bCs/>
                    <w:szCs w:val="24"/>
                  </w:rPr>
                  <w:t>6) privalomojo nurodymo termino pratęsimo tvarka;</w:t>
                </w:r>
              </w:p>
              <w:p>
                <w:pPr>
                  <w:widowControl w:val="0"/>
                  <w:suppressAutoHyphens/>
                  <w:spacing w:line="276" w:lineRule="auto"/>
                  <w:ind w:firstLine="709"/>
                  <w:jc w:val="both"/>
                  <w:rPr>
                    <w:b/>
                    <w:bCs/>
                    <w:szCs w:val="24"/>
                  </w:rPr>
                </w:pPr>
                <w:r>
                  <w:rPr>
                    <w:b/>
                    <w:bCs/>
                    <w:szCs w:val="24"/>
                  </w:rPr>
                  <w:t>7) privalomojo nurodymo apskundimo tvarka;</w:t>
                </w:r>
              </w:p>
              <w:p>
                <w:pPr>
                  <w:widowControl w:val="0"/>
                  <w:suppressAutoHyphens/>
                  <w:spacing w:line="276" w:lineRule="auto"/>
                  <w:ind w:firstLine="709"/>
                  <w:jc w:val="both"/>
                  <w:rPr>
                    <w:b/>
                    <w:bCs/>
                    <w:szCs w:val="24"/>
                  </w:rPr>
                </w:pPr>
                <w:r>
                  <w:rPr>
                    <w:b/>
                    <w:bCs/>
                    <w:szCs w:val="24"/>
                  </w:rPr>
                  <w:t>8) informacija, kaip asmuo turi pranešti apie įvykdytą privalomąjį nurodymą;</w:t>
                </w:r>
              </w:p>
              <w:p>
                <w:pPr>
                  <w:widowControl w:val="0"/>
                  <w:suppressAutoHyphens/>
                  <w:spacing w:line="276" w:lineRule="auto"/>
                  <w:ind w:firstLine="709"/>
                  <w:jc w:val="both"/>
                  <w:rPr>
                    <w:b/>
                    <w:bCs/>
                    <w:szCs w:val="24"/>
                  </w:rPr>
                </w:pPr>
                <w:r>
                  <w:rPr>
                    <w:b/>
                    <w:bCs/>
                    <w:szCs w:val="24"/>
                  </w:rPr>
                  <w:t>9) atsakomybė už privalomojo nurodymo neįvykdymą;</w:t>
                </w:r>
              </w:p>
              <w:p>
                <w:pPr>
                  <w:widowControl w:val="0"/>
                  <w:suppressAutoHyphens/>
                  <w:spacing w:line="276" w:lineRule="auto"/>
                  <w:ind w:firstLine="709"/>
                  <w:jc w:val="both"/>
                  <w:rPr>
                    <w:b/>
                    <w:bCs/>
                    <w:szCs w:val="24"/>
                  </w:rPr>
                </w:pPr>
                <w:r>
                  <w:rPr>
                    <w:b/>
                    <w:bCs/>
                    <w:szCs w:val="24"/>
                  </w:rPr>
                  <w:t>10) kita reikalinga informacija.</w:t>
                </w:r>
              </w:p>
              <w:p>
                <w:pPr>
                  <w:widowControl w:val="0"/>
                  <w:suppressAutoHyphens/>
                  <w:spacing w:line="276" w:lineRule="auto"/>
                  <w:ind w:firstLine="709"/>
                  <w:jc w:val="both"/>
                  <w:rPr>
                    <w:b/>
                    <w:bCs/>
                  </w:rPr>
                </w:pPr>
                <w:r>
                  <w:rPr>
                    <w:b/>
                    <w:bCs/>
                    <w:szCs w:val="24"/>
                  </w:rPr>
                  <w:t>2. Privalomojo nurodymo formą ir jos pildymo reikalavimų, privalomojo nurodymo davimo, įteikimo, įvykdymo termino nustatymo, įvykdymo termino pratęsimo ir įvykdymo priežiūros tvarkos aprašą tvirtina aplinkos apsaugos valstybinę priežiūrą atliekančios institucijos vadovas.</w:t>
                </w:r>
                <w:r>
                  <w:rPr>
                    <w:b/>
                    <w:bCs/>
                    <w:color w:val="000000"/>
                  </w:rPr>
                  <w:t>“</w:t>
                </w:r>
              </w:p>
              <w:p>
                <w:pPr>
                  <w:widowControl w:val="0"/>
                  <w:suppressAutoHyphens/>
                  <w:snapToGrid w:val="0"/>
                  <w:rPr>
                    <w:rFonts w:eastAsia="Lucida Sans Unicode"/>
                  </w:rPr>
                </w:pPr>
              </w:p>
              <w:p>
                <w:pPr>
                  <w:widowControl w:val="0"/>
                  <w:suppressAutoHyphens/>
                  <w:rPr>
                    <w:rFonts w:eastAsia="Lucida Sans Unicode"/>
                    <w:b/>
                    <w:bCs/>
                  </w:rPr>
                </w:pPr>
                <w:r>
                  <w:rPr>
                    <w:rFonts w:eastAsia="Lucida Sans Unicode"/>
                    <w:b/>
                    <w:bCs/>
                  </w:rPr>
                  <w:t>23 straipsnio 5 dalis</w:t>
                </w:r>
              </w:p>
              <w:p>
                <w:pPr>
                  <w:widowControl w:val="0"/>
                  <w:suppressAutoHyphens/>
                  <w:snapToGrid w:val="0"/>
                  <w:jc w:val="both"/>
                  <w:rPr>
                    <w:rFonts w:eastAsia="Lucida Sans Unicode"/>
                    <w:b/>
                    <w:bCs/>
                  </w:rPr>
                </w:pPr>
                <w:r>
                  <w:rPr>
                    <w:rFonts w:eastAsia="Lucida Sans Unicode"/>
                    <w:b/>
                    <w:bCs/>
                  </w:rPr>
                  <w:t>„&lt;...&gt;</w:t>
                </w:r>
              </w:p>
              <w:p>
                <w:pPr>
                  <w:widowControl w:val="0"/>
                  <w:suppressAutoHyphens/>
                  <w:jc w:val="both"/>
                  <w:rPr>
                    <w:rFonts w:eastAsia="Lucida Sans Unicode"/>
                    <w:b/>
                    <w:bCs/>
                  </w:rPr>
                </w:pPr>
                <w:r>
                  <w:rPr>
                    <w:rFonts w:eastAsia="Lucida Sans Unicode"/>
                    <w:b/>
                    <w:bCs/>
                    <w:lang w:bidi="en-US"/>
                  </w:rPr>
                  <w:t xml:space="preserve">5. </w:t>
                </w:r>
                <w:r>
                  <w:rPr>
                    <w:b/>
                    <w:bCs/>
                    <w:color w:val="000000"/>
                    <w:szCs w:val="24"/>
                  </w:rPr>
                  <w:t>Privalomojo nurodymo dėl aplinkos atkūrimo priemonių įvykdymo terminai skiriami atsižvelgiant į nustatytus atkūrimo priemonių įgyvendinimo terminus.</w:t>
                </w:r>
                <w:r>
                  <w:rPr>
                    <w:rFonts w:eastAsia="Lucida Sans Unicode"/>
                    <w:b/>
                    <w:bCs/>
                  </w:rPr>
                  <w:t>“</w:t>
                </w:r>
              </w:p>
              <w:p>
                <w:pPr>
                  <w:widowControl w:val="0"/>
                  <w:suppressAutoHyphens/>
                  <w:snapToGrid w:val="0"/>
                  <w:rPr>
                    <w:rFonts w:eastAsia="Lucida Sans Unicode"/>
                    <w:b/>
                    <w:bCs/>
                  </w:rPr>
                </w:pPr>
              </w:p>
              <w:p>
                <w:pPr>
                  <w:widowControl w:val="0"/>
                  <w:suppressAutoHyphens/>
                  <w:rPr>
                    <w:rFonts w:eastAsia="Lucida Sans Unicode"/>
                    <w:b/>
                    <w:bCs/>
                  </w:rPr>
                </w:pPr>
                <w:r>
                  <w:rPr>
                    <w:rFonts w:eastAsia="Lucida Sans Unicode"/>
                    <w:b/>
                    <w:bCs/>
                  </w:rPr>
                  <w:t>25 straipsnis</w:t>
                </w:r>
              </w:p>
              <w:p>
                <w:pPr>
                  <w:widowControl w:val="0"/>
                  <w:suppressAutoHyphens/>
                  <w:spacing w:line="276" w:lineRule="auto"/>
                  <w:ind w:firstLine="720"/>
                  <w:jc w:val="both"/>
                  <w:rPr>
                    <w:b/>
                    <w:bCs/>
                    <w:szCs w:val="24"/>
                  </w:rPr>
                </w:pPr>
                <w:r>
                  <w:rPr>
                    <w:b/>
                    <w:bCs/>
                    <w:color w:val="000000"/>
                  </w:rPr>
                  <w:t>„</w:t>
                </w:r>
                <w:r>
                  <w:rPr>
                    <w:b/>
                    <w:bCs/>
                    <w:szCs w:val="24"/>
                  </w:rPr>
                  <w:t>1. Apie privalomojo nurodymo reikalavimų įvykdymą asmuo ne vėliau kaip per 3 darbo dienas nuo įvykdymo informuoja aplinkos apsaugos valstybinę priežiūrą atliekančią instituciją ar jos įgaliotą asmenį privalomajame nurodyme nurodytu būdu.</w:t>
                </w:r>
              </w:p>
              <w:p>
                <w:pPr>
                  <w:spacing w:line="276" w:lineRule="auto"/>
                  <w:ind w:firstLine="720"/>
                  <w:jc w:val="both"/>
                  <w:rPr>
                    <w:b/>
                    <w:bCs/>
                    <w:color w:val="000000"/>
                    <w:szCs w:val="24"/>
                    <w:lang w:eastAsia="lt-LT"/>
                  </w:rPr>
                </w:pPr>
                <w:r>
                  <w:rPr>
                    <w:b/>
                    <w:bCs/>
                    <w:szCs w:val="24"/>
                    <w:lang w:eastAsia="lt-LT"/>
                  </w:rPr>
                  <w:t>2. Aplinkos apsaugos valstybinę priežiūrą atliekanti institucija ar jos įgaliotas asmuo privalomajame nurodyme nurodytu būdu gavusi informaciją apie privalomojo nurodymo įvykdymą iki jo įvykdymo termino pabaigos arba suėjus nurodyto privalomojo nurodymo įvykdymo terminui, ne vėliau kaip per 10 darbo dienų atitinkamai nuo šios informacijos gavimo dienos arba nuo privalomojo nurodymo įvykdymo termino pabaigos aplinkos apsaugos valstybinę priežiūrą atliekančios institucijos vadovo nustatyta tvarka patikrina, ar privalomasis nurodymas įvykdytas tinkamai.</w:t>
                </w:r>
                <w:r>
                  <w:rPr>
                    <w:b/>
                    <w:bCs/>
                    <w:color w:val="000000"/>
                    <w:szCs w:val="24"/>
                    <w:lang w:eastAsia="lt-LT"/>
                  </w:rPr>
                  <w:t>“</w:t>
                </w:r>
              </w:p>
              <w:p>
                <w:pPr>
                  <w:widowControl w:val="0"/>
                  <w:suppressAutoHyphens/>
                  <w:snapToGrid w:val="0"/>
                  <w:rPr>
                    <w:rFonts w:eastAsia="Lucida Sans Unicode"/>
                  </w:rPr>
                </w:pPr>
              </w:p>
              <w:p>
                <w:pPr>
                  <w:widowControl w:val="0"/>
                  <w:suppressAutoHyphens/>
                  <w:rPr>
                    <w:rFonts w:eastAsia="Lucida Sans Unicode"/>
                    <w:b/>
                    <w:bCs/>
                  </w:rPr>
                </w:pPr>
                <w:r>
                  <w:rPr>
                    <w:rFonts w:eastAsia="Lucida Sans Unicode"/>
                    <w:b/>
                    <w:bCs/>
                  </w:rPr>
                  <w:t>26 straipsnis</w:t>
                </w:r>
              </w:p>
              <w:p>
                <w:pPr>
                  <w:widowControl w:val="0"/>
                  <w:suppressAutoHyphens/>
                  <w:spacing w:line="276" w:lineRule="auto"/>
                  <w:ind w:firstLine="720"/>
                  <w:jc w:val="both"/>
                  <w:rPr>
                    <w:b/>
                    <w:bCs/>
                    <w:szCs w:val="24"/>
                  </w:rPr>
                </w:pPr>
                <w:r>
                  <w:rPr>
                    <w:rFonts w:eastAsia="Lucida Sans Unicode"/>
                    <w:b/>
                    <w:bCs/>
                  </w:rPr>
                  <w:t>„</w:t>
                </w:r>
                <w:r>
                  <w:rPr>
                    <w:b/>
                    <w:bCs/>
                    <w:szCs w:val="24"/>
                  </w:rPr>
                  <w:t>1. Asmuo per 10 darbo dienų nuo privalomojo nurodymo įteikimo dienos turi teisę pateikti skundą dėl jam duoto privalomojo nurodymo aplinkos apsaugos valstybinę priežiūrą atliekančiai institucijai Viešojo administravimo įstatyme numatytais būdais.</w:t>
                </w:r>
              </w:p>
              <w:p>
                <w:pPr>
                  <w:widowControl w:val="0"/>
                  <w:suppressAutoHyphens/>
                  <w:spacing w:line="276" w:lineRule="auto"/>
                  <w:ind w:firstLine="709"/>
                  <w:jc w:val="both"/>
                  <w:rPr>
                    <w:b/>
                    <w:bCs/>
                    <w:szCs w:val="24"/>
                  </w:rPr>
                </w:pPr>
                <w:r>
                  <w:rPr>
                    <w:b/>
                    <w:bCs/>
                    <w:szCs w:val="24"/>
                  </w:rPr>
                  <w:t>2. Aplinkos apsaugos valstybinę priežiūrą atliekančiai institucijai pateiktas skundas dėl privalomojo nurodymo išnagrinėjamas per 10 darbo dienų</w:t>
                </w:r>
                <w:r>
                  <w:rPr>
                    <w:b/>
                    <w:bCs/>
                    <w:i/>
                    <w:iCs/>
                    <w:szCs w:val="24"/>
                  </w:rPr>
                  <w:t xml:space="preserve"> </w:t>
                </w:r>
                <w:r>
                  <w:rPr>
                    <w:b/>
                    <w:bCs/>
                    <w:szCs w:val="24"/>
                  </w:rPr>
                  <w:t>nuo skundo gavimo aplinkos apsaugos valstybinę priežiūrą atliekančioje institucijoje dienos ir ne vėliau kaip per 3 darbo dienas nuo administracinio sprendimo priėmimo dienos Viešojo administravimo įstatyme numatyta tvarka pranešama skundą padavusiam asmeniui apie priimtą administracinį sprendimą.</w:t>
                </w:r>
              </w:p>
              <w:p>
                <w:pPr>
                  <w:widowControl w:val="0"/>
                  <w:suppressAutoHyphens/>
                  <w:spacing w:line="276" w:lineRule="auto"/>
                  <w:ind w:firstLine="720"/>
                  <w:jc w:val="both"/>
                  <w:rPr>
                    <w:b/>
                    <w:bCs/>
                    <w:szCs w:val="24"/>
                  </w:rPr>
                </w:pPr>
                <w:r>
                  <w:rPr>
                    <w:b/>
                    <w:bCs/>
                    <w:szCs w:val="24"/>
                  </w:rPr>
                  <w:t>3. Aplinkos apsaugos valstybinę priežiūrą atliekanti institucija išnagrinėjusi skundą priima vieną iš šių sprendimų:</w:t>
                </w:r>
              </w:p>
              <w:p>
                <w:pPr>
                  <w:widowControl w:val="0"/>
                  <w:suppressAutoHyphens/>
                  <w:spacing w:line="276" w:lineRule="auto"/>
                  <w:ind w:firstLine="720"/>
                  <w:jc w:val="both"/>
                  <w:rPr>
                    <w:b/>
                    <w:bCs/>
                    <w:szCs w:val="24"/>
                  </w:rPr>
                </w:pPr>
                <w:r>
                  <w:rPr>
                    <w:b/>
                    <w:bCs/>
                    <w:szCs w:val="24"/>
                  </w:rPr>
                  <w:t>1) privalomąjį nurodymą palieka nepakeistą;</w:t>
                </w:r>
              </w:p>
              <w:p>
                <w:pPr>
                  <w:widowControl w:val="0"/>
                  <w:suppressAutoHyphens/>
                  <w:spacing w:line="276" w:lineRule="auto"/>
                  <w:ind w:firstLine="720"/>
                  <w:jc w:val="both"/>
                  <w:rPr>
                    <w:b/>
                    <w:bCs/>
                    <w:szCs w:val="24"/>
                  </w:rPr>
                </w:pPr>
                <w:r>
                  <w:rPr>
                    <w:b/>
                    <w:bCs/>
                    <w:szCs w:val="24"/>
                  </w:rPr>
                  <w:t xml:space="preserve">2) privalomąjį nurodymą pakeičia iš dalies sumažindama jame nustatytus reikalavimus arba nustatydama kitus jo įvykdymo terminus. Aplinkos apsaugos valstybinę priežiūrą atliekanti institucija, nustatydama kitus privalomojo nurodymo įvykdymo terminus, </w:t>
                </w:r>
                <w:r>
                  <w:rPr>
                    <w:b/>
                    <w:bCs/>
                    <w:i/>
                    <w:iCs/>
                    <w:szCs w:val="24"/>
                  </w:rPr>
                  <w:t>mutatis mutandis</w:t>
                </w:r>
                <w:r>
                  <w:rPr>
                    <w:b/>
                    <w:bCs/>
                    <w:szCs w:val="24"/>
                  </w:rPr>
                  <w:t xml:space="preserve"> vadovaujasi šio įstatymo 23 straipsnio nuostatomis;</w:t>
                </w:r>
              </w:p>
              <w:p>
                <w:pPr>
                  <w:widowControl w:val="0"/>
                  <w:suppressAutoHyphens/>
                  <w:spacing w:line="276" w:lineRule="auto"/>
                  <w:ind w:firstLine="720"/>
                  <w:jc w:val="both"/>
                  <w:rPr>
                    <w:b/>
                    <w:bCs/>
                    <w:szCs w:val="24"/>
                  </w:rPr>
                </w:pPr>
                <w:r>
                  <w:rPr>
                    <w:b/>
                    <w:bCs/>
                    <w:szCs w:val="24"/>
                  </w:rPr>
                  <w:t>3) privalomąjį nurodymą pripažįsta netekusiu galios ir paveda jį priėmusiam pareigūnui pateikti iš naujo;</w:t>
                </w:r>
              </w:p>
              <w:p>
                <w:pPr>
                  <w:widowControl w:val="0"/>
                  <w:suppressAutoHyphens/>
                  <w:spacing w:line="276" w:lineRule="auto"/>
                  <w:ind w:firstLine="720"/>
                  <w:jc w:val="both"/>
                  <w:rPr>
                    <w:b/>
                    <w:bCs/>
                    <w:szCs w:val="24"/>
                  </w:rPr>
                </w:pPr>
                <w:r>
                  <w:rPr>
                    <w:b/>
                    <w:bCs/>
                    <w:szCs w:val="24"/>
                  </w:rPr>
                  <w:t>4) privalomąjį nurodymą pripažįsta netekusiu galios.</w:t>
                </w:r>
              </w:p>
              <w:p>
                <w:pPr>
                  <w:widowControl w:val="0"/>
                  <w:suppressAutoHyphens/>
                  <w:spacing w:line="276" w:lineRule="auto"/>
                  <w:ind w:firstLine="720"/>
                  <w:jc w:val="both"/>
                  <w:rPr>
                    <w:b/>
                    <w:bCs/>
                    <w:szCs w:val="24"/>
                  </w:rPr>
                </w:pPr>
                <w:r>
                  <w:rPr>
                    <w:b/>
                    <w:bCs/>
                    <w:szCs w:val="24"/>
                  </w:rPr>
                  <w:t xml:space="preserve">4. Aplinkos apsaugos valstybinę priežiūrą atliekančios institucijos sprendimas dėl privalomojo nurodymo gali būti skundžiamas  Viešojo administravimo įstatyme nustatyta tvarka .</w:t>
                </w:r>
              </w:p>
              <w:p>
                <w:pPr>
                  <w:widowControl w:val="0"/>
                  <w:suppressAutoHyphens/>
                  <w:spacing w:line="276" w:lineRule="auto"/>
                  <w:ind w:firstLine="720"/>
                  <w:jc w:val="both"/>
                  <w:rPr>
                    <w:b/>
                    <w:bCs/>
                    <w:szCs w:val="24"/>
                  </w:rPr>
                </w:pPr>
                <w:r>
                  <w:rPr>
                    <w:b/>
                    <w:bCs/>
                    <w:szCs w:val="24"/>
                  </w:rPr>
                  <w:t xml:space="preserve">5. Skundo padavimas nesustabdo privalomojo nurodymo vykdymo. </w:t>
                </w:r>
              </w:p>
              <w:p>
                <w:pPr>
                  <w:widowControl w:val="0"/>
                  <w:suppressAutoHyphens/>
                  <w:spacing w:line="276" w:lineRule="auto"/>
                  <w:ind w:firstLine="720"/>
                  <w:jc w:val="both"/>
                  <w:rPr>
                    <w:b/>
                    <w:bCs/>
                    <w:color w:val="000000"/>
                    <w:szCs w:val="24"/>
                  </w:rPr>
                </w:pPr>
                <w:r>
                  <w:rPr>
                    <w:b/>
                    <w:bCs/>
                    <w:szCs w:val="24"/>
                  </w:rPr>
                  <w:t>6. Aplinkos apsaugos valstybinę priežiūrą atliekanti institucija, paaiškėjus naujoms aplinkybėms, gali privalomąjį nurodymą pripažinti netekusiu galios, taip pat gali savo iniciatyva pripažinti netekusiu galios neteisėtą privalomąjį nurodymą. Apie priimtą sprendimą privaloma informuoti asmenį per 3 darbo dienas, kuriam duotas privalomasis nurodymas.</w:t>
                </w:r>
                <w:r>
                  <w:rPr>
                    <w:b/>
                    <w:bCs/>
                    <w:color w:val="000000"/>
                    <w:szCs w:val="24"/>
                  </w:rPr>
                  <w:t>”</w:t>
                </w:r>
              </w:p>
              <w:p>
                <w:pPr>
                  <w:widowControl w:val="0"/>
                  <w:suppressAutoHyphens/>
                  <w:snapToGrid w:val="0"/>
                  <w:rPr>
                    <w:rFonts w:eastAsia="Lucida Sans Unicode"/>
                    <w:b/>
                    <w:bCs/>
                  </w:rPr>
                </w:pPr>
              </w:p>
              <w:p>
                <w:pPr>
                  <w:rPr>
                    <w:rFonts w:eastAsia="Calibri"/>
                    <w:b/>
                    <w:bCs/>
                    <w:szCs w:val="24"/>
                    <w:lang w:eastAsia="lt-LT"/>
                  </w:rPr>
                </w:pPr>
                <w:r>
                  <w:rPr>
                    <w:rFonts w:eastAsia="Calibri"/>
                    <w:b/>
                    <w:bCs/>
                    <w:szCs w:val="24"/>
                    <w:lang w:eastAsia="lt-LT"/>
                  </w:rPr>
                  <w:t>26 straipsnis</w:t>
                </w:r>
              </w:p>
              <w:p>
                <w:pPr>
                  <w:widowControl w:val="0"/>
                  <w:suppressAutoHyphens/>
                  <w:spacing w:line="276" w:lineRule="auto"/>
                  <w:ind w:firstLine="720"/>
                  <w:jc w:val="both"/>
                  <w:rPr>
                    <w:b/>
                    <w:bCs/>
                    <w:szCs w:val="24"/>
                  </w:rPr>
                </w:pPr>
                <w:r>
                  <w:rPr>
                    <w:b/>
                    <w:bCs/>
                    <w:color w:val="000000"/>
                    <w:szCs w:val="24"/>
                  </w:rPr>
                  <w:t>„</w:t>
                </w:r>
                <w:r>
                  <w:rPr>
                    <w:b/>
                    <w:bCs/>
                    <w:szCs w:val="24"/>
                  </w:rPr>
                  <w:t>1. Asmuo per 10 darbo dienų nuo privalomojo nurodymo įteikimo dienos turi teisę pateikti skundą dėl jam duoto privalomojo nurodymo aplinkos apsaugos valstybinę priežiūrą atliekančiai institucijai Viešojo administravimo įstatyme numatytais būdais.</w:t>
                </w:r>
              </w:p>
              <w:p>
                <w:pPr>
                  <w:widowControl w:val="0"/>
                  <w:suppressAutoHyphens/>
                  <w:spacing w:line="276" w:lineRule="auto"/>
                  <w:ind w:firstLine="709"/>
                  <w:jc w:val="both"/>
                  <w:rPr>
                    <w:rFonts w:eastAsia="Lucida Sans Unicode"/>
                    <w:b/>
                    <w:bCs/>
                  </w:rPr>
                </w:pPr>
                <w:r>
                  <w:rPr>
                    <w:b/>
                    <w:bCs/>
                    <w:szCs w:val="24"/>
                  </w:rPr>
                  <w:t>2. Aplinkos apsaugos valstybinę priežiūrą atliekančiai institucijai pateiktas skundas dėl privalomojo nurodymo išnagrinėjamas per 10 darbo dienų</w:t>
                </w:r>
                <w:r>
                  <w:rPr>
                    <w:b/>
                    <w:bCs/>
                    <w:i/>
                    <w:iCs/>
                    <w:szCs w:val="24"/>
                  </w:rPr>
                  <w:t xml:space="preserve"> </w:t>
                </w:r>
                <w:r>
                  <w:rPr>
                    <w:b/>
                    <w:bCs/>
                    <w:szCs w:val="24"/>
                  </w:rPr>
                  <w:t>nuo skundo gavimo aplinkos apsaugos valstybinę priežiūrą atliekančioje institucijoje dienos ir ne vėliau kaip per 3 darbo dienas nuo administracinio sprendimo priėmimo dienos Viešojo administravimo įstatyme numatyta tvarka pranešama skundą padavusiam asmeniui apie priimtą administracinį sprendimą</w:t>
                </w:r>
                <w:r>
                  <w:rPr>
                    <w:b/>
                    <w:bCs/>
                    <w:color w:val="000000"/>
                    <w:szCs w:val="24"/>
                  </w:rPr>
                  <w:t>.</w:t>
                </w:r>
                <w:r>
                  <w:rPr>
                    <w:b/>
                    <w:bCs/>
                    <w:color w:val="000000"/>
                  </w:rPr>
                  <w:t>“</w:t>
                </w:r>
              </w:p>
              <w:p>
                <w:pPr>
                  <w:widowControl w:val="0"/>
                  <w:suppressAutoHyphens/>
                  <w:jc w:val="both"/>
                  <w:rPr>
                    <w:rFonts w:eastAsia="Lucida Sans Unicode"/>
                    <w:szCs w:val="24"/>
                  </w:rPr>
                </w:pPr>
              </w:p>
            </w:tc>
            <w:tc>
              <w:tcPr>
                <w:tcW w:w="1843" w:type="dxa"/>
                <w:tcBorders>
                  <w:left w:val="single" w:sz="4" w:space="0" w:color="000000" w:themeColor="text1"/>
                  <w:bottom w:val="single" w:sz="4" w:space="0" w:color="000000" w:themeColor="text1"/>
                  <w:right w:val="single" w:sz="4" w:space="0" w:color="000000" w:themeColor="text1"/>
                </w:tcBorders>
              </w:tcPr>
              <w:p>
                <w:pPr>
                  <w:widowControl w:val="0"/>
                  <w:suppressAutoHyphens/>
                  <w:snapToGrid w:val="0"/>
                  <w:rPr>
                    <w:rFonts w:eastAsia="Lucida Sans Unicode"/>
                  </w:rPr>
                </w:pPr>
                <w:r>
                  <w:rPr>
                    <w:rFonts w:eastAsia="Lucida Sans Unicode"/>
                  </w:rPr>
                  <w:t>Dalinis</w:t>
                </w:r>
              </w:p>
              <w:p>
                <w:pPr>
                  <w:widowControl w:val="0"/>
                  <w:suppressAutoHyphens/>
                  <w:snapToGrid w:val="0"/>
                  <w:spacing w:line="259" w:lineRule="auto"/>
                  <w:rPr>
                    <w:szCs w:val="24"/>
                  </w:rPr>
                </w:pPr>
                <w:r>
                  <w:rPr>
                    <w:szCs w:val="24"/>
                  </w:rPr>
                  <w:t>Atsakinga institucija – Aplinkos ministerija</w:t>
                </w:r>
              </w:p>
              <w:p>
                <w:pPr>
                  <w:widowControl w:val="0"/>
                  <w:suppressAutoHyphens/>
                  <w:snapToGrid w:val="0"/>
                  <w:rPr>
                    <w:rFonts w:eastAsia="Lucida Sans Unicode"/>
                  </w:rPr>
                </w:pPr>
              </w:p>
            </w:tc>
          </w:tr>
          <w:tr>
            <w:tc>
              <w:tcPr>
                <w:tcW w:w="7126" w:type="dxa"/>
                <w:tcBorders>
                  <w:left w:val="single" w:sz="4" w:space="0" w:color="000000" w:themeColor="text1"/>
                  <w:bottom w:val="single" w:sz="4" w:space="0" w:color="000000" w:themeColor="text1"/>
                </w:tcBorders>
              </w:tcPr>
              <w:p>
                <w:pPr>
                  <w:widowControl w:val="0"/>
                  <w:suppressAutoHyphens/>
                  <w:snapToGrid w:val="0"/>
                  <w:jc w:val="center"/>
                  <w:rPr>
                    <w:rFonts w:eastAsia="Lucida Sans Unicode"/>
                    <w:i/>
                    <w:iCs/>
                  </w:rPr>
                </w:pPr>
                <w:r>
                  <w:rPr>
                    <w:rFonts w:eastAsia="Lucida Sans Unicode"/>
                    <w:i/>
                    <w:iCs/>
                  </w:rPr>
                  <w:t>19 straipsnis</w:t>
                </w:r>
              </w:p>
              <w:p>
                <w:pPr>
                  <w:keepNext/>
                  <w:widowControl w:val="0"/>
                  <w:suppressAutoHyphens/>
                  <w:jc w:val="center"/>
                  <w:outlineLvl w:val="1"/>
                  <w:rPr>
                    <w:rFonts w:eastAsia="Lucida Sans Unicode"/>
                    <w:b/>
                    <w:bCs/>
                    <w:szCs w:val="36"/>
                  </w:rPr>
                </w:pPr>
                <w:r>
                  <w:rPr>
                    <w:rFonts w:eastAsia="Lucida Sans Unicode"/>
                    <w:b/>
                    <w:bCs/>
                    <w:szCs w:val="36"/>
                  </w:rPr>
                  <w:t>Įgyvendinimas</w:t>
                </w:r>
              </w:p>
              <w:p>
                <w:pPr>
                  <w:suppressAutoHyphens/>
                  <w:jc w:val="both"/>
                  <w:rPr>
                    <w:bCs/>
                  </w:rPr>
                </w:pPr>
                <w:r>
                  <w:rPr>
                    <w:rFonts w:ascii="TimesLT" w:hAnsi="TimesLT"/>
                    <w:bCs/>
                  </w:rPr>
                  <w:t>1.</w:t>
                  <w:tab/>
                </w:r>
                <w:r>
                  <w:rPr>
                    <w:bCs/>
                  </w:rPr>
                  <w:t>Valstybės Narės priima įstatymus ir kitus teisės aktus, kurie, įsigalioję iki 2007 m. balandžio 30 d., įgyvendina šią direktyvą. Jos nedelsdamos apie tai praneša Komisijai.</w:t>
                </w:r>
              </w:p>
              <w:p>
                <w:pPr>
                  <w:suppressAutoHyphens/>
                  <w:jc w:val="both"/>
                  <w:rPr>
                    <w:b/>
                  </w:rPr>
                </w:pPr>
              </w:p>
              <w:p>
                <w:pPr>
                  <w:widowControl w:val="0"/>
                  <w:suppressAutoHyphens/>
                  <w:jc w:val="both"/>
                  <w:rPr>
                    <w:kern w:val="1"/>
                    <w:lang w:eastAsia="ar-SA"/>
                  </w:rPr>
                </w:pPr>
                <w:r>
                  <w:rPr>
                    <w:kern w:val="1"/>
                    <w:lang w:eastAsia="ar-SA"/>
                  </w:rPr>
                  <w:t>Valstybės Narės, tvirtindamos šias priemones, daro jose nuorodą į šią direktyvą arba tokia nuoroda daroma jas oficialiai skelbiant. Nuorodos darymo tvarką nustato Valstybės Narės.</w:t>
                </w:r>
              </w:p>
              <w:p>
                <w:pPr>
                  <w:suppressAutoHyphens/>
                  <w:jc w:val="both"/>
                </w:pPr>
              </w:p>
              <w:p>
                <w:pPr>
                  <w:widowControl w:val="0"/>
                  <w:suppressAutoHyphens/>
                  <w:jc w:val="both"/>
                  <w:rPr>
                    <w:kern w:val="1"/>
                    <w:lang w:eastAsia="ar-SA"/>
                  </w:rPr>
                </w:pPr>
                <w:r>
                  <w:rPr>
                    <w:rFonts w:ascii="TimesLT" w:hAnsi="TimesLT"/>
                    <w:kern w:val="1"/>
                    <w:lang w:eastAsia="ar-SA"/>
                  </w:rPr>
                  <w:t>2.</w:t>
                  <w:tab/>
                </w:r>
                <w:r>
                  <w:rPr>
                    <w:kern w:val="1"/>
                    <w:lang w:eastAsia="ar-SA"/>
                  </w:rPr>
                  <w:t xml:space="preserve">Valstybės Narės pateikia Komisijai šios direktyvos taikymo srityje priimtų nacionalinės teisės aktų pagrindinių nuostatų tekstus  bei lentelę, parodančią, kaip šios direktyvos nuostatos atitinka priimtas nacionalines nuostatas.</w:t>
                </w:r>
              </w:p>
            </w:tc>
            <w:tc>
              <w:tcPr>
                <w:tcW w:w="7056" w:type="dxa"/>
                <w:tcBorders>
                  <w:left w:val="single" w:sz="4" w:space="0" w:color="000000" w:themeColor="text1"/>
                  <w:bottom w:val="single" w:sz="4" w:space="0" w:color="000000" w:themeColor="text1"/>
                </w:tcBorders>
              </w:tcPr>
              <w:p>
                <w:pPr>
                  <w:widowControl w:val="0"/>
                  <w:suppressAutoHyphens/>
                  <w:snapToGrid w:val="0"/>
                  <w:jc w:val="both"/>
                  <w:rPr>
                    <w:color w:val="000000"/>
                    <w:szCs w:val="24"/>
                  </w:rPr>
                </w:pPr>
                <w:r>
                  <w:rPr>
                    <w:b/>
                    <w:bCs/>
                    <w:color w:val="000000"/>
                    <w:szCs w:val="24"/>
                  </w:rPr>
                  <w:t>Projekto priedas „Įgyvendinamieji Europos Sąjungos teisės aktai“</w:t>
                </w:r>
              </w:p>
              <w:p>
                <w:pPr>
                  <w:widowControl w:val="0"/>
                  <w:suppressAutoHyphens/>
                  <w:snapToGrid w:val="0"/>
                  <w:jc w:val="both"/>
                  <w:rPr>
                    <w:color w:val="000000"/>
                    <w:szCs w:val="24"/>
                  </w:rPr>
                </w:pPr>
              </w:p>
              <w:p>
                <w:pPr>
                  <w:widowControl w:val="0"/>
                  <w:suppressAutoHyphens/>
                  <w:snapToGrid w:val="0"/>
                  <w:jc w:val="both"/>
                  <w:rPr>
                    <w:b/>
                    <w:bCs/>
                    <w:color w:val="000000"/>
                  </w:rPr>
                </w:pPr>
                <w:r>
                  <w:rPr>
                    <w:b/>
                    <w:bCs/>
                    <w:color w:val="000000"/>
                  </w:rPr>
                  <w:t>„&lt;...&gt;</w:t>
                </w:r>
              </w:p>
              <w:p>
                <w:pPr>
                  <w:widowControl w:val="0"/>
                  <w:suppressAutoHyphens/>
                  <w:snapToGrid w:val="0"/>
                  <w:jc w:val="both"/>
                  <w:rPr>
                    <w:b/>
                    <w:bCs/>
                    <w:color w:val="000000"/>
                  </w:rPr>
                </w:pPr>
                <w:r>
                  <w:rPr>
                    <w:b/>
                    <w:bCs/>
                    <w:color w:val="000000"/>
                    <w:lang w:eastAsia="ja-JP"/>
                  </w:rPr>
                  <w:t xml:space="preserve">3. 2005 m. rugsėjo 7 d. Europos Parlamento ir Tarybos direktyva </w:t>
                </w:r>
                <w:fldSimple w:instr="HYPERLINK http://eur-lex.europa.eu/legal-content/LIT/TXT/?uri=CELEX:32005L0035&amp;locale=lt \t _blank">
                  <w:r>
                    <w:rPr>
                      <w:b/>
                      <w:bCs/>
                      <w:color w:val="0000FF" w:themeColor="hyperlink"/>
                      <w:lang w:eastAsia="ja-JP"/>
                      <w:u w:val="single"/>
                    </w:rPr>
                    <w:t>2005/35/EB</w:t>
                  </w:r>
                </w:fldSimple>
                <w:r>
                  <w:rPr>
                    <w:b/>
                    <w:bCs/>
                    <w:color w:val="000000"/>
                    <w:lang w:eastAsia="ja-JP"/>
                  </w:rPr>
                  <w:t xml:space="preserve"> dėl taršos iš laivų ir sankcijų už pažeidimus įvedimo su pakeitimais, padarytais 2009 m. spalio 21 d. Europos Parlamento ir Tarybos direktyva </w:t>
                </w:r>
                <w:fldSimple w:instr="HYPERLINK http://eur-lex.europa.eu/legal-content/LIT/TXT/?uri=CELEX:32009L0123&amp;locale=lt \t _blank">
                  <w:r>
                    <w:rPr>
                      <w:b/>
                      <w:bCs/>
                      <w:color w:val="0000FF" w:themeColor="hyperlink"/>
                      <w:lang w:eastAsia="ja-JP"/>
                      <w:u w:val="single"/>
                    </w:rPr>
                    <w:t>2009/123/EB</w:t>
                  </w:r>
                </w:fldSimple>
                <w:r>
                  <w:rPr>
                    <w:b/>
                    <w:bCs/>
                    <w:color w:val="000000"/>
                    <w:lang w:eastAsia="ja-JP"/>
                  </w:rPr>
                  <w:t>.</w:t>
                </w:r>
              </w:p>
              <w:p>
                <w:pPr>
                  <w:widowControl w:val="0"/>
                  <w:suppressAutoHyphens/>
                  <w:snapToGrid w:val="0"/>
                  <w:jc w:val="both"/>
                  <w:rPr>
                    <w:b/>
                    <w:bCs/>
                    <w:color w:val="000000"/>
                  </w:rPr>
                </w:pPr>
                <w:r>
                  <w:rPr>
                    <w:b/>
                    <w:bCs/>
                    <w:color w:val="000000"/>
                  </w:rPr>
                  <w:t>.&lt;...&gt;.“</w:t>
                </w:r>
              </w:p>
              <w:p>
                <w:pPr>
                  <w:widowControl w:val="0"/>
                  <w:suppressAutoHyphens/>
                  <w:snapToGrid w:val="0"/>
                  <w:jc w:val="both"/>
                  <w:rPr>
                    <w:rFonts w:eastAsia="Lucida Sans Unicode"/>
                  </w:rPr>
                </w:pPr>
              </w:p>
            </w:tc>
            <w:tc>
              <w:tcPr>
                <w:tcW w:w="1843" w:type="dxa"/>
                <w:tcBorders>
                  <w:left w:val="single" w:sz="4" w:space="0" w:color="000000" w:themeColor="text1"/>
                  <w:bottom w:val="single" w:sz="4" w:space="0" w:color="000000" w:themeColor="text1"/>
                  <w:right w:val="single" w:sz="4" w:space="0" w:color="000000" w:themeColor="text1"/>
                </w:tcBorders>
              </w:tcPr>
              <w:p>
                <w:pPr>
                  <w:widowControl w:val="0"/>
                  <w:suppressAutoHyphens/>
                  <w:snapToGrid w:val="0"/>
                  <w:jc w:val="both"/>
                  <w:rPr>
                    <w:rFonts w:eastAsia="Lucida Sans Unicode"/>
                  </w:rPr>
                </w:pPr>
                <w:r>
                  <w:rPr>
                    <w:rFonts w:eastAsia="Lucida Sans Unicode"/>
                  </w:rPr>
                  <w:t>Dalinis</w:t>
                </w:r>
              </w:p>
              <w:p>
                <w:pPr>
                  <w:widowControl w:val="0"/>
                  <w:suppressAutoHyphens/>
                  <w:snapToGrid w:val="0"/>
                  <w:spacing w:line="259" w:lineRule="auto"/>
                  <w:rPr>
                    <w:szCs w:val="24"/>
                  </w:rPr>
                </w:pPr>
                <w:r>
                  <w:rPr>
                    <w:szCs w:val="24"/>
                  </w:rPr>
                  <w:t>Atsakinga institucija – Aplinkos ministerija</w:t>
                </w:r>
              </w:p>
              <w:p>
                <w:pPr>
                  <w:widowControl w:val="0"/>
                  <w:suppressAutoHyphens/>
                  <w:snapToGrid w:val="0"/>
                  <w:jc w:val="both"/>
                  <w:rPr>
                    <w:rFonts w:eastAsia="Lucida Sans Unicode"/>
                  </w:rPr>
                </w:pPr>
              </w:p>
            </w:tc>
          </w:tr>
        </w:tbl>
        <w:p/>
        <w:p>
          <w:pPr>
            <w:widowControl w:val="0"/>
            <w:suppressAutoHyphens/>
            <w:rPr>
              <w:rFonts w:eastAsia="Lucida Sans Unicode"/>
            </w:rPr>
          </w:pPr>
        </w:p>
        <w:p>
          <w:pPr>
            <w:widowControl w:val="0"/>
            <w:suppressAutoHyphens/>
            <w:rPr>
              <w:rFonts w:eastAsia="Lucida Sans Unicode"/>
            </w:rPr>
          </w:pPr>
        </w:p>
        <w:p>
          <w:pPr>
            <w:widowControl w:val="0"/>
            <w:suppressAutoHyphens/>
            <w:rPr>
              <w:rFonts w:eastAsia="Lucida Sans Unicode"/>
            </w:rPr>
          </w:pPr>
        </w:p>
      </w:sdtContent>
    </w:sdt>
    <w:sectPr>
      <w:headerReference w:type="even" r:id="rId10"/>
      <w:headerReference w:type="default" r:id="rId11"/>
      <w:footerReference w:type="even" r:id="rId12"/>
      <w:footerReference w:type="default" r:id="rId13"/>
      <w:headerReference w:type="first" r:id="rId14"/>
      <w:footerReference w:type="first" r:id="rId15"/>
      <w:pgSz w:w="16837" w:h="11905" w:orient="landscape"/>
      <w:pgMar w:top="1134" w:right="639" w:bottom="1134" w:left="627" w:header="720" w:footer="720"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Lucida Sans Unicode"/>
        </w:rPr>
      </w:pPr>
      <w:r>
        <w:rPr>
          <w:rFonts w:eastAsia="Lucida Sans Unicode"/>
        </w:rPr>
        <w:separator/>
      </w:r>
    </w:p>
  </w:endnote>
  <w:endnote w:type="continuationSeparator" w:id="0">
    <w:p>
      <w:pPr>
        <w:widowControl w:val="0"/>
        <w:suppressAutoHyphens/>
        <w:rPr>
          <w:rFonts w:eastAsia="Lucida Sans Unicode"/>
        </w:rPr>
      </w:pPr>
      <w:r>
        <w:rPr>
          <w:rFonts w:eastAsia="Lucida Sans Unicode"/>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10022FF" w:usb1="C000E47F" w:usb2="00000029" w:usb3="00000000" w:csb0="000001DF" w:csb1="00000000"/>
  </w:font>
  <w:font w:name="TimesLT">
    <w:altName w:val="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rPr>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rPr>
        <w:szCs w:val="24"/>
        <w:lang w:val="en-US"/>
      </w:rPr>
    </w:pPr>
    <w:r>
      <w:rPr>
        <w:szCs w:val="24"/>
        <w:lang w:val="en-US"/>
      </w:rPr>
      <mc:AlternateContent>
        <mc:Choice Requires="wps">
          <w:drawing>
            <wp:anchor distT="0" distB="0" distL="0" distR="0" simplePos="0" relativeHeight="251657216" behindDoc="0" locked="0" layoutInCell="1" allowOverlap="1" wp14:anchorId="43408A3C" wp14:editId="10071FCE">
              <wp:simplePos x="0" y="0"/>
              <wp:positionH relativeFrom="margin">
                <wp:align>center</wp:align>
              </wp:positionH>
              <wp:positionV relativeFrom="paragraph">
                <wp:posOffset>635</wp:posOffset>
              </wp:positionV>
              <wp:extent cx="76200" cy="168275"/>
              <wp:effectExtent l="0" t="635" r="0" b="2540"/>
              <wp:wrapSquare wrapText="largest"/>
              <wp:docPr id="11011195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16827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tabs>
                              <w:tab w:val="center" w:pos="4320"/>
                              <w:tab w:val="right" w:pos="8640"/>
                            </w:tabs>
                            <w:suppressAutoHyphens/>
                            <w:rPr>
                              <w:szCs w:val="24"/>
                              <w:lang w:val="en-US"/>
                            </w:rPr>
                          </w:pPr>
                          <w:r>
                            <w:rPr>
                              <w:szCs w:val="24"/>
                              <w:lang w:val="en-US"/>
                            </w:rPr>
                            <w:fldChar w:fldCharType="begin"/>
                          </w:r>
                          <w:r>
                            <w:rPr>
                              <w:szCs w:val="24"/>
                              <w:lang w:val="en-US"/>
                            </w:rPr>
                            <w:instrText xml:space="preserve"> PAGE </w:instrText>
                          </w:r>
                          <w:r>
                            <w:rPr>
                              <w:szCs w:val="24"/>
                              <w:lang w:val="en-US"/>
                            </w:rPr>
                            <w:fldChar w:fldCharType="separate"/>
                          </w:r>
                          <w:r>
                            <w:rPr>
                              <w:szCs w:val="24"/>
                              <w:lang w:val="en-US"/>
                            </w:rPr>
                            <w:t>2</w:t>
                          </w:r>
                          <w:r>
                            <w:rPr>
                              <w:szCs w:val="24"/>
                              <w:lang w:val="en-US"/>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408A3C" id="_x0000_t202" coordsize="21600,21600" o:spt="202" path="m,l,21600r21600,l21600,xe">
              <v:stroke joinstyle="miter"/>
              <v:path gradientshapeok="t" o:connecttype="rect"/>
            </v:shapetype>
            <v:shape id="Text Box 1" o:spid="_x0000_s1026" type="#_x0000_t202" style="position:absolute;margin-left:0;margin-top:.05pt;width:6pt;height:13.25pt;z-index:251657216;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MRhWOjwIAACIFAAAOAAAAZHJzL2Uyb0RvYy54bWysVNuO2yAQfa/Uf0C8Z21HzsXWOqvdpKkq bS/Sbj+AYByjYqBAYm+r/fcOEGc37UtV1Q94gOFwZuYM1zdDJ9CRGcuVrHB2lWLEJFU1l/sKf33c TpYYWUdkTYSSrMJPzOKb1ds3170u2VS1StTMIACRtux1hVvndJkklrasI/ZKaSZhs1GmIw6mZp/U hvSA3olkmqbzpFem1kZRZi2sbuImXgX8pmHUfW4ayxwSFQZuLowmjDs/JqtrUu4N0S2nJxrkH1h0 hEu49Ay1IY6gg+F/QHWcGmVV466o6hLVNJyyEANEk6W/RfPQEs1CLJAcq89psv8Pln46fjGI11C7 LM2yrJjNMJKkg1I9ssGhOzWgzGep17YE5wcN7m6AZTgRIrb6XtFvFkm1boncs1tjVN8yUgPLcDJ5 dTTiWA+y6z+qGq4hB6cC0NCYzqcQkoIAHar1dK6Qp0JhcTGHomNEYSebL6eLmaeWkHI8q41175nq kDcqbKD+AZsc762LrqOLv8oqwestFyJMzH63FgYdCWhlG754VuiWxNWgF7jORtdw9QWGkB5JKo8Z r4srwB8I+D0fSRDGzyKb5undtJhs58vFJN/ms0mxSJeTNCvuinmaF/lm++wZZHnZ8rpm8p5LNoo0 y/9OBKd2ifIKMkV9hYvZdBaCu2B/CusUa+q/U34v3DruoGcF7yq8PDuR0tf8nawhbFI6wkW0k0v6 IWWQg/EfshIU4kUR5eGG3QAoXjY7VT+BVoyCYkLd4aEBo1XmB0Y9NG2F7fcDMQwj8UGC3nyHj4YZ jd1oEEnhaIUdRtFcu/gSHLTh+xaQo6KlugVNNjwI5oUFUPYTaMRA/vRo+E5/PQ9eL0/b6hcAAAD/ /wMAUEsDBBQABgAIAAAAIQB78nX+1wAAAAMBAAAPAAAAZHJzL2Rvd25yZXYueG1sTI/BTsMwEETv SPyDtUjcqEOQQhuyqdoiuCLSSr268TaOEq+j2G3D3+Oc4Dg7q5k3xXqyvbjS6FvHCM+LBARx7XTL DcJh//G0BOGDYq16x4TwQx7W5f1doXLtbvxN1yo0IoawzxWCCWHIpfS1Iav8wg3E0Tu70aoQ5dhI PapbDLe9TJMkk1a1HBuMGmhnqO6qi0V4+Upfj/6zet8NR1p1S7/tzmwQHx+mzRuIQFP4e4YZP6JD GZlO7sLaix4hDgnzVcxeGtUJIc0ykGUh/7OXvwAAAP//AwBQSwECLQAUAAYACAAAACEAtoM4kv4A AADhAQAAEwAAAAAAAAAAAAAAAAAAAAAAW0NvbnRlbnRfVHlwZXNdLnhtbFBLAQItABQABgAIAAAA IQA4/SH/1gAAAJQBAAALAAAAAAAAAAAAAAAAAC8BAABfcmVscy8ucmVsc1BLAQItABQABgAIAAAA IQBMRhWOjwIAACIFAAAOAAAAAAAAAAAAAAAAAC4CAABkcnMvZTJvRG9jLnhtbFBLAQItABQABgAI AAAAIQB78nX+1wAAAAMBAAAPAAAAAAAAAAAAAAAAAOkEAABkcnMvZG93bnJldi54bWxQSwUGAAAA AAQABADzAAAA7QUAAAAA " stroked="f">
              <v:fill opacity="0"/>
              <v:textbox inset="0,0,0,0">
                <w:txbxContent>
                  <w:p w14:paraId="5F522853" w14:textId="77777777">
                    <w:pPr>
                      <w:tabs>
                        <w:tab w:val="center" w:leader="none" w:pos="4320"/>
                        <w:tab w:val="right" w:leader="none" w:pos="8640"/>
                      </w:tabs>
                      <w:suppressAutoHyphens w:val="1"/>
                      <w:rPr>
                        <w:rFonts w:ascii="Times New Roman" w:hAnsi="Times New Roman" w:eastAsia="Times New Roman" w:cs="Times New Roman"/>
                        <w:szCs w:val="24"/>
                        <w:lang w:val="en-US"/>
                      </w:rPr>
                    </w:pPr>
                    <w:r>
                      <w:rPr>
                        <w:rFonts w:ascii="Times New Roman" w:hAnsi="Times New Roman" w:eastAsia="Times New Roman" w:cs="Times New Roman"/>
                        <w:szCs w:val="24"/>
                        <w:lang w:val="en-US"/>
                      </w:rPr>
                      <w:fldChar w:fldCharType="begin"/>
                    </w:r>
                    <w:r>
                      <w:rPr>
                        <w:rFonts w:ascii="Times New Roman" w:hAnsi="Times New Roman" w:eastAsia="Times New Roman" w:cs="Times New Roman"/>
                        <w:szCs w:val="24"/>
                        <w:lang w:val="en-US"/>
                      </w:rPr>
                      <w:instrText xml:space="preserve"> PAGE </w:instrText>
                    </w:r>
                    <w:r>
                      <w:rPr>
                        <w:rFonts w:ascii="Times New Roman" w:hAnsi="Times New Roman" w:eastAsia="Times New Roman" w:cs="Times New Roman"/>
                        <w:szCs w:val="24"/>
                        <w:lang w:val="en-US"/>
                      </w:rPr>
                      <w:fldChar w:fldCharType="separate"/>
                    </w:r>
                    <w:r>
                      <w:rPr>
                        <w:rFonts w:ascii="Times New Roman" w:hAnsi="Times New Roman" w:eastAsia="Times New Roman" w:cs="Times New Roman"/>
                        <w:szCs w:val="24"/>
                        <w:lang w:val="en-US"/>
                      </w:rPr>
                      <w:t>2</w:t>
                    </w:r>
                    <w:r>
                      <w:rPr>
                        <w:rFonts w:ascii="Times New Roman" w:hAnsi="Times New Roman" w:eastAsia="Times New Roman" w:cs="Times New Roman"/>
                        <w:szCs w:val="24"/>
                        <w:lang w:val="en-US"/>
                      </w:rPr>
                      <w:fldChar w:fldCharType="end"/>
                    </w:r>
                  </w:p>
                </w:txbxContent>
              </v:textbox>
              <w10:wrap type="square" side="largest" anchorx="margin"/>
            </v:shape>
          </w:pict>
        </mc:Fallback>
      </mc:AlternateConten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rPr>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Lucida Sans Unicode"/>
        </w:rPr>
      </w:pPr>
      <w:r>
        <w:rPr>
          <w:rFonts w:eastAsia="Lucida Sans Unicode"/>
        </w:rPr>
        <w:separator/>
      </w:r>
    </w:p>
  </w:footnote>
  <w:footnote w:type="continuationSeparator" w:id="0">
    <w:p>
      <w:pPr>
        <w:widowControl w:val="0"/>
        <w:suppressAutoHyphens/>
        <w:rPr>
          <w:rFonts w:eastAsia="Lucida Sans Unicode"/>
        </w:rPr>
      </w:pPr>
      <w:r>
        <w:rPr>
          <w:rFonts w:eastAsia="Lucida Sans Unicode"/>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320"/>
        <w:tab w:val="right" w:pos="8640"/>
      </w:tabs>
      <w:suppressAutoHyphens/>
      <w:rPr>
        <w:rFonts w:eastAsia="Lucida Sans Unicod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320"/>
        <w:tab w:val="right" w:pos="8640"/>
      </w:tabs>
      <w:suppressAutoHyphens/>
      <w:jc w:val="center"/>
      <w:rPr>
        <w:rFonts w:eastAsia="Lucida Sans Unicode"/>
      </w:rPr>
    </w:pPr>
    <w:r>
      <w:rPr>
        <w:rFonts w:eastAsia="Lucida Sans Unicode"/>
      </w:rPr>
      <w:fldChar w:fldCharType="begin"/>
    </w:r>
    <w:r>
      <w:rPr>
        <w:rFonts w:eastAsia="Lucida Sans Unicode"/>
      </w:rPr>
      <w:instrText xml:space="preserve"> PAGE   \* MERGEFORMAT </w:instrText>
    </w:r>
    <w:r>
      <w:rPr>
        <w:rFonts w:eastAsia="Lucida Sans Unicode"/>
      </w:rPr>
      <w:fldChar w:fldCharType="separate"/>
    </w:r>
    <w:r>
      <w:rPr>
        <w:rFonts w:eastAsia="Lucida Sans Unicode"/>
      </w:rPr>
      <w:t>2</w:t>
    </w:r>
    <w:r>
      <w:rPr>
        <w:rFonts w:eastAsia="Lucida Sans Unicode"/>
      </w:rPr>
      <w:fldChar w:fldCharType="end"/>
    </w:r>
  </w:p>
  <w:p>
    <w:pPr>
      <w:widowControl w:val="0"/>
      <w:tabs>
        <w:tab w:val="center" w:pos="4320"/>
        <w:tab w:val="right" w:pos="8640"/>
      </w:tabs>
      <w:suppressAutoHyphens/>
      <w:rPr>
        <w:rFonts w:eastAsia="Lucida Sans Unicod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320"/>
        <w:tab w:val="right" w:pos="8640"/>
      </w:tabs>
      <w:suppressAutoHyphens/>
      <w:rPr>
        <w:rFonts w:eastAsia="Lucida Sans Unicod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revisionView w:inkAnnotations="0"/>
  <w:defaultTabStop w:val="709"/>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30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04D5702B-693B-4815-BD69-DE30F4F9E52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4" ma:contentTypeDescription="Create a new document." ma:contentTypeScope="" ma:versionID="d2bc7d94e0fdd6257c7d135845e2192a">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ca837404b1ccc1fb26cc1e8af066edfe"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8d413371-acda-413a-967f-24b530484914}"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f54394bb93fc487c89528b57d68c0640" PartId="40246bf6a5d2434fb324b2519e4ff850"/>
</Parts>
</file>

<file path=customXml/itemProps1.xml><?xml version="1.0" encoding="utf-8"?>
<ds:datastoreItem xmlns:ds="http://schemas.openxmlformats.org/officeDocument/2006/customXml" ds:itemID="{44A5DBAE-975F-43B0-B88E-4AB8E3956652}">
  <ds:schemaRefs>
    <ds:schemaRef ds:uri="http://schemas.microsoft.com/sharepoint/v3/contenttype/forms"/>
  </ds:schemaRefs>
</ds:datastoreItem>
</file>

<file path=customXml/itemProps2.xml><?xml version="1.0" encoding="utf-8"?>
<ds:datastoreItem xmlns:ds="http://schemas.openxmlformats.org/officeDocument/2006/customXml" ds:itemID="{90DB06CE-D117-4584-B453-7C593D00FA77}">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3.xml><?xml version="1.0" encoding="utf-8"?>
<ds:datastoreItem xmlns:ds="http://schemas.openxmlformats.org/officeDocument/2006/customXml" ds:itemID="{BC569C2F-B0C5-4732-BB23-DFFECB5D7F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0731880-4F29-4AAC-9679-7E9D97424058}">
  <ds:schemaRefs>
    <ds:schemaRef ds:uri="http://schemas.openxmlformats.org/officeDocument/2006/bibliography"/>
  </ds:schemaRefs>
</ds:datastoreItem>
</file>

<file path=customXml/itemProps5.xml><?xml version="1.0" encoding="utf-8"?>
<ds:datastoreItem xmlns:ds="http://schemas.openxmlformats.org/officeDocument/2006/customXml" ds:itemID="{7FF64D8C-0AF8-49FD-AA13-C9234767DF6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3125</Words>
  <Characters>22350</Characters>
  <Application>Microsoft Office Word</Application>
  <DocSecurity>4</DocSecurity>
  <Lines>519</Lines>
  <Paragraphs>165</Paragraphs>
  <ScaleCrop>false</ScaleCrop>
  <Company/>
  <LinksUpToDate>false</LinksUpToDate>
  <CharactersWithSpaces>25310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2024-06-27T09:51:00Z</dcterms:created>
  <dc:creator>A</dc:creator>
  <lastModifiedBy>adlibuser</lastModifiedBy>
  <lastPrinted>2007-04-04T06:51:00Z</lastPrinted>
  <dcterms:modified xsi:type="dcterms:W3CDTF">2024-06-27T09:51:00Z</dcterms:modified>
  <revision>2</revision>
  <dc:title>2004 M</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0x010100AA351E0ECF89C14A900DE8C04996CFDF</vt:lpwstr>
  </property>
</Properties>
</file>