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a7097c1cd8df4e858f7ea0223ce43be0"/>
        <w:lock w:val="sdtLocked"/>
        <w:richText/>
      </w:sdtPr>
      <w:sdtContent>
        <w:p>
          <w:pPr>
            <w:tabs>
              <w:tab w:val="center" w:pos="4986"/>
              <w:tab w:val="right" w:pos="9972"/>
            </w:tabs>
            <w:jc w:val="center"/>
            <w:rPr>
              <w:kern w:val="2"/>
              <w:sz w:val="22"/>
              <w:szCs w:val="22"/>
            </w:rPr>
          </w:pPr>
          <w:r>
            <w:rPr>
              <w:kern w:val="2"/>
              <w:sz w:val="22"/>
              <w:szCs w:val="22"/>
            </w:rPr>
            <w:fldChar w:fldCharType="begin" w:fldLock="1"/>
          </w:r>
          <w:r>
            <w:rPr>
              <w:kern w:val="2"/>
              <w:sz w:val="22"/>
              <w:szCs w:val="22"/>
            </w:rPr>
            <w:instrText xml:space="preserve"> PAGE   \* MERGEFORMAT </w:instrText>
          </w:r>
          <w:r>
            <w:rPr>
              <w:kern w:val="2"/>
              <w:sz w:val="22"/>
              <w:szCs w:val="22"/>
            </w:rPr>
            <w:fldChar w:fldCharType="separate"/>
          </w:r>
          <w:r>
            <w:rPr>
              <w:kern w:val="2"/>
              <w:sz w:val="22"/>
              <w:szCs w:val="22"/>
            </w:rPr>
            <w:t>2</w:t>
          </w:r>
          <w:r>
            <w:rPr>
              <w:kern w:val="2"/>
              <w:sz w:val="22"/>
              <w:szCs w:val="22"/>
            </w:rPr>
            <w:fldChar w:fldCharType="end"/>
          </w:r>
        </w:p>
        <w:p>
          <w:pPr>
            <w:tabs>
              <w:tab w:val="center" w:pos="4986"/>
              <w:tab w:val="right" w:pos="9972"/>
            </w:tabs>
            <w:rPr>
              <w:kern w:val="2"/>
              <w:sz w:val="22"/>
              <w:szCs w:val="22"/>
            </w:rPr>
          </w:pPr>
        </w:p>
        <w:p>
          <w:pPr>
            <w:spacing w:line="259" w:lineRule="auto"/>
            <w:jc w:val="center"/>
            <w:rPr>
              <w:b/>
              <w:bCs/>
              <w:kern w:val="2"/>
              <w:szCs w:val="24"/>
            </w:rPr>
          </w:pPr>
          <w:r>
            <w:rPr>
              <w:b/>
              <w:bCs/>
              <w:kern w:val="2"/>
              <w:szCs w:val="24"/>
            </w:rPr>
            <w:t>REGLAMENTO (EB) NR. 1272/2008 IR APLINKOS APSAUGOS VALSTYBINĖS KONTROLĖS ĮSTATYMO PAKEITIMO ĮSTATYMO PROJEKTO ATITIKTIES LENTELĖ</w:t>
          </w:r>
        </w:p>
        <w:p>
          <w:pPr>
            <w:rPr>
              <w:sz w:val="14"/>
              <w:szCs w:val="14"/>
            </w:rPr>
          </w:pPr>
        </w:p>
        <w:p>
          <w:pPr>
            <w:spacing w:line="259" w:lineRule="auto"/>
            <w:rPr>
              <w:kern w:val="2"/>
              <w:szCs w:val="24"/>
            </w:rPr>
          </w:pPr>
        </w:p>
        <w:p>
          <w:pPr>
            <w:rPr>
              <w:sz w:val="14"/>
              <w:szCs w:val="14"/>
            </w:rPr>
          </w:pPr>
        </w:p>
        <w:tbl>
          <w:tblPr>
            <w:tblW w:w="139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15"/>
            <w:gridCol w:w="5571"/>
            <w:gridCol w:w="1807"/>
          </w:tblGrid>
          <w:tr>
            <w:tc>
              <w:tcPr>
                <w:tcW w:w="6615" w:type="dxa"/>
              </w:tcPr>
              <w:p>
                <w:pPr>
                  <w:jc w:val="both"/>
                  <w:rPr>
                    <w:b/>
                    <w:bCs/>
                    <w:kern w:val="2"/>
                    <w:szCs w:val="24"/>
                  </w:rPr>
                </w:pPr>
                <w:r>
                  <w:rPr>
                    <w:b/>
                    <w:bCs/>
                    <w:kern w:val="2"/>
                    <w:szCs w:val="24"/>
                    <w:shd w:val="clear" w:color="auto" w:fill="FFFFFF"/>
                  </w:rPr>
                  <w:t xml:space="preserve">2008 m. gruodžio 16 d. Europos Parlamento ir Tarybos reglamentas </w:t>
                </w:r>
                <w:fldSimple w:instr="HYPERLINK http://eur-lex.europa.eu/legal-content/LIT/TXT/?uri=CELEX:32008R1272&amp;locale=lt \t _blank">
                  <w:r>
                    <w:rPr>
                      <w:b/>
                      <w:bCs/>
                      <w:kern w:val="2"/>
                      <w:szCs w:val="24"/>
                      <w:shd w:val="clear" w:color="auto" w:fill="FFFFFF"/>
                      <w:u w:val="single"/>
                      <w:color w:val="0000FF" w:themeColor="hyperlink"/>
                    </w:rPr>
                    <w:t>(EB) Nr. 1272/2008</w:t>
                  </w:r>
                </w:fldSimple>
                <w:r>
                  <w:rPr>
                    <w:b/>
                    <w:bCs/>
                    <w:kern w:val="2"/>
                    <w:szCs w:val="24"/>
                    <w:shd w:val="clear" w:color="auto" w:fill="FFFFFF"/>
                  </w:rPr>
                  <w:t xml:space="preserve"> dėl cheminių medžiagų ir mišinių klasifikavimo, ženklinimo ir pakavimo, iš dalies keičiantis ir panaikinantis direktyvas </w:t>
                </w:r>
                <w:fldSimple w:instr="HYPERLINK http://eur-lex.europa.eu/legal-content/LIT/TXT/?uri=CELEX:31967L0548&amp;locale=lt \t _blank">
                  <w:r>
                    <w:rPr>
                      <w:b/>
                      <w:bCs/>
                      <w:kern w:val="2"/>
                      <w:szCs w:val="24"/>
                      <w:shd w:val="clear" w:color="auto" w:fill="FFFFFF"/>
                      <w:u w:val="single"/>
                      <w:color w:val="0000FF" w:themeColor="hyperlink"/>
                    </w:rPr>
                    <w:t>67/548/EEB</w:t>
                  </w:r>
                </w:fldSimple>
                <w:r>
                  <w:rPr>
                    <w:b/>
                    <w:bCs/>
                    <w:kern w:val="2"/>
                    <w:szCs w:val="24"/>
                    <w:shd w:val="clear" w:color="auto" w:fill="FFFFFF"/>
                  </w:rPr>
                  <w:t xml:space="preserve"> bei </w:t>
                </w:r>
                <w:fldSimple w:instr="HYPERLINK http://eur-lex.europa.eu/legal-content/LIT/TXT/?uri=CELEX:31999L0045&amp;locale=lt \t _blank">
                  <w:r>
                    <w:rPr>
                      <w:b/>
                      <w:bCs/>
                      <w:kern w:val="2"/>
                      <w:szCs w:val="24"/>
                      <w:shd w:val="clear" w:color="auto" w:fill="FFFFFF"/>
                      <w:u w:val="single"/>
                      <w:color w:val="0000FF" w:themeColor="hyperlink"/>
                    </w:rPr>
                    <w:t>1999/45/EB</w:t>
                  </w:r>
                </w:fldSimple>
                <w:r>
                  <w:rPr>
                    <w:b/>
                    <w:bCs/>
                    <w:kern w:val="2"/>
                    <w:szCs w:val="24"/>
                    <w:shd w:val="clear" w:color="auto" w:fill="FFFFFF"/>
                  </w:rPr>
                  <w:t xml:space="preserve"> ir iš dalies keičiantis Reglamentą </w:t>
                </w:r>
                <w:fldSimple w:instr="HYPERLINK http://eur-lex.europa.eu/legal-content/LIT/TXT/?uri=CELEX:32006R1907&amp;locale=lt \t _blank">
                  <w:r>
                    <w:rPr>
                      <w:b/>
                      <w:bCs/>
                      <w:kern w:val="2"/>
                      <w:szCs w:val="24"/>
                      <w:shd w:val="clear" w:color="auto" w:fill="FFFFFF"/>
                      <w:u w:val="single"/>
                      <w:color w:val="0000FF" w:themeColor="hyperlink"/>
                    </w:rPr>
                    <w:t>(EB) Nr. 1907/2006</w:t>
                  </w:r>
                </w:fldSimple>
              </w:p>
            </w:tc>
            <w:tc>
              <w:tcPr>
                <w:tcW w:w="5571" w:type="dxa"/>
              </w:tcPr>
              <w:p>
                <w:pPr>
                  <w:rPr>
                    <w:b/>
                    <w:bCs/>
                    <w:kern w:val="2"/>
                    <w:szCs w:val="24"/>
                  </w:rPr>
                </w:pPr>
                <w:r>
                  <w:rPr>
                    <w:b/>
                    <w:bCs/>
                    <w:kern w:val="2"/>
                    <w:szCs w:val="24"/>
                  </w:rPr>
                  <w:t>Aplinkos apsaugos valstybinės kontrolės įstatymo pakeitimo įstatymo projektas (toliau – Projektas)</w:t>
                </w:r>
              </w:p>
            </w:tc>
            <w:tc>
              <w:tcPr>
                <w:tcW w:w="1807" w:type="dxa"/>
              </w:tcPr>
              <w:p>
                <w:pPr>
                  <w:rPr>
                    <w:b/>
                    <w:bCs/>
                    <w:kern w:val="2"/>
                    <w:szCs w:val="24"/>
                  </w:rPr>
                </w:pPr>
                <w:r>
                  <w:rPr>
                    <w:b/>
                    <w:bCs/>
                    <w:kern w:val="2"/>
                    <w:szCs w:val="24"/>
                  </w:rPr>
                  <w:t>Reglamento perkėlimo lygis</w:t>
                </w:r>
              </w:p>
            </w:tc>
          </w:tr>
          <w:tr>
            <w:tc>
              <w:tcPr>
                <w:tcW w:w="6615" w:type="dxa"/>
              </w:tcPr>
              <w:p>
                <w:pPr>
                  <w:rPr>
                    <w:sz w:val="8"/>
                    <w:szCs w:val="8"/>
                  </w:rPr>
                </w:pPr>
              </w:p>
              <w:p>
                <w:pPr>
                  <w:rPr>
                    <w:b/>
                    <w:bCs/>
                    <w:color w:val="000000"/>
                    <w:szCs w:val="24"/>
                  </w:rPr>
                </w:pPr>
                <w:r>
                  <w:rPr>
                    <w:b/>
                    <w:bCs/>
                    <w:color w:val="000000"/>
                    <w:szCs w:val="24"/>
                  </w:rPr>
                  <w:t>46 straipsnis</w:t>
                </w:r>
              </w:p>
              <w:p>
                <w:pPr>
                  <w:rPr>
                    <w:sz w:val="8"/>
                    <w:szCs w:val="8"/>
                  </w:rPr>
                </w:pPr>
              </w:p>
              <w:p>
                <w:pPr>
                  <w:rPr>
                    <w:b/>
                    <w:bCs/>
                    <w:color w:val="000000"/>
                    <w:szCs w:val="24"/>
                  </w:rPr>
                </w:pPr>
                <w:r>
                  <w:rPr>
                    <w:b/>
                    <w:bCs/>
                    <w:color w:val="000000"/>
                    <w:szCs w:val="24"/>
                  </w:rPr>
                  <w:t>Vykdymo užtikrinimas ir ataskaitų teikimas</w:t>
                </w:r>
              </w:p>
              <w:p>
                <w:pPr>
                  <w:rPr>
                    <w:sz w:val="8"/>
                    <w:szCs w:val="8"/>
                  </w:rPr>
                </w:pPr>
              </w:p>
              <w:p>
                <w:pPr>
                  <w:rPr>
                    <w:color w:val="000000"/>
                    <w:szCs w:val="24"/>
                  </w:rPr>
                </w:pPr>
                <w:r>
                  <w:rPr>
                    <w:color w:val="000000"/>
                    <w:szCs w:val="24"/>
                  </w:rPr>
                  <w:t>1.  </w:t>
                </w:r>
              </w:p>
              <w:p>
                <w:pPr>
                  <w:rPr>
                    <w:color w:val="000000"/>
                    <w:szCs w:val="24"/>
                  </w:rPr>
                </w:pPr>
                <w:r>
                  <w:rPr>
                    <w:color w:val="000000"/>
                    <w:szCs w:val="24"/>
                  </w:rPr>
                  <w:t>Valstybės narės imasi visų reikiamų priemonių, įskaitant oficialios kontrolės priemonių sistemos įgyvendinimą, siekdamos užtikrinti, kad cheminės medžiagos ir mišiniai, jeigu jie nėra suklasifikuoti, paženklinti, supakuoti ir apie juos nėra pranešta pagal šį reglamentą, nebūtų tiekiami rinkai.</w:t>
                </w:r>
              </w:p>
              <w:p>
                <w:pPr>
                  <w:rPr>
                    <w:color w:val="000000"/>
                    <w:szCs w:val="24"/>
                  </w:rPr>
                </w:pPr>
                <w:r>
                  <w:rPr>
                    <w:color w:val="000000"/>
                    <w:szCs w:val="24"/>
                  </w:rPr>
                  <w:t>2.  </w:t>
                </w:r>
              </w:p>
              <w:p>
                <w:pPr>
                  <w:rPr>
                    <w:color w:val="000000"/>
                    <w:szCs w:val="24"/>
                  </w:rPr>
                </w:pPr>
                <w:r>
                  <w:rPr>
                    <w:color w:val="000000"/>
                    <w:szCs w:val="24"/>
                  </w:rPr>
                  <w:t xml:space="preserve">Kas penkeri metai iki liepos 1 d. valstybės narės pateikia Agentūrai oficialios kontrolės priemonių rezultatų ir kitų vykdymo užtikrinimo priemonių ataskaitą. Pirmoji ataskaita pateikiama ne vėliau kaip 2012 m. sausio 20 d. Agentūra pateikia šias ataskaitas Komisijai, kuri į jas atsižvelgia rengdama ataskaitą pagal Reglamento </w:t>
                </w:r>
                <w:fldSimple w:instr="HYPERLINK http://eur-lex.europa.eu/legal-content/LIT/TXT/?uri=CELEX:32006R1907&amp;locale=lt \t _blank">
                  <w:r>
                    <w:rPr>
                      <w:color w:val="0000FF" w:themeColor="hyperlink"/>
                      <w:szCs w:val="24"/>
                      <w:u w:val="single"/>
                    </w:rPr>
                    <w:t>(EB) Nr. 1907/2006</w:t>
                  </w:r>
                </w:fldSimple>
                <w:r>
                  <w:rPr>
                    <w:color w:val="000000"/>
                    <w:szCs w:val="24"/>
                  </w:rPr>
                  <w:t xml:space="preserve"> 117 straipsnį.</w:t>
                </w:r>
              </w:p>
              <w:p>
                <w:pPr>
                  <w:rPr>
                    <w:color w:val="000000"/>
                    <w:szCs w:val="24"/>
                  </w:rPr>
                </w:pPr>
                <w:r>
                  <w:rPr>
                    <w:color w:val="000000"/>
                    <w:szCs w:val="24"/>
                  </w:rPr>
                  <w:t>3.  </w:t>
                </w:r>
              </w:p>
              <w:p>
                <w:pPr>
                  <w:rPr>
                    <w:color w:val="000000"/>
                    <w:szCs w:val="24"/>
                  </w:rPr>
                </w:pPr>
                <w:r>
                  <w:rPr>
                    <w:color w:val="000000"/>
                    <w:szCs w:val="24"/>
                  </w:rPr>
                  <w:t xml:space="preserve">Reglamento </w:t>
                </w:r>
                <w:fldSimple w:instr="HYPERLINK http://eur-lex.europa.eu/legal-content/LIT/TXT/?uri=CELEX:32006R1907&amp;locale=lt \t _blank">
                  <w:r>
                    <w:rPr>
                      <w:color w:val="0000FF" w:themeColor="hyperlink"/>
                      <w:szCs w:val="24"/>
                      <w:u w:val="single"/>
                    </w:rPr>
                    <w:t>(EB) Nr. 1907/2006</w:t>
                  </w:r>
                </w:fldSimple>
                <w:r>
                  <w:rPr>
                    <w:color w:val="000000"/>
                    <w:szCs w:val="24"/>
                  </w:rPr>
                  <w:t xml:space="preserve"> 76 straipsnio 1 dalies f punkte nurodytas forumas atlieka Reglamento </w:t>
                </w:r>
                <w:fldSimple w:instr="HYPERLINK http://eur-lex.europa.eu/legal-content/LIT/TXT/?uri=CELEX:32006R1907&amp;locale=lt \t _blank">
                  <w:r>
                    <w:rPr>
                      <w:color w:val="0000FF" w:themeColor="hyperlink"/>
                      <w:szCs w:val="24"/>
                      <w:u w:val="single"/>
                    </w:rPr>
                    <w:t>(EB) Nr. 1907/2006</w:t>
                  </w:r>
                </w:fldSimple>
                <w:r>
                  <w:rPr>
                    <w:color w:val="000000"/>
                    <w:szCs w:val="24"/>
                  </w:rPr>
                  <w:t xml:space="preserve"> 77 straipsnio 4 dalies a–g punktuose išdėstytas užduotis dėl šio reglamento vykdymo užtikrinimo.</w:t>
                </w:r>
              </w:p>
              <w:p>
                <w:pPr>
                  <w:jc w:val="both"/>
                  <w:rPr>
                    <w:kern w:val="2"/>
                    <w:szCs w:val="24"/>
                  </w:rPr>
                </w:pPr>
              </w:p>
            </w:tc>
            <w:tc>
              <w:tcPr>
                <w:tcW w:w="5571" w:type="dxa"/>
              </w:tcPr>
              <w:p>
                <w:pPr>
                  <w:jc w:val="both"/>
                  <w:rPr>
                    <w:b/>
                    <w:bCs/>
                    <w:color w:val="000000"/>
                    <w:kern w:val="2"/>
                    <w:szCs w:val="24"/>
                  </w:rPr>
                </w:pPr>
                <w:r>
                  <w:rPr>
                    <w:b/>
                    <w:bCs/>
                    <w:color w:val="000000"/>
                    <w:kern w:val="2"/>
                    <w:szCs w:val="24"/>
                  </w:rPr>
                  <w:t>Projektas</w:t>
                </w:r>
              </w:p>
              <w:p>
                <w:pPr>
                  <w:jc w:val="both"/>
                  <w:rPr>
                    <w:b/>
                    <w:bCs/>
                    <w:kern w:val="2"/>
                    <w:szCs w:val="24"/>
                  </w:rPr>
                </w:pPr>
                <w:r>
                  <w:rPr>
                    <w:b/>
                    <w:bCs/>
                    <w:color w:val="000000"/>
                    <w:kern w:val="2"/>
                    <w:szCs w:val="24"/>
                  </w:rPr>
                  <w:t>5 straipsnis</w:t>
                </w:r>
              </w:p>
              <w:p>
                <w:pPr>
                  <w:jc w:val="both"/>
                  <w:rPr>
                    <w:b/>
                    <w:bCs/>
                    <w:kern w:val="2"/>
                    <w:szCs w:val="24"/>
                  </w:rPr>
                </w:pPr>
                <w:r>
                  <w:rPr>
                    <w:b/>
                    <w:bCs/>
                    <w:color w:val="000000"/>
                    <w:kern w:val="2"/>
                    <w:szCs w:val="24"/>
                    <w:shd w:val="clear" w:color="auto" w:fill="FFFFFF"/>
                  </w:rPr>
                  <w:t>„</w:t>
                </w:r>
                <w:r>
                  <w:rPr>
                    <w:b/>
                    <w:bCs/>
                    <w:kern w:val="2"/>
                    <w:szCs w:val="24"/>
                  </w:rPr>
                  <w:t>Aplinkos apsaugos valstybinę priežiūrą Lietuvos Respublikoje atlieka Lietuvos Respublikos Vyriausybės įgaliota institucija.“</w:t>
                </w:r>
              </w:p>
              <w:p>
                <w:pPr>
                  <w:jc w:val="both"/>
                  <w:rPr>
                    <w:b/>
                    <w:bCs/>
                    <w:kern w:val="2"/>
                    <w:szCs w:val="24"/>
                  </w:rPr>
                </w:pPr>
              </w:p>
              <w:p>
                <w:pPr>
                  <w:jc w:val="both"/>
                  <w:rPr>
                    <w:b/>
                    <w:bCs/>
                    <w:kern w:val="2"/>
                    <w:szCs w:val="24"/>
                  </w:rPr>
                </w:pPr>
                <w:r>
                  <w:rPr>
                    <w:b/>
                    <w:bCs/>
                    <w:kern w:val="2"/>
                    <w:szCs w:val="24"/>
                  </w:rPr>
                  <w:t>6 straipsnio 10 punktas</w:t>
                </w:r>
              </w:p>
              <w:p>
                <w:pPr>
                  <w:jc w:val="both"/>
                  <w:rPr>
                    <w:b/>
                    <w:bCs/>
                    <w:kern w:val="2"/>
                    <w:szCs w:val="24"/>
                  </w:rPr>
                </w:pPr>
                <w:r>
                  <w:rPr>
                    <w:b/>
                    <w:bCs/>
                    <w:kern w:val="2"/>
                    <w:szCs w:val="24"/>
                  </w:rPr>
                  <w:t>„Aplinkos apsaugos valstybinę priežiūrą atliekanti institucija:</w:t>
                </w:r>
              </w:p>
              <w:p>
                <w:pPr>
                  <w:jc w:val="both"/>
                  <w:rPr>
                    <w:b/>
                    <w:bCs/>
                    <w:kern w:val="2"/>
                    <w:szCs w:val="24"/>
                  </w:rPr>
                </w:pPr>
                <w:r>
                  <w:rPr>
                    <w:b/>
                    <w:bCs/>
                    <w:kern w:val="2"/>
                    <w:szCs w:val="24"/>
                  </w:rPr>
                  <w:t>&lt;...&gt;</w:t>
                </w:r>
              </w:p>
              <w:p>
                <w:pPr>
                  <w:ind w:firstLine="720"/>
                  <w:jc w:val="both"/>
                  <w:rPr>
                    <w:b/>
                    <w:bCs/>
                    <w:kern w:val="2"/>
                    <w:szCs w:val="24"/>
                  </w:rPr>
                </w:pPr>
                <w:r>
                  <w:rPr>
                    <w:b/>
                    <w:bCs/>
                    <w:kern w:val="2"/>
                    <w:szCs w:val="24"/>
                  </w:rPr>
                  <w:t>10) prižiūri, ar cheminės medžiagos ir cheminiai mišiniai (išskyrus tiekiamas rinkai chemines medžiagas ir cheminius mišinius, skirtus vartotojų asmeniniams ir namų ūkio poreikiams tenkinti) klasifikuojami, ženklinami, pakuojami, įtraukiami į apskaitą ir jų apskaita tvarkoma pagal teisės aktų reikalavimus; ar laikomasi cheminių medžiagų registracijos, pavojingųjų cheminių medžiagų autorizacijos reikalavimų ir sąlygų, cheminių medžiagų ar cheminių mišinių saugos duomenų lapų sudarymo ir pateikimo, informacijos apie chemines medžiagas perdavimo jų tiekimo grandinėje, ataskaitų apie cheminių medžiagų ir cheminių mišinių teikimo, pavojingųjų cheminių medžiagų, cheminių mišinių ir gaminių gamybos, naudojimo, tiekimo rinkai apribojimų reikalavimų; pagal kompetenciją prižiūri, ar laikomasi pavojingųjų cheminių medžiagų, jų turinčių cheminių mišinių ar gaminių importo ar eksporto reikalavimų;</w:t>
                </w:r>
              </w:p>
              <w:p>
                <w:pPr>
                  <w:jc w:val="both"/>
                  <w:rPr>
                    <w:b/>
                    <w:bCs/>
                    <w:kern w:val="2"/>
                    <w:szCs w:val="24"/>
                  </w:rPr>
                </w:pPr>
                <w:r>
                  <w:rPr>
                    <w:b/>
                    <w:bCs/>
                    <w:kern w:val="2"/>
                    <w:szCs w:val="24"/>
                  </w:rPr>
                  <w:t>&lt;...&gt;“</w:t>
                </w:r>
              </w:p>
              <w:p>
                <w:pPr>
                  <w:rPr>
                    <w:kern w:val="2"/>
                    <w:szCs w:val="24"/>
                  </w:rPr>
                </w:pPr>
              </w:p>
            </w:tc>
            <w:tc>
              <w:tcPr>
                <w:tcW w:w="1807" w:type="dxa"/>
              </w:tcPr>
              <w:p>
                <w:pPr>
                  <w:rPr>
                    <w:kern w:val="2"/>
                    <w:szCs w:val="24"/>
                  </w:rPr>
                </w:pPr>
                <w:r>
                  <w:rPr>
                    <w:kern w:val="2"/>
                    <w:szCs w:val="24"/>
                  </w:rPr>
                  <w:t>Dalinis</w:t>
                </w:r>
              </w:p>
              <w:p>
                <w:pPr>
                  <w:rPr>
                    <w:kern w:val="2"/>
                    <w:szCs w:val="24"/>
                  </w:rPr>
                </w:pPr>
                <w:r>
                  <w:rPr>
                    <w:kern w:val="2"/>
                    <w:szCs w:val="24"/>
                  </w:rPr>
                  <w:t>Atsakinga institucija – Aplinkos ministerija</w:t>
                </w:r>
              </w:p>
            </w:tc>
          </w:tr>
        </w:tbl>
        <w:p/>
      </w:sdtContent>
    </w:sdt>
    <w:sdt>
      <w:sdtPr>
        <w:alias w:val="pastraipa"/>
        <w:tag w:val="part_e63a58afa5784e719a77c94b9418db13"/>
        <w:lock w:val="sdtLocked"/>
        <w:richText/>
      </w:sdtPr>
      <w:sdtContent>
        <w:p>
          <w:pPr>
            <w:spacing w:line="259" w:lineRule="auto"/>
            <w:jc w:val="center"/>
            <w:rPr>
              <w:kern w:val="2"/>
              <w:szCs w:val="24"/>
            </w:rPr>
          </w:pPr>
          <w:r>
            <w:rPr>
              <w:kern w:val="2"/>
              <w:szCs w:val="24"/>
            </w:rPr>
            <w:t>_____________________________</w:t>
          </w:r>
        </w:p>
      </w:sdtContent>
    </w:sdt>
    <w:sectPr>
      <w:headerReference w:type="even" r:id="rId9"/>
      <w:headerReference w:type="default" r:id="rId10"/>
      <w:footerReference w:type="even" r:id="rId11"/>
      <w:footerReference w:type="default" r:id="rId12"/>
      <w:headerReference w:type="first" r:id="rId13"/>
      <w:footerReference w:type="first" r:id="rId14"/>
      <w:pgSz w:w="16838" w:h="11906" w:orient="landscape"/>
      <w:pgMar w:top="1701" w:right="1701" w:bottom="567"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kern w:val="2"/>
          <w:sz w:val="22"/>
          <w:szCs w:val="22"/>
        </w:rPr>
      </w:pPr>
      <w:r>
        <w:rPr>
          <w:kern w:val="2"/>
          <w:sz w:val="22"/>
          <w:szCs w:val="22"/>
        </w:rPr>
        <w:separator/>
      </w:r>
    </w:p>
  </w:endnote>
  <w:endnote w:type="continuationSeparator" w:id="0">
    <w:p>
      <w:pPr>
        <w:rPr>
          <w:kern w:val="2"/>
          <w:sz w:val="22"/>
          <w:szCs w:val="22"/>
        </w:rPr>
      </w:pPr>
      <w:r>
        <w:rPr>
          <w:kern w:val="2"/>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kern w:val="2"/>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kern w:val="2"/>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kern w:val="2"/>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kern w:val="2"/>
          <w:sz w:val="22"/>
          <w:szCs w:val="22"/>
        </w:rPr>
      </w:pPr>
      <w:r>
        <w:rPr>
          <w:kern w:val="2"/>
          <w:sz w:val="22"/>
          <w:szCs w:val="22"/>
        </w:rPr>
        <w:separator/>
      </w:r>
    </w:p>
  </w:footnote>
  <w:footnote w:type="continuationSeparator" w:id="0">
    <w:p>
      <w:pPr>
        <w:rPr>
          <w:kern w:val="2"/>
          <w:sz w:val="22"/>
          <w:szCs w:val="22"/>
        </w:rPr>
      </w:pPr>
      <w:r>
        <w:rPr>
          <w:kern w:val="2"/>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kern w:val="2"/>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jc w:val="center"/>
      <w:rPr>
        <w:kern w:val="2"/>
        <w:sz w:val="22"/>
        <w:szCs w:val="22"/>
      </w:rPr>
    </w:pPr>
    <w:r>
      <w:rPr>
        <w:kern w:val="2"/>
        <w:sz w:val="22"/>
        <w:szCs w:val="22"/>
      </w:rPr>
      <w:fldChar w:fldCharType="begin"/>
    </w:r>
    <w:r>
      <w:rPr>
        <w:kern w:val="2"/>
        <w:sz w:val="22"/>
        <w:szCs w:val="22"/>
      </w:rPr>
      <w:instrText xml:space="preserve"> PAGE   \* MERGEFORMAT </w:instrText>
    </w:r>
    <w:r>
      <w:rPr>
        <w:kern w:val="2"/>
        <w:sz w:val="22"/>
        <w:szCs w:val="22"/>
      </w:rPr>
      <w:fldChar w:fldCharType="separate"/>
    </w:r>
    <w:r>
      <w:rPr>
        <w:kern w:val="2"/>
        <w:sz w:val="22"/>
        <w:szCs w:val="22"/>
      </w:rPr>
      <w:t>2</w:t>
    </w:r>
    <w:r>
      <w:rPr>
        <w:kern w:val="2"/>
        <w:sz w:val="22"/>
        <w:szCs w:val="22"/>
      </w:rPr>
      <w:fldChar w:fldCharType="end"/>
    </w:r>
  </w:p>
  <w:p>
    <w:pPr>
      <w:tabs>
        <w:tab w:val="center" w:pos="4986"/>
        <w:tab w:val="right" w:pos="9972"/>
      </w:tabs>
      <w:rPr>
        <w:kern w:val="2"/>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kern w:val="2"/>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34A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7EE6B1F-DDA8-4283-AFFE-7F2035D49A1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16272371">
      <w:bodyDiv w:val="1"/>
      <w:marLeft w:val="0"/>
      <w:marRight w:val="0"/>
      <w:marTop w:val="0"/>
      <w:marBottom w:val="0"/>
      <w:divBdr>
        <w:top w:val="none" w:sz="0" w:space="0" w:color="auto"/>
        <w:left w:val="none" w:sz="0" w:space="0" w:color="auto"/>
        <w:bottom w:val="none" w:sz="0" w:space="0" w:color="auto"/>
        <w:right w:val="none" w:sz="0" w:space="0" w:color="auto"/>
      </w:divBdr>
    </w:div>
    <w:div w:id="1348482881">
      <w:bodyDiv w:val="1"/>
      <w:marLeft w:val="0"/>
      <w:marRight w:val="0"/>
      <w:marTop w:val="0"/>
      <w:marBottom w:val="0"/>
      <w:divBdr>
        <w:top w:val="none" w:sz="0" w:space="0" w:color="auto"/>
        <w:left w:val="none" w:sz="0" w:space="0" w:color="auto"/>
        <w:bottom w:val="none" w:sz="0" w:space="0" w:color="auto"/>
        <w:right w:val="none" w:sz="0" w:space="0" w:color="auto"/>
      </w:divBdr>
    </w:div>
    <w:div w:id="1637762855">
      <w:bodyDiv w:val="1"/>
      <w:marLeft w:val="0"/>
      <w:marRight w:val="0"/>
      <w:marTop w:val="0"/>
      <w:marBottom w:val="0"/>
      <w:divBdr>
        <w:top w:val="none" w:sz="0" w:space="0" w:color="auto"/>
        <w:left w:val="none" w:sz="0" w:space="0" w:color="auto"/>
        <w:bottom w:val="none" w:sz="0" w:space="0" w:color="auto"/>
        <w:right w:val="none" w:sz="0" w:space="0" w:color="auto"/>
      </w:divBdr>
      <w:divsChild>
        <w:div w:id="2058436165">
          <w:marLeft w:val="0"/>
          <w:marRight w:val="0"/>
          <w:marTop w:val="0"/>
          <w:marBottom w:val="0"/>
          <w:divBdr>
            <w:top w:val="none" w:sz="0" w:space="0" w:color="auto"/>
            <w:left w:val="none" w:sz="0" w:space="0" w:color="auto"/>
            <w:bottom w:val="none" w:sz="0" w:space="0" w:color="auto"/>
            <w:right w:val="none" w:sz="0" w:space="0" w:color="auto"/>
          </w:divBdr>
        </w:div>
        <w:div w:id="1066684005">
          <w:marLeft w:val="0"/>
          <w:marRight w:val="0"/>
          <w:marTop w:val="0"/>
          <w:marBottom w:val="0"/>
          <w:divBdr>
            <w:top w:val="none" w:sz="0" w:space="0" w:color="auto"/>
            <w:left w:val="none" w:sz="0" w:space="0" w:color="auto"/>
            <w:bottom w:val="none" w:sz="0" w:space="0" w:color="auto"/>
            <w:right w:val="none" w:sz="0" w:space="0" w:color="auto"/>
          </w:divBdr>
          <w:divsChild>
            <w:div w:id="3480339">
              <w:marLeft w:val="0"/>
              <w:marRight w:val="0"/>
              <w:marTop w:val="0"/>
              <w:marBottom w:val="0"/>
              <w:divBdr>
                <w:top w:val="none" w:sz="0" w:space="0" w:color="auto"/>
                <w:left w:val="none" w:sz="0" w:space="0" w:color="auto"/>
                <w:bottom w:val="none" w:sz="0" w:space="0" w:color="auto"/>
                <w:right w:val="none" w:sz="0" w:space="0" w:color="auto"/>
              </w:divBdr>
            </w:div>
          </w:divsChild>
        </w:div>
        <w:div w:id="659844108">
          <w:marLeft w:val="0"/>
          <w:marRight w:val="0"/>
          <w:marTop w:val="0"/>
          <w:marBottom w:val="0"/>
          <w:divBdr>
            <w:top w:val="none" w:sz="0" w:space="0" w:color="auto"/>
            <w:left w:val="none" w:sz="0" w:space="0" w:color="auto"/>
            <w:bottom w:val="none" w:sz="0" w:space="0" w:color="auto"/>
            <w:right w:val="none" w:sz="0" w:space="0" w:color="auto"/>
          </w:divBdr>
          <w:divsChild>
            <w:div w:id="88818013">
              <w:marLeft w:val="0"/>
              <w:marRight w:val="0"/>
              <w:marTop w:val="0"/>
              <w:marBottom w:val="0"/>
              <w:divBdr>
                <w:top w:val="none" w:sz="0" w:space="0" w:color="auto"/>
                <w:left w:val="none" w:sz="0" w:space="0" w:color="auto"/>
                <w:bottom w:val="none" w:sz="0" w:space="0" w:color="auto"/>
                <w:right w:val="none" w:sz="0" w:space="0" w:color="auto"/>
              </w:divBdr>
            </w:div>
          </w:divsChild>
        </w:div>
        <w:div w:id="1523012416">
          <w:marLeft w:val="0"/>
          <w:marRight w:val="0"/>
          <w:marTop w:val="0"/>
          <w:marBottom w:val="0"/>
          <w:divBdr>
            <w:top w:val="none" w:sz="0" w:space="0" w:color="auto"/>
            <w:left w:val="none" w:sz="0" w:space="0" w:color="auto"/>
            <w:bottom w:val="none" w:sz="0" w:space="0" w:color="auto"/>
            <w:right w:val="none" w:sz="0" w:space="0" w:color="auto"/>
          </w:divBdr>
          <w:divsChild>
            <w:div w:id="623539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8368443">
      <w:bodyDiv w:val="1"/>
      <w:marLeft w:val="0"/>
      <w:marRight w:val="0"/>
      <w:marTop w:val="0"/>
      <w:marBottom w:val="0"/>
      <w:divBdr>
        <w:top w:val="none" w:sz="0" w:space="0" w:color="auto"/>
        <w:left w:val="none" w:sz="0" w:space="0" w:color="auto"/>
        <w:bottom w:val="none" w:sz="0" w:space="0" w:color="auto"/>
        <w:right w:val="none" w:sz="0" w:space="0" w:color="auto"/>
      </w:divBdr>
      <w:divsChild>
        <w:div w:id="186924817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4" ma:contentTypeDescription="Create a new document." ma:contentTypeScope="" ma:versionID="d2bc7d94e0fdd6257c7d135845e2192a">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ca837404b1ccc1fb26cc1e8af066edfe"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LengthInSeconds" minOccurs="0"/>
                <xsd:element ref="ns2:MediaServiceDateTaken"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8d413371-acda-413a-967f-24b530484914}" ma:internalName="TaxCatchAll"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19cf09c5-daa1-4028-a0ff-74a0be4ec5cc" xsi:nil="true"/>
    <lcf76f155ced4ddcb4097134ff3c332f xmlns="f5aad5d0-9c26-490e-8743-a6c7ceabd501">
      <Terms xmlns="http://schemas.microsoft.com/office/infopath/2007/PartnerControls"/>
    </lcf76f155ced4ddcb4097134ff3c332f>
  </documentManagement>
</p:properties>
</file>

<file path=customXml/item4.xml><?xml version="1.0" encoding="utf-8"?>
<Parts xmlns="http://lrs.lt/TAIS/DocParts">
  <Part Type="lentele" DocPartId="ed70e165f8544e9fa87d272e26e3f8e3" PartId="a7097c1cd8df4e858f7ea0223ce43be0"/>
  <Part Type="pastraipa" DocPartId="c0506c22e9af4a1684ba006eb711a84e" PartId="e63a58afa5784e719a77c94b9418db13"/>
</Parts>
</file>

<file path=customXml/itemProps1.xml><?xml version="1.0" encoding="utf-8"?>
<ds:datastoreItem xmlns:ds="http://schemas.openxmlformats.org/officeDocument/2006/customXml" ds:itemID="{55AE140A-37CE-4F3A-AFC4-E98F305ECE36}">
  <ds:schemaRefs>
    <ds:schemaRef ds:uri="http://schemas.microsoft.com/sharepoint/v3/contenttype/forms"/>
  </ds:schemaRefs>
</ds:datastoreItem>
</file>

<file path=customXml/itemProps2.xml><?xml version="1.0" encoding="utf-8"?>
<ds:datastoreItem xmlns:ds="http://schemas.openxmlformats.org/officeDocument/2006/customXml" ds:itemID="{45EDB811-381B-44F2-A3A5-AD91C44F99C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B52DDBB-A5C5-4E2E-9414-CACBC3A18AA6}">
  <ds:schemaRefs>
    <ds:schemaRef ds:uri="http://schemas.microsoft.com/office/2006/metadata/properties"/>
    <ds:schemaRef ds:uri="http://schemas.microsoft.com/office/infopath/2007/PartnerControls"/>
    <ds:schemaRef ds:uri="19cf09c5-daa1-4028-a0ff-74a0be4ec5cc"/>
    <ds:schemaRef ds:uri="f5aad5d0-9c26-490e-8743-a6c7ceabd501"/>
  </ds:schemaRefs>
</ds:datastoreItem>
</file>

<file path=customXml/itemProps4.xml><?xml version="1.0" encoding="utf-8"?>
<ds:datastoreItem xmlns:ds="http://schemas.openxmlformats.org/officeDocument/2006/customXml" ds:itemID="{08B3706B-F870-48DC-B006-5A7DE7632B1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340</Words>
  <Characters>2415</Characters>
  <Application>Microsoft Office Word</Application>
  <DocSecurity>4</DocSecurity>
  <Lines>75</Lines>
  <Paragraphs>26</Paragraphs>
  <ScaleCrop>false</ScaleCrop>
  <Company/>
  <LinksUpToDate>false</LinksUpToDate>
  <CharactersWithSpaces>2729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2024-06-27T09:51:00Z</dcterms:created>
  <dc:creator>Toma Leonova</dc:creator>
  <lastModifiedBy>adlibuser</lastModifiedBy>
  <dcterms:modified xsi:type="dcterms:W3CDTF">2024-06-27T09:51:00Z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