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79442b1fd1e4a149feb8c6b209b04a9"/>
        <w:lock w:val="sdtLocked"/>
        <w:richText/>
      </w:sdtPr>
      <w:sdtContent>
        <w:p>
          <w:pPr>
            <w:tabs>
              <w:tab w:val="center" w:pos="4819"/>
              <w:tab w:val="right" w:pos="9638"/>
            </w:tabs>
            <w:jc w:val="center"/>
            <w:rPr>
              <w:sz w:val="22"/>
              <w:szCs w:val="22"/>
            </w:rPr>
          </w:pPr>
        </w:p>
        <w:p>
          <w:pPr>
            <w:tabs>
              <w:tab w:val="center" w:pos="4819"/>
              <w:tab w:val="left" w:pos="5585"/>
              <w:tab w:val="right" w:pos="9638"/>
            </w:tabs>
            <w:rPr>
              <w:rFonts w:ascii="Trebuchet MS" w:hAnsi="Trebuchet MS"/>
              <w:b/>
              <w:sz w:val="22"/>
              <w:szCs w:val="22"/>
            </w:rPr>
          </w:pPr>
          <w:r>
            <w:rPr>
              <w:rFonts w:ascii="Trebuchet MS" w:hAnsi="Trebuchet MS"/>
              <w:b/>
              <w:sz w:val="22"/>
              <w:szCs w:val="22"/>
            </w:rPr>
            <w:tab/>
            <w:tab/>
          </w:r>
        </w:p>
        <w:p>
          <w:pPr>
            <w:widowControl w:val="0"/>
            <w:suppressAutoHyphens/>
            <w:jc w:val="right"/>
            <w:rPr>
              <w:b/>
              <w:szCs w:val="24"/>
              <w:lang w:eastAsia="lt-LT"/>
            </w:rPr>
          </w:pPr>
          <w:r>
            <w:rPr>
              <w:b/>
              <w:szCs w:val="24"/>
              <w:lang w:eastAsia="lt-LT"/>
            </w:rPr>
            <w:t>Projektas</w:t>
          </w:r>
        </w:p>
        <w:p>
          <w:pPr>
            <w:widowControl w:val="0"/>
            <w:suppressAutoHyphens/>
            <w:jc w:val="center"/>
            <w:rPr>
              <w:b/>
              <w:szCs w:val="24"/>
              <w:lang w:eastAsia="lt-LT"/>
            </w:rPr>
          </w:pPr>
        </w:p>
        <w:p>
          <w:pPr>
            <w:widowControl w:val="0"/>
            <w:suppressAutoHyphens/>
            <w:jc w:val="center"/>
            <w:rPr>
              <w:b/>
              <w:szCs w:val="24"/>
              <w:lang w:eastAsia="lt-LT"/>
            </w:rPr>
          </w:pPr>
        </w:p>
        <w:p>
          <w:pPr>
            <w:widowControl w:val="0"/>
            <w:suppressAutoHyphens/>
            <w:jc w:val="center"/>
            <w:rPr>
              <w:b/>
              <w:szCs w:val="24"/>
              <w:lang w:eastAsia="lt-LT"/>
            </w:rPr>
          </w:pPr>
          <w:r>
            <w:rPr>
              <w:b/>
              <w:szCs w:val="24"/>
              <w:lang w:eastAsia="lt-LT"/>
            </w:rPr>
            <w:t xml:space="preserve">VALSTYBINĖS MOKESČIŲ INSPEKCIJOS </w:t>
            <w:br/>
            <w:t xml:space="preserve">PRIE LIETUVOS RESPUBLIKOS FINANSŲ MINISTERIJOS </w:t>
            <w:br/>
            <w:t>VIRŠININKAS</w:t>
          </w:r>
        </w:p>
        <w:p>
          <w:pPr>
            <w:widowControl w:val="0"/>
            <w:suppressAutoHyphens/>
            <w:jc w:val="center"/>
            <w:rPr>
              <w:b/>
              <w:spacing w:val="60"/>
              <w:szCs w:val="24"/>
              <w:lang w:eastAsia="lt-LT"/>
            </w:rPr>
          </w:pPr>
        </w:p>
        <w:p>
          <w:pPr>
            <w:widowControl w:val="0"/>
            <w:jc w:val="center"/>
            <w:rPr>
              <w:b/>
              <w:szCs w:val="24"/>
              <w:lang w:eastAsia="lt-LT"/>
            </w:rPr>
          </w:pPr>
          <w:r>
            <w:rPr>
              <w:b/>
              <w:caps/>
              <w:szCs w:val="24"/>
              <w:lang w:eastAsia="lt-LT"/>
            </w:rPr>
            <w:t>ĮSAKYMAS</w:t>
          </w:r>
          <w:r>
            <w:rPr>
              <w:b/>
              <w:szCs w:val="24"/>
              <w:lang w:eastAsia="lt-LT"/>
            </w:rPr>
            <w:t xml:space="preserve"> </w:t>
          </w:r>
        </w:p>
        <w:p>
          <w:pPr>
            <w:widowControl w:val="0"/>
            <w:jc w:val="center"/>
            <w:rPr>
              <w:b/>
              <w:szCs w:val="24"/>
              <w:lang w:eastAsia="lt-LT"/>
            </w:rPr>
          </w:pPr>
          <w:r>
            <w:rPr>
              <w:b/>
              <w:szCs w:val="24"/>
              <w:lang w:eastAsia="lt-LT"/>
            </w:rPr>
            <w:t>DĖL ATSISKAITYMŲ UŽ PREKES IR PASLAUGAS DUOMENŲ TEIKIMO VALSTYBINEI MOKESČIŲ INSPEKCIJAI TAISYKLIŲ PATVIRTINIMO</w:t>
          </w:r>
        </w:p>
        <w:p>
          <w:pPr>
            <w:widowControl w:val="0"/>
            <w:suppressAutoHyphens/>
            <w:jc w:val="center"/>
            <w:rPr>
              <w:szCs w:val="24"/>
              <w:lang w:eastAsia="lt-LT"/>
            </w:rPr>
          </w:pPr>
        </w:p>
        <w:p>
          <w:pPr>
            <w:widowControl w:val="0"/>
            <w:suppressAutoHyphens/>
            <w:jc w:val="center"/>
            <w:rPr>
              <w:szCs w:val="24"/>
              <w:lang w:eastAsia="lt-LT"/>
            </w:rPr>
          </w:pPr>
          <w:r>
            <w:rPr>
              <w:szCs w:val="24"/>
              <w:lang w:eastAsia="lt-LT"/>
            </w:rPr>
            <w:t>Nr.</w:t>
          </w:r>
        </w:p>
        <w:p>
          <w:pPr>
            <w:widowControl w:val="0"/>
            <w:suppressAutoHyphens/>
            <w:jc w:val="center"/>
            <w:rPr>
              <w:szCs w:val="24"/>
              <w:lang w:eastAsia="lt-LT"/>
            </w:rPr>
          </w:pPr>
          <w:r>
            <w:rPr>
              <w:szCs w:val="24"/>
              <w:lang w:eastAsia="lt-LT"/>
            </w:rPr>
            <w:t>Vilnius</w:t>
          </w:r>
        </w:p>
        <w:p>
          <w:pPr>
            <w:widowControl w:val="0"/>
            <w:suppressAutoHyphens/>
            <w:jc w:val="both"/>
            <w:rPr>
              <w:szCs w:val="24"/>
              <w:lang w:eastAsia="lt-LT"/>
            </w:rPr>
          </w:pPr>
        </w:p>
        <w:sdt>
          <w:sdtPr>
            <w:alias w:val="preambule"/>
            <w:tag w:val="part_bcb767dac1c049f899d965e23087b4c2"/>
            <w:lock w:val="sdtLocked"/>
            <w:richText/>
          </w:sdtPr>
          <w:sdtContent>
            <w:p>
              <w:pPr>
                <w:widowControl w:val="0"/>
                <w:suppressAutoHyphens/>
                <w:ind w:firstLine="720"/>
                <w:jc w:val="both"/>
                <w:rPr>
                  <w:szCs w:val="24"/>
                  <w:lang w:eastAsia="lt-LT"/>
                </w:rPr>
              </w:pPr>
              <w:r>
                <w:rPr>
                  <w:szCs w:val="24"/>
                  <w:lang w:eastAsia="lt-LT"/>
                </w:rPr>
                <w:t>Vadovaudamasis Lietuvos Respublikos mokesčių administravimo įstatymo 42</w:t>
              </w:r>
              <w:r>
                <w:rPr>
                  <w:szCs w:val="24"/>
                  <w:vertAlign w:val="superscript"/>
                  <w:lang w:eastAsia="lt-LT"/>
                </w:rPr>
                <w:t xml:space="preserve">4 </w:t>
              </w:r>
              <w:r>
                <w:rPr>
                  <w:szCs w:val="24"/>
                  <w:lang w:eastAsia="lt-LT"/>
                </w:rPr>
                <w:t>2 dalimi,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22.9 papunkčiu:</w:t>
              </w:r>
            </w:p>
          </w:sdtContent>
        </w:sdt>
        <w:sdt>
          <w:sdtPr>
            <w:alias w:val="1 p."/>
            <w:tag w:val="part_fbaf66a6a7b64ce095e49f19af133490"/>
            <w:lock w:val="sdtLocked"/>
            <w:richText/>
          </w:sdtPr>
          <w:sdtContent>
            <w:p>
              <w:pPr>
                <w:widowControl w:val="0"/>
                <w:tabs>
                  <w:tab w:val="left" w:pos="993"/>
                </w:tabs>
                <w:suppressAutoHyphens/>
                <w:ind w:firstLine="709"/>
                <w:jc w:val="both"/>
                <w:rPr>
                  <w:szCs w:val="24"/>
                  <w:lang w:eastAsia="lt-LT"/>
                </w:rPr>
              </w:pPr>
              <w:sdt>
                <w:sdtPr>
                  <w:alias w:val="Numeris"/>
                  <w:tag w:val="nr_fbaf66a6a7b64ce095e49f19af133490"/>
                  <w:lock w:val="sdtLocked"/>
                  <w:richText/>
                </w:sdtPr>
                <w:sdtContent>
                  <w:r>
                    <w:rPr>
                      <w:szCs w:val="24"/>
                      <w:lang w:eastAsia="lt-LT"/>
                    </w:rPr>
                    <w:t>1</w:t>
                  </w:r>
                </w:sdtContent>
              </w:sdt>
              <w:r>
                <w:rPr>
                  <w:szCs w:val="24"/>
                  <w:lang w:eastAsia="lt-LT"/>
                </w:rPr>
                <w:t>.</w:t>
                <w:tab/>
              </w:r>
              <w:r>
                <w:rPr>
                  <w:spacing w:val="80"/>
                  <w:szCs w:val="24"/>
                  <w:lang w:eastAsia="lt-LT"/>
                </w:rPr>
                <w:t>Tvirtin</w:t>
              </w:r>
              <w:r>
                <w:rPr>
                  <w:szCs w:val="24"/>
                  <w:lang w:eastAsia="lt-LT"/>
                </w:rPr>
                <w:t>u Atsiskaitymų už prekes ir paslaugas duomenų teikimo Valstybinei mokesčių inspekcijai taisykles (toliau – Taisyklės) (pridedama).</w:t>
              </w:r>
            </w:p>
          </w:sdtContent>
        </w:sdt>
        <w:sdt>
          <w:sdtPr>
            <w:alias w:val="2 p."/>
            <w:tag w:val="part_65db588c87594eb8ae263a921b111658"/>
            <w:lock w:val="sdtLocked"/>
            <w:richText/>
          </w:sdtPr>
          <w:sdtContent>
            <w:p>
              <w:pPr>
                <w:ind w:firstLine="709"/>
                <w:jc w:val="both"/>
                <w:rPr>
                  <w:szCs w:val="24"/>
                  <w:lang w:eastAsia="lt-LT"/>
                </w:rPr>
              </w:pPr>
              <w:sdt>
                <w:sdtPr>
                  <w:alias w:val="Numeris"/>
                  <w:tag w:val="nr_65db588c87594eb8ae263a921b111658"/>
                  <w:lock w:val="sdtLocked"/>
                  <w:richText/>
                </w:sdtPr>
                <w:sdtContent>
                  <w:r>
                    <w:rPr>
                      <w:szCs w:val="24"/>
                      <w:lang w:eastAsia="lt-LT"/>
                    </w:rPr>
                    <w:t>2</w:t>
                  </w:r>
                </w:sdtContent>
              </w:sdt>
              <w:r>
                <w:rPr>
                  <w:spacing w:val="80"/>
                  <w:szCs w:val="24"/>
                  <w:lang w:eastAsia="lt-LT"/>
                </w:rPr>
                <w:t>.Nuroda</w:t>
              </w:r>
              <w:r>
                <w:rPr>
                  <w:szCs w:val="24"/>
                  <w:lang w:eastAsia="lt-LT"/>
                </w:rPr>
                <w:t xml:space="preserve">u Valstybinės mokesčių inspekcijos prie Lietuvos Respublikos finansų ministerijos Kontrolės departamentui parengti ir ne vėliau kaip per 5 darbo dienas po šio įsakymo įsigaliojimo paskelbti Valstybinės mokesčių inspekcijos interneto svetainėje atsiskaitymų už parduodamas prekes (kai prekės superkamos – superkamas prekes) ir teikiamas paslaugas kasos aparatų, veikiančių su saugos moduliu, ir virtualios fiskalizacijos kasos aparatų duomenų rinkmenų XML (angl. </w:t>
              </w:r>
              <w:r>
                <w:rPr>
                  <w:i/>
                  <w:szCs w:val="24"/>
                  <w:lang w:eastAsia="lt-LT"/>
                </w:rPr>
                <w:t>Extensible Markup Language</w:t>
              </w:r>
              <w:r>
                <w:rPr>
                  <w:szCs w:val="24"/>
                  <w:lang w:eastAsia="lt-LT"/>
                </w:rPr>
                <w:t xml:space="preserve">) struktūros aprašus – XSD (angl. </w:t>
              </w:r>
              <w:r>
                <w:rPr>
                  <w:i/>
                  <w:szCs w:val="24"/>
                  <w:lang w:eastAsia="lt-LT"/>
                </w:rPr>
                <w:t>XML Schema Definition</w:t>
              </w:r>
              <w:r>
                <w:rPr>
                  <w:szCs w:val="24"/>
                  <w:lang w:eastAsia="lt-LT"/>
                </w:rPr>
                <w:t>).</w:t>
              </w:r>
            </w:p>
          </w:sdtContent>
        </w:sdt>
        <w:sdt>
          <w:sdtPr>
            <w:alias w:val="3 p."/>
            <w:tag w:val="part_9059ead99276401483344ce1fd51ff03"/>
            <w:lock w:val="sdtLocked"/>
            <w:richText/>
          </w:sdtPr>
          <w:sdtContent>
            <w:p>
              <w:pPr>
                <w:tabs>
                  <w:tab w:val="left" w:pos="993"/>
                </w:tabs>
                <w:ind w:firstLine="709"/>
                <w:jc w:val="both"/>
                <w:rPr>
                  <w:szCs w:val="24"/>
                  <w:lang w:eastAsia="lt-LT"/>
                </w:rPr>
              </w:pPr>
              <w:sdt>
                <w:sdtPr>
                  <w:alias w:val="Numeris"/>
                  <w:tag w:val="nr_9059ead99276401483344ce1fd51ff03"/>
                  <w:lock w:val="sdtLocked"/>
                  <w:richText/>
                </w:sdtPr>
                <w:sdtContent>
                  <w:r>
                    <w:rPr>
                      <w:szCs w:val="24"/>
                      <w:lang w:eastAsia="lt-LT"/>
                    </w:rPr>
                    <w:t>3</w:t>
                  </w:r>
                </w:sdtContent>
              </w:sdt>
              <w:r>
                <w:rPr>
                  <w:szCs w:val="24"/>
                  <w:lang w:eastAsia="lt-LT"/>
                </w:rPr>
                <w:t xml:space="preserve">. </w:t>
              </w:r>
              <w:r>
                <w:rPr>
                  <w:spacing w:val="80"/>
                  <w:szCs w:val="24"/>
                  <w:lang w:eastAsia="lt-LT"/>
                </w:rPr>
                <w:t>Nustata</w:t>
              </w:r>
              <w:r>
                <w:rPr>
                  <w:szCs w:val="24"/>
                  <w:lang w:eastAsia="lt-LT"/>
                </w:rPr>
                <w:t>u, kad:</w:t>
              </w:r>
            </w:p>
            <w:sdt>
              <w:sdtPr>
                <w:alias w:val="3.1 pp."/>
                <w:tag w:val="part_247797ab271e4867972b977c53d3f68f"/>
                <w:lock w:val="sdtLocked"/>
                <w:richText/>
              </w:sdtPr>
              <w:sdtContent>
                <w:p>
                  <w:pPr>
                    <w:tabs>
                      <w:tab w:val="left" w:pos="993"/>
                    </w:tabs>
                    <w:ind w:firstLine="709"/>
                    <w:jc w:val="both"/>
                    <w:rPr>
                      <w:szCs w:val="24"/>
                      <w:lang w:eastAsia="lt-LT"/>
                    </w:rPr>
                  </w:pPr>
                  <w:sdt>
                    <w:sdtPr>
                      <w:alias w:val="Numeris"/>
                      <w:tag w:val="nr_247797ab271e4867972b977c53d3f68f"/>
                      <w:lock w:val="sdtLocked"/>
                      <w:richText/>
                    </w:sdtPr>
                    <w:sdtContent>
                      <w:r>
                        <w:rPr>
                          <w:szCs w:val="24"/>
                          <w:lang w:eastAsia="lt-LT"/>
                        </w:rPr>
                        <w:t>3.1</w:t>
                      </w:r>
                    </w:sdtContent>
                  </w:sdt>
                  <w:r>
                    <w:rPr>
                      <w:szCs w:val="24"/>
                      <w:lang w:eastAsia="lt-LT"/>
                    </w:rPr>
                    <w:t>. Taisyklėmis turi vadovautis Lietuvos Respublikos mokesčių administravimo įstatymo Nr. IX-2112 40 straipsnio pakeitimo ir Įstatymo papildymo 42-4 straipsniu įstatymo (toliau – Įstatymas) 3 straipsnio 3–6 dalyse nurodyti mokesčių mokėtojai Įstatyme nustatytais terminais;</w:t>
                  </w:r>
                </w:p>
              </w:sdtContent>
            </w:sdt>
            <w:sdt>
              <w:sdtPr>
                <w:alias w:val="3.2 pp."/>
                <w:tag w:val="part_87dfd4c1c6974b5796e3bb58532970ad"/>
                <w:lock w:val="sdtLocked"/>
                <w:richText/>
              </w:sdtPr>
              <w:sdtContent>
                <w:p>
                  <w:pPr>
                    <w:tabs>
                      <w:tab w:val="left" w:pos="993"/>
                    </w:tabs>
                    <w:ind w:firstLine="709"/>
                    <w:jc w:val="both"/>
                    <w:rPr>
                      <w:szCs w:val="24"/>
                      <w:lang w:eastAsia="lt-LT"/>
                    </w:rPr>
                  </w:pPr>
                  <w:sdt>
                    <w:sdtPr>
                      <w:alias w:val="Numeris"/>
                      <w:tag w:val="nr_87dfd4c1c6974b5796e3bb58532970ad"/>
                      <w:lock w:val="sdtLocked"/>
                      <w:richText/>
                    </w:sdtPr>
                    <w:sdtContent>
                      <w:r>
                        <w:rPr>
                          <w:szCs w:val="24"/>
                          <w:lang w:eastAsia="lt-LT"/>
                        </w:rPr>
                        <w:t>3.2</w:t>
                      </w:r>
                    </w:sdtContent>
                  </w:sdt>
                  <w:r>
                    <w:rPr>
                      <w:szCs w:val="24"/>
                      <w:lang w:eastAsia="lt-LT"/>
                    </w:rPr>
                    <w:t xml:space="preserve">. šis įsakymas įsigalioja 2023 m. sausio 1 d. </w:t>
                  </w:r>
                </w:p>
                <w:p>
                  <w:pPr>
                    <w:widowControl w:val="0"/>
                    <w:tabs>
                      <w:tab w:val="right" w:pos="9638"/>
                    </w:tabs>
                    <w:suppressAutoHyphens/>
                    <w:jc w:val="both"/>
                    <w:rPr>
                      <w:szCs w:val="24"/>
                      <w:lang w:eastAsia="lt-LT"/>
                    </w:rPr>
                  </w:pPr>
                </w:p>
                <w:p>
                  <w:pPr>
                    <w:widowControl w:val="0"/>
                    <w:tabs>
                      <w:tab w:val="right" w:pos="9638"/>
                    </w:tabs>
                    <w:suppressAutoHyphens/>
                    <w:jc w:val="both"/>
                    <w:rPr>
                      <w:szCs w:val="24"/>
                      <w:lang w:eastAsia="lt-LT"/>
                    </w:rPr>
                  </w:pPr>
                </w:p>
                <w:p>
                  <w:pPr>
                    <w:widowControl w:val="0"/>
                    <w:tabs>
                      <w:tab w:val="right" w:pos="9638"/>
                    </w:tabs>
                    <w:suppressAutoHyphens/>
                    <w:jc w:val="both"/>
                    <w:rPr>
                      <w:szCs w:val="24"/>
                      <w:lang w:eastAsia="lt-LT"/>
                    </w:rPr>
                  </w:pPr>
                </w:p>
              </w:sdtContent>
            </w:sdt>
          </w:sdtContent>
        </w:sdt>
        <w:sdt>
          <w:sdtPr>
            <w:alias w:val="signatura"/>
            <w:tag w:val="part_4c29dfce70064ad7a308cb9819e36fb2"/>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rial Unicode MS"/>
                  <w:szCs w:val="24"/>
                </w:rPr>
              </w:pPr>
              <w:r>
                <w:rPr>
                  <w:szCs w:val="24"/>
                  <w:lang w:eastAsia="lt-LT"/>
                </w:rPr>
                <w:t>Viršininkas</w:t>
              </w:r>
              <w:r>
                <w:rPr>
                  <w:caps/>
                  <w:szCs w:val="24"/>
                  <w:lang w:eastAsia="lt-LT"/>
                </w:rPr>
                <w:tab/>
              </w:r>
              <w:r>
                <w:rPr>
                  <w:rFonts w:eastAsia="Arial Unicode MS"/>
                  <w:szCs w:val="24"/>
                </w:rPr>
                <w:tab/>
                <w:tab/>
                <w:tab/>
                <w:tab/>
                <w:tab/>
                <w:t xml:space="preserve">  </w:t>
                <w:tab/>
                <w:tab/>
                <w:t xml:space="preserve">           </w:t>
              </w:r>
            </w:p>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rial Unicode MS"/>
                  <w:szCs w:val="24"/>
                </w:rPr>
              </w:pPr>
            </w:p>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rial Unicode MS"/>
                  <w:szCs w:val="24"/>
                </w:rPr>
              </w:pPr>
            </w:p>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rial Unicode MS"/>
                  <w:szCs w:val="24"/>
                </w:rPr>
              </w:pPr>
            </w:p>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rial Unicode MS"/>
                  <w:szCs w:val="24"/>
                </w:rPr>
              </w:pPr>
            </w:p>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rial Unicode MS"/>
                  <w:szCs w:val="24"/>
                </w:rPr>
              </w:pPr>
            </w:p>
            <w:p>
              <w:pPr>
                <w:rPr>
                  <w:rFonts w:eastAsia="Arial Unicode MS"/>
                  <w:szCs w:val="24"/>
                </w:rPr>
              </w:pPr>
            </w:p>
            <w:p>
              <w:pPr>
                <w:rPr>
                  <w:rFonts w:eastAsia="Arial Unicode MS"/>
                  <w:szCs w:val="24"/>
                </w:rPr>
              </w:pPr>
            </w:p>
            <w:p>
              <w:pPr>
                <w:rPr>
                  <w:szCs w:val="24"/>
                </w:rPr>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pgNumType w:start="1"/>
                  <w:cols w:space="1296"/>
                  <w:titlePg/>
                  <w:docGrid w:linePitch="360"/>
                </w:sectPr>
              </w:pPr>
            </w:p>
            <w:p>
              <w:pPr>
                <w:tabs>
                  <w:tab w:val="center" w:pos="4819"/>
                  <w:tab w:val="right" w:pos="9638"/>
                </w:tabs>
                <w:rPr>
                  <w:sz w:val="22"/>
                  <w:szCs w:val="22"/>
                </w:rPr>
              </w:pPr>
            </w:p>
          </w:sdtContent>
        </w:sdt>
      </w:sdtContent>
    </w:sdt>
    <w:sdt>
      <w:sdtPr>
        <w:alias w:val="patvirtinta"/>
        <w:tag w:val="part_2b51d1cb648c49be88bd042ea0c00ae1"/>
        <w:lock w:val="sdtLocked"/>
        <w:richText/>
      </w:sdtPr>
      <w:sdtContent>
        <w:p>
          <w:pPr>
            <w:widowControl w:val="0"/>
            <w:ind w:firstLine="4536"/>
            <w:rPr>
              <w:szCs w:val="24"/>
              <w:lang w:eastAsia="lt-LT"/>
            </w:rPr>
          </w:pPr>
          <w:r>
            <w:rPr>
              <w:szCs w:val="24"/>
              <w:lang w:eastAsia="lt-LT"/>
            </w:rPr>
            <w:t>PATVIRTINTA</w:t>
          </w:r>
        </w:p>
        <w:p>
          <w:pPr>
            <w:widowControl w:val="0"/>
            <w:ind w:firstLine="4536"/>
            <w:rPr>
              <w:szCs w:val="24"/>
              <w:lang w:eastAsia="lt-LT"/>
            </w:rPr>
          </w:pPr>
          <w:r>
            <w:rPr>
              <w:szCs w:val="24"/>
              <w:lang w:eastAsia="lt-LT"/>
            </w:rPr>
            <w:t xml:space="preserve">Valstybinės mokesčių inspekcijos prie </w:t>
          </w:r>
        </w:p>
        <w:p>
          <w:pPr>
            <w:widowControl w:val="0"/>
            <w:ind w:firstLine="4536"/>
            <w:rPr>
              <w:szCs w:val="24"/>
              <w:lang w:eastAsia="lt-LT"/>
            </w:rPr>
          </w:pPr>
          <w:r>
            <w:rPr>
              <w:szCs w:val="24"/>
              <w:lang w:eastAsia="lt-LT"/>
            </w:rPr>
            <w:t xml:space="preserve">Lietuvos Respublikos finansų ministerijos viršininko </w:t>
          </w:r>
        </w:p>
        <w:p>
          <w:pPr>
            <w:widowControl w:val="0"/>
            <w:ind w:firstLine="4536"/>
            <w:rPr>
              <w:szCs w:val="24"/>
              <w:lang w:eastAsia="lt-LT"/>
            </w:rPr>
          </w:pPr>
          <w:r>
            <w:rPr>
              <w:szCs w:val="24"/>
              <w:lang w:eastAsia="lt-LT"/>
            </w:rPr>
            <w:t xml:space="preserve">2022 m.              įsakymu Nr. VA-</w:t>
          </w:r>
        </w:p>
        <w:p>
          <w:pPr>
            <w:tabs>
              <w:tab w:val="left" w:pos="4111"/>
              <w:tab w:val="left" w:pos="5529"/>
            </w:tabs>
            <w:ind w:firstLine="5529"/>
            <w:jc w:val="both"/>
            <w:rPr>
              <w:szCs w:val="24"/>
            </w:rPr>
          </w:pPr>
        </w:p>
        <w:p>
          <w:pPr>
            <w:tabs>
              <w:tab w:val="left" w:pos="4111"/>
              <w:tab w:val="left" w:pos="5529"/>
            </w:tabs>
            <w:jc w:val="both"/>
            <w:rPr>
              <w:szCs w:val="24"/>
            </w:rPr>
          </w:pPr>
        </w:p>
        <w:p>
          <w:pPr>
            <w:jc w:val="center"/>
            <w:rPr>
              <w:b/>
              <w:bCs/>
              <w:caps/>
              <w:color w:val="000000"/>
              <w:szCs w:val="24"/>
            </w:rPr>
          </w:pPr>
          <w:sdt>
            <w:sdtPr>
              <w:alias w:val="Pavadinimas"/>
              <w:tag w:val="title_2b51d1cb648c49be88bd042ea0c00ae1"/>
              <w:lock w:val="sdtLocked"/>
              <w:richText/>
            </w:sdtPr>
            <w:sdtContent>
              <w:r>
                <w:rPr>
                  <w:b/>
                  <w:bCs/>
                  <w:caps/>
                  <w:color w:val="000000"/>
                  <w:szCs w:val="24"/>
                </w:rPr>
                <w:t>Atsiskaitymų už prekes ir paslaugas duomenų teikimo Valstybinei mokesčių inspekcijai TAISYKLĖS</w:t>
              </w:r>
            </w:sdtContent>
          </w:sdt>
        </w:p>
        <w:p>
          <w:pPr>
            <w:jc w:val="center"/>
            <w:rPr>
              <w:b/>
              <w:szCs w:val="24"/>
            </w:rPr>
          </w:pPr>
        </w:p>
        <w:sdt>
          <w:sdtPr>
            <w:alias w:val="skyrius"/>
            <w:tag w:val="part_cace15799adb4a97bedaa1e408813489"/>
            <w:lock w:val="sdtLocked"/>
            <w:richText/>
          </w:sdtPr>
          <w:sdtContent>
            <w:p>
              <w:pPr>
                <w:jc w:val="center"/>
                <w:rPr>
                  <w:b/>
                  <w:szCs w:val="24"/>
                </w:rPr>
              </w:pPr>
              <w:sdt>
                <w:sdtPr>
                  <w:alias w:val="Numeris"/>
                  <w:tag w:val="nr_cace15799adb4a97bedaa1e408813489"/>
                  <w:lock w:val="sdtLocked"/>
                  <w:richText/>
                </w:sdtPr>
                <w:sdtContent>
                  <w:r>
                    <w:rPr>
                      <w:b/>
                      <w:szCs w:val="24"/>
                    </w:rPr>
                    <w:t>I</w:t>
                  </w:r>
                </w:sdtContent>
              </w:sdt>
              <w:r>
                <w:rPr>
                  <w:b/>
                  <w:szCs w:val="24"/>
                </w:rPr>
                <w:t xml:space="preserve"> SKYRIUS</w:t>
              </w:r>
            </w:p>
            <w:p>
              <w:pPr>
                <w:jc w:val="center"/>
                <w:rPr>
                  <w:b/>
                  <w:szCs w:val="24"/>
                </w:rPr>
              </w:pPr>
              <w:sdt>
                <w:sdtPr>
                  <w:alias w:val="Pavadinimas"/>
                  <w:tag w:val="title_cace15799adb4a97bedaa1e408813489"/>
                  <w:lock w:val="sdtLocked"/>
                  <w:richText/>
                </w:sdtPr>
                <w:sdtContent>
                  <w:r>
                    <w:rPr>
                      <w:b/>
                      <w:szCs w:val="24"/>
                    </w:rPr>
                    <w:t>BENDROSIOS NUOSTATOS</w:t>
                  </w:r>
                </w:sdtContent>
              </w:sdt>
            </w:p>
            <w:p>
              <w:pPr>
                <w:rPr>
                  <w:szCs w:val="24"/>
                </w:rPr>
              </w:pPr>
            </w:p>
            <w:sdt>
              <w:sdtPr>
                <w:alias w:val="1 p."/>
                <w:tag w:val="part_8b5a72e9613045c2b3997b93c4db215a"/>
                <w:lock w:val="sdtLocked"/>
                <w:richText/>
              </w:sdtPr>
              <w:sdtContent>
                <w:p>
                  <w:pPr>
                    <w:tabs>
                      <w:tab w:val="left" w:pos="1276"/>
                    </w:tabs>
                    <w:ind w:firstLine="851"/>
                    <w:jc w:val="both"/>
                    <w:rPr>
                      <w:szCs w:val="24"/>
                      <w:lang w:eastAsia="lt-LT"/>
                    </w:rPr>
                  </w:pPr>
                  <w:sdt>
                    <w:sdtPr>
                      <w:alias w:val="Numeris"/>
                      <w:tag w:val="nr_8b5a72e9613045c2b3997b93c4db215a"/>
                      <w:lock w:val="sdtLocked"/>
                      <w:richText/>
                    </w:sdtPr>
                    <w:sdtContent>
                      <w:r>
                        <w:rPr>
                          <w:szCs w:val="24"/>
                        </w:rPr>
                        <w:t>1</w:t>
                      </w:r>
                    </w:sdtContent>
                  </w:sdt>
                  <w:r>
                    <w:rPr>
                      <w:szCs w:val="24"/>
                    </w:rPr>
                    <w:t xml:space="preserve">. Atsiskaitymų už prekes ir paslaugas duomenų teikimo Valstybinei mokesčių inspekcijai taisyklės (toliau – Taisyklės) reglamentuoja kasos aparatais apskaitytų atsiskaitymų už parduodamas prekes (kai prekės superkamos – superkamas prekes) ir teikiamas paslaugas duomenų (toliau – Duomenys) teikimo Valstybinei mokesčių inspekcijai prie Lietuvos Respublikos finansų ministerijos (toliau – Valstybinė mokesčių inspekcija) tvarką </w:t>
                  </w:r>
                  <w:r>
                    <w:rPr>
                      <w:szCs w:val="24"/>
                      <w:lang w:eastAsia="lt-LT"/>
                    </w:rPr>
                    <w:t>ir terminus.</w:t>
                  </w:r>
                </w:p>
              </w:sdtContent>
            </w:sdt>
            <w:sdt>
              <w:sdtPr>
                <w:alias w:val="2 p."/>
                <w:tag w:val="part_461d7764f93f47098417705d0c217d9b"/>
                <w:lock w:val="sdtLocked"/>
                <w:richText/>
              </w:sdtPr>
              <w:sdtContent>
                <w:p>
                  <w:pPr>
                    <w:tabs>
                      <w:tab w:val="left" w:pos="1276"/>
                    </w:tabs>
                    <w:ind w:firstLine="851"/>
                    <w:jc w:val="both"/>
                    <w:rPr>
                      <w:color w:val="000000"/>
                      <w:szCs w:val="24"/>
                    </w:rPr>
                  </w:pPr>
                  <w:sdt>
                    <w:sdtPr>
                      <w:alias w:val="Numeris"/>
                      <w:tag w:val="nr_461d7764f93f47098417705d0c217d9b"/>
                      <w:lock w:val="sdtLocked"/>
                      <w:richText/>
                    </w:sdtPr>
                    <w:sdtContent>
                      <w:r>
                        <w:rPr>
                          <w:szCs w:val="24"/>
                          <w:lang w:eastAsia="lt-LT"/>
                        </w:rPr>
                        <w:t>2</w:t>
                      </w:r>
                    </w:sdtContent>
                  </w:sdt>
                  <w:r>
                    <w:rPr>
                      <w:szCs w:val="24"/>
                      <w:lang w:eastAsia="lt-LT"/>
                    </w:rPr>
                    <w:t xml:space="preserve">. </w:t>
                  </w:r>
                  <w:r>
                    <w:rPr>
                      <w:color w:val="000000"/>
                      <w:szCs w:val="24"/>
                    </w:rPr>
                    <w:t>Taisyklės parengtos, vadovaujantis Lietuvos Respublikos mokesčių administravimo įstatymo Nr. IX-2112 40 straipsnio pakeitimo ir Įstatymo papildymo 42-4 straipsniu įstatymo 3 straipsnio 2 dalimi.</w:t>
                  </w:r>
                </w:p>
              </w:sdtContent>
            </w:sdt>
            <w:sdt>
              <w:sdtPr>
                <w:alias w:val="3 p."/>
                <w:tag w:val="part_d09faeb480f342de82c10a43cc152b9e"/>
                <w:lock w:val="sdtLocked"/>
                <w:richText/>
              </w:sdtPr>
              <w:sdtContent>
                <w:p>
                  <w:pPr>
                    <w:ind w:firstLine="851"/>
                    <w:jc w:val="both"/>
                    <w:rPr>
                      <w:szCs w:val="24"/>
                    </w:rPr>
                  </w:pPr>
                  <w:sdt>
                    <w:sdtPr>
                      <w:alias w:val="Numeris"/>
                      <w:tag w:val="nr_d09faeb480f342de82c10a43cc152b9e"/>
                      <w:lock w:val="sdtLocked"/>
                      <w:richText/>
                    </w:sdtPr>
                    <w:sdtContent>
                      <w:r>
                        <w:rPr>
                          <w:szCs w:val="24"/>
                        </w:rPr>
                        <w:t>3</w:t>
                      </w:r>
                    </w:sdtContent>
                  </w:sdt>
                  <w:r>
                    <w:rPr>
                      <w:szCs w:val="24"/>
                    </w:rPr>
                    <w:t xml:space="preserve">. Taisyklėse vartojamos sąvokos: </w:t>
                  </w:r>
                </w:p>
                <w:sdt>
                  <w:sdtPr>
                    <w:alias w:val="3.1 pp."/>
                    <w:tag w:val="part_64d31f9a3256406a96f47b51ca6b0cd1"/>
                    <w:lock w:val="sdtLocked"/>
                    <w:richText/>
                  </w:sdtPr>
                  <w:sdtContent>
                    <w:p>
                      <w:pPr>
                        <w:ind w:firstLine="851"/>
                        <w:jc w:val="both"/>
                        <w:rPr>
                          <w:szCs w:val="24"/>
                        </w:rPr>
                      </w:pPr>
                      <w:sdt>
                        <w:sdtPr>
                          <w:alias w:val="Numeris"/>
                          <w:tag w:val="nr_64d31f9a3256406a96f47b51ca6b0cd1"/>
                          <w:lock w:val="sdtLocked"/>
                          <w:richText/>
                        </w:sdtPr>
                        <w:sdtContent>
                          <w:r>
                            <w:rPr>
                              <w:szCs w:val="24"/>
                            </w:rPr>
                            <w:t>3.1</w:t>
                          </w:r>
                        </w:sdtContent>
                      </w:sdt>
                      <w:r>
                        <w:rPr>
                          <w:szCs w:val="24"/>
                        </w:rPr>
                        <w:t xml:space="preserve">. </w:t>
                      </w:r>
                      <w:r>
                        <w:rPr>
                          <w:b/>
                          <w:szCs w:val="24"/>
                        </w:rPr>
                        <w:t>Aprašas</w:t>
                      </w:r>
                      <w:r>
                        <w:rPr>
                          <w:szCs w:val="24"/>
                        </w:rPr>
                        <w:t xml:space="preserve"> – Kasos aparatų techninių reikalavimų aprašas, patvirtintas Valstybinės mokesčių inspekcijos prie Lietuvos Respublikos finansų ministerijos viršininko 2022 m. balandžio 27 d. įsakymu Nr. VA-40 „Dėl Kasos aparatų techninių reikalavimų aprašo patvirtinimo“.</w:t>
                      </w:r>
                    </w:p>
                  </w:sdtContent>
                </w:sdt>
                <w:sdt>
                  <w:sdtPr>
                    <w:alias w:val="3.2 pp."/>
                    <w:tag w:val="part_334335d54e2f4d0f87ab06dff06bfbb6"/>
                    <w:lock w:val="sdtLocked"/>
                    <w:richText/>
                  </w:sdtPr>
                  <w:sdtContent>
                    <w:p>
                      <w:pPr>
                        <w:ind w:firstLine="851"/>
                        <w:jc w:val="both"/>
                        <w:rPr>
                          <w:szCs w:val="24"/>
                        </w:rPr>
                      </w:pPr>
                      <w:sdt>
                        <w:sdtPr>
                          <w:alias w:val="Numeris"/>
                          <w:tag w:val="nr_334335d54e2f4d0f87ab06dff06bfbb6"/>
                          <w:lock w:val="sdtLocked"/>
                          <w:richText/>
                        </w:sdtPr>
                        <w:sdtContent>
                          <w:r>
                            <w:rPr>
                              <w:szCs w:val="24"/>
                            </w:rPr>
                            <w:t>3.2</w:t>
                          </w:r>
                        </w:sdtContent>
                      </w:sdt>
                      <w:r>
                        <w:rPr>
                          <w:szCs w:val="24"/>
                        </w:rPr>
                        <w:t>.</w:t>
                      </w:r>
                      <w:r>
                        <w:rPr>
                          <w:b/>
                          <w:szCs w:val="24"/>
                        </w:rPr>
                        <w:t xml:space="preserve"> i.EKA</w:t>
                      </w:r>
                      <w:r>
                        <w:rPr>
                          <w:szCs w:val="24"/>
                        </w:rPr>
                        <w:t xml:space="preserve"> – Išmaniosios mokesčių administravimo informacinės sistemos Išmaniųjų elektroninių kasos aparatų posistemis.</w:t>
                      </w:r>
                    </w:p>
                  </w:sdtContent>
                </w:sdt>
                <w:sdt>
                  <w:sdtPr>
                    <w:alias w:val="3.3 pp."/>
                    <w:tag w:val="part_a08bd651f4ad42888af6958d328b3818"/>
                    <w:lock w:val="sdtLocked"/>
                    <w:richText/>
                  </w:sdtPr>
                  <w:sdtContent>
                    <w:p>
                      <w:pPr>
                        <w:ind w:firstLine="851"/>
                        <w:jc w:val="both"/>
                        <w:rPr>
                          <w:szCs w:val="24"/>
                        </w:rPr>
                      </w:pPr>
                      <w:sdt>
                        <w:sdtPr>
                          <w:alias w:val="Numeris"/>
                          <w:tag w:val="nr_a08bd651f4ad42888af6958d328b3818"/>
                          <w:lock w:val="sdtLocked"/>
                          <w:richText/>
                        </w:sdtPr>
                        <w:sdtContent>
                          <w:r>
                            <w:rPr>
                              <w:szCs w:val="24"/>
                            </w:rPr>
                            <w:t>3.3</w:t>
                          </w:r>
                        </w:sdtContent>
                      </w:sdt>
                      <w:r>
                        <w:rPr>
                          <w:szCs w:val="24"/>
                        </w:rPr>
                        <w:t>. Kitos Taisyklėse vartojamos sąvokos atitinka Lietuvos Respublikos mokesčių administravimo įstatyme, Apraše ir kituose teisės aktuose, reglamentuojančiuose kasos aparatų naudojimą, vartojamas sąvokas.</w:t>
                      </w:r>
                    </w:p>
                  </w:sdtContent>
                </w:sdt>
              </w:sdtContent>
            </w:sdt>
            <w:sdt>
              <w:sdtPr>
                <w:alias w:val="4 p."/>
                <w:tag w:val="part_3bb48b442b0d4b59816d5f84621a171d"/>
                <w:lock w:val="sdtLocked"/>
                <w:richText/>
              </w:sdtPr>
              <w:sdtContent>
                <w:p>
                  <w:pPr>
                    <w:ind w:firstLine="851"/>
                    <w:jc w:val="both"/>
                    <w:rPr>
                      <w:szCs w:val="24"/>
                    </w:rPr>
                  </w:pPr>
                  <w:sdt>
                    <w:sdtPr>
                      <w:alias w:val="Numeris"/>
                      <w:tag w:val="nr_3bb48b442b0d4b59816d5f84621a171d"/>
                      <w:lock w:val="sdtLocked"/>
                      <w:richText/>
                    </w:sdtPr>
                    <w:sdtContent>
                      <w:r>
                        <w:rPr>
                          <w:szCs w:val="24"/>
                        </w:rPr>
                        <w:t>4</w:t>
                      </w:r>
                    </w:sdtContent>
                  </w:sdt>
                  <w:r>
                    <w:rPr>
                      <w:szCs w:val="24"/>
                    </w:rPr>
                    <w:t>. Duomenis Valstybinei mokesčių inspekcijai privalo teikti mokesčių mokėtojai, naudojantys Aprašo reikalavimus atitinkančius kasos aparatus, kurių modeliai yra įtraukti į Lietuvos Respublikoje leidžiamų naudoti kasos aparatų ir prekybos (paslaugų teikimo) automatų modelių sąrašą, patvirtintą Valstybinės mokesčių inspekcijos prie Lietuvos Respublikos finansų ministerijos viršininko 2003 m. balandžio 16 d. įsakymu Nr. V-137 „Dėl Lietuvos Respublikoje leidžiamų naudoti kasos aparatų ir prekybos (paslaugų teikimo) automatų modelių sąrašo bei Kasos aparatų ir prekybos (paslaugų teikimo) automatų modelių įtraukimo į šį sąrašą taisyklių patvirtinimo“.</w:t>
                  </w:r>
                </w:p>
                <w:p>
                  <w:pPr>
                    <w:ind w:firstLine="851"/>
                    <w:jc w:val="both"/>
                    <w:rPr>
                      <w:szCs w:val="24"/>
                    </w:rPr>
                  </w:pPr>
                </w:p>
              </w:sdtContent>
            </w:sdt>
          </w:sdtContent>
        </w:sdt>
        <w:sdt>
          <w:sdtPr>
            <w:alias w:val="skyrius"/>
            <w:tag w:val="part_1cfd53f0352a423d89b3f4064dd63746"/>
            <w:lock w:val="sdtLocked"/>
            <w:richText/>
          </w:sdtPr>
          <w:sdtContent>
            <w:p>
              <w:pPr>
                <w:jc w:val="center"/>
                <w:rPr>
                  <w:b/>
                  <w:szCs w:val="24"/>
                </w:rPr>
              </w:pPr>
              <w:sdt>
                <w:sdtPr>
                  <w:alias w:val="Numeris"/>
                  <w:tag w:val="nr_1cfd53f0352a423d89b3f4064dd63746"/>
                  <w:lock w:val="sdtLocked"/>
                  <w:richText/>
                </w:sdtPr>
                <w:sdtContent>
                  <w:r>
                    <w:rPr>
                      <w:b/>
                      <w:szCs w:val="24"/>
                    </w:rPr>
                    <w:t>II</w:t>
                  </w:r>
                </w:sdtContent>
              </w:sdt>
              <w:r>
                <w:rPr>
                  <w:b/>
                  <w:szCs w:val="24"/>
                </w:rPr>
                <w:t xml:space="preserve"> SKYRIUS</w:t>
              </w:r>
            </w:p>
            <w:p>
              <w:pPr>
                <w:jc w:val="center"/>
                <w:rPr>
                  <w:b/>
                  <w:szCs w:val="24"/>
                </w:rPr>
              </w:pPr>
              <w:sdt>
                <w:sdtPr>
                  <w:alias w:val="Pavadinimas"/>
                  <w:tag w:val="title_1cfd53f0352a423d89b3f4064dd63746"/>
                  <w:lock w:val="sdtLocked"/>
                  <w:richText/>
                </w:sdtPr>
                <w:sdtContent>
                  <w:r>
                    <w:rPr>
                      <w:b/>
                      <w:szCs w:val="24"/>
                    </w:rPr>
                    <w:t>DUOMENŲ TEIKIMO TVARKA IR TERMINAI</w:t>
                  </w:r>
                </w:sdtContent>
              </w:sdt>
            </w:p>
            <w:p>
              <w:pPr>
                <w:jc w:val="center"/>
                <w:rPr>
                  <w:b/>
                  <w:szCs w:val="24"/>
                </w:rPr>
              </w:pPr>
            </w:p>
            <w:sdt>
              <w:sdtPr>
                <w:alias w:val="5 p."/>
                <w:tag w:val="part_aec9e667ce5a4fc291e03f9d2771a0a5"/>
                <w:lock w:val="sdtLocked"/>
                <w:richText/>
              </w:sdtPr>
              <w:sdtContent>
                <w:p>
                  <w:pPr>
                    <w:ind w:firstLine="851"/>
                    <w:jc w:val="both"/>
                    <w:rPr>
                      <w:szCs w:val="24"/>
                    </w:rPr>
                  </w:pPr>
                  <w:sdt>
                    <w:sdtPr>
                      <w:alias w:val="Numeris"/>
                      <w:tag w:val="nr_aec9e667ce5a4fc291e03f9d2771a0a5"/>
                      <w:lock w:val="sdtLocked"/>
                      <w:richText/>
                    </w:sdtPr>
                    <w:sdtContent>
                      <w:r>
                        <w:rPr>
                          <w:szCs w:val="24"/>
                        </w:rPr>
                        <w:t>5</w:t>
                      </w:r>
                    </w:sdtContent>
                  </w:sdt>
                  <w:r>
                    <w:rPr>
                      <w:szCs w:val="24"/>
                    </w:rPr>
                    <w:t xml:space="preserve">. Duomenys turi būti teikiami Valstybinei mokesčių inspekcijai, į i.EKA pateikiant XML formato duomenų rinkmeną </w:t>
                  </w:r>
                  <w:r>
                    <w:rPr>
                      <w:szCs w:val="24"/>
                      <w:lang w:eastAsia="lt-LT"/>
                    </w:rPr>
                    <w:t>(toliau – Duomenų rinkmena), kuri parengta, vadovaujantis šių Taisyklių 14 punkte nustatytais reikalavimais</w:t>
                  </w:r>
                  <w:r>
                    <w:rPr>
                      <w:szCs w:val="24"/>
                    </w:rPr>
                    <w:t>.</w:t>
                  </w:r>
                </w:p>
              </w:sdtContent>
            </w:sdt>
            <w:sdt>
              <w:sdtPr>
                <w:alias w:val="6 p."/>
                <w:tag w:val="part_d2a408dff26e4439b7a8c100a3270be2"/>
                <w:lock w:val="sdtLocked"/>
                <w:richText/>
              </w:sdtPr>
              <w:sdtContent>
                <w:p>
                  <w:pPr>
                    <w:ind w:firstLine="851"/>
                    <w:jc w:val="both"/>
                    <w:rPr>
                      <w:szCs w:val="24"/>
                      <w:lang w:eastAsia="lt-LT"/>
                    </w:rPr>
                  </w:pPr>
                  <w:sdt>
                    <w:sdtPr>
                      <w:alias w:val="Numeris"/>
                      <w:tag w:val="nr_d2a408dff26e4439b7a8c100a3270be2"/>
                      <w:lock w:val="sdtLocked"/>
                      <w:richText/>
                    </w:sdtPr>
                    <w:sdtContent>
                      <w:r>
                        <w:rPr>
                          <w:szCs w:val="24"/>
                        </w:rPr>
                        <w:t>6</w:t>
                      </w:r>
                    </w:sdtContent>
                  </w:sdt>
                  <w:r>
                    <w:rPr>
                      <w:szCs w:val="24"/>
                    </w:rPr>
                    <w:t xml:space="preserve">. </w:t>
                  </w:r>
                  <w:r>
                    <w:rPr>
                      <w:szCs w:val="24"/>
                      <w:lang w:eastAsia="lt-LT"/>
                    </w:rPr>
                    <w:t>Duomenys Valstybinei mokesčių inspekcijai teikiami elektroniniu būdu žiniatinklio paslauga, skirta Duomenų rinkmenai pateikti į i.EKA.</w:t>
                  </w:r>
                </w:p>
              </w:sdtContent>
            </w:sdt>
            <w:sdt>
              <w:sdtPr>
                <w:alias w:val="7 p."/>
                <w:tag w:val="part_5ecbbb3914f145cc9e80fd87f2c4f337"/>
                <w:lock w:val="sdtLocked"/>
                <w:richText/>
              </w:sdtPr>
              <w:sdtContent>
                <w:p>
                  <w:pPr>
                    <w:ind w:firstLine="851"/>
                    <w:jc w:val="both"/>
                    <w:rPr>
                      <w:szCs w:val="24"/>
                      <w:lang w:eastAsia="lt-LT"/>
                    </w:rPr>
                  </w:pPr>
                  <w:sdt>
                    <w:sdtPr>
                      <w:alias w:val="Numeris"/>
                      <w:tag w:val="nr_5ecbbb3914f145cc9e80fd87f2c4f337"/>
                      <w:lock w:val="sdtLocked"/>
                      <w:richText/>
                    </w:sdtPr>
                    <w:sdtContent>
                      <w:r>
                        <w:rPr>
                          <w:szCs w:val="24"/>
                          <w:lang w:eastAsia="lt-LT"/>
                        </w:rPr>
                        <w:t>7</w:t>
                      </w:r>
                    </w:sdtContent>
                  </w:sdt>
                  <w:r>
                    <w:rPr>
                      <w:szCs w:val="24"/>
                      <w:lang w:eastAsia="lt-LT"/>
                    </w:rPr>
                    <w:t xml:space="preserve">. Duomenų teikimo Valstybinei mokesčių inspekcijai terminai nustatomi pagal mokesčių mokėtojo naudojamą kasos aparato tipą:  </w:t>
                  </w:r>
                </w:p>
                <w:sdt>
                  <w:sdtPr>
                    <w:alias w:val="7.1 pp."/>
                    <w:tag w:val="part_acbd18249aa840979e73c78626124769"/>
                    <w:lock w:val="sdtLocked"/>
                    <w:richText/>
                  </w:sdtPr>
                  <w:sdtContent>
                    <w:p>
                      <w:pPr>
                        <w:ind w:firstLine="851"/>
                        <w:jc w:val="both"/>
                        <w:rPr>
                          <w:szCs w:val="24"/>
                          <w:lang w:eastAsia="lt-LT"/>
                        </w:rPr>
                      </w:pPr>
                      <w:sdt>
                        <w:sdtPr>
                          <w:alias w:val="Numeris"/>
                          <w:tag w:val="nr_acbd18249aa840979e73c78626124769"/>
                          <w:lock w:val="sdtLocked"/>
                          <w:richText/>
                        </w:sdtPr>
                        <w:sdtContent>
                          <w:r>
                            <w:rPr>
                              <w:szCs w:val="24"/>
                              <w:lang w:eastAsia="lt-LT"/>
                            </w:rPr>
                            <w:t>7.1</w:t>
                          </w:r>
                        </w:sdtContent>
                      </w:sdt>
                      <w:r>
                        <w:rPr>
                          <w:szCs w:val="24"/>
                          <w:lang w:eastAsia="lt-LT"/>
                        </w:rPr>
                        <w:t>. iš kasos aparatų, veikiančių su saugos moduliu, Duomenys teikiami po dokumento pasirašymo kasos aparate nustatytu periodiškumu, bet ne rečiau kaip vieną kartą per 24 valandas. Duomenų teikimo periodiškumas gali būti dažnesnis, atsižvelgiant į iš i.EKA gautą kriptogramą, skirtą saugos moduliu pasirašytų ir į i.EKA neperduotų dokumentų kiekiui bei laikotarpiui nustatyti.</w:t>
                      </w:r>
                    </w:p>
                    <w:p>
                      <w:pPr>
                        <w:ind w:firstLine="851"/>
                        <w:jc w:val="both"/>
                        <w:rPr>
                          <w:szCs w:val="24"/>
                          <w:lang w:eastAsia="lt-LT"/>
                        </w:rPr>
                      </w:pPr>
                      <w:r>
                        <w:rPr>
                          <w:szCs w:val="24"/>
                          <w:lang w:eastAsia="lt-LT"/>
                        </w:rPr>
                        <w:t>Jei dėl techninių sutrikimų (pavyzdžiui, sugedus kasos aparatui, sutrikus elektros tiekimui, neveikiant interneto ryšiui ir pan.) teikti Duomenų neįmanoma, jų pateikimo terminas negali būti ilgesnis nei 72 valandos nuo paskutinio Duomenų teikimo;</w:t>
                      </w:r>
                    </w:p>
                  </w:sdtContent>
                </w:sdt>
                <w:sdt>
                  <w:sdtPr>
                    <w:alias w:val="7.2 pp."/>
                    <w:tag w:val="part_7f766de4c0c945038a69eacc601b4b2f"/>
                    <w:lock w:val="sdtLocked"/>
                    <w:richText/>
                  </w:sdtPr>
                  <w:sdtContent>
                    <w:p>
                      <w:pPr>
                        <w:ind w:firstLine="851"/>
                        <w:jc w:val="both"/>
                        <w:rPr>
                          <w:szCs w:val="24"/>
                          <w:lang w:eastAsia="lt-LT"/>
                        </w:rPr>
                      </w:pPr>
                      <w:sdt>
                        <w:sdtPr>
                          <w:alias w:val="Numeris"/>
                          <w:tag w:val="nr_7f766de4c0c945038a69eacc601b4b2f"/>
                          <w:lock w:val="sdtLocked"/>
                          <w:richText/>
                        </w:sdtPr>
                        <w:sdtContent>
                          <w:r>
                            <w:rPr>
                              <w:szCs w:val="24"/>
                              <w:lang w:eastAsia="lt-LT"/>
                            </w:rPr>
                            <w:t>7.2</w:t>
                          </w:r>
                        </w:sdtContent>
                      </w:sdt>
                      <w:r>
                        <w:rPr>
                          <w:szCs w:val="24"/>
                          <w:lang w:eastAsia="lt-LT"/>
                        </w:rPr>
                        <w:t>. iš kasos aparatų, dokumentų registracijai naudojančių virtualią fiskalizaciją, Duomenys teikiami ūkinės operacijos vykdymo metu.</w:t>
                      </w:r>
                    </w:p>
                  </w:sdtContent>
                </w:sdt>
              </w:sdtContent>
            </w:sdt>
            <w:sdt>
              <w:sdtPr>
                <w:alias w:val="8 p."/>
                <w:tag w:val="part_b3e2c7ed69744b4aad9528f3b88ab44c"/>
                <w:lock w:val="sdtLocked"/>
                <w:richText/>
              </w:sdtPr>
              <w:sdtContent>
                <w:p>
                  <w:pPr>
                    <w:ind w:firstLine="851"/>
                    <w:jc w:val="both"/>
                    <w:rPr>
                      <w:szCs w:val="24"/>
                      <w:lang w:eastAsia="lt-LT"/>
                    </w:rPr>
                  </w:pPr>
                  <w:sdt>
                    <w:sdtPr>
                      <w:alias w:val="Numeris"/>
                      <w:tag w:val="nr_b3e2c7ed69744b4aad9528f3b88ab44c"/>
                      <w:lock w:val="sdtLocked"/>
                      <w:richText/>
                    </w:sdtPr>
                    <w:sdtContent>
                      <w:r>
                        <w:rPr>
                          <w:szCs w:val="24"/>
                          <w:lang w:eastAsia="lt-LT"/>
                        </w:rPr>
                        <w:t>8</w:t>
                      </w:r>
                    </w:sdtContent>
                  </w:sdt>
                  <w:r>
                    <w:rPr>
                      <w:szCs w:val="24"/>
                      <w:lang w:eastAsia="lt-LT"/>
                    </w:rPr>
                    <w:t xml:space="preserve">. Iš kasos aparatų, veikiančių su saugos moduliu, papildomai Valstybinei mokesčių inspekcijai teikiami saugos modulio kontroliniai duomenys, išvardyti Aprašo 46 punkte, kai:  </w:t>
                  </w:r>
                </w:p>
                <w:sdt>
                  <w:sdtPr>
                    <w:alias w:val="8.1 pp."/>
                    <w:tag w:val="part_8b042cb946bf419a9981144565a1c927"/>
                    <w:lock w:val="sdtLocked"/>
                    <w:richText/>
                  </w:sdtPr>
                  <w:sdtContent>
                    <w:p>
                      <w:pPr>
                        <w:ind w:firstLine="851"/>
                        <w:jc w:val="both"/>
                        <w:rPr>
                          <w:szCs w:val="24"/>
                          <w:lang w:eastAsia="lt-LT"/>
                        </w:rPr>
                      </w:pPr>
                      <w:sdt>
                        <w:sdtPr>
                          <w:alias w:val="Numeris"/>
                          <w:tag w:val="nr_8b042cb946bf419a9981144565a1c927"/>
                          <w:lock w:val="sdtLocked"/>
                          <w:richText/>
                        </w:sdtPr>
                        <w:sdtContent>
                          <w:r>
                            <w:rPr>
                              <w:szCs w:val="24"/>
                              <w:lang w:eastAsia="lt-LT"/>
                            </w:rPr>
                            <w:t>8.1</w:t>
                          </w:r>
                        </w:sdtContent>
                      </w:sdt>
                      <w:r>
                        <w:rPr>
                          <w:szCs w:val="24"/>
                          <w:lang w:eastAsia="lt-LT"/>
                        </w:rPr>
                        <w:t>. kasos aparatas įregistruojamas;</w:t>
                      </w:r>
                    </w:p>
                  </w:sdtContent>
                </w:sdt>
                <w:sdt>
                  <w:sdtPr>
                    <w:alias w:val="8.2 pp."/>
                    <w:tag w:val="part_e7ed648cc81a46e8b9b5b0989108027c"/>
                    <w:lock w:val="sdtLocked"/>
                    <w:richText/>
                  </w:sdtPr>
                  <w:sdtContent>
                    <w:p>
                      <w:pPr>
                        <w:ind w:firstLine="851"/>
                        <w:jc w:val="both"/>
                        <w:rPr>
                          <w:szCs w:val="24"/>
                          <w:lang w:eastAsia="lt-LT"/>
                        </w:rPr>
                      </w:pPr>
                      <w:sdt>
                        <w:sdtPr>
                          <w:alias w:val="Numeris"/>
                          <w:tag w:val="nr_e7ed648cc81a46e8b9b5b0989108027c"/>
                          <w:lock w:val="sdtLocked"/>
                          <w:richText/>
                        </w:sdtPr>
                        <w:sdtContent>
                          <w:r>
                            <w:rPr>
                              <w:szCs w:val="24"/>
                              <w:lang w:eastAsia="lt-LT"/>
                            </w:rPr>
                            <w:t>8.2</w:t>
                          </w:r>
                        </w:sdtContent>
                      </w:sdt>
                      <w:r>
                        <w:rPr>
                          <w:szCs w:val="24"/>
                          <w:lang w:eastAsia="lt-LT"/>
                        </w:rPr>
                        <w:t xml:space="preserve">. kasos aparatas išregistruojamas; </w:t>
                      </w:r>
                    </w:p>
                  </w:sdtContent>
                </w:sdt>
                <w:sdt>
                  <w:sdtPr>
                    <w:alias w:val="8.3 pp."/>
                    <w:tag w:val="part_6bca93d6528c46788a17b3f2ea689257"/>
                    <w:lock w:val="sdtLocked"/>
                    <w:richText/>
                  </w:sdtPr>
                  <w:sdtContent>
                    <w:p>
                      <w:pPr>
                        <w:ind w:firstLine="851"/>
                        <w:jc w:val="both"/>
                        <w:rPr>
                          <w:szCs w:val="24"/>
                          <w:lang w:eastAsia="lt-LT"/>
                        </w:rPr>
                      </w:pPr>
                      <w:sdt>
                        <w:sdtPr>
                          <w:alias w:val="Numeris"/>
                          <w:tag w:val="nr_6bca93d6528c46788a17b3f2ea689257"/>
                          <w:lock w:val="sdtLocked"/>
                          <w:richText/>
                        </w:sdtPr>
                        <w:sdtContent>
                          <w:r>
                            <w:rPr>
                              <w:szCs w:val="24"/>
                              <w:lang w:eastAsia="lt-LT"/>
                            </w:rPr>
                            <w:t>8.3</w:t>
                          </w:r>
                        </w:sdtContent>
                      </w:sdt>
                      <w:r>
                        <w:rPr>
                          <w:szCs w:val="24"/>
                          <w:lang w:eastAsia="lt-LT"/>
                        </w:rPr>
                        <w:t>. sustabdomas kasos aparato veikimas, aktyvuojamas kasos aparato veikimas po kasos aparato veikimo sustabdymo;</w:t>
                      </w:r>
                    </w:p>
                  </w:sdtContent>
                </w:sdt>
                <w:sdt>
                  <w:sdtPr>
                    <w:alias w:val="8.4 pp."/>
                    <w:tag w:val="part_afc9ede966d94f46b844c4267c2c47a3"/>
                    <w:lock w:val="sdtLocked"/>
                    <w:richText/>
                  </w:sdtPr>
                  <w:sdtContent>
                    <w:p>
                      <w:pPr>
                        <w:ind w:firstLine="851"/>
                        <w:jc w:val="both"/>
                        <w:rPr>
                          <w:szCs w:val="24"/>
                          <w:lang w:eastAsia="lt-LT"/>
                        </w:rPr>
                      </w:pPr>
                      <w:sdt>
                        <w:sdtPr>
                          <w:alias w:val="Numeris"/>
                          <w:tag w:val="nr_afc9ede966d94f46b844c4267c2c47a3"/>
                          <w:lock w:val="sdtLocked"/>
                          <w:richText/>
                        </w:sdtPr>
                        <w:sdtContent>
                          <w:r>
                            <w:rPr>
                              <w:szCs w:val="24"/>
                              <w:lang w:eastAsia="lt-LT"/>
                            </w:rPr>
                            <w:t>8.4</w:t>
                          </w:r>
                        </w:sdtContent>
                      </w:sdt>
                      <w:r>
                        <w:rPr>
                          <w:szCs w:val="24"/>
                          <w:lang w:eastAsia="lt-LT"/>
                        </w:rPr>
                        <w:t>. atnaujinamas saugos modulio sertifikatas;</w:t>
                      </w:r>
                    </w:p>
                  </w:sdtContent>
                </w:sdt>
                <w:sdt>
                  <w:sdtPr>
                    <w:alias w:val="8.5 pp."/>
                    <w:tag w:val="part_b7c9a4e7b9b448d380ef0531cf91cc71"/>
                    <w:lock w:val="sdtLocked"/>
                    <w:richText/>
                  </w:sdtPr>
                  <w:sdtContent>
                    <w:p>
                      <w:pPr>
                        <w:ind w:firstLine="851"/>
                        <w:jc w:val="both"/>
                        <w:rPr>
                          <w:szCs w:val="24"/>
                          <w:lang w:eastAsia="lt-LT"/>
                        </w:rPr>
                      </w:pPr>
                      <w:sdt>
                        <w:sdtPr>
                          <w:alias w:val="Numeris"/>
                          <w:tag w:val="nr_b7c9a4e7b9b448d380ef0531cf91cc71"/>
                          <w:lock w:val="sdtLocked"/>
                          <w:richText/>
                        </w:sdtPr>
                        <w:sdtContent>
                          <w:r>
                            <w:rPr>
                              <w:szCs w:val="24"/>
                              <w:lang w:eastAsia="lt-LT"/>
                            </w:rPr>
                            <w:t>8.5</w:t>
                          </w:r>
                        </w:sdtContent>
                      </w:sdt>
                      <w:r>
                        <w:rPr>
                          <w:szCs w:val="24"/>
                          <w:lang w:eastAsia="lt-LT"/>
                        </w:rPr>
                        <w:t>. grąžinamas atsakymas į i.EKA kriptogramą. Atsakymas teikiamas ne vėliau kaip per 24 valandas nuo i.EKA kriptogramos gavimo.</w:t>
                      </w:r>
                    </w:p>
                  </w:sdtContent>
                </w:sdt>
              </w:sdtContent>
            </w:sdt>
            <w:sdt>
              <w:sdtPr>
                <w:alias w:val="9 p."/>
                <w:tag w:val="part_b8ab0bd7c4444b5d9393fb0291d3788d"/>
                <w:lock w:val="sdtLocked"/>
                <w:richText/>
              </w:sdtPr>
              <w:sdtContent>
                <w:p>
                  <w:pPr>
                    <w:ind w:firstLine="851"/>
                    <w:jc w:val="both"/>
                    <w:rPr>
                      <w:szCs w:val="24"/>
                      <w:lang w:eastAsia="lt-LT"/>
                    </w:rPr>
                  </w:pPr>
                  <w:sdt>
                    <w:sdtPr>
                      <w:alias w:val="Numeris"/>
                      <w:tag w:val="nr_b8ab0bd7c4444b5d9393fb0291d3788d"/>
                      <w:lock w:val="sdtLocked"/>
                      <w:richText/>
                    </w:sdtPr>
                    <w:sdtContent>
                      <w:r>
                        <w:rPr>
                          <w:szCs w:val="24"/>
                          <w:lang w:eastAsia="lt-LT"/>
                        </w:rPr>
                        <w:t>9</w:t>
                      </w:r>
                    </w:sdtContent>
                  </w:sdt>
                  <w:r>
                    <w:rPr>
                      <w:szCs w:val="24"/>
                      <w:lang w:eastAsia="lt-LT"/>
                    </w:rPr>
                    <w:t>. Kasos aparatas, veikiantis su saugos moduliu,</w:t>
                  </w:r>
                  <w:r>
                    <w:rPr>
                      <w:szCs w:val="24"/>
                    </w:rPr>
                    <w:t xml:space="preserve"> negali būti </w:t>
                  </w:r>
                  <w:r>
                    <w:rPr>
                      <w:szCs w:val="24"/>
                      <w:lang w:eastAsia="lt-LT"/>
                    </w:rPr>
                    <w:t>išregistruojamas, sustabdomas kasos aparato veikimas, atnaujinamas saugos modulio sertifikatas, jei Valstybinei mokesčių inspekcijai nėra pateikti kasos aparato Duomenys, kurie turėjo būti pateikti iki atitinkamo veiksmo su kasos aparatu atlikimo.</w:t>
                  </w:r>
                </w:p>
              </w:sdtContent>
            </w:sdt>
            <w:sdt>
              <w:sdtPr>
                <w:alias w:val="10 p."/>
                <w:tag w:val="part_2d9ece1f190c4cba8dc07115ef78b5d9"/>
                <w:lock w:val="sdtLocked"/>
                <w:richText/>
              </w:sdtPr>
              <w:sdtContent>
                <w:p>
                  <w:pPr>
                    <w:ind w:firstLine="851"/>
                    <w:jc w:val="both"/>
                    <w:rPr>
                      <w:szCs w:val="24"/>
                      <w:lang w:eastAsia="lt-LT"/>
                    </w:rPr>
                  </w:pPr>
                  <w:sdt>
                    <w:sdtPr>
                      <w:alias w:val="Numeris"/>
                      <w:tag w:val="nr_2d9ece1f190c4cba8dc07115ef78b5d9"/>
                      <w:lock w:val="sdtLocked"/>
                      <w:richText/>
                    </w:sdtPr>
                    <w:sdtContent>
                      <w:r>
                        <w:rPr>
                          <w:szCs w:val="24"/>
                          <w:lang w:eastAsia="lt-LT"/>
                        </w:rPr>
                        <w:t>10</w:t>
                      </w:r>
                    </w:sdtContent>
                  </w:sdt>
                  <w:r>
                    <w:rPr>
                      <w:szCs w:val="24"/>
                      <w:lang w:eastAsia="lt-LT"/>
                    </w:rPr>
                    <w:t>. Virtualios fiskalizacijos kasos aparatas</w:t>
                  </w:r>
                  <w:r>
                    <w:rPr>
                      <w:szCs w:val="24"/>
                    </w:rPr>
                    <w:t xml:space="preserve"> negali būti </w:t>
                  </w:r>
                  <w:r>
                    <w:rPr>
                      <w:szCs w:val="24"/>
                      <w:lang w:eastAsia="lt-LT"/>
                    </w:rPr>
                    <w:t xml:space="preserve">išregistruojamas, sustabdomas kasos aparato veikimas, atnaujinamas saugos modulio sertifikatas, jei Valstybinei mokesčių inspekcijai nėra pateikta dienos (pamainos) fiskalinė ataskaita (Z) (toliau – ataskaita (Z)). </w:t>
                  </w:r>
                </w:p>
              </w:sdtContent>
            </w:sdt>
            <w:sdt>
              <w:sdtPr>
                <w:alias w:val="11 p."/>
                <w:tag w:val="part_1b28ae28ae644e1dad6cdb5ee96ccb69"/>
                <w:lock w:val="sdtLocked"/>
                <w:richText/>
              </w:sdtPr>
              <w:sdtContent>
                <w:p>
                  <w:pPr>
                    <w:ind w:firstLine="851"/>
                    <w:jc w:val="both"/>
                    <w:rPr>
                      <w:szCs w:val="24"/>
                      <w:lang w:eastAsia="lt-LT"/>
                    </w:rPr>
                  </w:pPr>
                  <w:sdt>
                    <w:sdtPr>
                      <w:alias w:val="Numeris"/>
                      <w:tag w:val="nr_1b28ae28ae644e1dad6cdb5ee96ccb69"/>
                      <w:lock w:val="sdtLocked"/>
                      <w:richText/>
                    </w:sdtPr>
                    <w:sdtContent>
                      <w:r>
                        <w:rPr>
                          <w:szCs w:val="24"/>
                          <w:lang w:eastAsia="lt-LT"/>
                        </w:rPr>
                        <w:t>11</w:t>
                      </w:r>
                    </w:sdtContent>
                  </w:sdt>
                  <w:r>
                    <w:rPr>
                      <w:szCs w:val="24"/>
                      <w:lang w:eastAsia="lt-LT"/>
                    </w:rPr>
                    <w:t>. Valstybinei mokesčių inspekcijai Duomenų teikti neprivaloma, kai:</w:t>
                  </w:r>
                </w:p>
                <w:sdt>
                  <w:sdtPr>
                    <w:alias w:val="11.1 pp."/>
                    <w:tag w:val="part_58d2aac4c8594d4f95f91492397ac8a9"/>
                    <w:lock w:val="sdtLocked"/>
                    <w:richText/>
                  </w:sdtPr>
                  <w:sdtContent>
                    <w:p>
                      <w:pPr>
                        <w:ind w:firstLine="851"/>
                        <w:jc w:val="both"/>
                        <w:rPr>
                          <w:szCs w:val="24"/>
                          <w:lang w:eastAsia="lt-LT"/>
                        </w:rPr>
                      </w:pPr>
                      <w:sdt>
                        <w:sdtPr>
                          <w:alias w:val="Numeris"/>
                          <w:tag w:val="nr_58d2aac4c8594d4f95f91492397ac8a9"/>
                          <w:lock w:val="sdtLocked"/>
                          <w:richText/>
                        </w:sdtPr>
                        <w:sdtContent>
                          <w:r>
                            <w:rPr>
                              <w:szCs w:val="24"/>
                              <w:lang w:eastAsia="lt-LT"/>
                            </w:rPr>
                            <w:t>11.1</w:t>
                          </w:r>
                        </w:sdtContent>
                      </w:sdt>
                      <w:r>
                        <w:rPr>
                          <w:szCs w:val="24"/>
                          <w:lang w:eastAsia="lt-LT"/>
                        </w:rPr>
                        <w:t>. kasos aparatas prarastas dėl įvykdytos nusikalstamos veikos, nenugalimos jėgos (</w:t>
                      </w:r>
                      <w:r>
                        <w:rPr>
                          <w:i/>
                          <w:szCs w:val="24"/>
                          <w:lang w:eastAsia="lt-LT"/>
                        </w:rPr>
                        <w:t>force majeure</w:t>
                      </w:r>
                      <w:r>
                        <w:rPr>
                          <w:szCs w:val="24"/>
                          <w:lang w:eastAsia="lt-LT"/>
                        </w:rPr>
                        <w:t>) aplinkybių, kasos aparatas nepataisomai sugenda ar yra išregistruojamas Valstybinės mokesčių inspekcijos sprendimu, jei nebelieka techninių galimybių teikti Duomenis;</w:t>
                      </w:r>
                    </w:p>
                  </w:sdtContent>
                </w:sdt>
                <w:sdt>
                  <w:sdtPr>
                    <w:alias w:val="11.2 pp."/>
                    <w:tag w:val="part_989319d77d8d496d9d666d2a8e402e6e"/>
                    <w:lock w:val="sdtLocked"/>
                    <w:richText/>
                  </w:sdtPr>
                  <w:sdtContent>
                    <w:p>
                      <w:pPr>
                        <w:ind w:firstLine="851"/>
                        <w:jc w:val="both"/>
                        <w:rPr>
                          <w:color w:val="000000"/>
                          <w:szCs w:val="24"/>
                        </w:rPr>
                      </w:pPr>
                      <w:sdt>
                        <w:sdtPr>
                          <w:alias w:val="Numeris"/>
                          <w:tag w:val="nr_989319d77d8d496d9d666d2a8e402e6e"/>
                          <w:lock w:val="sdtLocked"/>
                          <w:richText/>
                        </w:sdtPr>
                        <w:sdtContent>
                          <w:r>
                            <w:rPr>
                              <w:color w:val="000000"/>
                              <w:szCs w:val="24"/>
                            </w:rPr>
                            <w:t>11.2</w:t>
                          </w:r>
                        </w:sdtContent>
                      </w:sdt>
                      <w:r>
                        <w:rPr>
                          <w:color w:val="000000"/>
                          <w:szCs w:val="24"/>
                        </w:rPr>
                        <w:t xml:space="preserve">. kasos aparatas laikinai nenaudojamas ne ilgiau kaip 30 dienų ir kasos aparatas nėra išregistruotas arba jo veikimas nėra sustabdytas; </w:t>
                      </w:r>
                    </w:p>
                  </w:sdtContent>
                </w:sdt>
                <w:sdt>
                  <w:sdtPr>
                    <w:alias w:val="11.3 pp."/>
                    <w:tag w:val="part_6d82f091384a4af88b0b3e8eba7d2d59"/>
                    <w:lock w:val="sdtLocked"/>
                    <w:richText/>
                  </w:sdtPr>
                  <w:sdtContent>
                    <w:p>
                      <w:pPr>
                        <w:ind w:firstLine="851"/>
                        <w:jc w:val="both"/>
                        <w:rPr>
                          <w:color w:val="000000"/>
                          <w:szCs w:val="24"/>
                        </w:rPr>
                      </w:pPr>
                      <w:sdt>
                        <w:sdtPr>
                          <w:alias w:val="Numeris"/>
                          <w:tag w:val="nr_6d82f091384a4af88b0b3e8eba7d2d59"/>
                          <w:lock w:val="sdtLocked"/>
                          <w:richText/>
                        </w:sdtPr>
                        <w:sdtContent>
                          <w:r>
                            <w:rPr>
                              <w:color w:val="000000"/>
                              <w:szCs w:val="24"/>
                            </w:rPr>
                            <w:t>11.3</w:t>
                          </w:r>
                        </w:sdtContent>
                      </w:sdt>
                      <w:r>
                        <w:rPr>
                          <w:color w:val="000000"/>
                          <w:szCs w:val="24"/>
                        </w:rPr>
                        <w:t>. kasos aparatas nenaudojamas dėl šalyje paskelbtos ekstremaliosios situacijos ir (arba) karantino ir kasos aparatas nėra išregistruotas arba jo veikimas nėra sustabdytas.</w:t>
                      </w:r>
                    </w:p>
                  </w:sdtContent>
                </w:sdt>
              </w:sdtContent>
            </w:sdt>
            <w:sdt>
              <w:sdtPr>
                <w:alias w:val="12 p."/>
                <w:tag w:val="part_8c892591e89d4eaf919ce8b48749cf12"/>
                <w:lock w:val="sdtLocked"/>
                <w:richText/>
              </w:sdtPr>
              <w:sdtContent>
                <w:p>
                  <w:pPr>
                    <w:ind w:firstLine="851"/>
                    <w:jc w:val="both"/>
                    <w:rPr>
                      <w:szCs w:val="24"/>
                      <w:lang w:eastAsia="lt-LT"/>
                    </w:rPr>
                  </w:pPr>
                  <w:sdt>
                    <w:sdtPr>
                      <w:alias w:val="Numeris"/>
                      <w:tag w:val="nr_8c892591e89d4eaf919ce8b48749cf12"/>
                      <w:lock w:val="sdtLocked"/>
                      <w:richText/>
                    </w:sdtPr>
                    <w:sdtContent>
                      <w:r>
                        <w:rPr>
                          <w:color w:val="000000"/>
                          <w:szCs w:val="24"/>
                        </w:rPr>
                        <w:t>12</w:t>
                      </w:r>
                    </w:sdtContent>
                  </w:sdt>
                  <w:r>
                    <w:rPr>
                      <w:color w:val="000000"/>
                      <w:szCs w:val="24"/>
                    </w:rPr>
                    <w:t xml:space="preserve">. </w:t>
                  </w:r>
                  <w:r>
                    <w:rPr>
                      <w:szCs w:val="24"/>
                      <w:lang w:eastAsia="lt-LT"/>
                    </w:rPr>
                    <w:t>i.EKA veiklos sutrikimo atveju Duomenys iš kasos aparatų, veikiančių su saugos moduliu, privalo būti pateikti po i.EKA veiklos atstatymo šių Taisyklių 7.1 papunktyje nustatytais terminais.</w:t>
                  </w:r>
                </w:p>
                <w:p>
                  <w:pPr>
                    <w:ind w:firstLine="993"/>
                    <w:rPr>
                      <w:szCs w:val="24"/>
                    </w:rPr>
                  </w:pPr>
                </w:p>
              </w:sdtContent>
            </w:sdt>
          </w:sdtContent>
        </w:sdt>
        <w:sdt>
          <w:sdtPr>
            <w:alias w:val="skyrius"/>
            <w:tag w:val="part_7ae013e6fd7a40b2a1a6e64c4a761e33"/>
            <w:lock w:val="sdtLocked"/>
            <w:richText/>
          </w:sdtPr>
          <w:sdtContent>
            <w:p>
              <w:pPr>
                <w:suppressAutoHyphens/>
                <w:jc w:val="center"/>
                <w:rPr>
                  <w:b/>
                  <w:szCs w:val="24"/>
                </w:rPr>
              </w:pPr>
              <w:sdt>
                <w:sdtPr>
                  <w:alias w:val="Numeris"/>
                  <w:tag w:val="nr_7ae013e6fd7a40b2a1a6e64c4a761e33"/>
                  <w:lock w:val="sdtLocked"/>
                  <w:richText/>
                </w:sdtPr>
                <w:sdtContent>
                  <w:r>
                    <w:rPr>
                      <w:b/>
                      <w:szCs w:val="24"/>
                    </w:rPr>
                    <w:t>III</w:t>
                  </w:r>
                </w:sdtContent>
              </w:sdt>
              <w:r>
                <w:rPr>
                  <w:b/>
                  <w:szCs w:val="24"/>
                </w:rPr>
                <w:t xml:space="preserve"> SKYRIUS</w:t>
              </w:r>
            </w:p>
            <w:p>
              <w:pPr>
                <w:suppressAutoHyphens/>
                <w:jc w:val="center"/>
                <w:rPr>
                  <w:b/>
                  <w:szCs w:val="24"/>
                </w:rPr>
              </w:pPr>
              <w:sdt>
                <w:sdtPr>
                  <w:alias w:val="Pavadinimas"/>
                  <w:tag w:val="title_7ae013e6fd7a40b2a1a6e64c4a761e33"/>
                  <w:lock w:val="sdtLocked"/>
                  <w:richText/>
                </w:sdtPr>
                <w:sdtContent>
                  <w:r>
                    <w:rPr>
                      <w:b/>
                      <w:szCs w:val="24"/>
                    </w:rPr>
                    <w:t>TEIKIAMŲ DUOMENŲ STRUKTŪRA IR TEIKIMO SĄLYGOS</w:t>
                  </w:r>
                </w:sdtContent>
              </w:sdt>
            </w:p>
            <w:p>
              <w:pPr>
                <w:suppressAutoHyphens/>
                <w:jc w:val="center"/>
                <w:rPr>
                  <w:b/>
                  <w:szCs w:val="24"/>
                </w:rPr>
              </w:pPr>
            </w:p>
            <w:sdt>
              <w:sdtPr>
                <w:alias w:val="13 p."/>
                <w:tag w:val="part_770043a146a04ffeba23aae6a0cbdbfc"/>
                <w:lock w:val="sdtLocked"/>
                <w:richText/>
              </w:sdtPr>
              <w:sdtContent>
                <w:p>
                  <w:pPr>
                    <w:tabs>
                      <w:tab w:val="left" w:pos="1418"/>
                    </w:tabs>
                    <w:suppressAutoHyphens/>
                    <w:ind w:firstLine="851"/>
                    <w:jc w:val="both"/>
                    <w:rPr>
                      <w:szCs w:val="24"/>
                    </w:rPr>
                  </w:pPr>
                  <w:sdt>
                    <w:sdtPr>
                      <w:alias w:val="Numeris"/>
                      <w:tag w:val="nr_770043a146a04ffeba23aae6a0cbdbfc"/>
                      <w:lock w:val="sdtLocked"/>
                      <w:richText/>
                    </w:sdtPr>
                    <w:sdtContent>
                      <w:r>
                        <w:rPr>
                          <w:szCs w:val="24"/>
                        </w:rPr>
                        <w:t>13</w:t>
                      </w:r>
                    </w:sdtContent>
                  </w:sdt>
                  <w:r>
                    <w:rPr>
                      <w:szCs w:val="24"/>
                    </w:rPr>
                    <w:t>. Valstybinei mokesčių inspekcijai teikiami šių kasos aparatu suformuotų dokumentų Duomenys:</w:t>
                  </w:r>
                </w:p>
                <w:sdt>
                  <w:sdtPr>
                    <w:alias w:val="13.1 pp."/>
                    <w:tag w:val="part_ee7464f1e68040c2995ab6dca84efc79"/>
                    <w:lock w:val="sdtLocked"/>
                    <w:richText/>
                  </w:sdtPr>
                  <w:sdtContent>
                    <w:p>
                      <w:pPr>
                        <w:tabs>
                          <w:tab w:val="left" w:pos="1418"/>
                        </w:tabs>
                        <w:suppressAutoHyphens/>
                        <w:ind w:firstLine="851"/>
                        <w:jc w:val="both"/>
                        <w:rPr>
                          <w:szCs w:val="24"/>
                        </w:rPr>
                      </w:pPr>
                      <w:sdt>
                        <w:sdtPr>
                          <w:alias w:val="Numeris"/>
                          <w:tag w:val="nr_ee7464f1e68040c2995ab6dca84efc79"/>
                          <w:lock w:val="sdtLocked"/>
                          <w:richText/>
                        </w:sdtPr>
                        <w:sdtContent>
                          <w:r>
                            <w:rPr>
                              <w:szCs w:val="24"/>
                            </w:rPr>
                            <w:t>13.1</w:t>
                          </w:r>
                        </w:sdtContent>
                      </w:sdt>
                      <w:r>
                        <w:rPr>
                          <w:szCs w:val="24"/>
                        </w:rPr>
                        <w:t>.</w:t>
                        <w:tab/>
                        <w:t>kasos aparato fiskalinio kvito;</w:t>
                      </w:r>
                    </w:p>
                  </w:sdtContent>
                </w:sdt>
                <w:sdt>
                  <w:sdtPr>
                    <w:alias w:val="13.2 pp."/>
                    <w:tag w:val="part_8b780c988169494f8f66a010edf31516"/>
                    <w:lock w:val="sdtLocked"/>
                    <w:richText/>
                  </w:sdtPr>
                  <w:sdtContent>
                    <w:p>
                      <w:pPr>
                        <w:tabs>
                          <w:tab w:val="left" w:pos="1418"/>
                        </w:tabs>
                        <w:suppressAutoHyphens/>
                        <w:ind w:firstLine="851"/>
                        <w:jc w:val="both"/>
                        <w:rPr>
                          <w:szCs w:val="24"/>
                        </w:rPr>
                      </w:pPr>
                      <w:sdt>
                        <w:sdtPr>
                          <w:alias w:val="Numeris"/>
                          <w:tag w:val="nr_8b780c988169494f8f66a010edf31516"/>
                          <w:lock w:val="sdtLocked"/>
                          <w:richText/>
                        </w:sdtPr>
                        <w:sdtContent>
                          <w:r>
                            <w:rPr>
                              <w:szCs w:val="24"/>
                            </w:rPr>
                            <w:t>13.2</w:t>
                          </w:r>
                        </w:sdtContent>
                      </w:sdt>
                      <w:r>
                        <w:rPr>
                          <w:szCs w:val="24"/>
                        </w:rPr>
                        <w:t>.</w:t>
                      </w:r>
                      <w:r>
                        <w:rPr>
                          <w:b/>
                          <w:color w:val="000000"/>
                          <w:szCs w:val="24"/>
                        </w:rPr>
                        <w:t xml:space="preserve"> </w:t>
                      </w:r>
                      <w:r>
                        <w:rPr>
                          <w:color w:val="000000"/>
                          <w:szCs w:val="24"/>
                        </w:rPr>
                        <w:t>ataskaitos (Z)</w:t>
                      </w:r>
                      <w:r>
                        <w:rPr>
                          <w:szCs w:val="24"/>
                        </w:rPr>
                        <w:t>;</w:t>
                      </w:r>
                    </w:p>
                  </w:sdtContent>
                </w:sdt>
                <w:sdt>
                  <w:sdtPr>
                    <w:alias w:val="13.3 pp."/>
                    <w:tag w:val="part_197636568b204beb8c680c1cb677d8d9"/>
                    <w:lock w:val="sdtLocked"/>
                    <w:richText/>
                  </w:sdtPr>
                  <w:sdtContent>
                    <w:p>
                      <w:pPr>
                        <w:tabs>
                          <w:tab w:val="left" w:pos="1418"/>
                        </w:tabs>
                        <w:suppressAutoHyphens/>
                        <w:ind w:firstLine="851"/>
                        <w:jc w:val="both"/>
                        <w:rPr>
                          <w:szCs w:val="24"/>
                        </w:rPr>
                      </w:pPr>
                      <w:sdt>
                        <w:sdtPr>
                          <w:alias w:val="Numeris"/>
                          <w:tag w:val="nr_197636568b204beb8c680c1cb677d8d9"/>
                          <w:lock w:val="sdtLocked"/>
                          <w:richText/>
                        </w:sdtPr>
                        <w:sdtContent>
                          <w:r>
                            <w:rPr>
                              <w:szCs w:val="24"/>
                            </w:rPr>
                            <w:t>13.3</w:t>
                          </w:r>
                        </w:sdtContent>
                      </w:sdt>
                      <w:r>
                        <w:rPr>
                          <w:szCs w:val="24"/>
                        </w:rPr>
                        <w:t>.</w:t>
                        <w:tab/>
                        <w:t>kasos aparato nefiskalinio kvito.</w:t>
                      </w:r>
                    </w:p>
                  </w:sdtContent>
                </w:sdt>
              </w:sdtContent>
            </w:sdt>
            <w:sdt>
              <w:sdtPr>
                <w:alias w:val="14 p."/>
                <w:tag w:val="part_e5fb5895b68244db83027e88cb14b7d8"/>
                <w:lock w:val="sdtLocked"/>
                <w:richText/>
              </w:sdtPr>
              <w:sdtContent>
                <w:p>
                  <w:pPr>
                    <w:tabs>
                      <w:tab w:val="left" w:pos="1418"/>
                    </w:tabs>
                    <w:suppressAutoHyphens/>
                    <w:ind w:firstLine="851"/>
                    <w:jc w:val="both"/>
                    <w:rPr>
                      <w:szCs w:val="24"/>
                    </w:rPr>
                  </w:pPr>
                  <w:sdt>
                    <w:sdtPr>
                      <w:alias w:val="Numeris"/>
                      <w:tag w:val="nr_e5fb5895b68244db83027e88cb14b7d8"/>
                      <w:lock w:val="sdtLocked"/>
                      <w:richText/>
                    </w:sdtPr>
                    <w:sdtContent>
                      <w:r>
                        <w:rPr>
                          <w:szCs w:val="24"/>
                        </w:rPr>
                        <w:t>14</w:t>
                      </w:r>
                    </w:sdtContent>
                  </w:sdt>
                  <w:r>
                    <w:rPr>
                      <w:szCs w:val="24"/>
                    </w:rPr>
                    <w:t xml:space="preserve">. Detali Duomenų rinkmenos struktūra ir reikalavimai pateikti šių Taisyklių 1 priede „Kasos aparato, veikiančio su saugos moduliu, duomenų rinkmenos aprašymas“ ir Taisyklių 2 priede „Virtualios fiskalizacijos kasos aparato duomenų rinkmenos aprašymas“. Duomenų rinkmena turi būti rengiama ir užpildoma, vadovaujantis aktualiais reikalavimais, nustatytais Duomenų rinkmenos XML (angl. </w:t>
                  </w:r>
                  <w:r>
                    <w:rPr>
                      <w:i/>
                      <w:szCs w:val="24"/>
                    </w:rPr>
                    <w:t>Extensible Markup Language</w:t>
                  </w:r>
                  <w:r>
                    <w:rPr>
                      <w:szCs w:val="24"/>
                    </w:rPr>
                    <w:t xml:space="preserve">) struktūros apraše – XSD (angl. </w:t>
                  </w:r>
                  <w:r>
                    <w:rPr>
                      <w:i/>
                      <w:szCs w:val="24"/>
                    </w:rPr>
                    <w:t>XML Schema Definition</w:t>
                  </w:r>
                  <w:r>
                    <w:rPr>
                      <w:szCs w:val="24"/>
                    </w:rPr>
                    <w:t>), skelbiamame Valstybinės mokesčių inspekcijos interneto svetainėje.</w:t>
                  </w:r>
                </w:p>
              </w:sdtContent>
            </w:sdt>
            <w:sdt>
              <w:sdtPr>
                <w:alias w:val="15 p."/>
                <w:tag w:val="part_a8d7d76a72244753bd86bc7d4192c897"/>
                <w:lock w:val="sdtLocked"/>
                <w:richText/>
              </w:sdtPr>
              <w:sdtContent>
                <w:p>
                  <w:pPr>
                    <w:ind w:firstLine="851"/>
                    <w:jc w:val="both"/>
                    <w:rPr>
                      <w:szCs w:val="24"/>
                    </w:rPr>
                  </w:pPr>
                  <w:sdt>
                    <w:sdtPr>
                      <w:alias w:val="Numeris"/>
                      <w:tag w:val="nr_a8d7d76a72244753bd86bc7d4192c897"/>
                      <w:lock w:val="sdtLocked"/>
                      <w:richText/>
                    </w:sdtPr>
                    <w:sdtContent>
                      <w:r>
                        <w:rPr>
                          <w:szCs w:val="24"/>
                        </w:rPr>
                        <w:t>15</w:t>
                      </w:r>
                    </w:sdtContent>
                  </w:sdt>
                  <w:r>
                    <w:rPr>
                      <w:szCs w:val="24"/>
                    </w:rPr>
                    <w:t>. Valstybinei mokesčių inspekcijai Duomenys teikiami lietuvių kalba.</w:t>
                  </w:r>
                </w:p>
              </w:sdtContent>
            </w:sdt>
            <w:sdt>
              <w:sdtPr>
                <w:alias w:val="16 p."/>
                <w:tag w:val="part_879c31ff05254a80b17ddcc39ae248d3"/>
                <w:lock w:val="sdtLocked"/>
                <w:richText/>
              </w:sdtPr>
              <w:sdtContent>
                <w:p>
                  <w:pPr>
                    <w:ind w:firstLine="851"/>
                    <w:jc w:val="both"/>
                    <w:rPr>
                      <w:szCs w:val="24"/>
                    </w:rPr>
                  </w:pPr>
                  <w:sdt>
                    <w:sdtPr>
                      <w:alias w:val="Numeris"/>
                      <w:tag w:val="nr_879c31ff05254a80b17ddcc39ae248d3"/>
                      <w:lock w:val="sdtLocked"/>
                      <w:richText/>
                    </w:sdtPr>
                    <w:sdtContent>
                      <w:r>
                        <w:rPr>
                          <w:szCs w:val="24"/>
                        </w:rPr>
                        <w:t>16</w:t>
                      </w:r>
                    </w:sdtContent>
                  </w:sdt>
                  <w:r>
                    <w:rPr>
                      <w:szCs w:val="24"/>
                    </w:rPr>
                    <w:t>. Mokesčių mokėtojai turi užtikrinti, kad kasos aparatu apskaityti Duomenys atitiktų Valstybinei mokesčių inspekcijai pateiktus duomenis.</w:t>
                  </w:r>
                </w:p>
                <w:p>
                  <w:pPr>
                    <w:ind w:firstLine="851"/>
                    <w:jc w:val="both"/>
                    <w:rPr>
                      <w:szCs w:val="24"/>
                    </w:rPr>
                  </w:pPr>
                </w:p>
                <w:p>
                  <w:pPr>
                    <w:ind w:firstLine="851"/>
                    <w:jc w:val="both"/>
                    <w:rPr>
                      <w:szCs w:val="24"/>
                    </w:rPr>
                  </w:pPr>
                </w:p>
              </w:sdtContent>
            </w:sdt>
          </w:sdtContent>
        </w:sdt>
        <w:sdt>
          <w:sdtPr>
            <w:alias w:val="skyrius"/>
            <w:tag w:val="part_4347a11554654af5a9aa0d0ba694c877"/>
            <w:lock w:val="sdtLocked"/>
            <w:richText/>
          </w:sdtPr>
          <w:sdtContent>
            <w:p>
              <w:pPr>
                <w:suppressAutoHyphens/>
                <w:jc w:val="center"/>
                <w:rPr>
                  <w:b/>
                  <w:szCs w:val="24"/>
                </w:rPr>
              </w:pPr>
              <w:sdt>
                <w:sdtPr>
                  <w:alias w:val="Numeris"/>
                  <w:tag w:val="nr_4347a11554654af5a9aa0d0ba694c877"/>
                  <w:lock w:val="sdtLocked"/>
                  <w:richText/>
                </w:sdtPr>
                <w:sdtContent>
                  <w:r>
                    <w:rPr>
                      <w:b/>
                      <w:szCs w:val="24"/>
                    </w:rPr>
                    <w:t>IV</w:t>
                  </w:r>
                </w:sdtContent>
              </w:sdt>
              <w:r>
                <w:rPr>
                  <w:b/>
                  <w:szCs w:val="24"/>
                </w:rPr>
                <w:t xml:space="preserve"> SKYRIUS</w:t>
              </w:r>
            </w:p>
            <w:p>
              <w:pPr>
                <w:suppressAutoHyphens/>
                <w:jc w:val="center"/>
                <w:rPr>
                  <w:b/>
                  <w:bCs/>
                  <w:szCs w:val="24"/>
                </w:rPr>
              </w:pPr>
              <w:sdt>
                <w:sdtPr>
                  <w:alias w:val="Pavadinimas"/>
                  <w:tag w:val="title_4347a11554654af5a9aa0d0ba694c877"/>
                  <w:lock w:val="sdtLocked"/>
                  <w:richText/>
                </w:sdtPr>
                <w:sdtContent>
                  <w:r>
                    <w:rPr>
                      <w:b/>
                      <w:bCs/>
                      <w:szCs w:val="24"/>
                    </w:rPr>
                    <w:t>PATEIKTŲ DUOMENŲ IR DUOMENŲ RINKMENOS TIKSLINIMAS</w:t>
                  </w:r>
                </w:sdtContent>
              </w:sdt>
            </w:p>
            <w:p>
              <w:pPr>
                <w:suppressAutoHyphens/>
                <w:jc w:val="center"/>
                <w:rPr>
                  <w:b/>
                  <w:bCs/>
                  <w:szCs w:val="24"/>
                </w:rPr>
              </w:pPr>
            </w:p>
            <w:sdt>
              <w:sdtPr>
                <w:alias w:val="17 p."/>
                <w:tag w:val="part_4d14f8f65b5241e5a9eda220932563be"/>
                <w:lock w:val="sdtLocked"/>
                <w:richText/>
              </w:sdtPr>
              <w:sdtContent>
                <w:p>
                  <w:pPr>
                    <w:tabs>
                      <w:tab w:val="left" w:pos="1134"/>
                    </w:tabs>
                    <w:ind w:firstLine="851"/>
                    <w:jc w:val="both"/>
                    <w:rPr>
                      <w:szCs w:val="24"/>
                      <w:lang w:eastAsia="lt-LT"/>
                    </w:rPr>
                  </w:pPr>
                  <w:sdt>
                    <w:sdtPr>
                      <w:alias w:val="Numeris"/>
                      <w:tag w:val="nr_4d14f8f65b5241e5a9eda220932563be"/>
                      <w:lock w:val="sdtLocked"/>
                      <w:richText/>
                    </w:sdtPr>
                    <w:sdtContent>
                      <w:r>
                        <w:rPr>
                          <w:szCs w:val="24"/>
                          <w:lang w:eastAsia="lt-LT"/>
                        </w:rPr>
                        <w:t>17</w:t>
                      </w:r>
                    </w:sdtContent>
                  </w:sdt>
                  <w:r>
                    <w:rPr>
                      <w:szCs w:val="24"/>
                      <w:lang w:eastAsia="lt-LT"/>
                    </w:rPr>
                    <w:t xml:space="preserve">. Pateikus Duomenų rinkmeną, i.EKA atliekamas Duomenų rinkmenos ir (arba) joje pateiktų Duomenų patikrinimas. i.EKA nustačius neatitikimų, mokesčių mokėtojas privalo ne vėliau kaip per 15 dienų nuo neatitikimų nustatymo pateikti patikslintus Duomenis, pateikdamas naują Duomenų rinkmeną šių Taisyklių 5 punkte nustatyta tvarka arba juos patikslinti tiesiogiai i.EKA.  </w:t>
                  </w:r>
                </w:p>
              </w:sdtContent>
            </w:sdt>
            <w:sdt>
              <w:sdtPr>
                <w:alias w:val="18 p."/>
                <w:tag w:val="part_b517d7b197014b8bb96970a035b1e2be"/>
                <w:lock w:val="sdtLocked"/>
                <w:richText/>
              </w:sdtPr>
              <w:sdtContent>
                <w:p>
                  <w:pPr>
                    <w:tabs>
                      <w:tab w:val="left" w:pos="1134"/>
                    </w:tabs>
                    <w:ind w:firstLine="851"/>
                    <w:jc w:val="both"/>
                    <w:rPr>
                      <w:szCs w:val="24"/>
                      <w:lang w:eastAsia="lt-LT"/>
                    </w:rPr>
                  </w:pPr>
                  <w:sdt>
                    <w:sdtPr>
                      <w:alias w:val="Numeris"/>
                      <w:tag w:val="nr_b517d7b197014b8bb96970a035b1e2be"/>
                      <w:lock w:val="sdtLocked"/>
                      <w:richText/>
                    </w:sdtPr>
                    <w:sdtContent>
                      <w:r>
                        <w:rPr>
                          <w:szCs w:val="24"/>
                          <w:lang w:eastAsia="lt-LT"/>
                        </w:rPr>
                        <w:t>18</w:t>
                      </w:r>
                    </w:sdtContent>
                  </w:sdt>
                  <w:r>
                    <w:rPr>
                      <w:szCs w:val="24"/>
                      <w:lang w:eastAsia="lt-LT"/>
                    </w:rPr>
                    <w:t xml:space="preserve">. Jeigu po Duomenų rinkmenos pateikimo iš kasos aparatų, veikiančių su saugos moduliu, mokesčių mokėtojas pastebėjo joje pateiktų Duomenų neatitikimų, jis privalo pateikti patikslintus Duomenis, pateikdamas naują Duomenų rinkmeną šių Taisyklių 5 punkte nustatyta tvarka arba juos patikslinti tiesiogiai i.EKA.   </w:t>
                  </w:r>
                </w:p>
              </w:sdtContent>
            </w:sdt>
            <w:sdt>
              <w:sdtPr>
                <w:alias w:val="19 p."/>
                <w:tag w:val="part_a743ad09df6c484ba8b2eeda70fd1100"/>
                <w:lock w:val="sdtLocked"/>
                <w:richText/>
              </w:sdtPr>
              <w:sdtContent>
                <w:p>
                  <w:pPr>
                    <w:tabs>
                      <w:tab w:val="left" w:pos="1276"/>
                    </w:tabs>
                    <w:ind w:firstLine="851"/>
                    <w:jc w:val="both"/>
                    <w:rPr>
                      <w:szCs w:val="24"/>
                      <w:lang w:eastAsia="lt-LT"/>
                    </w:rPr>
                  </w:pPr>
                  <w:sdt>
                    <w:sdtPr>
                      <w:alias w:val="Numeris"/>
                      <w:tag w:val="nr_a743ad09df6c484ba8b2eeda70fd1100"/>
                      <w:lock w:val="sdtLocked"/>
                      <w:richText/>
                    </w:sdtPr>
                    <w:sdtContent>
                      <w:r>
                        <w:rPr>
                          <w:szCs w:val="24"/>
                          <w:lang w:eastAsia="lt-LT"/>
                        </w:rPr>
                        <w:t>19</w:t>
                      </w:r>
                    </w:sdtContent>
                  </w:sdt>
                  <w:r>
                    <w:rPr>
                      <w:szCs w:val="24"/>
                      <w:lang w:eastAsia="lt-LT"/>
                    </w:rPr>
                    <w:t>. Jeigu po Duomenų rinkmenos pateikimo iš kasos aparatų, dokumentų registracijai naudojančių virtualią fiskalizaciją, mokesčių mokėtojas pastebėjo joje pateiktų Duomenų neatitikimų, jis privalo pateikti patikslintus Duomenis, juos patikslindamas tiesiogiai i.EKA.</w:t>
                  </w:r>
                </w:p>
              </w:sdtContent>
            </w:sdt>
            <w:sdt>
              <w:sdtPr>
                <w:alias w:val="20 p."/>
                <w:tag w:val="part_3dd01c2055a34c6bb1234ca202125d69"/>
                <w:lock w:val="sdtLocked"/>
                <w:richText/>
              </w:sdtPr>
              <w:sdtContent>
                <w:p>
                  <w:pPr>
                    <w:tabs>
                      <w:tab w:val="left" w:pos="1276"/>
                    </w:tabs>
                    <w:ind w:firstLine="851"/>
                    <w:jc w:val="both"/>
                    <w:rPr>
                      <w:szCs w:val="24"/>
                      <w:lang w:eastAsia="lt-LT"/>
                    </w:rPr>
                  </w:pPr>
                  <w:sdt>
                    <w:sdtPr>
                      <w:alias w:val="Numeris"/>
                      <w:tag w:val="nr_3dd01c2055a34c6bb1234ca202125d69"/>
                      <w:lock w:val="sdtLocked"/>
                      <w:richText/>
                    </w:sdtPr>
                    <w:sdtContent>
                      <w:r>
                        <w:rPr>
                          <w:szCs w:val="24"/>
                          <w:lang w:eastAsia="lt-LT"/>
                        </w:rPr>
                        <w:t>20</w:t>
                      </w:r>
                    </w:sdtContent>
                  </w:sdt>
                  <w:r>
                    <w:rPr>
                      <w:szCs w:val="24"/>
                      <w:lang w:eastAsia="lt-LT"/>
                    </w:rPr>
                    <w:t>. Duomenų teikimo, tikslinimo bei jų neatitikimų istorija fiksuojama i.EKA.</w:t>
                  </w:r>
                </w:p>
              </w:sdtContent>
            </w:sdt>
            <w:sdt>
              <w:sdtPr>
                <w:alias w:val="21 p."/>
                <w:tag w:val="part_4146670bbfae4df3a9c39cccb7ebccac"/>
                <w:lock w:val="sdtLocked"/>
                <w:richText/>
              </w:sdtPr>
              <w:sdtContent>
                <w:p>
                  <w:pPr>
                    <w:tabs>
                      <w:tab w:val="left" w:pos="1134"/>
                    </w:tabs>
                    <w:ind w:firstLine="851"/>
                    <w:jc w:val="both"/>
                    <w:rPr>
                      <w:szCs w:val="24"/>
                      <w:lang w:eastAsia="lt-LT"/>
                    </w:rPr>
                  </w:pPr>
                  <w:sdt>
                    <w:sdtPr>
                      <w:alias w:val="Numeris"/>
                      <w:tag w:val="nr_4146670bbfae4df3a9c39cccb7ebccac"/>
                      <w:lock w:val="sdtLocked"/>
                      <w:richText/>
                    </w:sdtPr>
                    <w:sdtContent>
                      <w:r>
                        <w:rPr>
                          <w:szCs w:val="24"/>
                          <w:lang w:eastAsia="lt-LT"/>
                        </w:rPr>
                        <w:t>21</w:t>
                      </w:r>
                    </w:sdtContent>
                  </w:sdt>
                  <w:r>
                    <w:rPr>
                      <w:szCs w:val="24"/>
                      <w:lang w:eastAsia="lt-LT"/>
                    </w:rPr>
                    <w:t xml:space="preserve">. Jeigu Duomenys tikslinami, mokesčių mokėtojas i.EKA turi nurodyti Duomenų tikslinimo priežastį.   </w:t>
                  </w:r>
                </w:p>
              </w:sdtContent>
            </w:sdt>
            <w:sdt>
              <w:sdtPr>
                <w:alias w:val="22 p."/>
                <w:tag w:val="part_16c8c7c2401340dfab5fc0e536807922"/>
                <w:lock w:val="sdtLocked"/>
                <w:richText/>
              </w:sdtPr>
              <w:sdtContent>
                <w:p>
                  <w:pPr>
                    <w:tabs>
                      <w:tab w:val="left" w:pos="1276"/>
                    </w:tabs>
                    <w:ind w:firstLine="851"/>
                    <w:jc w:val="both"/>
                    <w:rPr>
                      <w:szCs w:val="24"/>
                      <w:lang w:eastAsia="lt-LT"/>
                    </w:rPr>
                  </w:pPr>
                  <w:sdt>
                    <w:sdtPr>
                      <w:alias w:val="Numeris"/>
                      <w:tag w:val="nr_16c8c7c2401340dfab5fc0e536807922"/>
                      <w:lock w:val="sdtLocked"/>
                      <w:richText/>
                    </w:sdtPr>
                    <w:sdtContent>
                      <w:r>
                        <w:rPr>
                          <w:szCs w:val="24"/>
                          <w:lang w:eastAsia="lt-LT"/>
                        </w:rPr>
                        <w:t>22</w:t>
                      </w:r>
                    </w:sdtContent>
                  </w:sdt>
                  <w:r>
                    <w:rPr>
                      <w:szCs w:val="24"/>
                      <w:lang w:eastAsia="lt-LT"/>
                    </w:rPr>
                    <w:t>. Duomenų tikslinimas galimas ne daugiau kaip už einamuosius ir trejus praėjusius kalendorinius metus.</w:t>
                  </w:r>
                </w:p>
                <w:p>
                  <w:pPr>
                    <w:tabs>
                      <w:tab w:val="left" w:pos="1276"/>
                    </w:tabs>
                    <w:ind w:firstLine="851"/>
                    <w:jc w:val="both"/>
                    <w:rPr>
                      <w:szCs w:val="24"/>
                      <w:lang w:eastAsia="lt-LT"/>
                    </w:rPr>
                  </w:pPr>
                </w:p>
              </w:sdtContent>
            </w:sdt>
          </w:sdtContent>
        </w:sdt>
        <w:sdt>
          <w:sdtPr>
            <w:alias w:val="skyrius"/>
            <w:tag w:val="part_cde9dfe5b58f480dafb66082f29e4b15"/>
            <w:lock w:val="sdtLocked"/>
            <w:richText/>
          </w:sdtPr>
          <w:sdtContent>
            <w:p>
              <w:pPr>
                <w:suppressAutoHyphens/>
                <w:jc w:val="center"/>
                <w:rPr>
                  <w:b/>
                  <w:szCs w:val="24"/>
                </w:rPr>
              </w:pPr>
              <w:sdt>
                <w:sdtPr>
                  <w:alias w:val="Numeris"/>
                  <w:tag w:val="nr_cde9dfe5b58f480dafb66082f29e4b15"/>
                  <w:lock w:val="sdtLocked"/>
                  <w:richText/>
                </w:sdtPr>
                <w:sdtContent>
                  <w:r>
                    <w:rPr>
                      <w:b/>
                      <w:szCs w:val="24"/>
                    </w:rPr>
                    <w:t>V</w:t>
                  </w:r>
                </w:sdtContent>
              </w:sdt>
              <w:r>
                <w:rPr>
                  <w:b/>
                  <w:szCs w:val="24"/>
                </w:rPr>
                <w:t xml:space="preserve"> SKYRIUS</w:t>
              </w:r>
            </w:p>
            <w:p>
              <w:pPr>
                <w:suppressAutoHyphens/>
                <w:jc w:val="center"/>
                <w:rPr>
                  <w:b/>
                  <w:szCs w:val="24"/>
                </w:rPr>
              </w:pPr>
              <w:sdt>
                <w:sdtPr>
                  <w:alias w:val="Pavadinimas"/>
                  <w:tag w:val="title_cde9dfe5b58f480dafb66082f29e4b15"/>
                  <w:lock w:val="sdtLocked"/>
                  <w:richText/>
                </w:sdtPr>
                <w:sdtContent>
                  <w:r>
                    <w:rPr>
                      <w:b/>
                      <w:szCs w:val="24"/>
                    </w:rPr>
                    <w:t>BAIGIAMOSIOS NUOSTATOS</w:t>
                  </w:r>
                </w:sdtContent>
              </w:sdt>
            </w:p>
            <w:p>
              <w:pPr>
                <w:tabs>
                  <w:tab w:val="left" w:pos="1276"/>
                </w:tabs>
                <w:jc w:val="both"/>
                <w:rPr>
                  <w:szCs w:val="24"/>
                  <w:lang w:eastAsia="lt-LT"/>
                </w:rPr>
              </w:pPr>
            </w:p>
            <w:sdt>
              <w:sdtPr>
                <w:alias w:val="23 p."/>
                <w:tag w:val="part_dda9f0927bf8432e9c550146a891ea96"/>
                <w:lock w:val="sdtLocked"/>
                <w:richText/>
              </w:sdtPr>
              <w:sdtContent>
                <w:p>
                  <w:pPr>
                    <w:tabs>
                      <w:tab w:val="left" w:pos="0"/>
                      <w:tab w:val="left" w:pos="1832"/>
                      <w:tab w:val="left" w:pos="2748"/>
                      <w:tab w:val="left" w:pos="3664"/>
                      <w:tab w:val="left" w:pos="4580"/>
                      <w:tab w:val="left" w:pos="5496"/>
                      <w:tab w:val="left" w:pos="6412"/>
                      <w:tab w:val="left" w:pos="7328"/>
                      <w:tab w:val="left" w:pos="9160"/>
                      <w:tab w:val="left" w:pos="10076"/>
                      <w:tab w:val="left" w:pos="10992"/>
                      <w:tab w:val="left" w:pos="11908"/>
                      <w:tab w:val="left" w:pos="12824"/>
                      <w:tab w:val="left" w:pos="13740"/>
                      <w:tab w:val="left" w:pos="14656"/>
                    </w:tabs>
                    <w:ind w:firstLine="851"/>
                    <w:jc w:val="both"/>
                    <w:rPr>
                      <w:szCs w:val="24"/>
                    </w:rPr>
                  </w:pPr>
                  <w:sdt>
                    <w:sdtPr>
                      <w:alias w:val="Numeris"/>
                      <w:tag w:val="nr_dda9f0927bf8432e9c550146a891ea96"/>
                      <w:lock w:val="sdtLocked"/>
                      <w:richText/>
                    </w:sdtPr>
                    <w:sdtContent>
                      <w:r>
                        <w:rPr>
                          <w:szCs w:val="24"/>
                        </w:rPr>
                        <w:t>23</w:t>
                      </w:r>
                    </w:sdtContent>
                  </w:sdt>
                  <w:r>
                    <w:rPr>
                      <w:szCs w:val="24"/>
                    </w:rPr>
                    <w:t>. Už Taisyklių nuostatų nevykdymą ar netinkamą vykdymą mokesčių mokėtojai atsako Lietuvos Respublikos teisės aktų nustatyta tvarka.</w:t>
                  </w:r>
                </w:p>
                <w:p>
                  <w:pPr>
                    <w:jc w:val="center"/>
                    <w:rPr>
                      <w:bCs/>
                      <w:szCs w:val="24"/>
                    </w:rPr>
                  </w:pPr>
                  <w:r>
                    <w:rPr>
                      <w:bCs/>
                      <w:szCs w:val="24"/>
                    </w:rPr>
                    <w:t>_______________________</w:t>
                  </w:r>
                </w:p>
                <w:p>
                  <w:pPr>
                    <w:jc w:val="center"/>
                    <w:rPr>
                      <w:bCs/>
                      <w:szCs w:val="24"/>
                    </w:rPr>
                  </w:pPr>
                </w:p>
                <w:p>
                  <w:pPr>
                    <w:jc w:val="center"/>
                    <w:rPr>
                      <w:bCs/>
                      <w:szCs w:val="24"/>
                    </w:rPr>
                  </w:pPr>
                </w:p>
                <w:p>
                  <w:pPr>
                    <w:jc w:val="center"/>
                    <w:rPr>
                      <w:bCs/>
                      <w:szCs w:val="24"/>
                    </w:rPr>
                  </w:pPr>
                </w:p>
                <w:p>
                  <w:pPr>
                    <w:jc w:val="center"/>
                    <w:rPr>
                      <w:bCs/>
                      <w:szCs w:val="24"/>
                    </w:rPr>
                  </w:pPr>
                </w:p>
                <w:p>
                  <w:pPr>
                    <w:jc w:val="center"/>
                    <w:rPr>
                      <w:bCs/>
                      <w:szCs w:val="24"/>
                    </w:rPr>
                  </w:pPr>
                </w:p>
                <w:p>
                  <w:pPr>
                    <w:jc w:val="center"/>
                    <w:rPr>
                      <w:bCs/>
                      <w:szCs w:val="24"/>
                    </w:rPr>
                  </w:pPr>
                </w:p>
                <w:p>
                  <w:pPr>
                    <w:jc w:val="center"/>
                    <w:rPr>
                      <w:bCs/>
                      <w:szCs w:val="24"/>
                    </w:rPr>
                  </w:pPr>
                </w:p>
                <w:p>
                  <w:pPr>
                    <w:jc w:val="center"/>
                    <w:rPr>
                      <w:bCs/>
                      <w:szCs w:val="24"/>
                    </w:rPr>
                  </w:pPr>
                </w:p>
                <w:p>
                  <w:pPr>
                    <w:jc w:val="center"/>
                    <w:rPr>
                      <w:bCs/>
                      <w:szCs w:val="24"/>
                    </w:rPr>
                  </w:pPr>
                </w:p>
                <w:p>
                  <w:pPr>
                    <w:jc w:val="center"/>
                    <w:rPr>
                      <w:bCs/>
                      <w:szCs w:val="24"/>
                    </w:rPr>
                  </w:pPr>
                </w:p>
                <w:p>
                  <w:pPr>
                    <w:jc w:val="center"/>
                    <w:rPr>
                      <w:bCs/>
                      <w:szCs w:val="24"/>
                    </w:rPr>
                  </w:pPr>
                </w:p>
                <w:p>
                  <w:pPr>
                    <w:jc w:val="center"/>
                    <w:rPr>
                      <w:bCs/>
                      <w:szCs w:val="24"/>
                    </w:rPr>
                  </w:pPr>
                </w:p>
                <w:p>
                  <w:pPr>
                    <w:jc w:val="center"/>
                    <w:rPr>
                      <w:bCs/>
                      <w:szCs w:val="24"/>
                    </w:rPr>
                  </w:pPr>
                </w:p>
                <w:p>
                  <w:pPr>
                    <w:jc w:val="center"/>
                    <w:rPr>
                      <w:bCs/>
                      <w:szCs w:val="24"/>
                    </w:rPr>
                  </w:pPr>
                </w:p>
                <w:p>
                  <w:pPr>
                    <w:jc w:val="center"/>
                    <w:rPr>
                      <w:bCs/>
                      <w:szCs w:val="24"/>
                    </w:rPr>
                  </w:pPr>
                </w:p>
                <w:p>
                  <w:pPr>
                    <w:jc w:val="center"/>
                    <w:rPr>
                      <w:bCs/>
                      <w:szCs w:val="24"/>
                    </w:rPr>
                  </w:pPr>
                </w:p>
                <w:p>
                  <w:pPr>
                    <w:jc w:val="center"/>
                    <w:rPr>
                      <w:bCs/>
                      <w:szCs w:val="24"/>
                    </w:rPr>
                  </w:pPr>
                </w:p>
                <w:p>
                  <w:pPr>
                    <w:jc w:val="center"/>
                    <w:rPr>
                      <w:bCs/>
                      <w:szCs w:val="24"/>
                    </w:rPr>
                  </w:pPr>
                </w:p>
                <w:p>
                  <w:pPr>
                    <w:jc w:val="center"/>
                    <w:rPr>
                      <w:bCs/>
                      <w:szCs w:val="24"/>
                    </w:rPr>
                  </w:pPr>
                </w:p>
                <w:p>
                  <w:pPr>
                    <w:rPr>
                      <w:bCs/>
                      <w:szCs w:val="24"/>
                    </w:rPr>
                    <w:sectPr>
                      <w:pgSz w:w="11906" w:h="16838"/>
                      <w:pgMar w:top="1134" w:right="567" w:bottom="1134" w:left="1701" w:header="567" w:footer="567" w:gutter="0"/>
                      <w:pgNumType w:start="1"/>
                      <w:cols w:space="1296"/>
                      <w:titlePg/>
                      <w:docGrid w:linePitch="360"/>
                    </w:sectPr>
                  </w:pPr>
                </w:p>
                <w:p>
                  <w:pPr>
                    <w:tabs>
                      <w:tab w:val="center" w:pos="4819"/>
                      <w:tab w:val="right" w:pos="9638"/>
                    </w:tabs>
                    <w:rPr>
                      <w:sz w:val="22"/>
                      <w:szCs w:val="22"/>
                    </w:rPr>
                  </w:pPr>
                </w:p>
              </w:sdtContent>
            </w:sdt>
          </w:sdtContent>
        </w:sdt>
      </w:sdtContent>
    </w:sdt>
    <w:sdt>
      <w:sdtPr>
        <w:alias w:val="1 pr."/>
        <w:tag w:val="part_eaebbd41846d45cda67520b6f13a7373"/>
        <w:lock w:val="sdtLocked"/>
        <w:richText/>
      </w:sdtPr>
      <w:sdtContent>
        <w:p>
          <w:pPr>
            <w:ind w:left="10632"/>
            <w:jc w:val="both"/>
            <w:rPr>
              <w:bCs/>
              <w:szCs w:val="24"/>
            </w:rPr>
          </w:pPr>
          <w:r>
            <w:rPr>
              <w:szCs w:val="24"/>
            </w:rPr>
            <w:t>Atsiskaitymų už prekes ir paslaugas duomenų teikimo Valstybinei mokesčių inspekcijai</w:t>
          </w:r>
          <w:r>
            <w:rPr>
              <w:bCs/>
              <w:szCs w:val="24"/>
            </w:rPr>
            <w:t xml:space="preserve"> taisyklių </w:t>
          </w:r>
        </w:p>
        <w:p>
          <w:pPr>
            <w:ind w:left="10632"/>
            <w:jc w:val="both"/>
            <w:rPr>
              <w:bCs/>
              <w:szCs w:val="24"/>
            </w:rPr>
          </w:pPr>
          <w:sdt>
            <w:sdtPr>
              <w:alias w:val="Numeris"/>
              <w:tag w:val="nr_eaebbd41846d45cda67520b6f13a7373"/>
              <w:lock w:val="sdtLocked"/>
              <w:richText/>
            </w:sdtPr>
            <w:sdtContent>
              <w:r>
                <w:rPr>
                  <w:bCs/>
                  <w:szCs w:val="24"/>
                </w:rPr>
                <w:t>1</w:t>
              </w:r>
            </w:sdtContent>
          </w:sdt>
          <w:r>
            <w:rPr>
              <w:bCs/>
              <w:szCs w:val="24"/>
            </w:rPr>
            <w:t xml:space="preserve"> priedas</w:t>
          </w:r>
        </w:p>
        <w:p>
          <w:pPr>
            <w:jc w:val="right"/>
            <w:rPr>
              <w:bCs/>
              <w:szCs w:val="24"/>
            </w:rPr>
          </w:pPr>
        </w:p>
        <w:p>
          <w:pPr>
            <w:ind w:hanging="1701"/>
            <w:jc w:val="both"/>
            <w:rPr>
              <w:bCs/>
              <w:szCs w:val="24"/>
            </w:rPr>
          </w:pPr>
        </w:p>
        <w:p>
          <w:pPr>
            <w:jc w:val="center"/>
            <w:rPr>
              <w:b/>
              <w:bCs/>
              <w:szCs w:val="24"/>
            </w:rPr>
          </w:pPr>
          <w:sdt>
            <w:sdtPr>
              <w:alias w:val="Pavadinimas"/>
              <w:tag w:val="title_eaebbd41846d45cda67520b6f13a7373"/>
              <w:lock w:val="sdtLocked"/>
              <w:richText/>
            </w:sdtPr>
            <w:sdtContent>
              <w:r>
                <w:rPr>
                  <w:b/>
                  <w:bCs/>
                  <w:szCs w:val="24"/>
                </w:rPr>
                <w:t>KASOS APARATO, VEIKIANČIO SU SAUGOS MODULIU, DUOMENŲ RINKMENOS APRAŠYMAS</w:t>
              </w:r>
            </w:sdtContent>
          </w:sdt>
        </w:p>
        <w:p>
          <w:pPr>
            <w:jc w:val="center"/>
            <w:rPr>
              <w:bCs/>
              <w:szCs w:val="24"/>
            </w:rPr>
          </w:pPr>
        </w:p>
        <w:tbl>
          <w:tblPr>
            <w:tblW w:w="14317" w:type="dxa"/>
            <w:tblInd w:w="-10" w:type="dxa"/>
            <w:tblLayout w:type="fixed"/>
            <w:tblLook w:val="04A0" w:firstRow="1" w:lastRow="0" w:firstColumn="1" w:lastColumn="0" w:noHBand="0" w:noVBand="1"/>
          </w:tblPr>
          <w:tblGrid>
            <w:gridCol w:w="2132"/>
            <w:gridCol w:w="2693"/>
            <w:gridCol w:w="1701"/>
            <w:gridCol w:w="2001"/>
            <w:gridCol w:w="5790"/>
          </w:tblGrid>
          <w:tr>
            <w:trPr>
              <w:trHeight w:val="54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center"/>
                  <w:rPr>
                    <w:szCs w:val="24"/>
                    <w:lang w:eastAsia="lt-LT"/>
                  </w:rPr>
                </w:pPr>
                <w:r>
                  <w:rPr>
                    <w:szCs w:val="24"/>
                    <w:lang w:eastAsia="lt-LT"/>
                  </w:rPr>
                  <w:t>Elemento indeksas</w:t>
                </w:r>
              </w:p>
            </w:tc>
            <w:tc>
              <w:tcPr>
                <w:tcW w:w="2693" w:type="dxa"/>
                <w:tcBorders>
                  <w:top w:val="single" w:sz="4" w:space="0" w:color="auto"/>
                  <w:left w:val="nil"/>
                  <w:bottom w:val="single" w:sz="4" w:space="0" w:color="auto"/>
                  <w:right w:val="single" w:sz="4" w:space="0" w:color="auto"/>
                </w:tcBorders>
                <w:shd w:val="clear" w:color="auto" w:fill="auto"/>
                <w:hideMark/>
              </w:tcPr>
              <w:p>
                <w:pPr>
                  <w:jc w:val="center"/>
                  <w:rPr>
                    <w:szCs w:val="24"/>
                    <w:lang w:eastAsia="lt-LT"/>
                  </w:rPr>
                </w:pPr>
                <w:r>
                  <w:rPr>
                    <w:szCs w:val="24"/>
                    <w:lang w:eastAsia="lt-LT"/>
                  </w:rPr>
                  <w:t>Elemento pavadinimas</w:t>
                </w:r>
              </w:p>
            </w:tc>
            <w:tc>
              <w:tcPr>
                <w:tcW w:w="1701" w:type="dxa"/>
                <w:tcBorders>
                  <w:top w:val="single" w:sz="4" w:space="0" w:color="auto"/>
                  <w:left w:val="nil"/>
                  <w:bottom w:val="single" w:sz="4" w:space="0" w:color="auto"/>
                  <w:right w:val="single" w:sz="4" w:space="0" w:color="auto"/>
                </w:tcBorders>
                <w:shd w:val="clear" w:color="auto" w:fill="auto"/>
                <w:hideMark/>
              </w:tcPr>
              <w:p>
                <w:pPr>
                  <w:jc w:val="center"/>
                  <w:rPr>
                    <w:szCs w:val="24"/>
                    <w:lang w:eastAsia="lt-LT"/>
                  </w:rPr>
                </w:pPr>
                <w:r>
                  <w:rPr>
                    <w:szCs w:val="24"/>
                    <w:lang w:eastAsia="lt-LT"/>
                  </w:rPr>
                  <w:t>Privalomumas</w:t>
                </w:r>
              </w:p>
            </w:tc>
            <w:tc>
              <w:tcPr>
                <w:tcW w:w="2001" w:type="dxa"/>
                <w:tcBorders>
                  <w:top w:val="single" w:sz="4" w:space="0" w:color="auto"/>
                  <w:left w:val="nil"/>
                  <w:bottom w:val="single" w:sz="4" w:space="0" w:color="auto"/>
                  <w:right w:val="single" w:sz="4" w:space="0" w:color="auto"/>
                </w:tcBorders>
                <w:shd w:val="clear" w:color="auto" w:fill="auto"/>
                <w:hideMark/>
              </w:tcPr>
              <w:p>
                <w:pPr>
                  <w:jc w:val="center"/>
                  <w:rPr>
                    <w:szCs w:val="24"/>
                    <w:lang w:eastAsia="lt-LT"/>
                  </w:rPr>
                </w:pPr>
                <w:r>
                  <w:rPr>
                    <w:szCs w:val="24"/>
                    <w:lang w:eastAsia="lt-LT"/>
                  </w:rPr>
                  <w:t>Elemento trumpas aprašas</w:t>
                </w:r>
              </w:p>
            </w:tc>
            <w:tc>
              <w:tcPr>
                <w:tcW w:w="5790" w:type="dxa"/>
                <w:tcBorders>
                  <w:top w:val="single" w:sz="4" w:space="0" w:color="auto"/>
                  <w:left w:val="nil"/>
                  <w:bottom w:val="single" w:sz="4" w:space="0" w:color="auto"/>
                  <w:right w:val="single" w:sz="4" w:space="0" w:color="auto"/>
                </w:tcBorders>
                <w:shd w:val="clear" w:color="auto" w:fill="auto"/>
                <w:hideMark/>
              </w:tcPr>
              <w:p>
                <w:pPr>
                  <w:jc w:val="center"/>
                  <w:rPr>
                    <w:szCs w:val="24"/>
                    <w:lang w:eastAsia="lt-LT"/>
                  </w:rPr>
                </w:pPr>
                <w:r>
                  <w:rPr>
                    <w:bCs/>
                    <w:szCs w:val="24"/>
                    <w:lang w:eastAsia="lt-LT"/>
                  </w:rPr>
                  <w:t>Elemento reikšmės užpildymo paaiškinimas</w:t>
                </w:r>
              </w:p>
            </w:tc>
          </w:tr>
          <w:tr>
            <w:trPr>
              <w:trHeight w:val="63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packageHeader</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bCs/>
                    <w:szCs w:val="24"/>
                    <w:lang w:eastAsia="lt-LT"/>
                  </w:rPr>
                  <w:t xml:space="preserve">Atsiskaitymų už parduodamas prekes (kai prekės superkamos – superkamas prekes) ir teikiamas paslaugas duomenų rinkmenos (toliau – </w:t>
                </w:r>
                <w:r>
                  <w:rPr>
                    <w:szCs w:val="24"/>
                    <w:lang w:eastAsia="lt-LT"/>
                  </w:rPr>
                  <w:t>Duomenų rinkmena) antraštė</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aparatą identifikuojantys duomenys, pagal kuriuos identifikuojamas kasos aparato naudotojas, kasos aparatas, </w:t>
                </w:r>
              </w:p>
              <w:p>
                <w:pPr>
                  <w:jc w:val="both"/>
                  <w:rPr>
                    <w:szCs w:val="24"/>
                    <w:lang w:eastAsia="lt-LT"/>
                  </w:rPr>
                </w:pPr>
                <w:r>
                  <w:rPr>
                    <w:szCs w:val="24"/>
                    <w:lang w:eastAsia="lt-LT"/>
                  </w:rPr>
                  <w:t>saugos modulis (jei kasos aparatas veikia su saugos moduliu), sertifikatai ir kiti bendri duomenys.</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1.1.1.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registrationNumber</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Ūkio subjektą identifikuojantis numeris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Mokesčių mokėtojo (kasos aparato naudotojo) kodas: juridiniams asmenims naudojamas įmonės kodas, o fiziniams asmenims – asmens kodas.</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1.1.2.</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cashRegisterRegistrationNo</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Kasos aparatą identifikuojantis numeris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aparatą identifikuojantis numeris, </w:t>
                </w:r>
                <w:r>
                  <w:rPr>
                    <w:szCs w:val="24"/>
                  </w:rPr>
                  <w:t xml:space="preserve">Išmaniosios mokesčių administravimo informacinės sistemos Išmaniųjų elektroninių kasos aparatų posistemio </w:t>
                </w:r>
                <w:r>
                  <w:rPr>
                    <w:szCs w:val="24"/>
                    <w:lang w:eastAsia="lt-LT"/>
                  </w:rPr>
                  <w:t>(toliau – i.EKA) suteiktas įregistravimo procedūros metu.</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1.1.3.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securityModuleRegistrationNo</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Saugos modulį identifikuojantis numeris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Saugos modulio unikalus numeris, i.EKA suteiktas įregistravimo procedūros metu.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1.1.4.</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certID</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Sertifikato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Saugos modulyje naudojamo sertifikato serijinis numeris.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1.1.5.</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VATRegistrationNumber</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Ūkio subjekto pridėtinės vertės mokesčio (toliau – PVM) mokėtojo kodas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Ūkio subjekto PVM mokėtojo kodas. Elementą privaloma užpildyti, jei ūkio subjektas yra PVM mokėtojas.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1.1.6.</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softwareCompanyName</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Programinės įrangos kūrėjo pavadinimas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Duomenų rinkmeną sugeneravusios programinės įrangos kūrėjo pavadinimas.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1.1.7.</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softwareName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Programinės įrangos pavadinimas </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Duomenų rinkmeną sugeneravusios programinės įrangos pavadinimas.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1.1.8.</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softwareVersion</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Programinės įrangos versija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Duomenų rinkmeną sugeneravusios programinės įrangos versija.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1.1.9.</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fileVersion</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Duomenų rinkmenos versija</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rPr>
                  <w:t>Duomenų r</w:t>
                </w:r>
                <w:r>
                  <w:rPr>
                    <w:szCs w:val="24"/>
                    <w:lang w:eastAsia="lt-LT"/>
                  </w:rPr>
                  <w:t xml:space="preserve">inkmenos versija, kuri turi sutapti su atitinkamos Duomenų rinkmenos XML </w:t>
                </w:r>
                <w:r>
                  <w:rPr>
                    <w:szCs w:val="24"/>
                  </w:rPr>
                  <w:t xml:space="preserve">(angl. </w:t>
                </w:r>
                <w:r>
                  <w:rPr>
                    <w:i/>
                    <w:szCs w:val="24"/>
                  </w:rPr>
                  <w:t>Extensible Markup Language</w:t>
                </w:r>
                <w:r>
                  <w:rPr>
                    <w:szCs w:val="24"/>
                  </w:rPr>
                  <w:t>)</w:t>
                </w:r>
                <w:r>
                  <w:rPr>
                    <w:szCs w:val="24"/>
                    <w:lang w:eastAsia="lt-LT"/>
                  </w:rPr>
                  <w:t xml:space="preserve"> struktūros aprašo (angl. </w:t>
                </w:r>
                <w:r>
                  <w:rPr>
                    <w:i/>
                    <w:szCs w:val="24"/>
                    <w:lang w:eastAsia="lt-LT"/>
                  </w:rPr>
                  <w:t>XML Schema Definition, XSD</w:t>
                </w:r>
                <w:r>
                  <w:rPr>
                    <w:szCs w:val="24"/>
                    <w:lang w:eastAsia="lt-LT"/>
                  </w:rPr>
                  <w:t>) versija.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documents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Dokumentų sąrašas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Dokumentų sąrašas. Pateikiamų dokumentų tipai: fiskalinis kvitas, dienos (pamainos) fiskalinė ataskaita (Z) (toliau – ataskaita (Z)), nefiskalinis kvitas (nefiskalinis kvitas, kuriuo užfiksuotos operacijos nepriskirtinos 1.2.1.5, 1.2.1.6, 1.2.1.7, 1.2.1.8, 1.2.1.9, 1.2.1.10, 1.2.1.11, 1.2.1.12, 1.2.1.13 elementų indeksuose nurodytiems nefiskalinių dokumentų tipams), nefiskalinis grynųjų pinigų įdėjimo ir išėmimo kvitas, nefiskalinis kasos aparato techninės priežiūros arba remonto operacijų kvitas, nefiskalinis panaikintų fiskalinių kvitų dokumentas, nefiskalinis mokesčių keitimo dokumentas, nefiskalinis techninio kuro pylimo kvitas, išankstinė sąskaita, nefiskalinio prekių grąžinimo ir (arba) paslaugų atsisakymo dokumento duomenys, nefiskalinio kitų lėšų sumokėjimo / išmokėjimo operacijų kvito duomenys, nefiskalinis informacijos perdavimo pažeidimo kvitas. </w:t>
                </w:r>
              </w:p>
              <w:p>
                <w:pPr>
                  <w:jc w:val="both"/>
                  <w:rPr>
                    <w:szCs w:val="24"/>
                    <w:lang w:eastAsia="lt-LT"/>
                  </w:rPr>
                </w:pPr>
                <w:r>
                  <w:rPr>
                    <w:szCs w:val="24"/>
                    <w:lang w:eastAsia="lt-LT"/>
                  </w:rPr>
                  <w:t>Nefiskaliniai dokumentai, atsižvelgiant į vykdomas operacijas ir juose fiksuojamus duomenis, yra suskirstyti į atskirus dokumentų tipus.</w:t>
                </w:r>
              </w:p>
            </w:tc>
          </w:tr>
          <w:tr>
            <w:trPr>
              <w:trHeight w:val="645"/>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document</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Dokumento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Dokumento duomenys. Dokumentai teikiami iš eilės, dokumentą identifikuojančio numerio (documentNumber) didėjimo tvarka.</w:t>
                </w:r>
              </w:p>
            </w:tc>
          </w:tr>
          <w:tr>
            <w:trPr>
              <w:trHeight w:val="300"/>
            </w:trPr>
            <w:tc>
              <w:tcPr>
                <w:tcW w:w="2132" w:type="dxa"/>
                <w:tcBorders>
                  <w:top w:val="single" w:sz="4" w:space="0" w:color="auto"/>
                  <w:left w:val="single" w:sz="8"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documentHeader</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Dokumento antraštė</w:t>
                </w:r>
              </w:p>
            </w:tc>
            <w:tc>
              <w:tcPr>
                <w:tcW w:w="5790" w:type="dxa"/>
                <w:tcBorders>
                  <w:top w:val="single" w:sz="4" w:space="0" w:color="auto"/>
                  <w:left w:val="nil"/>
                  <w:bottom w:val="single" w:sz="4" w:space="0" w:color="auto"/>
                  <w:right w:val="single" w:sz="8" w:space="0" w:color="auto"/>
                </w:tcBorders>
                <w:shd w:val="clear" w:color="auto" w:fill="auto"/>
                <w:hideMark/>
              </w:tcPr>
              <w:p>
                <w:pPr>
                  <w:jc w:val="both"/>
                  <w:rPr>
                    <w:szCs w:val="24"/>
                    <w:lang w:eastAsia="lt-LT"/>
                  </w:rPr>
                </w:pPr>
                <w:r>
                  <w:rPr>
                    <w:szCs w:val="24"/>
                    <w:lang w:eastAsia="lt-LT"/>
                  </w:rPr>
                  <w:t>Dokumento antraštės informacija.</w:t>
                </w:r>
              </w:p>
            </w:tc>
          </w:tr>
          <w:tr>
            <w:trPr>
              <w:trHeight w:val="300"/>
            </w:trPr>
            <w:tc>
              <w:tcPr>
                <w:tcW w:w="2132" w:type="dxa"/>
                <w:tcBorders>
                  <w:top w:val="nil"/>
                  <w:left w:val="single" w:sz="8"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1.2.1.1.1.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documentDateTime</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Dokumento data ir laikas</w:t>
                </w:r>
              </w:p>
            </w:tc>
            <w:tc>
              <w:tcPr>
                <w:tcW w:w="5790" w:type="dxa"/>
                <w:tcBorders>
                  <w:top w:val="nil"/>
                  <w:left w:val="nil"/>
                  <w:bottom w:val="single" w:sz="4" w:space="0" w:color="auto"/>
                  <w:right w:val="single" w:sz="8" w:space="0" w:color="auto"/>
                </w:tcBorders>
                <w:shd w:val="clear" w:color="auto" w:fill="auto"/>
                <w:hideMark/>
              </w:tcPr>
              <w:p>
                <w:pPr>
                  <w:jc w:val="both"/>
                  <w:rPr>
                    <w:szCs w:val="24"/>
                    <w:lang w:eastAsia="lt-LT"/>
                  </w:rPr>
                </w:pPr>
                <w:r>
                  <w:rPr>
                    <w:szCs w:val="24"/>
                    <w:lang w:eastAsia="lt-LT"/>
                  </w:rPr>
                  <w:t>Dokumento data ir laikas.</w:t>
                </w:r>
              </w:p>
            </w:tc>
          </w:tr>
          <w:tr>
            <w:trPr>
              <w:trHeight w:val="420"/>
            </w:trPr>
            <w:tc>
              <w:tcPr>
                <w:tcW w:w="2132" w:type="dxa"/>
                <w:tcBorders>
                  <w:top w:val="nil"/>
                  <w:left w:val="single" w:sz="8"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1.2.1.1.2.</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documentNumber</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Dokumentą identifikuojantis numeris</w:t>
                </w:r>
              </w:p>
            </w:tc>
            <w:tc>
              <w:tcPr>
                <w:tcW w:w="5790" w:type="dxa"/>
                <w:tcBorders>
                  <w:top w:val="nil"/>
                  <w:left w:val="nil"/>
                  <w:bottom w:val="single" w:sz="4" w:space="0" w:color="auto"/>
                  <w:right w:val="single" w:sz="8" w:space="0" w:color="auto"/>
                </w:tcBorders>
                <w:shd w:val="clear" w:color="auto" w:fill="auto"/>
                <w:hideMark/>
              </w:tcPr>
              <w:p>
                <w:pPr>
                  <w:jc w:val="both"/>
                  <w:rPr>
                    <w:szCs w:val="24"/>
                    <w:lang w:eastAsia="lt-LT"/>
                  </w:rPr>
                </w:pPr>
                <w:r>
                  <w:rPr>
                    <w:szCs w:val="24"/>
                    <w:lang w:eastAsia="lt-LT"/>
                  </w:rPr>
                  <w:t>Bendras dokumento eilės numeris.</w:t>
                </w:r>
                <w:r>
                  <w:rPr>
                    <w:sz w:val="22"/>
                    <w:szCs w:val="22"/>
                  </w:rPr>
                  <w:t xml:space="preserve"> </w:t>
                </w:r>
              </w:p>
              <w:p>
                <w:pPr>
                  <w:jc w:val="both"/>
                  <w:rPr>
                    <w:szCs w:val="24"/>
                    <w:lang w:eastAsia="lt-LT"/>
                  </w:rPr>
                </w:pPr>
              </w:p>
              <w:p>
                <w:pPr>
                  <w:jc w:val="both"/>
                  <w:rPr>
                    <w:szCs w:val="24"/>
                    <w:lang w:eastAsia="lt-LT"/>
                  </w:rPr>
                </w:pPr>
              </w:p>
            </w:tc>
          </w:tr>
          <w:tr>
            <w:trPr>
              <w:trHeight w:val="300"/>
            </w:trPr>
            <w:tc>
              <w:tcPr>
                <w:tcW w:w="2132" w:type="dxa"/>
                <w:tcBorders>
                  <w:top w:val="nil"/>
                  <w:left w:val="single" w:sz="8"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1.2.1.1.3.</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linkedDocumentNumbers</w:t>
                </w:r>
              </w:p>
            </w:tc>
            <w:tc>
              <w:tcPr>
                <w:tcW w:w="1701"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Susijusių dokumentų numeriai</w:t>
                </w:r>
              </w:p>
            </w:tc>
            <w:tc>
              <w:tcPr>
                <w:tcW w:w="5790" w:type="dxa"/>
                <w:tcBorders>
                  <w:top w:val="nil"/>
                  <w:left w:val="nil"/>
                  <w:bottom w:val="single" w:sz="4" w:space="0" w:color="auto"/>
                  <w:right w:val="single" w:sz="8" w:space="0" w:color="auto"/>
                </w:tcBorders>
                <w:shd w:val="clear" w:color="auto" w:fill="auto"/>
                <w:hideMark/>
              </w:tcPr>
              <w:p>
                <w:pPr>
                  <w:jc w:val="both"/>
                  <w:rPr>
                    <w:szCs w:val="24"/>
                    <w:lang w:eastAsia="lt-LT"/>
                  </w:rPr>
                </w:pPr>
                <w:r>
                  <w:rPr>
                    <w:szCs w:val="24"/>
                    <w:lang w:eastAsia="lt-LT"/>
                  </w:rPr>
                  <w:t>Susijusių dokumentų identifikuojantys numeriai.</w:t>
                </w:r>
              </w:p>
              <w:p>
                <w:pPr>
                  <w:jc w:val="both"/>
                  <w:rPr>
                    <w:szCs w:val="24"/>
                    <w:lang w:eastAsia="lt-LT"/>
                  </w:rPr>
                </w:pPr>
                <w:r>
                  <w:rPr>
                    <w:szCs w:val="24"/>
                    <w:lang w:eastAsia="lt-LT"/>
                  </w:rPr>
                  <w:t>Su fiskaliniu kvitu susijęs dokumentas — išankstinė sąskaita.</w:t>
                </w:r>
              </w:p>
              <w:p>
                <w:pPr>
                  <w:jc w:val="both"/>
                  <w:rPr>
                    <w:szCs w:val="24"/>
                    <w:lang w:eastAsia="lt-LT"/>
                  </w:rPr>
                </w:pPr>
                <w:r>
                  <w:rPr>
                    <w:szCs w:val="24"/>
                    <w:lang w:eastAsia="lt-LT"/>
                  </w:rPr>
                  <w:t>Su ataskaita (Z) susiję dokumentai: Nefiskalinis mokesčių keitimo dokumentas; Nefiskalinis techninio kuro pylimo kvitas; Išankstinė sąskaita; Nefiskalinis informacijos perdavimo pažeidimo kvitas.</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1.2.1.1.3.1.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linkedDocumentNumber</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Susijusio dokumento numeris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Susijusio dokumento identifikuojantis numeris iš nefiskalinio dokumento </w:t>
                </w:r>
                <w:r>
                  <w:rPr>
                    <w:szCs w:val="24"/>
                  </w:rPr>
                  <w:t>(Pvz., uždarant išankstinę sąskaitą fiskaliniu kvitu, fiskaliniame kvite privaloma nurodyti išankstinės sąskaitos numerį, o jei išankstinė sąskaita išskaidyta į kelias išankstines sąskaitas, tada fiskaliniame kvite turi būti nurodytas ir pirminės išankstinės sąskaitos numeris, ir išskaidytos išankstinės sąskaitos numeris. Šie išankstinių sąskaitų numeriai turi būti teikiami su fiskalinio kvito duomenimis).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1.2.1.1.4.</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specificDocumentTypeNumber</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Dokumentą identifikuojantis numeris pagal dokumento rūšį</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Dokumento eilės numeris pagal dokumento rūšį (fiskalinis kvitas, nefiskalinis kvitas, ataskaita (Z)).</w:t>
                </w:r>
              </w:p>
              <w:p>
                <w:pPr>
                  <w:jc w:val="both"/>
                  <w:rPr>
                    <w:szCs w:val="24"/>
                    <w:lang w:eastAsia="lt-LT"/>
                  </w:rPr>
                </w:pPr>
              </w:p>
            </w:tc>
          </w:tr>
          <w:tr>
            <w:trPr>
              <w:trHeight w:val="300"/>
            </w:trPr>
            <w:tc>
              <w:tcPr>
                <w:tcW w:w="2132" w:type="dxa"/>
                <w:tcBorders>
                  <w:top w:val="single" w:sz="4" w:space="0" w:color="auto"/>
                  <w:left w:val="single" w:sz="8"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1.2.1.1.4.1.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fiscalDayNumber</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Ataskaitos (Z) numeris</w:t>
                </w:r>
              </w:p>
            </w:tc>
            <w:tc>
              <w:tcPr>
                <w:tcW w:w="5790" w:type="dxa"/>
                <w:tcBorders>
                  <w:top w:val="single" w:sz="4" w:space="0" w:color="auto"/>
                  <w:left w:val="nil"/>
                  <w:bottom w:val="single" w:sz="4" w:space="0" w:color="auto"/>
                  <w:right w:val="single" w:sz="8" w:space="0" w:color="auto"/>
                </w:tcBorders>
                <w:shd w:val="clear" w:color="auto" w:fill="auto"/>
                <w:hideMark/>
              </w:tcPr>
              <w:p>
                <w:pPr>
                  <w:jc w:val="both"/>
                  <w:rPr>
                    <w:szCs w:val="24"/>
                    <w:lang w:eastAsia="lt-LT"/>
                  </w:rPr>
                </w:pPr>
                <w:r>
                  <w:rPr>
                    <w:szCs w:val="24"/>
                    <w:lang w:eastAsia="lt-LT"/>
                  </w:rPr>
                  <w:t xml:space="preserve">Su teikiamu dokumentu susijusios ataskaitos (Z) numeris.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1.2.1.1.4.2.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receiptNumberInFiscalDay</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fiskalinio kvito (toliau – fiskalinis kvitas) numeris ataskaitoje (Z)</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bCs/>
                    <w:szCs w:val="24"/>
                    <w:lang w:eastAsia="lt-LT"/>
                  </w:rPr>
                  <w:t>Fiskalinio kvito</w:t>
                </w:r>
                <w:r>
                  <w:rPr>
                    <w:szCs w:val="24"/>
                    <w:lang w:eastAsia="lt-LT"/>
                  </w:rPr>
                  <w:t xml:space="preserve"> numeris ataskaitoje (Z). Elementą privaloma užpildyti, jei teikimas fiskalinis kvitas.</w:t>
                </w:r>
              </w:p>
              <w:p>
                <w:pPr>
                  <w:jc w:val="both"/>
                  <w:rPr>
                    <w:szCs w:val="24"/>
                    <w:lang w:eastAsia="lt-LT"/>
                  </w:rPr>
                </w:pPr>
              </w:p>
            </w:tc>
          </w:tr>
          <w:tr>
            <w:trPr>
              <w:trHeight w:val="645"/>
            </w:trPr>
            <w:tc>
              <w:tcPr>
                <w:tcW w:w="2132" w:type="dxa"/>
                <w:tcBorders>
                  <w:top w:val="nil"/>
                  <w:left w:val="single" w:sz="8" w:space="0" w:color="auto"/>
                  <w:bottom w:val="single" w:sz="8" w:space="0" w:color="auto"/>
                  <w:right w:val="single" w:sz="4" w:space="0" w:color="auto"/>
                </w:tcBorders>
                <w:shd w:val="clear" w:color="auto" w:fill="auto"/>
                <w:hideMark/>
              </w:tcPr>
              <w:p>
                <w:pPr>
                  <w:jc w:val="both"/>
                  <w:rPr>
                    <w:szCs w:val="24"/>
                    <w:lang w:eastAsia="lt-LT"/>
                  </w:rPr>
                </w:pPr>
                <w:r>
                  <w:rPr>
                    <w:szCs w:val="24"/>
                    <w:lang w:eastAsia="lt-LT"/>
                  </w:rPr>
                  <w:t>1.2.1.1.4.3.</w:t>
                </w:r>
              </w:p>
            </w:tc>
            <w:tc>
              <w:tcPr>
                <w:tcW w:w="2693" w:type="dxa"/>
                <w:tcBorders>
                  <w:top w:val="nil"/>
                  <w:left w:val="nil"/>
                  <w:bottom w:val="single" w:sz="8" w:space="0" w:color="auto"/>
                  <w:right w:val="single" w:sz="4" w:space="0" w:color="auto"/>
                </w:tcBorders>
                <w:shd w:val="clear" w:color="auto" w:fill="auto"/>
                <w:hideMark/>
              </w:tcPr>
              <w:p>
                <w:pPr>
                  <w:jc w:val="both"/>
                  <w:rPr>
                    <w:szCs w:val="24"/>
                    <w:lang w:eastAsia="lt-LT"/>
                  </w:rPr>
                </w:pPr>
                <w:r>
                  <w:rPr>
                    <w:szCs w:val="24"/>
                    <w:lang w:eastAsia="lt-LT"/>
                  </w:rPr>
                  <w:t>nonFiscalDocumentNumberInFiscalDay</w:t>
                </w:r>
              </w:p>
            </w:tc>
            <w:tc>
              <w:tcPr>
                <w:tcW w:w="1701" w:type="dxa"/>
                <w:tcBorders>
                  <w:top w:val="nil"/>
                  <w:left w:val="nil"/>
                  <w:bottom w:val="single" w:sz="8" w:space="0" w:color="auto"/>
                  <w:right w:val="single" w:sz="4" w:space="0" w:color="auto"/>
                </w:tcBorders>
                <w:shd w:val="clear" w:color="auto" w:fill="auto"/>
                <w:hideMark/>
              </w:tcPr>
              <w:p>
                <w:pPr>
                  <w:ind w:firstLine="62"/>
                  <w:rPr>
                    <w:szCs w:val="24"/>
                    <w:lang w:eastAsia="lt-LT"/>
                  </w:rPr>
                </w:pPr>
              </w:p>
            </w:tc>
            <w:tc>
              <w:tcPr>
                <w:tcW w:w="2001" w:type="dxa"/>
                <w:tcBorders>
                  <w:top w:val="nil"/>
                  <w:left w:val="nil"/>
                  <w:bottom w:val="single" w:sz="8" w:space="0" w:color="auto"/>
                  <w:right w:val="single" w:sz="4" w:space="0" w:color="auto"/>
                </w:tcBorders>
                <w:shd w:val="clear" w:color="auto" w:fill="auto"/>
                <w:hideMark/>
              </w:tcPr>
              <w:p>
                <w:pPr>
                  <w:jc w:val="both"/>
                  <w:rPr>
                    <w:szCs w:val="24"/>
                    <w:lang w:eastAsia="lt-LT"/>
                  </w:rPr>
                </w:pPr>
                <w:r>
                  <w:rPr>
                    <w:szCs w:val="24"/>
                    <w:lang w:eastAsia="lt-LT"/>
                  </w:rPr>
                  <w:t>Kasos aparato nefiskalinio kvito (toliau – nefiskalinis kvitas) numeris ataskaitoje (Z)</w:t>
                </w:r>
              </w:p>
            </w:tc>
            <w:tc>
              <w:tcPr>
                <w:tcW w:w="5790" w:type="dxa"/>
                <w:tcBorders>
                  <w:top w:val="nil"/>
                  <w:left w:val="nil"/>
                  <w:bottom w:val="single" w:sz="8" w:space="0" w:color="auto"/>
                  <w:right w:val="single" w:sz="8" w:space="0" w:color="auto"/>
                </w:tcBorders>
                <w:shd w:val="clear" w:color="auto" w:fill="auto"/>
                <w:hideMark/>
              </w:tcPr>
              <w:p>
                <w:pPr>
                  <w:jc w:val="both"/>
                  <w:rPr>
                    <w:szCs w:val="24"/>
                    <w:lang w:eastAsia="lt-LT"/>
                  </w:rPr>
                </w:pPr>
                <w:r>
                  <w:rPr>
                    <w:szCs w:val="24"/>
                    <w:lang w:eastAsia="lt-LT"/>
                  </w:rPr>
                  <w:t>Nefiskalinio kvito numeris ataskaitoje (Z). Elementą privaloma užpildyti, jei teikimas nefiskalinis kvitas.</w:t>
                </w:r>
              </w:p>
              <w:p>
                <w:pPr>
                  <w:jc w:val="both"/>
                  <w:rPr>
                    <w:szCs w:val="24"/>
                    <w:lang w:eastAsia="lt-LT"/>
                  </w:rPr>
                </w:pPr>
              </w:p>
            </w:tc>
          </w:tr>
          <w:tr>
            <w:trPr>
              <w:trHeight w:val="42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1.2.1.1.5.</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documentHash</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Dokumento maišos reikšmė</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Dokumento tekstinės kopijos iš elektroninės kontrolinės juostos (toliau – EKJ) maišos reikšmė (angl. </w:t>
                </w:r>
                <w:r>
                  <w:rPr>
                    <w:i/>
                    <w:szCs w:val="24"/>
                    <w:lang w:eastAsia="lt-LT"/>
                  </w:rPr>
                  <w:t>hash</w:t>
                </w:r>
                <w:r>
                  <w:rPr>
                    <w:szCs w:val="24"/>
                    <w:lang w:eastAsia="lt-LT"/>
                  </w:rPr>
                  <w:t>).</w:t>
                </w:r>
              </w:p>
            </w:tc>
          </w:tr>
          <w:tr>
            <w:trPr>
              <w:trHeight w:val="126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1.2.1.1.6.</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previousDocumentHash</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Ankstesnio dokumento maišos reikšmė</w:t>
                </w:r>
              </w:p>
              <w:p>
                <w:pPr>
                  <w:jc w:val="both"/>
                  <w:rPr>
                    <w:szCs w:val="24"/>
                    <w:lang w:eastAsia="lt-LT"/>
                  </w:rPr>
                </w:pP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Ankstesnio tos pačios rūšies dokumento tekstinės kopijos iš EKJ maišos reikšmė (angl. </w:t>
                </w:r>
                <w:r>
                  <w:rPr>
                    <w:i/>
                    <w:szCs w:val="24"/>
                    <w:lang w:eastAsia="lt-LT"/>
                  </w:rPr>
                  <w:t>hash</w:t>
                </w:r>
                <w:r>
                  <w:rPr>
                    <w:szCs w:val="24"/>
                    <w:lang w:eastAsia="lt-LT"/>
                  </w:rPr>
                  <w:t xml:space="preserve">). Pirmo kiekvieno rūšies dokumento elemento reikšmė turi sutapti su elemento „documentHash“ reikšme.   </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1.2.1.1.7.</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documentSignature</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Saugos modulio parašas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Saugos modulio parašas.</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1.2.1.1.8.</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documentInfoBlockCrypto</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Dokumento informacinis blokas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Dokumento informacinis blokas.</w:t>
                </w:r>
              </w:p>
            </w:tc>
          </w:tr>
          <w:tr>
            <w:trPr>
              <w:trHeight w:val="548"/>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1.2.1.1.9.</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documentCode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Dokumento kodas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Dokumento kodas (skaitomos formos dokumento parašas, užšifruotas saugos modulio simetriniu </w:t>
                </w:r>
                <w:r>
                  <w:rPr>
                    <w:i/>
                    <w:szCs w:val="24"/>
                    <w:lang w:eastAsia="lt-LT"/>
                  </w:rPr>
                  <w:t>AES</w:t>
                </w:r>
                <w:r>
                  <w:rPr>
                    <w:szCs w:val="24"/>
                    <w:lang w:eastAsia="lt-LT"/>
                  </w:rPr>
                  <w:t xml:space="preserve"> raktu). Fiskaliniams kvitams ir išankstinėms sąskaitoms naudojami skirtingi </w:t>
                </w:r>
                <w:r>
                  <w:rPr>
                    <w:i/>
                    <w:szCs w:val="24"/>
                    <w:lang w:eastAsia="lt-LT"/>
                  </w:rPr>
                  <w:t>AES</w:t>
                </w:r>
                <w:r>
                  <w:rPr>
                    <w:szCs w:val="24"/>
                    <w:lang w:eastAsia="lt-LT"/>
                  </w:rPr>
                  <w:t xml:space="preserve"> raktai. Laukas užpildomas tik fiskalinių kvitų ir išankstinių sąskaitų atveju.</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1.2.1.1.10.</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location</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adresas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adresas.</w:t>
                </w:r>
              </w:p>
              <w:p>
                <w:pPr>
                  <w:jc w:val="both"/>
                  <w:rPr>
                    <w:szCs w:val="24"/>
                    <w:lang w:eastAsia="lt-LT"/>
                  </w:rPr>
                </w:pP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1.2.1.1.10.1.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locationUID</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adreso unikalus identifikacinis numeris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Valstybinėje mokesčių inspekcijoje (toliau – VMI) kasos aparato adresui naudojamas unikalus identifikacinis numeris. </w:t>
                </w:r>
              </w:p>
              <w:p>
                <w:pPr>
                  <w:jc w:val="both"/>
                  <w:rPr>
                    <w:szCs w:val="24"/>
                    <w:lang w:eastAsia="lt-LT"/>
                  </w:rPr>
                </w:pPr>
              </w:p>
            </w:tc>
          </w:tr>
          <w:tr>
            <w:trPr>
              <w:trHeight w:val="84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1.2.1.1.10.2.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locationLKSX</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adreso LKS-94 koordinatės X ašyje</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adreso LKS-94 koordinatės X ašyje (pvz.: 6141287). </w:t>
                </w:r>
              </w:p>
            </w:tc>
          </w:tr>
          <w:tr>
            <w:trPr>
              <w:trHeight w:val="84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1.2.1.1.10.3.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locationLKSY</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adreso LKS-94 koordinatės Y ašyje </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adreso LKS-94 koordinatės Y ašyje (pvz.: 486622).</w:t>
                </w:r>
              </w:p>
            </w:tc>
          </w:tr>
          <w:tr>
            <w:trPr>
              <w:trHeight w:val="84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correctionReason</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Kasos aparato dokumento taisymo priežastis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Kasos aparato dokumento taisymo priežastis laisvu tekstu. Privaloma nurodyti, pakartotinai teikiant dokumentą.  Teikiant pirmą dokumento versiją, nenurodomas.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receipt</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duomenys.</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documentFiscalAmounts</w:t>
                </w:r>
              </w:p>
            </w:tc>
            <w:tc>
              <w:tcPr>
                <w:tcW w:w="1701"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fiskalinės sumos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fiskalinės sumos.</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1.2.1.2.1.1.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salesOperationData</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pardavimo operacijų duomenys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pardavimo operacijų duomenys.</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1.2.1.2.1.1.1.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totalSalesAmount</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pardavimo suma iš viso</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Fiskaliniame kvite nurodyta pardavimų suma, įskaitant mokesčius.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1.2.1.2.1.1.2.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totalSalesTaxAmount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pardavimo operacijų mokesčių suma iš viso</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Fiskaliniame kvite nurodyta pardavimams pritaikytų mokesčių bendra suma.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1.2.1.2.1.1.3.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salesOperationTaxDetails</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pardavimo operacijų mokesčių detalūs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pardavimo operacijų mokesčių detalūs duomenys.</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1.2.1.2.1.1.3.1.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salesOperationTaxLine</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pardavimo operacijų mokesčių eilutės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pardavimo operacijų mokesčių eilutės (mokesčių detalūs duomenys: mokesčio tarifas, mokesčio suma, pardavimo suma su mokesčiu).</w:t>
                </w:r>
              </w:p>
            </w:tc>
          </w:tr>
          <w:tr>
            <w:trPr>
              <w:trHeight w:val="45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1.2.1.2.1.1.3.1.1.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taxRate</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mokesčio tarifas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PVM tarifas: 0 – 0%, 5 – 5%, 9 – 9%, 21 – 21%. Jei PVM neapmokestinamas, tai nurodoma tuščia elemento reikšmė</w:t>
                </w:r>
                <w:r>
                  <w:rPr>
                    <w:szCs w:val="24"/>
                    <w:lang w:eastAsia="lt-LT"/>
                  </w:rPr>
                  <w:t xml:space="preserve">.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1.2.1.2.1.1.3.1.2.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taxAmount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mokesčio suma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PVM suma nurodytam PVM tarifui. </w:t>
                </w:r>
                <w:r>
                  <w:rPr>
                    <w:szCs w:val="24"/>
                    <w:lang w:eastAsia="lt-LT"/>
                  </w:rPr>
                  <w:t>Jei PVM neapmokestinamas, tai nurodoma tuščia elemento reikšmė</w:t>
                </w:r>
                <w:r>
                  <w:rPr>
                    <w:szCs w:val="24"/>
                    <w:lang w:eastAsia="lt-LT"/>
                  </w:rPr>
                  <w:t>.</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1.2.1.2.1.1.3.1.3.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salesAmountAfterTax</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pardavimo suma su mokesčiu</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Fiskaliniame kvite nurodyto PVM tarifo pardavimo suma, įskaitant PVM.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1.2.1.2.1.2.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discountsAdditions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nuolaidos ir antkainiai</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nuolaidos ir antkainiai.</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1.2.1.2.1.2.1.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totalSalesAmountWithoutDiscountAddition</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pardavimo operacijų suma be nuolaidos ir antkainių </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pardavimo operacijų suma be nuolaidos ir antkainių. </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1.2.1.2.1.2.2.</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totalSalesDiscountAmount</w:t>
                </w:r>
              </w:p>
            </w:tc>
            <w:tc>
              <w:tcPr>
                <w:tcW w:w="1701"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pardavimo operacijų nuolaidos suma </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Bendra fiskalinio kvito pardavimo operacijų nuolaidos suma.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1.2.1.2.1.2.3.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totalSalesAdditionAmount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pardavimo operacijų  antkainių suma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bendra pardavimo operacijų antkainių suma.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otherCashCollectionOperations</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Kitos lėšų sumokėjimo / išmokėjimo operacijos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Kitos lėšų sumokėjimo / išmokėjimo operacijos. Elemento reikšmė neapima mokesčių mokėtojo, naudojančio kasos aparatą, vykdomų pinigų įdėjimo ir išėmimo (pavyzdžiui, inkasavimo) operacijų.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1.2.1.2.2.1.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otherCashCollectionOperation</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Kita lėšų sumokėjimo / išmokėjimo operacija</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Kita lėšų sumokėjimo / išmokėjimo operacija.</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1.2.1.2.2.1.1.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collectionDirection</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Operacijos požymis</w:t>
                </w:r>
              </w:p>
              <w:p>
                <w:pPr>
                  <w:jc w:val="both"/>
                  <w:rPr>
                    <w:szCs w:val="24"/>
                    <w:lang w:eastAsia="lt-LT"/>
                  </w:rPr>
                </w:pP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Operacijos požymis: sumokėjimo operacijos – „IN“, išmokėjimo operacijos – „OUT“.</w:t>
                </w:r>
              </w:p>
            </w:tc>
          </w:tr>
          <w:tr>
            <w:trPr>
              <w:trHeight w:val="45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1.2.1.2.2.1.2.</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collectionType</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Operacijos tipas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Operacijos tipas: 1 – depozitas, 2 – kita, 3 – supirkimas. Operacijos tipas „supirkimas“ turi būti fiksuojamas nurodant operacijos požymį „OUT“.</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1.2.1.2.2.1.3.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collectionAmount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Operacijos suma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Bendra operacijos suma pagal operacijos požymį ir tipą fiskaliniame kvite.</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receiptPayments</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mokėjimų informacija</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mokėjimų informacija pagal mokėjimo būdus. </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1.2.1.2.3.1.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totalAmountToPay</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mokėtina suma</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mokėtina suma. Mokėtina suma yra neigiama, jei pirkėjui išmokami pinigai.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1.2.1.2.3.2.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paymentDetails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mokėjimo būdų detalūs duomenys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mokėjimo būdų detalūs duomenys.</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1.2.1.2.3.2.1.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paymentDetail</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Fiskalinio kvito mokėjimo būdo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Fiskalinio kvito mokėjimo būdo duomenys.</w:t>
                </w:r>
              </w:p>
            </w:tc>
          </w:tr>
          <w:tr>
            <w:trPr>
              <w:trHeight w:val="9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1.2.1.2.3.2.1.1.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paymentType</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apmokėjimo būdas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apmokėjimo būdas: 1 – grynieji, 2 – debetinė / kreditinė mokėjimo kortelė, 3 – kita mokėjimo kortelė (pavyzdžiui, lojalumo kortelė), 4 – kuponai, 5 – pavedimas, 6 – kompensuojama iš Privalomojo sveikatos draudimo fondo biudžeto lėšų, 7 – kompensuojama iš valstybės biudžeto lėšų, 8 – kriptovaliuta, 9 – kita, 10 – apvalinimas.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1.2.1.2.3.2.1.2.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paidAmountNatCur</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apmokėta suma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Apmokėta fiskalinio kvito suma eurais pagal apmokėjimo tipą ir valiutą.</w:t>
                </w:r>
              </w:p>
            </w:tc>
          </w:tr>
          <w:tr>
            <w:trPr>
              <w:trHeight w:val="45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1.2.1.2.3.2.1.3.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paymentCurrency</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apmokėjimo valiuta</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w:t>
                </w:r>
                <w:r>
                  <w:rPr>
                    <w:szCs w:val="24"/>
                    <w:lang w:eastAsia="lt-LT"/>
                  </w:rPr>
                  <w:t xml:space="preserve">apmokėjimo valiuta pagal ISO 4217 standartą, pvz.: USD. </w:t>
                </w:r>
                <w:r>
                  <w:rPr>
                    <w:bCs/>
                    <w:szCs w:val="24"/>
                    <w:lang w:eastAsia="lt-LT"/>
                  </w:rPr>
                  <w:t>Elemento reikšmė užpildoma, jei buvo naudojama kita nei euras valiuta.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1.2.1.2.3.2.1.4.</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paidAmountPaymentCur</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apmokėta suma valiuta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suma, apmokėta kita nei eurais valiuta. Elemento reikšmė užpildoma, jei buvo naudojama kita nei euras valiuta.</w:t>
                </w:r>
              </w:p>
            </w:tc>
          </w:tr>
          <w:tr>
            <w:trPr>
              <w:trHeight w:val="105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1.2.1.2.3.2.1.5.</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exchangeRate</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apmokėjimo valiutos kursas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Užsienio šalių valiutos konvertuojamos pagal Europos Centrinio Banko paskelbtą orientacinį euro ir užsienio valiutos santykį, o tais atvejais, kai orientacinio euro ir užsienio valiutos santykio Europos Centrinis Bankas neskelbia, – pagal Lietuvos banko skelbiamą orientacinį euro ir užsienio valiutos konvertavimo santykį. Elemento reikšmė užpildoma, jei buvo naudojama kita nei euras valiuta.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1.2.1.2.3.3.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payoutDetails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pinigų išmokėjimo būdų detalūs duomenys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pinigų išmokėjimo būdų detalūs duomenys.</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1.2.1.2.3.3.1.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payoutDetail</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Fiskalinio kvito pinigų išmokėjimo būdo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Fiskalinio kvito pinigų išmokėjimo būdo duomenys.</w:t>
                </w:r>
              </w:p>
            </w:tc>
          </w:tr>
          <w:tr>
            <w:trPr>
              <w:trHeight w:val="84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1.2.1.2.3.3.1.1.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payoutType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w:t>
                </w:r>
              </w:p>
              <w:p>
                <w:pPr>
                  <w:jc w:val="both"/>
                  <w:rPr>
                    <w:szCs w:val="24"/>
                    <w:lang w:eastAsia="lt-LT"/>
                  </w:rPr>
                </w:pPr>
                <w:r>
                  <w:rPr>
                    <w:szCs w:val="24"/>
                    <w:lang w:eastAsia="lt-LT"/>
                  </w:rPr>
                  <w:t>pinigų išmokėjimo būdas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pinigų išmokėjimo būdas: 1 – grynieji, 2 – debetinė / kreditinė mokėjimo kortelė, 3 – kita mokėjimo kortelė (pavyzdžiui, lojalumo kortelė), 4 – kuponai, 5 – pavedimas, 8 – kriptovaliuta, 9 – kita, 10 – apvalinimas.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1.2.1.2.3.3.1.2.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payoutAmountNatCur</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w:t>
                </w:r>
              </w:p>
              <w:p>
                <w:pPr>
                  <w:jc w:val="both"/>
                  <w:rPr>
                    <w:szCs w:val="24"/>
                    <w:lang w:eastAsia="lt-LT"/>
                  </w:rPr>
                </w:pPr>
                <w:r>
                  <w:rPr>
                    <w:szCs w:val="24"/>
                    <w:lang w:eastAsia="lt-LT"/>
                  </w:rPr>
                  <w:t>pinigų išmokėjimo suma</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Išmokėta fiskalinio kvito pinigų suma eurais pagal išmokėjimo tipą ir valiutą.</w:t>
                </w:r>
              </w:p>
              <w:p>
                <w:pPr>
                  <w:jc w:val="both"/>
                  <w:rPr>
                    <w:szCs w:val="24"/>
                    <w:lang w:eastAsia="lt-LT"/>
                  </w:rPr>
                </w:pPr>
              </w:p>
            </w:tc>
          </w:tr>
          <w:tr>
            <w:trPr>
              <w:trHeight w:val="549"/>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1.2.1.2.3.3.1.3.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payoutCurrency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pinigų išmokėjimo valiuta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w:t>
                </w:r>
                <w:r>
                  <w:rPr>
                    <w:szCs w:val="24"/>
                    <w:lang w:eastAsia="lt-LT"/>
                  </w:rPr>
                  <w:t xml:space="preserve">pinigų išmokėjimo valiuta pagal ISO 4217 standartą, pvz.: USD. </w:t>
                </w:r>
                <w:r>
                  <w:rPr>
                    <w:bCs/>
                    <w:szCs w:val="24"/>
                    <w:lang w:eastAsia="lt-LT"/>
                  </w:rPr>
                  <w:t>Elemento reikšmė užpildoma, jei buvo naudojama kita nei euras valiuta.</w:t>
                </w:r>
                <w:r>
                  <w:rPr>
                    <w:szCs w:val="24"/>
                    <w:lang w:eastAsia="lt-LT"/>
                  </w:rPr>
                  <w:t xml:space="preserve"> </w:t>
                </w:r>
              </w:p>
            </w:tc>
          </w:tr>
          <w:tr>
            <w:trPr>
              <w:trHeight w:val="884"/>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1.2.1.2.3.3.1.4.</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payoutAmountPaymentCur</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pinigų išmokėjimo suma valiuta</w:t>
                  <w:tab/>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pinigų išmokėjimo kita nei eurais valiuta suma. Elemento reikšmė užpildoma, jei buvo naudojama kita nei euras valiuta. </w:t>
                </w:r>
              </w:p>
            </w:tc>
          </w:tr>
          <w:tr>
            <w:trPr>
              <w:trHeight w:val="557"/>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1.2.1.2.3.3.1.5.</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exchangeRate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pinigų išmokėjimo valiutos kursas </w:t>
                </w:r>
              </w:p>
              <w:p>
                <w:pPr>
                  <w:jc w:val="both"/>
                  <w:rPr>
                    <w:szCs w:val="24"/>
                    <w:lang w:eastAsia="lt-LT"/>
                  </w:rPr>
                </w:pPr>
              </w:p>
              <w:p>
                <w:pPr>
                  <w:jc w:val="both"/>
                  <w:rPr>
                    <w:szCs w:val="24"/>
                    <w:lang w:eastAsia="lt-LT"/>
                  </w:rPr>
                </w:pP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Užsienio šalių valiutos konvertuojamos pagal Europos Centrinio Banko paskelbtą orientacinį euro ir užsienio valiutos santykį, o tais atvejais, kai orientacinio euro ir užsienio valiutos santykio Europos Centrinis Bankas neskelbia, – pagal Lietuvos banko skelbiamą orientacinį euro ir užsienio valiutos konvertavimo santykį. Elemento reikšmė užpildoma, jei buvo naudojama kita nei euras valiuta.</w:t>
                </w:r>
              </w:p>
            </w:tc>
          </w:tr>
          <w:tr>
            <w:trPr>
              <w:trHeight w:val="556"/>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1.2.1.2.4.</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corrections</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Fiskalinio kvito taisymai</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Fiskaliniame kvite atlikti taisymai.</w:t>
                </w:r>
              </w:p>
            </w:tc>
          </w:tr>
          <w:tr>
            <w:trPr>
              <w:trHeight w:val="627"/>
            </w:trPr>
            <w:tc>
              <w:tcPr>
                <w:tcW w:w="2132" w:type="dxa"/>
                <w:tcBorders>
                  <w:top w:val="nil"/>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1.2.1.2.4.1.</w:t>
                </w:r>
              </w:p>
            </w:tc>
            <w:tc>
              <w:tcPr>
                <w:tcW w:w="2693"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correctionsQuantity</w:t>
                </w:r>
              </w:p>
            </w:tc>
            <w:tc>
              <w:tcPr>
                <w:tcW w:w="1701" w:type="dxa"/>
                <w:tcBorders>
                  <w:top w:val="nil"/>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Fiskalinio kvito taisymų kiekis</w:t>
                </w:r>
              </w:p>
            </w:tc>
            <w:tc>
              <w:tcPr>
                <w:tcW w:w="5790"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 xml:space="preserve">Fiskaliniame kvite </w:t>
                </w:r>
                <w:r>
                  <w:rPr>
                    <w:color w:val="000000"/>
                    <w:szCs w:val="24"/>
                  </w:rPr>
                  <w:t xml:space="preserve">įregistruotų sumų </w:t>
                </w:r>
                <w:r>
                  <w:rPr>
                    <w:szCs w:val="24"/>
                    <w:lang w:eastAsia="lt-LT"/>
                  </w:rPr>
                  <w:t>taisymų kiekis.</w:t>
                </w:r>
              </w:p>
            </w:tc>
          </w:tr>
          <w:tr>
            <w:trPr>
              <w:trHeight w:val="712"/>
            </w:trPr>
            <w:tc>
              <w:tcPr>
                <w:tcW w:w="2132" w:type="dxa"/>
                <w:tcBorders>
                  <w:top w:val="nil"/>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1.2.1.2.4.2.</w:t>
                </w:r>
              </w:p>
            </w:tc>
            <w:tc>
              <w:tcPr>
                <w:tcW w:w="2693"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correctionsAmount</w:t>
                </w:r>
              </w:p>
            </w:tc>
            <w:tc>
              <w:tcPr>
                <w:tcW w:w="1701" w:type="dxa"/>
                <w:tcBorders>
                  <w:top w:val="nil"/>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Bendra fiskalinio kvito taisymų suma</w:t>
                </w:r>
              </w:p>
            </w:tc>
            <w:tc>
              <w:tcPr>
                <w:tcW w:w="5790"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Bendra fiskaliniame kvite įregistruotų taisymų suma (absoliutus dydis).</w:t>
                </w:r>
              </w:p>
            </w:tc>
          </w:tr>
          <w:tr>
            <w:trPr>
              <w:trHeight w:val="643"/>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fiscalDay</w:t>
                </w:r>
              </w:p>
            </w:tc>
            <w:tc>
              <w:tcPr>
                <w:tcW w:w="1701"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Ataskaitos (Z)  duomenys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Ataskaitos (Z) duomenys. K</w:t>
                </w:r>
                <w:r>
                  <w:rPr>
                    <w:color w:val="000000"/>
                    <w:szCs w:val="24"/>
                  </w:rPr>
                  <w:t>asos aparatu suformuoti dienos (pamainos) suminiai fiskaliniai ir kiti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documentFiscalAmounts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Dienos (pamainos)  fiskalinės sumos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nurodytos dienos (pamainos) fiskalinės sumos.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1.2.1.3.1.1.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salesOperationData</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pardavimo operacijų duomenys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nurodyti dienos (pamainos) pardavimo operacijų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1.2.1.3.1.1.1.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totalSalesAmount</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bendra pardavimų suma</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nurodyta dienos (pamainos) bendra pardavimų suma, įskaitant mokesčius.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1.2.1.3.1.1.2.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totalSalesTaxAmount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Dienos (pamainos)   bendra pardavimo operacijų mokesčių suma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nurodyta dienos (pamainos) pardavimų operacijoms pritaikytų mokesčių bendra suma.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1.2.1.3.1.1.3.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salesOperationTaxDetails</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pardavimo operacijų mokesčių detalūs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nurodyti pardavimo operacijų mokesčių detalūs duomenys. D</w:t>
                </w:r>
                <w:r>
                  <w:rPr>
                    <w:color w:val="000000"/>
                    <w:szCs w:val="24"/>
                  </w:rPr>
                  <w:t xml:space="preserve">ienos (pamainos) pardavimų ir mokesčių sumos, atitinkančios kiekvieną mokesčio tarifą, taip pat neapmokestinta suma.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1.2.1.3.1.1.3.1.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salesOperationTaxLine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pardavimo operacijų mokesčių eilutės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nurodytos dienos (pamainos) pardavimo operacijų mokesčių eilutės (mokesčių detalūs duomenys: mokesčio tarifas, mokesčio suma, pardavimo suma su mokesčiu). </w:t>
                </w:r>
              </w:p>
            </w:tc>
          </w:tr>
          <w:tr>
            <w:trPr>
              <w:trHeight w:val="45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1.2.1.3.1.1.3.1.1.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taxRate</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Mokesčio tarifas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PVM tarifas 0 – 0%, 5 – 5%, 9 – 9%, 21 – 21%. Jei PVM neapmokestinamas, tai nurodoma tuščia elemento reikšmė.  </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1.2.1.3.1.1.3.1.2.</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taxAmount</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mokesčio suma</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atitinkamam PVM tarifui nurodyta dienos (pamainos) PVM suma. </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1.2.1.3.1.1.3.1.3.</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salesAmountAfterTax</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Dienos (pamainos) pardavimų suma </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atitinkamam PVM tarifui nurodyta dienos (pamainos) pardavimų suma su mokesčiu. </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1.2.1.3.1.2.</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discountsAdditions</w:t>
                </w:r>
              </w:p>
            </w:tc>
            <w:tc>
              <w:tcPr>
                <w:tcW w:w="1701"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nuolaidos ir antkainiai</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nurodytos dienos (pamainos) nuolaidos ir antkainiai.</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1.2.1.3.1.2.1.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totalSalesAmountWithoutDiscountAddition</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Dienos (pamainos)  pardavimo operacijų suma be nuolaidų ir antkainių</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nurodyta dienos (pamainos) pardavimo operacijų suma be nuolaidų ir antkainių.</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1.2.1.3.1.2.2.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totalSalesDiscountQuantity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Dienos (pamainos)  pardavimo operacijų nuolaidų skaičius </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nurodytas dienos (pamainos) pardavimo operacijų nuolaidų skaičius.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1.2.1.3.1.2.3.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totalSalesDiscountAmount</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Dienos (pamainos) pardavimo operacijų nuolaidų suma </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nurodyta dienos (pamainos) bendra pardavimo operacijų nuolaidų suma.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1.2.1.3.1.2.4.</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totalSalesAdditionQuantity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pardavimo operacijų antkainių kiekis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nurodytas pardavimo operacijų antkainių kiekis.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1.2.1.3.1.2.5.</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totalSalesAdditionAmount</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pardavimo operacijų antkainių suma</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nurodyta bendra pardavimo operacijų antkainių suma.</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1.2.1.3.2.</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otherCashCollectionOperations</w:t>
                </w:r>
              </w:p>
            </w:tc>
            <w:tc>
              <w:tcPr>
                <w:tcW w:w="1701"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kitos lėšų sumokėjimo / išmokėjimo operacijos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nurodytos dienos (pamainos) kitos lėšų sumokėjimo / išmokėjimo operacijos. Elemento reikšmė neapima mokesčių mokėtojo, naudojančio kasos aparatą, vykdomų pinigų įdėjimo ir išėmimo (pavyzdžiui, inkasavimo) operacijų. Sumuojama informacija iš dienos (pamainos) fiskalinių kvitų, nefiskalinių kitų lėšų sumokėjimo / išmokėjimo operacijų kvitų ir </w:t>
                </w:r>
                <w:r>
                  <w:rPr>
                    <w:szCs w:val="24"/>
                  </w:rPr>
                  <w:t xml:space="preserve">nefiskalinių prekių grąžinimo ir (arba) paslaugų atsisakymo dokumentų </w:t>
                </w:r>
                <w:r>
                  <w:rPr>
                    <w:szCs w:val="24"/>
                    <w:lang w:eastAsia="lt-LT"/>
                  </w:rPr>
                  <w:t>elementų.</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1.2.1.3.2.1.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otherCashCollectionOperation</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Dienos (pamainos) kitos lėšų sumokėjimo / išmokėjimo operacija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Ataskaitoje (Z) nurodytos dienos (pamainos) kitos lėšų sumokėjimo / išmokėjimo operacija.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1.2.1.3.2.1.1.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collectionDirection</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Operacijų požymis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Operacijos požymis: sumokėjimo operacijos – „IN“, išmokėjimo operacijos – „OUT“.</w:t>
                </w:r>
              </w:p>
            </w:tc>
          </w:tr>
          <w:tr>
            <w:trPr>
              <w:trHeight w:val="45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1.2.1.3.2.1.2.</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collectionType</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Operacijų tipas</w:t>
                </w:r>
              </w:p>
            </w:tc>
            <w:tc>
              <w:tcPr>
                <w:tcW w:w="5790" w:type="dxa"/>
                <w:tcBorders>
                  <w:top w:val="nil"/>
                  <w:left w:val="nil"/>
                  <w:bottom w:val="single" w:sz="4" w:space="0" w:color="auto"/>
                  <w:right w:val="single" w:sz="4" w:space="0" w:color="auto"/>
                </w:tcBorders>
                <w:shd w:val="clear" w:color="auto" w:fill="auto"/>
                <w:hideMark/>
              </w:tcPr>
              <w:p>
                <w:pPr>
                  <w:jc w:val="both"/>
                  <w:rPr>
                    <w:szCs w:val="24"/>
                    <w:u w:val="single"/>
                    <w:lang w:eastAsia="lt-LT"/>
                  </w:rPr>
                </w:pPr>
                <w:r>
                  <w:rPr>
                    <w:szCs w:val="24"/>
                    <w:lang w:eastAsia="lt-LT"/>
                  </w:rPr>
                  <w:t>Operacijų tipas: 1 – depozitas, 2 – kita, 3 – supirkimas, 4 – grąžinimas. Operacijos tipas „supirkimas“ turi būti fiksuojamas, nurodant operacijos požymį „OUT“.</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1.2.1.3.2.1.3.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collectionAmount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operacijų suma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nurodytos dienos (pamainos) bendra operacijų suma pagal operacijų požymį ir tipą.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fiscalDayPayments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mokėjimų suminė informacija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nurodyta dienos (pamainos) kvitų mokėjimų suminė informacija pagal mokėjimo būdus. Sumuojama informacija iš dienos (pamainos) fiskalinių kvitų, nefiskalinių kitų lėšų sumokėjimo / išmokėjimo operacijų kvitų ir </w:t>
                </w:r>
                <w:r>
                  <w:rPr>
                    <w:szCs w:val="24"/>
                  </w:rPr>
                  <w:t>nefiskalinių prekių grąžinimo ir (arba) paslaugų atsisakymo dokumentų</w:t>
                </w:r>
                <w:r>
                  <w:rPr>
                    <w:szCs w:val="24"/>
                    <w:lang w:eastAsia="lt-LT"/>
                  </w:rPr>
                  <w:t xml:space="preserve"> elementų.</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1.2.1.3.3.1.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totalAmountToPay</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Dienos (pamainos)  mokėtina suma</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Dienos (pamainos) bendra mokėtina suma. Suma gali būti neigiama, jei per dieną (pamainą) kasos aparatu išmokėta daugiau pinigų nei gauta.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000000" w:fill="FFFFFF"/>
                <w:hideMark/>
              </w:tcPr>
              <w:p>
                <w:pPr>
                  <w:jc w:val="both"/>
                  <w:rPr>
                    <w:szCs w:val="24"/>
                    <w:lang w:eastAsia="lt-LT"/>
                  </w:rPr>
                </w:pPr>
                <w:r>
                  <w:rPr>
                    <w:szCs w:val="24"/>
                    <w:lang w:eastAsia="lt-LT"/>
                  </w:rPr>
                  <w:t>1.2.1.3.3.2.</w:t>
                </w:r>
              </w:p>
            </w:tc>
            <w:tc>
              <w:tcPr>
                <w:tcW w:w="2693" w:type="dxa"/>
                <w:tcBorders>
                  <w:top w:val="single" w:sz="4" w:space="0" w:color="auto"/>
                  <w:left w:val="single" w:sz="4" w:space="0" w:color="auto"/>
                  <w:bottom w:val="single" w:sz="4" w:space="0" w:color="auto"/>
                  <w:right w:val="single" w:sz="4" w:space="0" w:color="auto"/>
                </w:tcBorders>
                <w:shd w:val="clear" w:color="000000" w:fill="FFFFFF"/>
                <w:hideMark/>
              </w:tcPr>
              <w:p>
                <w:pPr>
                  <w:jc w:val="both"/>
                  <w:rPr>
                    <w:szCs w:val="24"/>
                    <w:lang w:eastAsia="lt-LT"/>
                  </w:rPr>
                </w:pPr>
                <w:r>
                  <w:rPr>
                    <w:szCs w:val="24"/>
                    <w:lang w:eastAsia="lt-LT"/>
                  </w:rPr>
                  <w:t>paymentDetails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mokėjimų būdų detalūs duomenys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nurodyti dienos (pamainos) mokėjimų būdų detalūs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000000" w:fill="FFFFFF"/>
              </w:tcPr>
              <w:p>
                <w:pPr>
                  <w:jc w:val="both"/>
                  <w:rPr>
                    <w:szCs w:val="24"/>
                    <w:lang w:eastAsia="lt-LT"/>
                  </w:rPr>
                </w:pPr>
                <w:r>
                  <w:rPr>
                    <w:szCs w:val="24"/>
                    <w:lang w:eastAsia="lt-LT"/>
                  </w:rPr>
                  <w:t>1.2.1.3.3.2.1.</w:t>
                </w:r>
              </w:p>
            </w:tc>
            <w:tc>
              <w:tcPr>
                <w:tcW w:w="2693" w:type="dxa"/>
                <w:tcBorders>
                  <w:top w:val="single" w:sz="4" w:space="0" w:color="auto"/>
                  <w:left w:val="single" w:sz="4" w:space="0" w:color="auto"/>
                  <w:bottom w:val="single" w:sz="4" w:space="0" w:color="auto"/>
                  <w:right w:val="single" w:sz="4" w:space="0" w:color="auto"/>
                </w:tcBorders>
                <w:shd w:val="clear" w:color="000000" w:fill="FFFFFF"/>
              </w:tcPr>
              <w:p>
                <w:pPr>
                  <w:jc w:val="both"/>
                  <w:rPr>
                    <w:szCs w:val="24"/>
                    <w:lang w:eastAsia="lt-LT"/>
                  </w:rPr>
                </w:pPr>
                <w:r>
                  <w:rPr>
                    <w:szCs w:val="24"/>
                    <w:lang w:eastAsia="lt-LT"/>
                  </w:rPr>
                  <w:t>paymentDetail</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Dienos (pamainos) mokėjimų būdo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Ataskaitoje (Z) nurodyti dienos (pamainos) mokėjimų būdo duomenys.</w:t>
                </w:r>
              </w:p>
            </w:tc>
          </w:tr>
          <w:tr>
            <w:trPr>
              <w:trHeight w:val="900"/>
            </w:trPr>
            <w:tc>
              <w:tcPr>
                <w:tcW w:w="2132" w:type="dxa"/>
                <w:tcBorders>
                  <w:top w:val="single" w:sz="4" w:space="0" w:color="auto"/>
                  <w:left w:val="single" w:sz="4" w:space="0" w:color="auto"/>
                  <w:bottom w:val="single" w:sz="4" w:space="0" w:color="auto"/>
                  <w:right w:val="single" w:sz="4" w:space="0" w:color="auto"/>
                </w:tcBorders>
                <w:shd w:val="clear" w:color="000000" w:fill="FFFFFF"/>
                <w:hideMark/>
              </w:tcPr>
              <w:p>
                <w:pPr>
                  <w:jc w:val="both"/>
                  <w:rPr>
                    <w:szCs w:val="24"/>
                    <w:lang w:eastAsia="lt-LT"/>
                  </w:rPr>
                </w:pPr>
                <w:r>
                  <w:rPr>
                    <w:szCs w:val="24"/>
                    <w:lang w:eastAsia="lt-LT"/>
                  </w:rPr>
                  <w:t>1.2.1.3.3.2.1.1.</w:t>
                </w:r>
              </w:p>
            </w:tc>
            <w:tc>
              <w:tcPr>
                <w:tcW w:w="2693" w:type="dxa"/>
                <w:tcBorders>
                  <w:top w:val="single" w:sz="4" w:space="0" w:color="auto"/>
                  <w:left w:val="nil"/>
                  <w:bottom w:val="single" w:sz="4" w:space="0" w:color="auto"/>
                  <w:right w:val="single" w:sz="4" w:space="0" w:color="auto"/>
                </w:tcBorders>
                <w:shd w:val="clear" w:color="000000" w:fill="FFFFFF"/>
                <w:hideMark/>
              </w:tcPr>
              <w:p>
                <w:pPr>
                  <w:jc w:val="both"/>
                  <w:rPr>
                    <w:szCs w:val="24"/>
                    <w:lang w:eastAsia="lt-LT"/>
                  </w:rPr>
                </w:pPr>
                <w:r>
                  <w:rPr>
                    <w:szCs w:val="24"/>
                    <w:lang w:eastAsia="lt-LT"/>
                  </w:rPr>
                  <w:t>paymentType</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Apmokėjimų būdas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u w:val="single"/>
                    <w:lang w:eastAsia="lt-LT"/>
                  </w:rPr>
                </w:pPr>
                <w:r>
                  <w:rPr>
                    <w:szCs w:val="24"/>
                    <w:lang w:eastAsia="lt-LT"/>
                  </w:rPr>
                  <w:t xml:space="preserve">Apmokėjimų būdas: 1 – grynieji, 2 – debetinė / kreditinė mokėjimo kortelė, 3 – kita mokėjimo kortelė (pavyzdžiui, lojalumo kortelė), 4 – kuponai, 5 – pavedimas, 6 – kompensuojama iš Privalomojo sveikatos draudimo fondo biudžeto lėšų, 7 – kompensuojama iš valstybės biudžeto lėšų, 8 – kriptovaliuta, 9 – kita, 10 – apvalinimas.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000000" w:fill="FFFFFF"/>
                <w:hideMark/>
              </w:tcPr>
              <w:p>
                <w:pPr>
                  <w:jc w:val="both"/>
                  <w:rPr>
                    <w:szCs w:val="24"/>
                    <w:lang w:eastAsia="lt-LT"/>
                  </w:rPr>
                </w:pPr>
                <w:r>
                  <w:rPr>
                    <w:szCs w:val="24"/>
                    <w:lang w:eastAsia="lt-LT"/>
                  </w:rPr>
                  <w:t>1.2.1.3.3.2.1.2.</w:t>
                </w:r>
              </w:p>
            </w:tc>
            <w:tc>
              <w:tcPr>
                <w:tcW w:w="2693" w:type="dxa"/>
                <w:tcBorders>
                  <w:top w:val="single" w:sz="4" w:space="0" w:color="auto"/>
                  <w:left w:val="single" w:sz="4" w:space="0" w:color="auto"/>
                  <w:bottom w:val="single" w:sz="4" w:space="0" w:color="auto"/>
                  <w:right w:val="single" w:sz="4" w:space="0" w:color="auto"/>
                </w:tcBorders>
                <w:shd w:val="clear" w:color="000000" w:fill="FFFFFF"/>
                <w:hideMark/>
              </w:tcPr>
              <w:p>
                <w:pPr>
                  <w:jc w:val="both"/>
                  <w:rPr>
                    <w:szCs w:val="24"/>
                    <w:lang w:eastAsia="lt-LT"/>
                  </w:rPr>
                </w:pPr>
                <w:r>
                  <w:rPr>
                    <w:szCs w:val="24"/>
                    <w:lang w:eastAsia="lt-LT"/>
                  </w:rPr>
                  <w:t>paidAmountNatCur</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bendra apmokėta suma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nurodyta dienos (pamainos) bendra apmokėta suma eurais pagal apmokėjimo būdą ir valiutą. </w:t>
                </w:r>
              </w:p>
            </w:tc>
          </w:tr>
          <w:tr>
            <w:trPr>
              <w:trHeight w:val="450"/>
            </w:trPr>
            <w:tc>
              <w:tcPr>
                <w:tcW w:w="2132" w:type="dxa"/>
                <w:tcBorders>
                  <w:top w:val="single" w:sz="4" w:space="0" w:color="auto"/>
                  <w:left w:val="single" w:sz="4" w:space="0" w:color="auto"/>
                  <w:bottom w:val="single" w:sz="4" w:space="0" w:color="auto"/>
                  <w:right w:val="single" w:sz="4" w:space="0" w:color="auto"/>
                </w:tcBorders>
                <w:shd w:val="clear" w:color="000000" w:fill="FFFFFF"/>
                <w:hideMark/>
              </w:tcPr>
              <w:p>
                <w:pPr>
                  <w:jc w:val="both"/>
                  <w:rPr>
                    <w:szCs w:val="24"/>
                    <w:lang w:eastAsia="lt-LT"/>
                  </w:rPr>
                </w:pPr>
                <w:r>
                  <w:rPr>
                    <w:szCs w:val="24"/>
                    <w:lang w:eastAsia="lt-LT"/>
                  </w:rPr>
                  <w:t>1.2.1.3.3.2.1.3.</w:t>
                </w:r>
              </w:p>
            </w:tc>
            <w:tc>
              <w:tcPr>
                <w:tcW w:w="2693" w:type="dxa"/>
                <w:tcBorders>
                  <w:top w:val="single" w:sz="4" w:space="0" w:color="auto"/>
                  <w:left w:val="single" w:sz="4" w:space="0" w:color="auto"/>
                  <w:bottom w:val="single" w:sz="4" w:space="0" w:color="auto"/>
                  <w:right w:val="single" w:sz="4" w:space="0" w:color="auto"/>
                </w:tcBorders>
                <w:shd w:val="clear" w:color="000000" w:fill="FFFFFF"/>
                <w:hideMark/>
              </w:tcPr>
              <w:p>
                <w:pPr>
                  <w:jc w:val="both"/>
                  <w:rPr>
                    <w:szCs w:val="24"/>
                    <w:lang w:eastAsia="lt-LT"/>
                  </w:rPr>
                </w:pPr>
                <w:r>
                  <w:rPr>
                    <w:szCs w:val="24"/>
                    <w:lang w:eastAsia="lt-LT"/>
                  </w:rPr>
                  <w:t>paymentCurrency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Apmokėjimo valiuta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u w:val="single"/>
                    <w:lang w:eastAsia="lt-LT"/>
                  </w:rPr>
                </w:pPr>
                <w:r>
                  <w:rPr>
                    <w:szCs w:val="24"/>
                    <w:lang w:eastAsia="lt-LT"/>
                  </w:rPr>
                  <w:t xml:space="preserve">Apmokėjimo valiuta pagal ISO 4217 standartą, pvz., USD. </w:t>
                </w:r>
                <w:r>
                  <w:rPr>
                    <w:bCs/>
                    <w:szCs w:val="24"/>
                    <w:lang w:eastAsia="lt-LT"/>
                  </w:rPr>
                  <w:t>Elemento reikšmė užpildoma, jei per dieną (pamainą) apmokėjimui buvo naudojama kita nei euras valiuta.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000000" w:fill="FFFFFF"/>
                <w:hideMark/>
              </w:tcPr>
              <w:p>
                <w:pPr>
                  <w:jc w:val="both"/>
                  <w:rPr>
                    <w:szCs w:val="24"/>
                    <w:lang w:eastAsia="lt-LT"/>
                  </w:rPr>
                </w:pPr>
                <w:r>
                  <w:rPr>
                    <w:szCs w:val="24"/>
                    <w:lang w:eastAsia="lt-LT"/>
                  </w:rPr>
                  <w:t>1.2.1.3.3.2.1.4.</w:t>
                </w:r>
              </w:p>
            </w:tc>
            <w:tc>
              <w:tcPr>
                <w:tcW w:w="2693" w:type="dxa"/>
                <w:tcBorders>
                  <w:top w:val="single" w:sz="4" w:space="0" w:color="auto"/>
                  <w:left w:val="nil"/>
                  <w:bottom w:val="single" w:sz="4" w:space="0" w:color="auto"/>
                  <w:right w:val="single" w:sz="4" w:space="0" w:color="auto"/>
                </w:tcBorders>
                <w:shd w:val="clear" w:color="000000" w:fill="FFFFFF"/>
                <w:hideMark/>
              </w:tcPr>
              <w:p>
                <w:pPr>
                  <w:jc w:val="both"/>
                  <w:rPr>
                    <w:szCs w:val="24"/>
                    <w:lang w:eastAsia="lt-LT"/>
                  </w:rPr>
                </w:pPr>
                <w:r>
                  <w:rPr>
                    <w:szCs w:val="24"/>
                    <w:lang w:eastAsia="lt-LT"/>
                  </w:rPr>
                  <w:t>paidAmountPaymentCur</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Dienos (pamainos) valiuta apmokėta suma  </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nurodyta per dieną (pamainą) apmokėta kita nei eurais valiuta suma. Elemento reikšmė užpildoma, jei buvo naudojama kita nei euras valiuta.</w:t>
                </w:r>
              </w:p>
            </w:tc>
          </w:tr>
          <w:tr>
            <w:trPr>
              <w:trHeight w:val="1050"/>
            </w:trPr>
            <w:tc>
              <w:tcPr>
                <w:tcW w:w="2132" w:type="dxa"/>
                <w:tcBorders>
                  <w:top w:val="single" w:sz="4" w:space="0" w:color="auto"/>
                  <w:left w:val="single" w:sz="4" w:space="0" w:color="auto"/>
                  <w:bottom w:val="single" w:sz="4" w:space="0" w:color="auto"/>
                  <w:right w:val="single" w:sz="4" w:space="0" w:color="auto"/>
                </w:tcBorders>
                <w:shd w:val="clear" w:color="000000" w:fill="FFFFFF"/>
                <w:hideMark/>
              </w:tcPr>
              <w:p>
                <w:pPr>
                  <w:jc w:val="both"/>
                  <w:rPr>
                    <w:szCs w:val="24"/>
                    <w:lang w:eastAsia="lt-LT"/>
                  </w:rPr>
                </w:pPr>
                <w:r>
                  <w:rPr>
                    <w:szCs w:val="24"/>
                    <w:lang w:eastAsia="lt-LT"/>
                  </w:rPr>
                  <w:t>1.2.1.3.3.2.1.5.</w:t>
                </w:r>
              </w:p>
            </w:tc>
            <w:tc>
              <w:tcPr>
                <w:tcW w:w="2693" w:type="dxa"/>
                <w:tcBorders>
                  <w:top w:val="single" w:sz="4" w:space="0" w:color="auto"/>
                  <w:left w:val="single" w:sz="4" w:space="0" w:color="auto"/>
                  <w:bottom w:val="single" w:sz="4" w:space="0" w:color="auto"/>
                  <w:right w:val="single" w:sz="4" w:space="0" w:color="auto"/>
                </w:tcBorders>
                <w:shd w:val="clear" w:color="000000" w:fill="FFFFFF"/>
                <w:hideMark/>
              </w:tcPr>
              <w:p>
                <w:pPr>
                  <w:jc w:val="both"/>
                  <w:rPr>
                    <w:szCs w:val="24"/>
                    <w:lang w:eastAsia="lt-LT"/>
                  </w:rPr>
                </w:pPr>
                <w:r>
                  <w:rPr>
                    <w:szCs w:val="24"/>
                    <w:lang w:eastAsia="lt-LT"/>
                  </w:rPr>
                  <w:t>exchangeRate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Dienos (pamainos) valiutos kursas </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Užsienio šalių valiutos konvertuojamos pagal Europos Centrinio Banko paskelbtą orientacinį euro ir užsienio valiutos santykį, o tais atvejais, kai orientacinio euro ir užsienio valiutos santykio Europos Centrinis Bankas neskelbia, – pagal Lietuvos banko skelbiamą orientacinį euro ir užsienio valiutos konvertavimo santykį. Elemento reikšmė užpildoma, jei buvo naudojama kita nei euras valiuta.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1.2.1.3.3.3.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payoutDetails</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pinigų išmokėjimų būdų detalūs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nurodyti dienos (pamainos) pinigų išmokėjimų būdų detalūs duomenys.</w:t>
                </w:r>
              </w:p>
              <w:p>
                <w:pPr>
                  <w:jc w:val="both"/>
                  <w:rPr>
                    <w:szCs w:val="24"/>
                    <w:lang w:eastAsia="lt-LT"/>
                  </w:rPr>
                </w:pP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1.2.1.3.3.3.1.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payoutDetail</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Dienos (pamainos) pinigų išmokėjimų būdo duomenys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Ataskaitoje (Z) nurodyti dienos (pamainos) pinigų išmokėjimų būdo duomenys.</w:t>
                </w:r>
              </w:p>
              <w:p>
                <w:pPr>
                  <w:jc w:val="both"/>
                  <w:rPr>
                    <w:szCs w:val="24"/>
                    <w:lang w:eastAsia="lt-LT"/>
                  </w:rPr>
                </w:pPr>
              </w:p>
            </w:tc>
          </w:tr>
          <w:tr>
            <w:trPr>
              <w:trHeight w:val="562"/>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1.2.1.3.3.3.1.1.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payoutType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Pinigų išmokėjimų būdas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Pinigų išmokėjimų tipas: 1 – grynieji, 2 – debetinė / kreditinė mokėjimo kortelė, 3 – kita mokėjimo kortelė (pavyzdžiui, lojalumo kortelė), 4 – kuponai, 5 – pavedimas, 6 – kompensuojama iš Privalomojo sveikatos draudimo fondo biudžeto lėšų, 7 – kompensuojama iš valstybės biudžeto lėšų, 8 – kriptovaliuta, 9 – kita, 10 – apvalinimas.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1.2.1.3.3.3.1.2.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payoutAmountNatCur</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bendra išmokėtų pinigų suma</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nurodyta dienos (pamainos) bendra išmokėtų pinigų suma eurais pagal išmokėjimo būdą ir valiutą.</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1.2.1.3.3.3.1.3.</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payoutCurrency</w:t>
                </w:r>
              </w:p>
            </w:tc>
            <w:tc>
              <w:tcPr>
                <w:tcW w:w="1701"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Pinigų išmokėjimo valiuta</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Pinigų išmokėjimų valiuta pagal ISO 4217 standartą, pvz., USD. </w:t>
                </w:r>
                <w:r>
                  <w:rPr>
                    <w:bCs/>
                    <w:szCs w:val="24"/>
                    <w:lang w:eastAsia="lt-LT"/>
                  </w:rPr>
                  <w:t>Elemento reikšmė užpildoma, jei per dieną (pamainą) metu apmokėjimui buvo naudojama kita nei euras valiuta.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1.2.1.3.3.3.1.4.</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payoutAmountPaymentCur</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Dienos (pamainos) valiuta išmokėta suma  </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nurodyta per dieną (pamainą) išmokėta kita nei eurais valiuta suma. Elemento reikšmė užpildoma, jei buvo naudojama kita nei euras valiuta.</w:t>
                </w:r>
              </w:p>
            </w:tc>
          </w:tr>
          <w:tr>
            <w:trPr>
              <w:trHeight w:val="407"/>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1.2.1.3.3.3.1.5.</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exchangeRate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valiutos kursas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Užsienio šalių valiutos konvertuojamos pagal Europos Centrinio Banko paskelbtą orientacinį euro ir užsienio valiutos santykį, o tais atvejais, kai orientacinio euro ir užsienio valiutos santykio Europos Centrinis Bankas neskelbia, – pagal Lietuvos banko skelbiamą orientacinį euro ir užsienio valiutos konvertavimo santykį. Elemento reikšmė užpildoma, jei buvo naudojama kita nei euras valiuta.</w:t>
                </w:r>
              </w:p>
            </w:tc>
          </w:tr>
          <w:tr>
            <w:trPr>
              <w:trHeight w:val="407"/>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1.2.1.3.4.</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shd w:val="clear" w:color="auto" w:fill="FFFFFF"/>
                  </w:rPr>
                  <w:t>corrections</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Dienos (pamainos) taisymai</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 xml:space="preserve">Ataskaitoje (Z) nurodyti dienos (pamainos) taisymai </w:t>
                </w:r>
                <w:r>
                  <w:rPr>
                    <w:color w:val="000000"/>
                    <w:szCs w:val="24"/>
                  </w:rPr>
                  <w:t>pirkėjų fiskaliniuose kvituose.</w:t>
                </w:r>
              </w:p>
            </w:tc>
          </w:tr>
          <w:tr>
            <w:trPr>
              <w:trHeight w:val="407"/>
            </w:trPr>
            <w:tc>
              <w:tcPr>
                <w:tcW w:w="2132" w:type="dxa"/>
                <w:tcBorders>
                  <w:top w:val="nil"/>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1.2.1.3.4.1.</w:t>
                </w:r>
              </w:p>
            </w:tc>
            <w:tc>
              <w:tcPr>
                <w:tcW w:w="2693" w:type="dxa"/>
                <w:tcBorders>
                  <w:top w:val="nil"/>
                  <w:left w:val="nil"/>
                  <w:bottom w:val="single" w:sz="4" w:space="0" w:color="auto"/>
                  <w:right w:val="single" w:sz="4" w:space="0" w:color="auto"/>
                </w:tcBorders>
                <w:shd w:val="clear" w:color="auto" w:fill="auto"/>
              </w:tcPr>
              <w:p>
                <w:pPr>
                  <w:jc w:val="both"/>
                  <w:rPr>
                    <w:szCs w:val="24"/>
                    <w:lang w:eastAsia="lt-LT"/>
                  </w:rPr>
                </w:pPr>
                <w:r>
                  <w:rPr>
                    <w:szCs w:val="24"/>
                    <w:shd w:val="clear" w:color="auto" w:fill="FFFFFF"/>
                  </w:rPr>
                  <w:t>correctionsQuantity</w:t>
                </w:r>
              </w:p>
            </w:tc>
            <w:tc>
              <w:tcPr>
                <w:tcW w:w="1701" w:type="dxa"/>
                <w:tcBorders>
                  <w:top w:val="nil"/>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 xml:space="preserve">Dienos (pamainos)  taisymų kiekis</w:t>
                </w:r>
              </w:p>
            </w:tc>
            <w:tc>
              <w:tcPr>
                <w:tcW w:w="5790"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 xml:space="preserve">Ataskaitoje (Z) nurodytas dienos (pamainos) </w:t>
                </w:r>
              </w:p>
              <w:p>
                <w:pPr>
                  <w:jc w:val="both"/>
                  <w:rPr>
                    <w:color w:val="000000"/>
                    <w:szCs w:val="24"/>
                  </w:rPr>
                </w:pPr>
                <w:r>
                  <w:rPr>
                    <w:color w:val="000000"/>
                    <w:szCs w:val="24"/>
                  </w:rPr>
                  <w:t>taisymų skaičius pirkėjų fiskaliniuose kvituose.</w:t>
                </w:r>
              </w:p>
              <w:p>
                <w:pPr>
                  <w:jc w:val="both"/>
                  <w:rPr>
                    <w:szCs w:val="24"/>
                    <w:lang w:eastAsia="lt-LT"/>
                  </w:rPr>
                </w:pPr>
              </w:p>
            </w:tc>
          </w:tr>
          <w:tr>
            <w:trPr>
              <w:trHeight w:val="407"/>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1.2.1.3.4.2.</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shd w:val="clear" w:color="auto" w:fill="FFFFFF"/>
                  </w:rPr>
                  <w:t>correctionsAmount</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Dienos (pamainos)  bendra taisyta suma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Ataskaitoje (Z) nurodyta dienos (pamainos) bendra </w:t>
                </w:r>
                <w:r>
                  <w:rPr>
                    <w:color w:val="000000"/>
                    <w:szCs w:val="24"/>
                  </w:rPr>
                  <w:t>pirkėjų fiskaliniuose kvituose</w:t>
                </w:r>
                <w:r>
                  <w:rPr>
                    <w:szCs w:val="24"/>
                    <w:lang w:eastAsia="lt-LT"/>
                  </w:rPr>
                  <w:t xml:space="preserve"> taisyta suma (absoliutus dydis).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1.2.1.3.5.</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dailyData</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Ataskaitos (Z) kiti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nurodyti dienos (pamainos) kiti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1.2.1.3.5.1.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periodStartDateTime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Ataskaitos (Z) pradžios data ir laikas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Ataskaitos (Z) pradžios data ir laikas.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1.2.1.3.5.2.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periodEndDateTime</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Ataskaitos (Z) pabaigos data ir laikas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Ataskaitos (Z) pabaigos data ir laikas.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1.2.1.3.5.3.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receiptQuantity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Fiskalinių kvitų skaičius </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Fiskalinių kvitų, susietų su ataskaita (Z), skaičius. Jeigu per dieną (pamainą) nebuvo suformuotų fiskalinių kvitų, tai teikiama elemento reikšmė 0.</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1.2.1.3.5.4.</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otherDocumentsQuantity</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Nefiskalinių kvitų skaičius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Nefiskalinių kvitų, susietų su ataskaita (Z), skaičius. Jeigu per dieną (pamainą) nebuvo suformuotų nefiskalinių kvitų, tai teikiama elemento reikšmė 0.</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1.2.1.3.5.5.</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canceledReceiptsDocuments</w:t>
                </w:r>
                <w:r>
                  <w:rPr>
                    <w:szCs w:val="24"/>
                    <w:shd w:val="clear" w:color="auto" w:fill="FFFFFF"/>
                  </w:rPr>
                  <w:t>Quantity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Panaikintų fiskalinių kvitų skaičius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Ataskaitos (Z) laikotarpiu panaikintų fiskalinių kvitų skaičius. Suminis nefiskalinių panaikintų fiskalinių kvitų dokumentų skaičius. Jeigu per dieną (pamainą) nebuvo panaikintų fiskalinių kvitų, tai teikiama elemento reikšmė 0.</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1.2.1.3.5.6.</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shd w:val="clear" w:color="auto" w:fill="FFFFFF"/>
                  </w:rPr>
                  <w:t>canceledReceiptsDocumentsAmount</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Panaikintų fiskalinių kvitų suma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Ataskaitos (Z) laikotarpiu panaikintų fiskalinių kvitų suma.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1.2.1.3.5.7.</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gasStationOperationViolationDocumentsQuantity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Degalinių informacijos perdavimo linijų pažeidimų skaičius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Ataskaitos (Z) laikotarpiu nefiskalinių informacinių kvitų, pažeidus degalinių informacijos perdavimo linijas,  skaičius.</w:t>
                </w:r>
              </w:p>
              <w:p>
                <w:pPr>
                  <w:jc w:val="both"/>
                  <w:rPr>
                    <w:szCs w:val="24"/>
                    <w:lang w:eastAsia="lt-LT"/>
                  </w:rPr>
                </w:pPr>
                <w:r>
                  <w:rPr>
                    <w:szCs w:val="24"/>
                    <w:lang w:eastAsia="lt-LT"/>
                  </w:rPr>
                  <w:t>Kasos aparatas degalinių informacijos perdavimo linijų pažeidimų skaičių privalo teikti, jei teisės aktuose kasos aparato naudotojui nustatyta prievolė formuoti šiuos duomenis ataskaitoje (Z).</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1.2.1.3.6.</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cashBalanceDetails</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Grynųjų pinigų kasos aparate detalūs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Grynųjų pinigų kasos aparate detalūs duomenys pagal kiekvieną valiutą, įskaitant eurus.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1.2.1.3.6.1.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cashBalanceDetail</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Grynųjų pinigų kasos aparate duomenys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Grynųjų pinigų kasos aparate duomenys pagal valiutą, įskaitant eurus.</w:t>
                </w:r>
              </w:p>
            </w:tc>
          </w:tr>
          <w:tr>
            <w:trPr>
              <w:trHeight w:val="45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1.2.1.3.6.1.1.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cashCurrency</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Grynųjų pinigų operacijų valiuta</w:t>
                </w:r>
              </w:p>
            </w:tc>
            <w:tc>
              <w:tcPr>
                <w:tcW w:w="5790" w:type="dxa"/>
                <w:tcBorders>
                  <w:top w:val="nil"/>
                  <w:left w:val="nil"/>
                  <w:bottom w:val="single" w:sz="4" w:space="0" w:color="auto"/>
                  <w:right w:val="single" w:sz="4" w:space="0" w:color="auto"/>
                </w:tcBorders>
                <w:shd w:val="clear" w:color="auto" w:fill="auto"/>
                <w:hideMark/>
              </w:tcPr>
              <w:p>
                <w:pPr>
                  <w:jc w:val="both"/>
                  <w:rPr>
                    <w:szCs w:val="24"/>
                    <w:u w:val="single"/>
                    <w:lang w:eastAsia="lt-LT"/>
                  </w:rPr>
                </w:pPr>
                <w:r>
                  <w:rPr>
                    <w:szCs w:val="24"/>
                    <w:lang w:eastAsia="lt-LT"/>
                  </w:rPr>
                  <w:t xml:space="preserve">Grynųjų pinigų operacijų valiuta pagal ISO 4217 standartą, pvz., EUR, USD.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1.2.1.3.6.1.2.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cashAmount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Grynųjų pinigų likučio suma valiuta </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Grynųjų pinigų likučio suma valiuta.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1.2.1.3.6.1.3.</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insertionOperationCashAmount</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Įdėtų grynųjų pinigų suma valiuta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Įdėtų grynųjų pinigų suma valiuta.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1.2.1.3.6.1.4.</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insertionOperationCashQuantity</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Grynųjų pinigų įdėjimo operacijų skaičius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Grynųjų pinigų įdėjimo operacijų skaičius.</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1.2.1.3.6.1.5.</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withdrawalOperationCashAmount</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Išimtų grynųjų pinigų suma valiuta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Išimtų grynųjų pinigų suma valiuta.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1.2.1.3.6.1.6.</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withdrawalOperationCashQuantity</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Grynųjų pinigų išėmimo operacijų skaičius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Grynųjų pinigų išėmimo operacijų skaičius.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1.2.1.3.7.</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counters</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Skaitiklių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Skaitiklių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1.2.1.3.7.1.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GTSales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Pardavimo operacijų globalus skaitiklis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Bendra kasos aparatu įregistruota pardavimų suma (GT skaitiklis) ataskaitoje (Z).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1.2.1.3.7.2.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GTSalesTaxAmount</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Pardavimo operacijų mokesčių sumos globalus skaitiklis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Bendra kasos aparatu įregistruota pardavimų mokesčių suma (</w:t>
                </w:r>
                <w:r>
                  <w:rPr>
                    <w:bCs/>
                    <w:szCs w:val="24"/>
                    <w:lang w:eastAsia="lt-LT"/>
                  </w:rPr>
                  <w:t>GT skaitiklis</w:t>
                </w:r>
                <w:r>
                  <w:rPr>
                    <w:szCs w:val="24"/>
                    <w:lang w:eastAsia="lt-LT"/>
                  </w:rPr>
                  <w:t>) ataskaitoje (Z).</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1.2.1.3.7.3.</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GTBuying</w:t>
                </w:r>
              </w:p>
            </w:tc>
            <w:tc>
              <w:tcPr>
                <w:tcW w:w="1701"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Supirkimo operacijų globalus skaitiklis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Bendra kasos aparatu įregistruota už supirktas prekes išmokėta suma (</w:t>
                </w:r>
                <w:r>
                  <w:rPr>
                    <w:bCs/>
                    <w:szCs w:val="24"/>
                    <w:lang w:eastAsia="lt-LT"/>
                  </w:rPr>
                  <w:t>GT skaitiklis</w:t>
                </w:r>
                <w:r>
                  <w:rPr>
                    <w:szCs w:val="24"/>
                    <w:lang w:eastAsia="lt-LT"/>
                  </w:rPr>
                  <w:t>) ataskaitoje (Z).</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1.2.1.3.8.</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fiscalDayTaxData</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Taikomų mokesčių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Kasos aparate taikomų mokesčių duomenys.</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1.2.1.3.8.1.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lastTaxChangeDateTime</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Paskutinių mokesčių nustatymo ar keitimo data ir laikas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Paskutinių mokesčių nustatymo ar keitimo data ir laikas.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1.2.1.3.8.2.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taxChangeNumber</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Mokesčių keitimo eilės numeris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Mokesčių keitimo eilės numeris.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1.2.1.3.8.3.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fiscalDayTaxTables</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Taikomų mokesčių lentelė</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Mokesčių lentelė (nurodomi visi mokesčiai).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1.2.1.3.8.3.1.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fiscalDayTaxTable</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Taikomo mokesčio tarifas ir aprašymas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Mokesčio tarifas ir aprašymas.</w:t>
                </w:r>
              </w:p>
            </w:tc>
          </w:tr>
          <w:tr>
            <w:trPr>
              <w:trHeight w:val="45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1.2.1.3.8.3.1.1.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taxRate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Mokesčio tarifas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PVM tarifas 0 – 0%, 5 – 5%, 9 – 9%, 21 – 21%. Jei PVM neapmokestinamas, tai nurodoma tuščia elemento reikšmė.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w:t>
                </w:r>
                <w:r>
                  <w:rPr>
                    <w:szCs w:val="24"/>
                    <w:lang w:val="en-US" w:eastAsia="lt-LT"/>
                  </w:rPr>
                  <w:t>8.3.1.2.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taxDescription</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Mokesčio aprašymas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PVM aprašymas (pvz., mokesčio paskirtis, kodas iš mokesčių žymėjimo lentelės).</w:t>
                </w:r>
              </w:p>
            </w:tc>
          </w:tr>
          <w:tr>
            <w:trPr>
              <w:trHeight w:val="63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1.2.1.3.9.</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additionalData</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Papildomi duomenys nurodomi ataskaitoje (Z) </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Papildomi duomenys ataskaitoje (Z). Kasos aparatas papildomus duomenis privalo teikti, jei teisės aktuose kasos aparato naudotojui nustatyta prievolė formuoti šiuos duomenis ataskaitoje (Z).</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1.2.1.3.9.1.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specialGoodsSales</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nurodomų prekių grupių pardavimo detalūs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nurodomų prekių grupių pardavimo detalūs duomenys. Alkoholinių gėrimų prekių grupei teikiamas vienas suminis detalių duomenų įrašas.</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1.2.1.3.9.1.1.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specialGoodsSale</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Ataskaitoje (Z) nurodomos</w:t>
                </w:r>
              </w:p>
              <w:p>
                <w:pPr>
                  <w:jc w:val="both"/>
                  <w:rPr>
                    <w:szCs w:val="24"/>
                    <w:lang w:eastAsia="lt-LT"/>
                  </w:rPr>
                </w:pPr>
                <w:r>
                  <w:rPr>
                    <w:szCs w:val="24"/>
                    <w:lang w:eastAsia="lt-LT"/>
                  </w:rPr>
                  <w:t>prekių grupės pardavimo duomenys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 xml:space="preserve">Ataskaitoje (Z) nurodomos prekių grupės duomenys. </w:t>
                </w:r>
              </w:p>
            </w:tc>
          </w:tr>
          <w:tr>
            <w:trPr>
              <w:trHeight w:val="549"/>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1.2.1.3.9.1.1.1.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goodsGroup</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nurodomos prekės grupė</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nurodoma prekės grupė: </w:t>
                </w:r>
                <w:r>
                  <w:rPr>
                    <w:rFonts w:eastAsia="Calibri"/>
                    <w:color w:val="000000"/>
                    <w:szCs w:val="24"/>
                  </w:rPr>
                  <w:t xml:space="preserve">B1 – benzinas; </w:t>
                </w:r>
                <w:r>
                  <w:rPr>
                    <w:rFonts w:eastAsia="Calibri"/>
                    <w:bCs/>
                    <w:color w:val="000000"/>
                    <w:szCs w:val="24"/>
                  </w:rPr>
                  <w:t xml:space="preserve">B2 </w:t>
                </w:r>
                <w:r>
                  <w:rPr>
                    <w:rFonts w:eastAsia="Calibri"/>
                    <w:color w:val="000000"/>
                    <w:szCs w:val="24"/>
                  </w:rPr>
                  <w:t>–</w:t>
                </w:r>
                <w:r>
                  <w:rPr>
                    <w:rFonts w:eastAsia="Calibri"/>
                    <w:bCs/>
                    <w:color w:val="000000"/>
                    <w:szCs w:val="24"/>
                  </w:rPr>
                  <w:t xml:space="preserve"> automobiliniai etanolio degalai;</w:t>
                </w:r>
                <w:r>
                  <w:rPr>
                    <w:rFonts w:eastAsia="Calibri"/>
                    <w:color w:val="000000"/>
                    <w:szCs w:val="24"/>
                  </w:rPr>
                  <w:t xml:space="preserve"> D1 – dyzelinas; </w:t>
                </w:r>
                <w:r>
                  <w:rPr>
                    <w:rFonts w:eastAsia="Calibri"/>
                    <w:bCs/>
                    <w:color w:val="000000"/>
                    <w:szCs w:val="24"/>
                  </w:rPr>
                  <w:t xml:space="preserve">D2 </w:t>
                </w:r>
                <w:r>
                  <w:rPr>
                    <w:rFonts w:eastAsia="Calibri"/>
                    <w:color w:val="000000"/>
                    <w:szCs w:val="24"/>
                  </w:rPr>
                  <w:t>–</w:t>
                </w:r>
                <w:r>
                  <w:rPr>
                    <w:rFonts w:eastAsia="Calibri"/>
                    <w:bCs/>
                    <w:color w:val="000000"/>
                    <w:szCs w:val="24"/>
                  </w:rPr>
                  <w:t xml:space="preserve"> riebalų rūgščių metilo esteris (RRME);</w:t>
                </w:r>
                <w:r>
                  <w:rPr>
                    <w:rFonts w:eastAsia="Calibri"/>
                    <w:color w:val="000000"/>
                    <w:szCs w:val="24"/>
                  </w:rPr>
                  <w:t xml:space="preserve"> DZ – žymėtas dyzelinas, skirtas naudoti žemės ūkyje ir žuvininkystėje; GD – gamtinės dujos, skirtos transportui; </w:t>
                </w:r>
                <w:r>
                  <w:rPr>
                    <w:rFonts w:eastAsia="Calibri"/>
                    <w:bCs/>
                    <w:color w:val="000000"/>
                    <w:szCs w:val="24"/>
                  </w:rPr>
                  <w:t>LPG</w:t>
                </w:r>
                <w:r>
                  <w:rPr>
                    <w:rFonts w:eastAsia="Calibri"/>
                    <w:color w:val="000000"/>
                    <w:szCs w:val="24"/>
                  </w:rPr>
                  <w:t xml:space="preserve"> – suskystintos naftos dujos, skirtos transportui; KT – kitoms grupėms nepriskirt</w:t>
                </w:r>
                <w:r>
                  <w:rPr>
                    <w:rFonts w:eastAsia="Calibri"/>
                    <w:bCs/>
                    <w:color w:val="000000"/>
                    <w:szCs w:val="24"/>
                  </w:rPr>
                  <w:t>i</w:t>
                </w:r>
                <w:r>
                  <w:rPr>
                    <w:rFonts w:eastAsia="Calibri"/>
                    <w:color w:val="000000"/>
                    <w:szCs w:val="24"/>
                  </w:rPr>
                  <w:t xml:space="preserve"> </w:t>
                </w:r>
                <w:r>
                  <w:rPr>
                    <w:rFonts w:eastAsia="Calibri"/>
                    <w:bCs/>
                    <w:color w:val="000000"/>
                    <w:szCs w:val="24"/>
                  </w:rPr>
                  <w:t>degalai, skirti transportui;</w:t>
                </w:r>
                <w:r>
                  <w:rPr>
                    <w:szCs w:val="24"/>
                    <w:lang w:eastAsia="lt-LT"/>
                  </w:rPr>
                  <w:t xml:space="preserve"> AG – alkoholiniai gėrimai.</w:t>
                </w:r>
              </w:p>
            </w:tc>
          </w:tr>
          <w:tr>
            <w:trPr>
              <w:trHeight w:val="63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1.2.1.3.9.1.1.2.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goods</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nurodomos prekės pavadinimas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nurodomos prekės pavadinimas iš kasos aparato laisvu tekstu.  Elemento reikšmė alkoholinių gėrimų prekių grupei nepildoma.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1.2.1.3.9.1.1.3.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goodsTotalSalesQuantity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nurodomos prekės pardavimų kiekis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nurodomos prekės pardavimų per dieną (pamainą) kiekis, litrais. Elemento reikšmė alkoholinių gėrimų prekių grupei nepildoma.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1.2.1.3.9.1.1.4.</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goodsTotalSalesAmount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nurodomos prekės pardavimų suma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nurodomos prekės pardavimų per dieną (pamainą) suma, įskaitant mokesčius.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1.2.1.3.9.2.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preOrderDocuments</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Išankstinių sąskaitų apskaita</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Išankstinių sąskaitų apskaita.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1.2.1.3.9.2.1.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preOrderTotalQuantity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Išankstinių sąskaitų kiekis ataskaitoje (Z)</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Išankstinių sąskaitų kiekis ataskaitoje (Z). Jeigu per dieną (pamainą) nebuvo suformuotų išankstinių sąskaitų, tai teikiama elemento reikšmė 0.</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1.2.1.3.9.2.2.</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preOrderTransfToAccomodInvQuantity</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Perkeltų išankstinių sąskaitų kiekis ataskaitoje (Z)</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Perkeltų išankstinių sąskaitų į viešbučio apskaitą kiekis ataskaitoje (Z). Jeigu per dieną (pamainą) nebuvo perkeltų išankstinių sąskaitų į viešbučio apskaitą, tai teikiama elemento reikšmė 0.</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1.2.1.3.9.2.3.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preOrderTotalUnpaidQuantity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Neapmokėtų išankstinių sąskaitų kiekis ataskaitoje (Z)</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Neapmokėtų išankstinių sąskaitų kiekis ataskaitoje (Z). Jeigu per dieną (pamainą) nebuvo neapmokėtų išankstinių sąskaitų, tai teikiama elemento reikšmė 0.</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1.2.1.3.9.2.4.</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preOrderTotalAmount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Išankstinių sąskaitų bendra suma ataskaitoje (Z)</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Išankstinių sąskaitų bendra suma ataskaitoje (Z). Jeigu per dieną (pamainą) nebuvo suformuotų išankstinių sąskaitų, tai teikiama elemento reikšmė 0. </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1.2.1.3.9.2.5.</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preOrderTransfToAccomodInvAmount</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Perkeltų išankstinių sąskaitų bendra suma ataskaitoje (Z)</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Perkeltų išankstinių sąskaitų į viešbučio apskaitą bendra suma ataskaitoje (Z). Jeigu per dieną (pamainą) nebuvo perkeltų išankstinių sąskaitų į viešbučio apskaitą, tai teikiama elemento reikšmė 0.</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1.2.1.3.9.2.6.</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preOrderTotalUnpaidAmount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Neapmokėtų išankstinių sąskaitų suma ataskaitoje (Z)</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Neapmokėtų išankstinių sąskaitų suma ataskaitoje (Z). Jeigu per dieną (pamainą) nebuvo neapmokėtų išankstinių sąskaitų, tai teikiama elemento reikšmė 0.</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1.2.1.3.9.3.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technicalRefuelings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Techniniai kuro pylimai ataskaitoje (Z)</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Techniniai kuro pylimai ataskaitoje (Z).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1.2.1.3.9.3.1.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technicalRefueling</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Techninis kuro pylimas ataskaitoje (Z)</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Techninis kuro pylimas ataskaitoje (Z).</w:t>
                </w:r>
              </w:p>
            </w:tc>
          </w:tr>
          <w:tr>
            <w:trPr>
              <w:trHeight w:val="558"/>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1.2.1.3.9.3.1.1.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fuelType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nurodomo kuro grupė</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spacing w:line="259" w:lineRule="auto"/>
                  <w:jc w:val="both"/>
                  <w:rPr>
                    <w:szCs w:val="24"/>
                    <w:lang w:eastAsia="lt-LT"/>
                  </w:rPr>
                </w:pPr>
                <w:r>
                  <w:rPr>
                    <w:szCs w:val="24"/>
                    <w:lang w:eastAsia="lt-LT"/>
                  </w:rPr>
                  <w:t xml:space="preserve">Ataskaitoje (Z) nurodoma kuro grupė: </w:t>
                </w:r>
                <w:r>
                  <w:rPr>
                    <w:rFonts w:eastAsia="Calibri"/>
                    <w:color w:val="000000"/>
                    <w:szCs w:val="24"/>
                  </w:rPr>
                  <w:t xml:space="preserve">B1 – benzinas; </w:t>
                </w:r>
                <w:r>
                  <w:rPr>
                    <w:rFonts w:eastAsia="Calibri"/>
                    <w:bCs/>
                    <w:color w:val="000000"/>
                    <w:szCs w:val="24"/>
                  </w:rPr>
                  <w:t xml:space="preserve">B2 </w:t>
                </w:r>
                <w:r>
                  <w:rPr>
                    <w:rFonts w:eastAsia="Calibri"/>
                    <w:color w:val="000000"/>
                    <w:szCs w:val="24"/>
                  </w:rPr>
                  <w:t>–</w:t>
                </w:r>
                <w:r>
                  <w:rPr>
                    <w:rFonts w:eastAsia="Calibri"/>
                    <w:bCs/>
                    <w:color w:val="000000"/>
                    <w:szCs w:val="24"/>
                  </w:rPr>
                  <w:t xml:space="preserve"> automobiliniai etanolio degalai;</w:t>
                </w:r>
                <w:r>
                  <w:rPr>
                    <w:rFonts w:eastAsia="Calibri"/>
                    <w:color w:val="000000"/>
                    <w:szCs w:val="24"/>
                  </w:rPr>
                  <w:t xml:space="preserve"> D1 – dyzelinas; </w:t>
                </w:r>
                <w:r>
                  <w:rPr>
                    <w:rFonts w:eastAsia="Calibri"/>
                    <w:bCs/>
                    <w:color w:val="000000"/>
                    <w:szCs w:val="24"/>
                  </w:rPr>
                  <w:t xml:space="preserve">D2 </w:t>
                </w:r>
                <w:r>
                  <w:rPr>
                    <w:rFonts w:eastAsia="Calibri"/>
                    <w:color w:val="000000"/>
                    <w:szCs w:val="24"/>
                  </w:rPr>
                  <w:t>–</w:t>
                </w:r>
                <w:r>
                  <w:rPr>
                    <w:rFonts w:eastAsia="Calibri"/>
                    <w:bCs/>
                    <w:color w:val="000000"/>
                    <w:szCs w:val="24"/>
                  </w:rPr>
                  <w:t xml:space="preserve"> riebalų rūgščių metilo esteris (RRME);</w:t>
                </w:r>
                <w:r>
                  <w:rPr>
                    <w:rFonts w:eastAsia="Calibri"/>
                    <w:color w:val="000000"/>
                    <w:szCs w:val="24"/>
                  </w:rPr>
                  <w:t xml:space="preserve"> DZ – žymėtas dyzelinas, skirtas naudoti žemės ūkyje ir žuvininkystėje; GD – gamtinės dujos, skirtos transportui; </w:t>
                </w:r>
                <w:r>
                  <w:rPr>
                    <w:rFonts w:eastAsia="Calibri"/>
                    <w:bCs/>
                    <w:color w:val="000000"/>
                    <w:szCs w:val="24"/>
                  </w:rPr>
                  <w:t>LPG</w:t>
                </w:r>
                <w:r>
                  <w:rPr>
                    <w:rFonts w:eastAsia="Calibri"/>
                    <w:color w:val="000000"/>
                    <w:szCs w:val="24"/>
                  </w:rPr>
                  <w:t xml:space="preserve"> – suskystintos naftos dujos, skirtos transportui; KT – kitoms grupėms nepriskirt</w:t>
                </w:r>
                <w:r>
                  <w:rPr>
                    <w:rFonts w:eastAsia="Calibri"/>
                    <w:bCs/>
                    <w:color w:val="000000"/>
                    <w:szCs w:val="24"/>
                  </w:rPr>
                  <w:t>i</w:t>
                </w:r>
                <w:r>
                  <w:rPr>
                    <w:rFonts w:eastAsia="Calibri"/>
                    <w:color w:val="000000"/>
                    <w:szCs w:val="24"/>
                  </w:rPr>
                  <w:t xml:space="preserve"> </w:t>
                </w:r>
                <w:r>
                  <w:rPr>
                    <w:rFonts w:eastAsia="Calibri"/>
                    <w:bCs/>
                    <w:color w:val="000000"/>
                    <w:szCs w:val="24"/>
                  </w:rPr>
                  <w:t>degalai, skirti transportui.</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1.2.1.3.9.3.1.2.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fuel</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nurodomo kuro pavadinimas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nurodomo kuro pavadinimas iš kasos aparato laisvu tekstu, pvz.: 95 benzinas.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1.2.1.3.9.3.1.3.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fuelQuantity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nurodomo techninių pylimų kuro kiekis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nurodomo techninių pylimų kuro kiekis, litrais.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1.2.1.4.</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nonFiscalDocument</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Nefiskalinio kvito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Nefiskalinio kvito duomenys (nefiskalinis kvitas, kuriuo užfiksuotos operacijos nepriskirtinos 1.2.1.5, 1.2.1.6, 1.2.1.7, 1.2.1.8, 1.2.1.9, 1.2.1.10, 1.2.1.11, 1.2.1.12, 1.2.1.13 elementų indeksuose nurodytiems nefiskalinių dokumentų tipams).</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1.2.1.4.1.</w:t>
                </w:r>
              </w:p>
            </w:tc>
            <w:tc>
              <w:tcPr>
                <w:tcW w:w="2693"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operationName</w:t>
                </w:r>
              </w:p>
            </w:tc>
            <w:tc>
              <w:tcPr>
                <w:tcW w:w="1701" w:type="dxa"/>
                <w:tcBorders>
                  <w:top w:val="nil"/>
                  <w:left w:val="nil"/>
                  <w:bottom w:val="single" w:sz="4" w:space="0" w:color="auto"/>
                  <w:right w:val="single" w:sz="4" w:space="0" w:color="auto"/>
                </w:tcBorders>
                <w:shd w:val="clear" w:color="auto" w:fill="auto"/>
              </w:tcPr>
              <w:p>
                <w:pPr>
                  <w:rPr>
                    <w:szCs w:val="24"/>
                    <w:lang w:eastAsia="lt-LT"/>
                  </w:rPr>
                </w:pPr>
              </w:p>
            </w:tc>
            <w:tc>
              <w:tcPr>
                <w:tcW w:w="2001"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Nefiskalinės operacijos aprašymas</w:t>
                </w:r>
              </w:p>
            </w:tc>
            <w:tc>
              <w:tcPr>
                <w:tcW w:w="5790"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Nefiskalinės operacijos aprašymas.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1.2.1.5.</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nonFiscalCollectionDocument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Nefiskalinio grynųjų pinigų įdėjimo ir išėmimo kvito duomenys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Nefiskalinio grynųjų pinigų įdėjimo ir išėmimo kvito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1.2.1.5.1.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documentAmounts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Nefiskalinio grynųjų pinigų įdėjimo ir išėmimo kvito  sumos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Nefiskalinio grynųjų pinigų įdėjimo ir išėmimo kvito  sumos.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1.2.1.5.1.1.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PICashDetailsBeforeOperations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grynųjų pinigų sumų, prieš grynųjų pinigų įdėjimo ir išėmimo operacijas, detalūs duomenys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grynųjų pinigų sumų, prieš grynųjų pinigų įdėjimo ir išėmimo operacijas, detalūs duomenys (pagal valiutas įskaitant eurus).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1.2.1.5.1.1.1.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PICashDetailsBeforeOperation</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Kasos aparato grynųjų pinigų sumos, prieš grynųjų pinigų įdėjimo ir išėmimo operacijas,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Kasos aparato grynųjų pinigų sumos, prieš grynųjų pinigų įdėjimo ir išėmimo operacijas, duomenys (pagal valiutas įskaitant eurus).  </w:t>
                </w:r>
              </w:p>
            </w:tc>
          </w:tr>
          <w:tr>
            <w:trPr>
              <w:trHeight w:val="45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1.2.1.5.1.1.1.1.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cashCurrency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grynųjų pinigų sumos, prieš grynųjų pinigų įdėjimo ir išėmimo operacijas,  valiuta </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grynųjų pinigų sumos, prieš grynųjų pinigų įdėjimo ir išėmimo operacijas,  valiuta pagal ISO 4217 standartą, pvz., EUR, USD.</w:t>
                </w:r>
              </w:p>
              <w:p>
                <w:pPr>
                  <w:jc w:val="both"/>
                  <w:rPr>
                    <w:szCs w:val="24"/>
                    <w:lang w:eastAsia="lt-LT"/>
                  </w:rPr>
                </w:pP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1.2.1.5.1.1.1.2.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initialCashAmount</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grynųjų pinigų suma konkrečia valiuta  prieš grynųjų pinigų įdėjimo ir išėmimo operacijas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grynųjų pinigų suma konkrečia valiuta įskaitant eurus  prieš grynųjų pinigų įdėjimo ir išėmimo operacijas.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1.2.1.5.1.2.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PICashOperationDetails</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grynųjų pinigų operacijų detalūs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grynųjų pinigų operacijų detalūs duomenys (operacijos kryptis, valiuta).</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1.2.1.5.1.2.1.</w:t>
                </w:r>
              </w:p>
            </w:tc>
            <w:tc>
              <w:tcPr>
                <w:tcW w:w="2693"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PICashOperationDetail</w:t>
                </w:r>
              </w:p>
            </w:tc>
            <w:tc>
              <w:tcPr>
                <w:tcW w:w="1701" w:type="dxa"/>
                <w:tcBorders>
                  <w:top w:val="nil"/>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Kasos aparato grynųjų pinigų operacijos duomenys</w:t>
                </w:r>
              </w:p>
            </w:tc>
            <w:tc>
              <w:tcPr>
                <w:tcW w:w="5790"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Kasos aparato grynųjų pinigų operacijos duomenys (operacijos kryptis, valiuta).</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1.2.1.5.1.2.1.1.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operationDirection</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Operacijos požymis </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Operacijos požymis: įdėti grynieji pinigai – IN; išimti grynieji pinigai – OUT. </w:t>
                </w:r>
              </w:p>
            </w:tc>
          </w:tr>
          <w:tr>
            <w:trPr>
              <w:trHeight w:val="45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1.2.1.5.1.2.1.2.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cashCurrency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Grynųjų pinigų operacijos valiuta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u w:val="single"/>
                    <w:lang w:eastAsia="lt-LT"/>
                  </w:rPr>
                </w:pPr>
                <w:r>
                  <w:rPr>
                    <w:szCs w:val="24"/>
                    <w:lang w:eastAsia="lt-LT"/>
                  </w:rPr>
                  <w:t>Grynųjų pinigų operacijos valiuta pagal ISO 4217 standartą, pvz., EUR, USD.</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1.2.1.5.1.2.1.3.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operationCashAmount</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Grynųjų pinigų operacijos suma pagal konkrečią valiutą </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Grynųjų pinigų operacijos suma pagal konkrečią valiutą įskaitant eurus.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1.2.1.5.1.3.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PICashDetailsAfterOperations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grynųjų pinigų sumų, po grynųjų pinigų įdėjimo ir išėmimo operacijų, detalūs duomenys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grynųjų pinigų sumų, po grynųjų pinigų įdėjimo ir išėmimo operacijų, detalūs duomenys (pagal valiutas įskaitant eurus).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1.2.1.5.1.3.1.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PICashDetailsAfterOperation</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Kasos aparato grynųjų pinigų sumos, po grynųjų pinigų įdėjimo ir išėmimo operacijų,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Kasos aparato grynųjų pinigų sumos, po grynųjų pinigų įdėjimo ir išėmimo operacijų, duomenys (pagal valiutas įskaitant eurus).  </w:t>
                </w:r>
              </w:p>
            </w:tc>
          </w:tr>
          <w:tr>
            <w:trPr>
              <w:trHeight w:val="45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1.2.1.5.1.3.1.1.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cashCurrency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grynųjų pinigų sumos, po grynųjų pinigų įdėjimo ir išėmimo operacijų,  valiuta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grynųjų pinigų sumos, po grynųjų pinigų įdėjimo ir išėmimo operacijų,  valiuta pagal ISO 4217 standartą, pvz., EUR, USD.</w:t>
                </w:r>
              </w:p>
              <w:p>
                <w:pPr>
                  <w:jc w:val="both"/>
                  <w:rPr>
                    <w:szCs w:val="24"/>
                    <w:u w:val="single"/>
                    <w:lang w:eastAsia="lt-LT"/>
                  </w:rPr>
                </w:pP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1.2.1.5.1.3.1.2.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finalCashAmount</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grynųjų pinigų suma konkrečia valiuta  po grynųjų pinigų įdėjimo ir išėmimo operacijų</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grynųjų pinigų suma konkrečia valiuta įskaitant eurus  po grynųjų pinigų įdėjimo ir išėmimo operacijų.</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1.2.1.6.</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nonFiscalPIMaintenanceDocument</w:t>
                </w:r>
              </w:p>
            </w:tc>
            <w:tc>
              <w:tcPr>
                <w:tcW w:w="1701"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Nefiskalinio kasos aparato techninės priežiūros arba remonto operacijų kvito duomenys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Nefiskalinio kasos aparato techninės priežiūros arba remonto operacijų kvito duomenys.</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1.2.1.6.1.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maintenanceDescription</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priežiūros arba remonto operacijos aprašymas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priežiūros arba remonto operacijos aprašymas.  Aprašymas pateikiamas laisvu tekstu. Šis tekstas bus pateikiamas kasos aparato elektroniniame techniniame pase.</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ind w:firstLine="62"/>
                  <w:jc w:val="both"/>
                  <w:rPr>
                    <w:szCs w:val="24"/>
                    <w:lang w:eastAsia="lt-LT"/>
                  </w:rPr>
                </w:pPr>
                <w:r>
                  <w:rPr>
                    <w:szCs w:val="24"/>
                    <w:lang w:eastAsia="lt-LT"/>
                  </w:rPr>
                  <w:t>1.2.1.7.</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nonFiscalCancelationDocument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Nefiskalinio panaikintų fiskalinių kvitų dokumento duomenys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Neužbaigtų fiskalinių kvitų, kurie laikomi panaikintais, pagrindžiančio nefiskalinio dokumento duomenys.</w:t>
                </w:r>
              </w:p>
              <w:p>
                <w:pPr>
                  <w:jc w:val="both"/>
                  <w:rPr>
                    <w:szCs w:val="24"/>
                    <w:lang w:eastAsia="lt-LT"/>
                  </w:rPr>
                </w:pPr>
              </w:p>
              <w:p>
                <w:pPr>
                  <w:jc w:val="both"/>
                  <w:rPr>
                    <w:szCs w:val="24"/>
                    <w:lang w:eastAsia="lt-LT"/>
                  </w:rPr>
                </w:pP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1.2.1.7.1.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canceledAmount</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Dokumento, kuris buvo anuliuotas, </w:t>
                </w:r>
                <w:r>
                  <w:rPr>
                    <w:szCs w:val="24"/>
                    <w:shd w:val="clear" w:color="auto" w:fill="FFFFFF"/>
                  </w:rPr>
                  <w:t>suma</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Dokumento, kuris buvo anuliuotas, suma.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1.2.1.8.</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nonFiscalTaxChangeDocument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Nefiskalinio mokesčių keitimo dokumento duomenys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Nefiskalinio mokesčių keitimo dokumento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1.2.1.8.1.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taxTables</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Taikomų mokesčių lentelė</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Taikomų mokesčių lentelė (nurodomi visi mokesčiai po pakeitimo).</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1.2.1.8.1.1.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taxTable</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Taikomo mokesčio tarifas ir aprašymas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Taikomo mokesčio tarifas ir aprašymas.</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1.2.1.8.1.1.1.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taxRate</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Mokesčio tarifas</w:t>
                </w:r>
              </w:p>
            </w:tc>
            <w:tc>
              <w:tcPr>
                <w:tcW w:w="5790" w:type="dxa"/>
                <w:tcBorders>
                  <w:top w:val="nil"/>
                  <w:left w:val="nil"/>
                  <w:bottom w:val="single" w:sz="4" w:space="0" w:color="auto"/>
                  <w:right w:val="single" w:sz="4" w:space="0" w:color="auto"/>
                </w:tcBorders>
                <w:shd w:val="clear" w:color="auto" w:fill="auto"/>
                <w:hideMark/>
              </w:tcPr>
              <w:p>
                <w:pPr>
                  <w:jc w:val="both"/>
                  <w:rPr>
                    <w:szCs w:val="24"/>
                    <w:u w:val="single"/>
                    <w:lang w:eastAsia="lt-LT"/>
                  </w:rPr>
                </w:pPr>
                <w:r>
                  <w:rPr>
                    <w:szCs w:val="24"/>
                    <w:lang w:eastAsia="lt-LT"/>
                  </w:rPr>
                  <w:t>PVM tarifas 0 – 0%, 5 – 5%, 9 – 9%, 21 – 21%. Jei PVM neapmokestinamas, tai nurodoma tuščia elemento reikšmė.</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1.2.1.8.1.1.2.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taxDescription</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Mokesčio aprašymas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PVM aprašymas (pvz., mokesčio paskirtis, kodas iš mokesčių žymėjimo lentelės).</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1.2.1.9.</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nonFiscalTechnicalRefuelingDocument</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Nefiskalinio techninio kuro pylimo kvito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Nefiskalinio techninio kuro pylimo kvito duomenys.</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1.2.1.9.1.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nonFiscalTechnicalRefueling</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Techninio kuro pylimo detalūs duomenys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Techninio kuro pylimo detalūs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1.2.1.9.1.1.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nozzleNumber</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Kuro pylimo žarnos numeris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Kuro pylimo žarnos numeris.</w:t>
                </w:r>
              </w:p>
            </w:tc>
          </w:tr>
          <w:tr>
            <w:trPr>
              <w:trHeight w:val="45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1.2.1.9.1.2.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fuelType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Kuro grupė</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u w:val="single"/>
                    <w:lang w:eastAsia="lt-LT"/>
                  </w:rPr>
                </w:pPr>
                <w:r>
                  <w:rPr>
                    <w:szCs w:val="24"/>
                    <w:lang w:eastAsia="lt-LT"/>
                  </w:rPr>
                  <w:t xml:space="preserve">Techninio kuro pylimo nefiskaliniame dokumente nurodoma kuro grupė: B1 – benzinas; </w:t>
                </w:r>
                <w:r>
                  <w:rPr>
                    <w:bCs/>
                    <w:szCs w:val="24"/>
                    <w:lang w:eastAsia="lt-LT"/>
                  </w:rPr>
                  <w:t xml:space="preserve">B2 </w:t>
                </w:r>
                <w:r>
                  <w:rPr>
                    <w:szCs w:val="24"/>
                    <w:lang w:eastAsia="lt-LT"/>
                  </w:rPr>
                  <w:t>–</w:t>
                </w:r>
                <w:r>
                  <w:rPr>
                    <w:bCs/>
                    <w:szCs w:val="24"/>
                    <w:lang w:eastAsia="lt-LT"/>
                  </w:rPr>
                  <w:t xml:space="preserve"> automobiliniai etanolio degalai;</w:t>
                </w:r>
                <w:r>
                  <w:rPr>
                    <w:szCs w:val="24"/>
                    <w:lang w:eastAsia="lt-LT"/>
                  </w:rPr>
                  <w:t xml:space="preserve"> D1 – dyzelinas; </w:t>
                </w:r>
                <w:r>
                  <w:rPr>
                    <w:bCs/>
                    <w:szCs w:val="24"/>
                    <w:lang w:eastAsia="lt-LT"/>
                  </w:rPr>
                  <w:t xml:space="preserve">D2 </w:t>
                </w:r>
                <w:r>
                  <w:rPr>
                    <w:szCs w:val="24"/>
                    <w:lang w:eastAsia="lt-LT"/>
                  </w:rPr>
                  <w:t>–</w:t>
                </w:r>
                <w:r>
                  <w:rPr>
                    <w:bCs/>
                    <w:szCs w:val="24"/>
                    <w:lang w:eastAsia="lt-LT"/>
                  </w:rPr>
                  <w:t xml:space="preserve"> riebalų rūgščių metilo esteris (RRME);</w:t>
                </w:r>
                <w:r>
                  <w:rPr>
                    <w:szCs w:val="24"/>
                    <w:lang w:eastAsia="lt-LT"/>
                  </w:rPr>
                  <w:t xml:space="preserve"> DZ – žymėtas dyzelinas, skirtas naudoti žemės ūkyje ir žuvininkystėje; GD – gamtinės dujos, skirtos transportui; </w:t>
                </w:r>
                <w:r>
                  <w:rPr>
                    <w:bCs/>
                    <w:szCs w:val="24"/>
                    <w:lang w:eastAsia="lt-LT"/>
                  </w:rPr>
                  <w:t>LPG</w:t>
                </w:r>
                <w:r>
                  <w:rPr>
                    <w:szCs w:val="24"/>
                    <w:lang w:eastAsia="lt-LT"/>
                  </w:rPr>
                  <w:t xml:space="preserve"> – suskystintos naftos dujos, skirtos transportui; KT – kitoms grupėms nepriskirt</w:t>
                </w:r>
                <w:r>
                  <w:rPr>
                    <w:bCs/>
                    <w:szCs w:val="24"/>
                    <w:lang w:eastAsia="lt-LT"/>
                  </w:rPr>
                  <w:t>i</w:t>
                </w:r>
                <w:r>
                  <w:rPr>
                    <w:szCs w:val="24"/>
                    <w:lang w:eastAsia="lt-LT"/>
                  </w:rPr>
                  <w:t xml:space="preserve"> </w:t>
                </w:r>
                <w:r>
                  <w:rPr>
                    <w:bCs/>
                    <w:szCs w:val="24"/>
                    <w:lang w:eastAsia="lt-LT"/>
                  </w:rPr>
                  <w:t>degalai, skirti transportui.</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1.2.1.9.1.3.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fuel</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Kuro pavadinimas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Techninio kuro pylimo nefiskaliniame kvite nurodomas kuro pavadinimas iš kasos aparato laisvu tekstu, pvz.: 95 benzinas.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1.2.1.9.1.4.</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fuelQuantity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Techninio pylimo kuro kiekis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Techninio kuro pylimo nefiskaliniame kvite nurodomas techninio pylimo kuro kiekis, litrais.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1.2.1.10.</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preOrderDocument</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Išankstinės sąskaitos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Išankstinės sąskaitos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1.2.1.10.1.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preSaleAmount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Išankstinės sąskaitos </w:t>
                </w:r>
                <w:r>
                  <w:rPr>
                    <w:rFonts w:eastAsia="Calibri"/>
                    <w:szCs w:val="24"/>
                  </w:rPr>
                  <w:t>bendra mokėtina suma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Išankstinėje sąskaitoje nurodyta </w:t>
                </w:r>
                <w:r>
                  <w:rPr>
                    <w:rFonts w:eastAsia="Calibri"/>
                    <w:szCs w:val="24"/>
                  </w:rPr>
                  <w:t>bendra mokėtina suma</w:t>
                </w:r>
                <w:r>
                  <w:rPr>
                    <w:szCs w:val="24"/>
                    <w:lang w:eastAsia="lt-LT"/>
                  </w:rPr>
                  <w:t>.</w:t>
                </w:r>
              </w:p>
              <w:p>
                <w:pPr>
                  <w:jc w:val="both"/>
                  <w:rPr>
                    <w:szCs w:val="24"/>
                    <w:lang w:eastAsia="lt-LT"/>
                  </w:rPr>
                </w:pP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nonFiscalReturnDocument</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Prekių grąžinimo ir (arba) paslaugų atsisakymo operacijos duomenys.</w:t>
                </w:r>
              </w:p>
              <w:p>
                <w:pPr>
                  <w:jc w:val="both"/>
                  <w:rPr>
                    <w:szCs w:val="24"/>
                    <w:lang w:eastAsia="lt-LT"/>
                  </w:rPr>
                </w:pPr>
                <w:r>
                  <w:rPr>
                    <w:szCs w:val="24"/>
                  </w:rPr>
                  <w:t>Kasos aparatu registruojama prekių grąžinimo ir (arba) paslaugų atsisakymo operacija gali būti vykdoma tik kaip nefiskalinė operacija.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p>
              <w:p>
                <w:pPr>
                  <w:jc w:val="both"/>
                  <w:rPr>
                    <w:szCs w:val="24"/>
                    <w:lang w:eastAsia="lt-LT"/>
                  </w:rPr>
                </w:pPr>
                <w:r>
                  <w:rPr>
                    <w:szCs w:val="24"/>
                    <w:lang w:eastAsia="lt-LT"/>
                  </w:rPr>
                  <w:t>1.2.1.11.1.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otherCashCollectionOperations</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Prekių grąžinimo ir (arba) paslaugų atsisakymo operacijos detalūs duomenys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rPr>
                </w:pPr>
                <w:r>
                  <w:rPr>
                    <w:szCs w:val="24"/>
                  </w:rPr>
                  <w:t>Prekių grąžinimo ir (arba) paslaugų atsisakymo operacijos detalūs duomenys.</w:t>
                </w:r>
              </w:p>
              <w:p>
                <w:pPr>
                  <w:jc w:val="both"/>
                  <w:rPr>
                    <w:szCs w:val="24"/>
                    <w:lang w:eastAsia="lt-LT"/>
                  </w:rPr>
                </w:pPr>
                <w:r>
                  <w:rPr>
                    <w:szCs w:val="24"/>
                  </w:rPr>
                  <w:t>Prekių grąžinimo ir (arba) paslaugų atsisakymo operacijos nefiskaliniame dokumente nurodytos</w:t>
                </w:r>
                <w:r>
                  <w:rPr>
                    <w:szCs w:val="24"/>
                    <w:lang w:eastAsia="lt-LT"/>
                  </w:rPr>
                  <w:t xml:space="preserve"> lėšų sumokėjimo / išmokėjimo operacijos.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1.2.1.11.1.1.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otherCashCollectionOperation</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rPr>
                </w:pPr>
                <w:r>
                  <w:rPr>
                    <w:szCs w:val="24"/>
                  </w:rPr>
                  <w:t>Prekių grąžinimo ir (arba) paslaugų atsisakymo operacijos duomenys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rPr>
                </w:pPr>
                <w:r>
                  <w:rPr>
                    <w:szCs w:val="24"/>
                  </w:rPr>
                  <w:t>Prekių grąžinimo ir (arba) paslaugų atsisakymo operacijos duomenys.</w:t>
                </w:r>
              </w:p>
              <w:p>
                <w:pPr>
                  <w:jc w:val="both"/>
                  <w:rPr>
                    <w:szCs w:val="24"/>
                  </w:rPr>
                </w:pPr>
              </w:p>
            </w:tc>
          </w:tr>
          <w:tr>
            <w:trPr>
              <w:trHeight w:val="300"/>
            </w:trPr>
            <w:tc>
              <w:tcPr>
                <w:tcW w:w="2132" w:type="dxa"/>
                <w:tcBorders>
                  <w:top w:val="nil"/>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1.2.1.11.1.1.1.</w:t>
                </w:r>
              </w:p>
            </w:tc>
            <w:tc>
              <w:tcPr>
                <w:tcW w:w="2693"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collectionDirection</w:t>
                </w:r>
              </w:p>
            </w:tc>
            <w:tc>
              <w:tcPr>
                <w:tcW w:w="1701" w:type="dxa"/>
                <w:tcBorders>
                  <w:top w:val="nil"/>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 xml:space="preserve">Operacijos požymis </w:t>
                </w:r>
              </w:p>
            </w:tc>
            <w:tc>
              <w:tcPr>
                <w:tcW w:w="5790" w:type="dxa"/>
                <w:tcBorders>
                  <w:top w:val="nil"/>
                  <w:left w:val="nil"/>
                  <w:bottom w:val="single" w:sz="4" w:space="0" w:color="auto"/>
                  <w:right w:val="single" w:sz="4" w:space="0" w:color="auto"/>
                </w:tcBorders>
                <w:shd w:val="clear" w:color="auto" w:fill="auto"/>
              </w:tcPr>
              <w:p>
                <w:pPr>
                  <w:jc w:val="both"/>
                  <w:rPr>
                    <w:szCs w:val="24"/>
                    <w:lang w:val="en-US" w:eastAsia="lt-LT"/>
                  </w:rPr>
                </w:pPr>
                <w:r>
                  <w:rPr>
                    <w:szCs w:val="24"/>
                    <w:lang w:eastAsia="lt-LT"/>
                  </w:rPr>
                  <w:t>Operacijos požymis: sumokėjimo operacijos – „IN“, išmokėjimo operacijos – „OUT“. Operacijos požymis „IN“ taikomas kai grąžinimas atliekamas dėl registruotų prekių supirkimo operacijų.</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1.2.1.11.1.1.2.</w:t>
                </w:r>
              </w:p>
            </w:tc>
            <w:tc>
              <w:tcPr>
                <w:tcW w:w="2693"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collectionType</w:t>
                </w:r>
              </w:p>
            </w:tc>
            <w:tc>
              <w:tcPr>
                <w:tcW w:w="1701" w:type="dxa"/>
                <w:tcBorders>
                  <w:top w:val="nil"/>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Operacijos tipas</w:t>
                </w:r>
              </w:p>
            </w:tc>
            <w:tc>
              <w:tcPr>
                <w:tcW w:w="5790"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Operacijos tipas: 1 – depozitas, 4 – grąžinimas. Operacijos tipas „depozitas“ turi būti fiksuojamas kartu su operacijos tipu „grąžinimas“.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1.2.1.11.1.1.3.</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collectionAmount</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Operacijos suma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val="en-US" w:eastAsia="lt-LT"/>
                  </w:rPr>
                </w:pPr>
                <w:r>
                  <w:rPr>
                    <w:szCs w:val="24"/>
                    <w:lang w:eastAsia="lt-LT"/>
                  </w:rPr>
                  <w:t xml:space="preserve">Bendra operacijos suma pagal operacijos požymį ir tipą. </w:t>
                </w:r>
                <w:r>
                  <w:rPr>
                    <w:szCs w:val="24"/>
                  </w:rPr>
                  <w:t>Prekių grąžinimo ir (arba) paslaugų atsisakymo operacijos nefiskaliniame dokumente</w:t>
                </w:r>
                <w:r>
                  <w:rPr>
                    <w:szCs w:val="24"/>
                    <w:lang w:eastAsia="lt-LT"/>
                  </w:rPr>
                  <w:t>.</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1.2.1.11.1.1.4.</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returnedDocumentCashRegisterRegistrationNo</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Kvito, pagal kurį grąžinama, kasos aparato unikalus numeris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Kvito, pagal kurį grąžinama, kasos aparato unikalus numeris (kasos aparatams, kurie teikia duomenys i.EKA, nurodoma cashRegisterRegistrationNo reikšmė, kitų kasos aparatų gamintojo suteiktas unikalus serijinis numeris). Privalomas, jei neteikiama 1.2.1.11.1.6 elemento reikšmė.</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1.2.1.11.1.1.5.</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returnedDocumentNumber</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Kvito, pagal kurį grąžinama, dokumentą identifikuojantis numeris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Kvito, pagal kurį gražinama, dokumentą identifikuojantis numeris (Bendras dokumento eilės numeris).</w:t>
                </w:r>
                <w:r>
                  <w:rPr>
                    <w:sz w:val="22"/>
                    <w:szCs w:val="22"/>
                  </w:rPr>
                  <w:t xml:space="preserve"> </w:t>
                </w:r>
                <w:r>
                  <w:rPr>
                    <w:szCs w:val="24"/>
                    <w:lang w:eastAsia="lt-LT"/>
                  </w:rPr>
                  <w:t xml:space="preserve">Privalomas, jei neteikiama 1.2.1.11.1.6 elemento reikšmė.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1.2.1.11.1.1.6. </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returnedOtherSalesDocumentNumber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Pardavimo dokumento, pagal kurį grąžinama, numeris.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Pardavimo dokumento, pagal kurį grąžinama, identifikuojantis numeris.</w:t>
                </w:r>
              </w:p>
              <w:p>
                <w:pPr>
                  <w:jc w:val="both"/>
                  <w:rPr>
                    <w:szCs w:val="24"/>
                    <w:lang w:eastAsia="lt-LT"/>
                  </w:rPr>
                </w:pPr>
                <w:r>
                  <w:rPr>
                    <w:szCs w:val="24"/>
                    <w:lang w:eastAsia="lt-LT"/>
                  </w:rPr>
                  <w:t>Laukas pildomas, kai nėra fiskalinio kvito, pagal kurį grąžinama, duomenų (pvz.: prekė buvo parduota internetu ir turimas tik prekės sąskaitos numeris). Privalomas, jei neteikiamos 1.2.1.11.1.4 ir 1.2.1.11.1.5 elemento reikšmės.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1.2.1.11.2.</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receiptPayments</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mokėjimų informacija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mokėjimų informacija pagal mokėjimo būdus.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1.2.1.11.2.1.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totalAmountToPay</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mokėtina suma</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mokėtina suma. Mokėtina suma yra neigiama, jei pirkėjui išmokami pinigai.</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1.2.1.11.2.2.</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paymentDetails</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mokėjimo būdų detalūs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mokėjimo būdų detalūs duomenys.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1.2.1.11.2.2.1.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paymentDetail</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Nefiskalinio prekių grąžinimo ir (arba) paslaugų atsisakymo dokumento</w:t>
                </w:r>
                <w:r>
                  <w:rPr>
                    <w:szCs w:val="24"/>
                    <w:lang w:eastAsia="lt-LT"/>
                  </w:rPr>
                  <w:t xml:space="preserve"> mokėjimo būdo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Nefiskalinio prekių grąžinimo ir (arba) paslaugų atsisakymo dokumento</w:t>
                </w:r>
                <w:r>
                  <w:rPr>
                    <w:szCs w:val="24"/>
                    <w:lang w:eastAsia="lt-LT"/>
                  </w:rPr>
                  <w:t xml:space="preserve"> mokėjimo būdo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1.2.1.11.2.2.1.1.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paymentType</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apmokėjimo būdas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apmokėjimo būdas: 1 – grynieji, 2 – debetinė / kreditinė mokėjimo kortelė, 3 – kita mokėjimo kortelė (pavyzdžiui, lojalumo kortelė), 4 – kuponai, 5 – pavedimas, 8 – kriptovaliuta, 9 – kita, 10 – apvalinimas.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1.2.1.11.2.2.1.2.</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paidAmountNatCur</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apmokėta suma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Apmokėta </w:t>
                </w:r>
                <w:r>
                  <w:rPr>
                    <w:szCs w:val="24"/>
                  </w:rPr>
                  <w:t>nefiskalinio prekių grąžinimo ir (arba) paslaugų atsisakymo dokumento</w:t>
                </w:r>
                <w:r>
                  <w:rPr>
                    <w:szCs w:val="24"/>
                    <w:lang w:eastAsia="lt-LT"/>
                  </w:rPr>
                  <w:t xml:space="preserve"> suma eurais pagal apmokėjimo būdą ir valiutą.</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1.2.1.11.2.2.1.3.</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paymentCurrency</w:t>
                </w:r>
              </w:p>
            </w:tc>
            <w:tc>
              <w:tcPr>
                <w:tcW w:w="1701" w:type="dxa"/>
                <w:tcBorders>
                  <w:top w:val="single" w:sz="4" w:space="0" w:color="auto"/>
                  <w:left w:val="nil"/>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apmokėta suma</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apmokėta suma  </w:t>
                </w:r>
                <w:r>
                  <w:rPr>
                    <w:szCs w:val="24"/>
                    <w:lang w:eastAsia="lt-LT"/>
                  </w:rPr>
                  <w:t xml:space="preserve">apmokėjimo valiuta pagal ISO 4217 standartą, pvz.: USD. </w:t>
                </w:r>
                <w:r>
                  <w:rPr>
                    <w:bCs/>
                    <w:szCs w:val="24"/>
                    <w:lang w:eastAsia="lt-LT"/>
                  </w:rPr>
                  <w:t>Elemento reikšmė užpildoma, jei buvo naudojama kita nei euras valiuta.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1.2.1.11.2.2.1.4.</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paidAmountPaymentCur</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apmokėta suma  apmokėta suma valiuta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apmokėta suma apmokėta kita nei eurais valiuta suma. Elemento reikšmė užpildoma, jei buvo naudojama kita nei euras valiuta.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1.2.1.11.2.2.1.5.</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exchangeRate</w:t>
                </w:r>
              </w:p>
            </w:tc>
            <w:tc>
              <w:tcPr>
                <w:tcW w:w="1701" w:type="dxa"/>
                <w:tcBorders>
                  <w:top w:val="single" w:sz="4" w:space="0" w:color="auto"/>
                  <w:left w:val="nil"/>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apmokėta suma  apmokėjimo valiutos kursas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Užsienio šalių valiutos konvertuojamos pagal Europos Centrinio Banko paskelbtą orientacinį euro ir užsienio valiutos santykį, o tais atvejais, kai orientacinio euro ir užsienio valiutos santykio Europos Centrinis Bankas neskelbia, – pagal Lietuvos banko skelbiamą orientacinį euro ir užsienio valiutos konvertavimo santykį. Elemento reikšmė užpildoma, jei buvo naudojama kita nei euras valiuta.</w:t>
                </w:r>
              </w:p>
            </w:tc>
          </w:tr>
          <w:tr>
            <w:trPr>
              <w:trHeight w:val="845"/>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1.2.1.11.2.3.</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payoutDetails</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pinigų išmokėjimo būdų detalūs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pinigų išmokėjimo būdų detalūs duomenys.</w:t>
                </w:r>
              </w:p>
            </w:tc>
          </w:tr>
          <w:tr>
            <w:trPr>
              <w:trHeight w:val="845"/>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1.2.1.11.2.3.1.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payoutDetail</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Nefiskalinio prekių grąžinimo ir (arba) paslaugų atsisakymo dokumento</w:t>
                </w:r>
                <w:r>
                  <w:rPr>
                    <w:szCs w:val="24"/>
                    <w:lang w:eastAsia="lt-LT"/>
                  </w:rPr>
                  <w:t xml:space="preserve"> pinigų išmokėjimo būdo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Nefiskalinio prekių grąžinimo ir (arba) paslaugų atsisakymo dokumento</w:t>
                </w:r>
                <w:r>
                  <w:rPr>
                    <w:szCs w:val="24"/>
                    <w:lang w:eastAsia="lt-LT"/>
                  </w:rPr>
                  <w:t xml:space="preserve"> pinigų išmokėjimo būdo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1.2.1.11.2.3.1.1.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payoutType</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p>
              <w:p>
                <w:pPr>
                  <w:jc w:val="both"/>
                  <w:rPr>
                    <w:szCs w:val="24"/>
                    <w:lang w:eastAsia="lt-LT"/>
                  </w:rPr>
                </w:pPr>
                <w:r>
                  <w:rPr>
                    <w:szCs w:val="24"/>
                    <w:lang w:eastAsia="lt-LT"/>
                  </w:rPr>
                  <w:t>pinigų išmokėjimo būdas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pinigų išmokėjimo būdas: 1 – grynieji, 2 – debetinė / kreditinė mokėjimo kortelė, 3 – kita mokėjimo kortelė (pavyzdžiui, lojalumo kortelė), 4 – kuponai, 6 – kompensuojama iš Privalomojo sveikatos draudimo fondo biudžeto lėšų, 7 – kompensuojama iš valstybės biudžeto lėšų, 5 – pavedimas, 8 – kriptovaliuta, 9 – kita, 10 – apvalinimas.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1.2.1.11.2.3.1.2.</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payoutAmountNatCur</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p>
              <w:p>
                <w:pPr>
                  <w:jc w:val="both"/>
                  <w:rPr>
                    <w:szCs w:val="24"/>
                    <w:lang w:eastAsia="lt-LT"/>
                  </w:rPr>
                </w:pPr>
                <w:r>
                  <w:rPr>
                    <w:szCs w:val="24"/>
                    <w:lang w:eastAsia="lt-LT"/>
                  </w:rPr>
                  <w:t>pinigų išmokėjimo suma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Išmokėta </w:t>
                </w:r>
                <w:r>
                  <w:rPr>
                    <w:szCs w:val="24"/>
                  </w:rPr>
                  <w:t>nefiskalinio prekių grąžinimo ir (arba) paslaugų atsisakymo dokumento</w:t>
                </w:r>
                <w:r>
                  <w:rPr>
                    <w:szCs w:val="24"/>
                    <w:lang w:eastAsia="lt-LT"/>
                  </w:rPr>
                  <w:t xml:space="preserve"> pinigų suma eurais pagal išmokėjimo būdą ir valiutą.</w:t>
                </w:r>
              </w:p>
              <w:p>
                <w:pPr>
                  <w:jc w:val="both"/>
                  <w:rPr>
                    <w:szCs w:val="24"/>
                    <w:lang w:eastAsia="lt-LT"/>
                  </w:rPr>
                </w:pP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1.2.1.11.2.3.1.3.</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payoutCurrency</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pinigų išmokėjimo valiuta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w:t>
                </w:r>
                <w:r>
                  <w:rPr>
                    <w:szCs w:val="24"/>
                    <w:lang w:eastAsia="lt-LT"/>
                  </w:rPr>
                  <w:t xml:space="preserve">pinigų išmokėjimo valiuta pagal ISO 4217 standartą, pvz.: USD. </w:t>
                </w:r>
                <w:r>
                  <w:rPr>
                    <w:bCs/>
                    <w:szCs w:val="24"/>
                    <w:lang w:eastAsia="lt-LT"/>
                  </w:rPr>
                  <w:t>Elemento reikšmė užpildoma, jei buvo naudojama kita nei euras valiuta.</w:t>
                </w:r>
                <w:r>
                  <w:rPr>
                    <w:szCs w:val="24"/>
                    <w:lang w:eastAsia="lt-LT"/>
                  </w:rPr>
                  <w:t xml:space="preserve"> </w:t>
                </w:r>
              </w:p>
              <w:p>
                <w:pPr>
                  <w:jc w:val="both"/>
                  <w:rPr>
                    <w:szCs w:val="24"/>
                    <w:lang w:eastAsia="lt-LT"/>
                  </w:rPr>
                </w:pP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1.2.1.11.2.3.1.4.</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payoutAmountPaymentCur</w:t>
                </w:r>
              </w:p>
            </w:tc>
            <w:tc>
              <w:tcPr>
                <w:tcW w:w="1701" w:type="dxa"/>
                <w:tcBorders>
                  <w:top w:val="single" w:sz="4" w:space="0" w:color="auto"/>
                  <w:left w:val="nil"/>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pinigų išmokėjimo suma valiuta</w:t>
                  <w:tab/>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pinigų išmokėjimo kita nei eurais valiuta suma. Elemento reikšmė užpildoma, jei buvo naudojama kita nei euras valiuta. </w:t>
                </w:r>
              </w:p>
              <w:p>
                <w:pPr>
                  <w:jc w:val="both"/>
                  <w:rPr>
                    <w:szCs w:val="24"/>
                    <w:lang w:eastAsia="lt-LT"/>
                  </w:rPr>
                </w:pPr>
              </w:p>
            </w:tc>
          </w:tr>
          <w:tr>
            <w:trPr>
              <w:trHeight w:val="845"/>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1.2.1.11.2.3.1.5.</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exchangeRate</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pinigų išmokėjimo valiutos kursas </w:t>
                </w:r>
              </w:p>
              <w:p>
                <w:pPr>
                  <w:jc w:val="both"/>
                  <w:rPr>
                    <w:szCs w:val="24"/>
                    <w:lang w:eastAsia="lt-LT"/>
                  </w:rPr>
                </w:pP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Užsienio šalių valiutos konvertuojamos pagal Europos Centrinio Banko paskelbtą orientacinį euro ir užsienio valiutos santykį, o tais atvejais, kai orientacinio euro ir užsienio valiutos santykio Europos Centrinis Bankas neskelbia, – pagal Lietuvos banko skelbiamą orientacinį euro ir užsienio valiutos konvertavimo santykį. Elemento reikšmė užpildoma, jei buvo naudojama kita nei euras valiuta.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nonFiscalFinancialDocument</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duomenys</w:t>
                </w:r>
              </w:p>
            </w:tc>
            <w:tc>
              <w:tcPr>
                <w:tcW w:w="5790" w:type="dxa"/>
                <w:tcBorders>
                  <w:top w:val="single" w:sz="4" w:space="0" w:color="auto"/>
                  <w:left w:val="nil"/>
                  <w:bottom w:val="single" w:sz="4" w:space="0" w:color="auto"/>
                  <w:right w:val="single" w:sz="4" w:space="0" w:color="auto"/>
                </w:tcBorders>
                <w:shd w:val="clear" w:color="auto" w:fill="auto"/>
              </w:tcPr>
              <w:p>
                <w:pPr>
                  <w:jc w:val="both"/>
                  <w:rPr>
                    <w:color w:val="000000"/>
                    <w:szCs w:val="24"/>
                  </w:rPr>
                </w:pPr>
                <w:r>
                  <w:rPr>
                    <w:szCs w:val="24"/>
                    <w:lang w:eastAsia="lt-LT"/>
                  </w:rPr>
                  <w:t xml:space="preserve">Nefiskalinio kitų lėšų sumokėjimo / išmokėjimo operacijų kvito duomenys.  Kitos lėšų sumokėjimo / išmokėjimo nefiskalinės operacijos </w:t>
                </w:r>
                <w:r>
                  <w:rPr>
                    <w:color w:val="000000"/>
                    <w:szCs w:val="24"/>
                  </w:rPr>
                  <w:t xml:space="preserve">neapimančios prekių (paslaugų) pardavimo ir (ar) supirkimo operacijų, keičiančių kasos aparato fiskalinių duomenų sumuojančių skaitiklių reikšmes. </w:t>
                </w:r>
              </w:p>
              <w:p>
                <w:pPr>
                  <w:jc w:val="both"/>
                  <w:rPr>
                    <w:color w:val="000000"/>
                    <w:szCs w:val="24"/>
                  </w:rPr>
                </w:pPr>
                <w:r>
                  <w:rPr>
                    <w:szCs w:val="24"/>
                    <w:lang w:eastAsia="lt-LT"/>
                  </w:rPr>
                  <w:t xml:space="preserve">Taip pat, elemento reikšmė neapima mokesčių mokėtojo, naudojančio kasos aparatą, vykdomų pinigų įdėjimo ir išėmimo (pavyzdžiui, inkasavimo) operacijų.  </w:t>
                </w:r>
              </w:p>
              <w:p>
                <w:pPr>
                  <w:ind w:firstLine="57"/>
                  <w:jc w:val="both"/>
                  <w:rPr>
                    <w:szCs w:val="24"/>
                    <w:lang w:eastAsia="lt-LT"/>
                  </w:rPr>
                </w:pP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1.2.1.12.1.</w:t>
                </w:r>
              </w:p>
              <w:p>
                <w:pPr>
                  <w:jc w:val="both"/>
                  <w:rPr>
                    <w:szCs w:val="24"/>
                    <w:lang w:eastAsia="lt-LT"/>
                  </w:rPr>
                </w:pP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otherCashCollectionOperations</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Kitos lėšų sumokėjimo / išmokėjimo operacijos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 xml:space="preserve">Kitos lėšų sumokėjimo / išmokėjimo operacijos. Elemento reikšmė neapima mokesčių mokėtojo, naudojančio kasos aparatą, vykdomų pinigų įdėjimo ir išėmimo (pavyzdžiui, inkasavimo) operacijų.  </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1.2.1.12.1.1.</w:t>
                </w:r>
              </w:p>
            </w:tc>
            <w:tc>
              <w:tcPr>
                <w:tcW w:w="2693"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otherCashCollectionOperation</w:t>
                </w:r>
              </w:p>
            </w:tc>
            <w:tc>
              <w:tcPr>
                <w:tcW w:w="1701" w:type="dxa"/>
                <w:tcBorders>
                  <w:top w:val="nil"/>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Kita lėšų sumokėjimo / išmokėjimo operacija</w:t>
                </w:r>
              </w:p>
            </w:tc>
            <w:tc>
              <w:tcPr>
                <w:tcW w:w="5790"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 xml:space="preserve">Kita lėšų sumokėjimo / išmokėjimo operacija. </w:t>
                </w:r>
              </w:p>
            </w:tc>
          </w:tr>
          <w:tr>
            <w:trPr>
              <w:trHeight w:val="628"/>
            </w:trPr>
            <w:tc>
              <w:tcPr>
                <w:tcW w:w="2132" w:type="dxa"/>
                <w:tcBorders>
                  <w:top w:val="nil"/>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1.2.1.12.1.1.1.</w:t>
                </w:r>
              </w:p>
            </w:tc>
            <w:tc>
              <w:tcPr>
                <w:tcW w:w="2693"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collectionDirection</w:t>
                </w:r>
              </w:p>
            </w:tc>
            <w:tc>
              <w:tcPr>
                <w:tcW w:w="1701" w:type="dxa"/>
                <w:tcBorders>
                  <w:top w:val="nil"/>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Operacijos požymis</w:t>
                </w:r>
              </w:p>
            </w:tc>
            <w:tc>
              <w:tcPr>
                <w:tcW w:w="5790"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Operacijos požymis: sumokėjimo operacijos – „IN“, išmokėjimo operacijos – „OUT“.</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1.2.1.12.1.1.2.</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collectionType</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Operacijos tipas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Operacijos tipas: 1 – depozitas, 2 – kita.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1.2.1.12.1.1.3.</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collectionAmount</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Operacijos suma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Bendra operacijos suma pagal operacijos požymį ir tipą nefiskaliniame kitų lėšų sumokėjimo / išmokėjimo operacijų kvite.</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w:t>
                </w:r>
              </w:p>
              <w:p>
                <w:pPr>
                  <w:jc w:val="both"/>
                  <w:rPr>
                    <w:szCs w:val="24"/>
                    <w:lang w:eastAsia="lt-LT"/>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receiptPayments</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mokėjimų informacija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mokėjimų informacija pagal mokėjimo būdus.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totalAmountToPay</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mokėtina suma</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mokėtina suma. Mokėtina suma yra neigiama, jei pirkėjui išmokami pinigai.</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1.2.1.12.2.2.</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paymentDetails</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mokėjimo būdų detalūs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mokėjimo būdų detalūs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1.2.1.12.2.2.1.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paymentDetail</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mokėjimo būdo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mokėjimo būdo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1.2.1.12.2.2.1.1.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paymentType</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kvito apmokėjimo būdas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Nefiskalinio kvito apmokėjimo būdas: 1 – grynieji, 2 – debetinė / kreditinė mokėjimo kortelė, 3 – kita mokėjimo kortelė (pavyzdžiui, lojalumo kortelė), 4 – kuponai, 5 – pavedimas, 8 – kriptovaliuta, 9 – kita, 10 – apvalinimas.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1.2.1.12.2.2.1.2.</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paidAmountNatCur</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apmokėta suma</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Apmokėta Nefiskalinio kitų lėšų sumokėjimo / išmokėjimo operacijų kvito suma eurais pagal apmokėjimo būdą ir valiutą.</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1.2.1.12.2.2.1.3.</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paymentCurrency</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apmokėjimo valiuta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Nefiskalinio kitų lėšų sumokėjimo / išmokėjimo operacijų kvito  </w:t>
                </w:r>
                <w:r>
                  <w:rPr>
                    <w:szCs w:val="24"/>
                    <w:lang w:eastAsia="lt-LT"/>
                  </w:rPr>
                  <w:t xml:space="preserve">apmokėjimo valiuta pagal ISO 4217 standartą, pvz.: USD. </w:t>
                </w:r>
                <w:r>
                  <w:rPr>
                    <w:bCs/>
                    <w:szCs w:val="24"/>
                    <w:lang w:eastAsia="lt-LT"/>
                  </w:rPr>
                  <w:t>Elemento reikšmė užpildoma, jei buvo naudojama kita nei euras valiuta.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1.2.1.12.2.2.1.4.</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paidAmountPaymentCur</w:t>
                </w:r>
              </w:p>
            </w:tc>
            <w:tc>
              <w:tcPr>
                <w:tcW w:w="1701" w:type="dxa"/>
                <w:tcBorders>
                  <w:top w:val="single" w:sz="4" w:space="0" w:color="auto"/>
                  <w:left w:val="nil"/>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 xml:space="preserve">Nefiskalinio kitų lėšų sumokėjimo / išmokėjimo operacijų kvito  apmokėta suma valiuta</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apmokėta kita nei eurais valiuta suma. Elemento reikšmė užpildoma, jei buvo naudojama kita nei euras valiuta.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1.2.1.12.2.2.1.5.</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exchangeRate</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apmokėjimo valiutos kursas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Užsienio šalių valiutos konvertuojamos pagal Europos Centrinio Banko paskelbtą orientacinį euro ir užsienio valiutos santykį, o tais atvejais, kai orientacinio euro ir užsienio valiutos santykio Europos Centrinis Bankas neskelbia, – pagal Lietuvos banko skelbiamą orientacinį euro ir užsienio valiutos konvertavimo santykį. Elemento reikšmė užpildoma, jei buvo naudojama kita nei euras valiuta.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1.2.1.12.2.3.</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payoutDetails</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pinigų išmokėjimo būdų detalūs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pinigų išmokėjimo būdų detalūs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1.2.1.12.2.3.1.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payoutDetail</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pinigų išmokėjimo būdo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pinigų išmokėjimo būdo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1.2.1.12.2.3.1.1.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payoutType</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pinigų išmokėjimo būdas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 xml:space="preserve">Nefiskalinio kitų lėšų sumokėjimo / išmokėjimo operacijų kvito pinigų išmokėjimo būdas: 1 – grynieji, 2 – debetinė / kreditinė mokėjimo kortelė, 3 – kita mokėjimo kortelė (pavyzdžiui, lojalumo kortelė), 4 – kuponai, 5 – pavedimas, 8 – kriptovaliuta, 9 – kita, 10 – apvalinimas.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1.2.1.12.2.3.1.2.</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payoutAmountNatCur</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pinigų išmokėjimo suma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Išmokėta nefiskalinio kitų lėšų sumokėjimo / išmokėjimo operacijų kvito pinigų suma eurais pagal išmokėjimo tipą ir valiutą.</w:t>
                </w:r>
              </w:p>
              <w:p>
                <w:pPr>
                  <w:jc w:val="both"/>
                  <w:rPr>
                    <w:szCs w:val="24"/>
                    <w:lang w:eastAsia="lt-LT"/>
                  </w:rPr>
                </w:pP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1.2.1.12.2.3.1.3.</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payoutCurrency</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pinigų išmokėjimo valiuta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w:t>
                </w:r>
                <w:r>
                  <w:rPr>
                    <w:color w:val="0563C1"/>
                    <w:szCs w:val="24"/>
                    <w:lang w:eastAsia="lt-LT"/>
                  </w:rPr>
                  <w:t xml:space="preserve"> </w:t>
                </w:r>
                <w:r>
                  <w:rPr>
                    <w:szCs w:val="24"/>
                    <w:lang w:eastAsia="lt-LT"/>
                  </w:rPr>
                  <w:t xml:space="preserve">pinigų išmokėjimo valiuta pagal ISO 4217 standartą, pvz.: USD. </w:t>
                </w:r>
                <w:r>
                  <w:rPr>
                    <w:bCs/>
                    <w:szCs w:val="24"/>
                    <w:lang w:eastAsia="lt-LT"/>
                  </w:rPr>
                  <w:t>Elemento reikšmė užpildoma, jei buvo naudojama kita nei euras valiuta.</w:t>
                </w:r>
                <w:r>
                  <w:rPr>
                    <w:szCs w:val="24"/>
                    <w:lang w:eastAsia="lt-LT"/>
                  </w:rPr>
                  <w:t xml:space="preserve"> </w:t>
                </w:r>
              </w:p>
            </w:tc>
          </w:tr>
          <w:tr>
            <w:trPr>
              <w:trHeight w:val="1566"/>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1.2.1.12.2.3.1.4.</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payoutAmountPaymentCur</w:t>
                </w:r>
              </w:p>
            </w:tc>
            <w:tc>
              <w:tcPr>
                <w:tcW w:w="1701" w:type="dxa"/>
                <w:tcBorders>
                  <w:top w:val="single" w:sz="4" w:space="0" w:color="auto"/>
                  <w:left w:val="nil"/>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 xml:space="preserve">Nefiskalinio kitų lėšų sumokėjimo / išmokėjimo operacijų kvito  pinigų išmokėjimo suma valiuta</w:t>
                  <w:tab/>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 xml:space="preserve">Nefiskalinio kitų lėšų sumokėjimo / išmokėjimo operacijų kvito pinigų išmokėjimo kita nei eurais valiuta suma. Elemento reikšmė užpildoma, jei buvo naudojama kita nei euras valiuta. </w:t>
                </w:r>
              </w:p>
              <w:p>
                <w:pPr>
                  <w:jc w:val="both"/>
                  <w:rPr>
                    <w:szCs w:val="24"/>
                    <w:lang w:eastAsia="lt-LT"/>
                  </w:rPr>
                </w:pPr>
              </w:p>
            </w:tc>
          </w:tr>
          <w:tr>
            <w:trPr>
              <w:trHeight w:val="562"/>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1.2.1.12.2.3.1.5.</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exchangeRate</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Nefiskalinio kitų lėšų sumokėjimo / išmokėjimo operacijų kvito pinigų išmokėjimo valiutos kursas </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Užsienio šalių valiutos konvertavimas pagal Europos Centrinio Banko paskelbtą orientacinį euro ir užsienio valiutos santykį, o tais atvejais, kai orientacinio euro ir užsienio valiutos santykio Europos Centrinis Bankas neskelbia, – pagal Lietuvos banko skelbiamą orientacinį euro ir užsienio valiutos konvertavimo santykį. Elemento reikšmė užpildoma, jei buvo naudojama kita nei euras valiuta.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1.2.1.13.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gasStationOperationViolationDocument</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Nefiskalinio informacijos perdavimo  pažeidimo kvito duomenys </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Nefiskalinio informacijos perdavimo  pažeidimo kvito duomenys. </w:t>
                </w:r>
                <w:r>
                  <w:rPr>
                    <w:color w:val="000000"/>
                    <w:szCs w:val="24"/>
                  </w:rPr>
                  <w:t>Duomenys apie degalinės sistemos arba degalų įpylimo kolonėlės darbo blokavimą, pažeidus informacijos perdavimą linijomis, jungiančiomis atskirus modulius ir kolonėles.</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1.2.1.13.1.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violationDescription</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Pažeidimo aprašymas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Laisvo teksto pažeidimo aprašymas (pvz.: prarastas ryšys).</w:t>
                </w:r>
              </w:p>
            </w:tc>
          </w:tr>
        </w:tbl>
        <w:p>
          <w:pPr>
            <w:spacing w:line="259" w:lineRule="auto"/>
            <w:rPr>
              <w:szCs w:val="24"/>
              <w:lang w:eastAsia="lt-LT"/>
            </w:rPr>
          </w:pPr>
          <w:r>
            <w:rPr>
              <w:szCs w:val="24"/>
              <w:lang w:eastAsia="lt-LT"/>
            </w:rPr>
            <w:t>Sutartiniai ženklai grafoje „Privalomumas“:</w:t>
          </w:r>
        </w:p>
        <w:p>
          <w:pPr>
            <w:rPr>
              <w:sz w:val="14"/>
              <w:szCs w:val="14"/>
            </w:rPr>
          </w:pPr>
        </w:p>
        <w:tbl>
          <w:tblPr>
            <w:tblW w:w="10055" w:type="dxa"/>
            <w:tblInd w:w="5" w:type="dxa"/>
            <w:tblLayout w:type="fixed"/>
            <w:tblCellMar>
              <w:left w:w="0" w:type="dxa"/>
              <w:right w:w="0" w:type="dxa"/>
            </w:tblCellMar>
            <w:tblLook w:val="04A0" w:firstRow="1" w:lastRow="0" w:firstColumn="1" w:lastColumn="0" w:noHBand="0" w:noVBand="1"/>
          </w:tblPr>
          <w:tblGrid>
            <w:gridCol w:w="1266"/>
            <w:gridCol w:w="8789"/>
          </w:tblGrid>
          <w:tr>
            <w:trPr>
              <w:trHeight w:val="255"/>
            </w:trPr>
            <w:tc>
              <w:tcPr>
                <w:tcW w:w="1266" w:type="dxa"/>
                <w:tcBorders>
                  <w:top w:val="single" w:sz="4" w:space="0" w:color="auto"/>
                  <w:left w:val="single" w:sz="4" w:space="0" w:color="auto"/>
                  <w:bottom w:val="single" w:sz="4" w:space="0" w:color="auto"/>
                  <w:right w:val="single" w:sz="4" w:space="0" w:color="auto"/>
                </w:tcBorders>
                <w:shd w:val="clear" w:color="auto" w:fill="auto"/>
                <w:noWrap/>
              </w:tcPr>
              <w:p>
                <w:pPr>
                  <w:spacing w:line="259" w:lineRule="auto"/>
                  <w:rPr>
                    <w:szCs w:val="24"/>
                    <w:lang w:eastAsia="lt-LT"/>
                  </w:rPr>
                </w:pPr>
                <w:r>
                  <w:rPr>
                    <w:szCs w:val="24"/>
                    <w:lang w:eastAsia="lt-LT"/>
                  </w:rPr>
                  <w:t>*</w:t>
                </w:r>
              </w:p>
            </w:tc>
            <w:tc>
              <w:tcPr>
                <w:tcW w:w="8789" w:type="dxa"/>
                <w:tcBorders>
                  <w:top w:val="single" w:sz="4" w:space="0" w:color="auto"/>
                  <w:left w:val="single" w:sz="4" w:space="0" w:color="auto"/>
                  <w:bottom w:val="single" w:sz="4" w:space="0" w:color="auto"/>
                  <w:right w:val="single" w:sz="4" w:space="0" w:color="auto"/>
                </w:tcBorders>
                <w:shd w:val="clear" w:color="auto" w:fill="auto"/>
                <w:noWrap/>
              </w:tcPr>
              <w:p>
                <w:pPr>
                  <w:spacing w:line="259" w:lineRule="auto"/>
                  <w:rPr>
                    <w:szCs w:val="24"/>
                    <w:lang w:eastAsia="lt-LT"/>
                  </w:rPr>
                </w:pPr>
                <w:r>
                  <w:rPr>
                    <w:szCs w:val="24"/>
                    <w:lang w:eastAsia="lt-LT"/>
                  </w:rPr>
                  <w:t>Privalomas elementas, reikšmė turi būti užpildoma.</w:t>
                </w:r>
              </w:p>
            </w:tc>
          </w:tr>
          <w:tr>
            <w:trPr>
              <w:trHeight w:val="255"/>
            </w:trPr>
            <w:tc>
              <w:tcPr>
                <w:tcW w:w="1266" w:type="dxa"/>
                <w:tcBorders>
                  <w:top w:val="single" w:sz="4" w:space="0" w:color="auto"/>
                  <w:left w:val="single" w:sz="4" w:space="0" w:color="auto"/>
                  <w:bottom w:val="single" w:sz="4" w:space="0" w:color="auto"/>
                  <w:right w:val="single" w:sz="4" w:space="0" w:color="auto"/>
                </w:tcBorders>
                <w:shd w:val="clear" w:color="auto" w:fill="FFFFFF"/>
                <w:noWrap/>
              </w:tcPr>
              <w:p>
                <w:pPr>
                  <w:spacing w:line="259" w:lineRule="auto"/>
                  <w:rPr>
                    <w:szCs w:val="24"/>
                    <w:lang w:eastAsia="lt-LT"/>
                  </w:rPr>
                </w:pPr>
                <w:r>
                  <w:rPr>
                    <w:szCs w:val="24"/>
                    <w:lang w:eastAsia="lt-LT"/>
                  </w:rPr>
                  <w:t>Nenurodyta</w:t>
                </w:r>
              </w:p>
            </w:tc>
            <w:tc>
              <w:tcPr>
                <w:tcW w:w="8789" w:type="dxa"/>
                <w:tcBorders>
                  <w:top w:val="single" w:sz="4" w:space="0" w:color="auto"/>
                  <w:left w:val="single" w:sz="4" w:space="0" w:color="auto"/>
                  <w:bottom w:val="single" w:sz="4" w:space="0" w:color="auto"/>
                  <w:right w:val="single" w:sz="4" w:space="0" w:color="auto"/>
                </w:tcBorders>
                <w:shd w:val="clear" w:color="auto" w:fill="FFFFFF"/>
                <w:noWrap/>
              </w:tcPr>
              <w:p>
                <w:pPr>
                  <w:jc w:val="both"/>
                  <w:rPr>
                    <w:szCs w:val="24"/>
                    <w:lang w:eastAsia="lt-LT"/>
                  </w:rPr>
                </w:pPr>
                <w:r>
                  <w:rPr>
                    <w:szCs w:val="24"/>
                    <w:lang w:eastAsia="lt-LT"/>
                  </w:rPr>
                  <w:t>Rinkmenoje elemento ir reikšmės gali nebūti.</w:t>
                </w:r>
              </w:p>
              <w:p>
                <w:pPr>
                  <w:jc w:val="both"/>
                  <w:rPr>
                    <w:szCs w:val="24"/>
                    <w:lang w:eastAsia="lt-LT"/>
                  </w:rPr>
                </w:pPr>
                <w:r>
                  <w:rPr>
                    <w:szCs w:val="24"/>
                    <w:lang w:eastAsia="lt-LT"/>
                  </w:rPr>
                  <w:t>Žvaigždute (*) nepažymėti elementai į pateikiamą rinkmeną neįtraukiami ir neužpildomi tik tais atvejais, kai ūkio subjekto kasos aparatu suformuotame dokumente tokių duomenų nėra.</w:t>
                </w:r>
              </w:p>
            </w:tc>
          </w:tr>
        </w:tbl>
        <w:p>
          <w:pPr>
            <w:tabs>
              <w:tab w:val="left" w:pos="914"/>
            </w:tabs>
            <w:spacing w:line="259" w:lineRule="auto"/>
            <w:rPr>
              <w:sz w:val="22"/>
              <w:szCs w:val="24"/>
              <w:lang w:eastAsia="lt-LT"/>
            </w:rPr>
          </w:pPr>
        </w:p>
        <w:p>
          <w:pPr>
            <w:rPr>
              <w:sz w:val="14"/>
              <w:szCs w:val="14"/>
            </w:rPr>
          </w:pPr>
        </w:p>
        <w:p>
          <w:pPr>
            <w:spacing w:line="259" w:lineRule="auto"/>
            <w:jc w:val="center"/>
            <w:rPr>
              <w:sz w:val="22"/>
              <w:szCs w:val="24"/>
              <w:lang w:eastAsia="lt-LT"/>
            </w:rPr>
            <w:sectPr>
              <w:pgSz w:w="16838" w:h="11906" w:orient="landscape"/>
              <w:pgMar w:top="1701" w:right="1134" w:bottom="567" w:left="1134" w:header="567" w:footer="567" w:gutter="0"/>
              <w:pgNumType w:start="1"/>
              <w:cols w:space="1296"/>
              <w:titlePg/>
              <w:docGrid w:linePitch="360"/>
            </w:sectPr>
          </w:pPr>
          <w:r>
            <w:rPr>
              <w:sz w:val="22"/>
              <w:szCs w:val="24"/>
              <w:lang w:eastAsia="lt-LT"/>
            </w:rPr>
            <w:t>___________________________________</w:t>
          </w:r>
        </w:p>
        <w:p>
          <w:pPr>
            <w:rPr>
              <w:sz w:val="14"/>
              <w:szCs w:val="14"/>
            </w:rPr>
          </w:pPr>
        </w:p>
        <w:p>
          <w:pPr>
            <w:tabs>
              <w:tab w:val="center" w:pos="4819"/>
              <w:tab w:val="right" w:pos="9638"/>
            </w:tabs>
            <w:rPr>
              <w:sz w:val="22"/>
              <w:szCs w:val="22"/>
            </w:rPr>
          </w:pPr>
        </w:p>
      </w:sdtContent>
    </w:sdt>
    <w:sdt>
      <w:sdtPr>
        <w:alias w:val="2 pr."/>
        <w:tag w:val="part_99eddb99e19c48a19186ed03d50313e8"/>
        <w:lock w:val="sdtLocked"/>
        <w:richText/>
      </w:sdtPr>
      <w:sdtContent>
        <w:p>
          <w:pPr>
            <w:ind w:left="10632"/>
            <w:jc w:val="both"/>
            <w:rPr>
              <w:bCs/>
              <w:szCs w:val="24"/>
            </w:rPr>
          </w:pPr>
          <w:r>
            <w:rPr>
              <w:szCs w:val="24"/>
            </w:rPr>
            <w:t>Atsiskaitymų už prekes ir paslaugas duomenų teikimo Valstybinei mokesčių inspekcijai</w:t>
          </w:r>
          <w:r>
            <w:rPr>
              <w:bCs/>
              <w:szCs w:val="24"/>
            </w:rPr>
            <w:t xml:space="preserve"> taisyklių </w:t>
          </w:r>
        </w:p>
        <w:p>
          <w:pPr>
            <w:ind w:left="10632"/>
            <w:jc w:val="both"/>
            <w:rPr>
              <w:bCs/>
              <w:szCs w:val="24"/>
            </w:rPr>
          </w:pPr>
          <w:sdt>
            <w:sdtPr>
              <w:alias w:val="Numeris"/>
              <w:tag w:val="nr_99eddb99e19c48a19186ed03d50313e8"/>
              <w:lock w:val="sdtLocked"/>
              <w:richText/>
            </w:sdtPr>
            <w:sdtContent>
              <w:r>
                <w:rPr>
                  <w:bCs/>
                  <w:szCs w:val="24"/>
                </w:rPr>
                <w:t>2</w:t>
              </w:r>
            </w:sdtContent>
          </w:sdt>
          <w:r>
            <w:rPr>
              <w:bCs/>
              <w:szCs w:val="24"/>
            </w:rPr>
            <w:t xml:space="preserve"> priedas</w:t>
          </w:r>
        </w:p>
        <w:p>
          <w:pPr>
            <w:jc w:val="right"/>
            <w:rPr>
              <w:bCs/>
              <w:szCs w:val="24"/>
            </w:rPr>
          </w:pPr>
        </w:p>
        <w:p>
          <w:pPr>
            <w:ind w:hanging="1701"/>
            <w:jc w:val="both"/>
            <w:rPr>
              <w:bCs/>
              <w:szCs w:val="24"/>
            </w:rPr>
          </w:pPr>
        </w:p>
        <w:p>
          <w:pPr>
            <w:ind w:firstLine="62"/>
            <w:jc w:val="center"/>
            <w:rPr>
              <w:b/>
              <w:bCs/>
              <w:szCs w:val="24"/>
            </w:rPr>
          </w:pPr>
          <w:sdt>
            <w:sdtPr>
              <w:alias w:val="Pavadinimas"/>
              <w:tag w:val="title_99eddb99e19c48a19186ed03d50313e8"/>
              <w:lock w:val="sdtLocked"/>
              <w:richText/>
            </w:sdtPr>
            <w:sdtContent>
              <w:r>
                <w:rPr>
                  <w:b/>
                  <w:bCs/>
                  <w:szCs w:val="24"/>
                </w:rPr>
                <w:t>VIRTUALIOS FISKALIZACIJOS KASOS APARATO DUOMENŲ RINKMENOS APRAŠYMAS</w:t>
              </w:r>
            </w:sdtContent>
          </w:sdt>
        </w:p>
        <w:p>
          <w:pPr>
            <w:jc w:val="center"/>
            <w:rPr>
              <w:bCs/>
              <w:szCs w:val="24"/>
            </w:rPr>
          </w:pPr>
        </w:p>
        <w:tbl>
          <w:tblPr>
            <w:tblW w:w="14317" w:type="dxa"/>
            <w:tblInd w:w="-10" w:type="dxa"/>
            <w:tblLayout w:type="fixed"/>
            <w:tblLook w:val="04A0" w:firstRow="1" w:lastRow="0" w:firstColumn="1" w:lastColumn="0" w:noHBand="0" w:noVBand="1"/>
          </w:tblPr>
          <w:tblGrid>
            <w:gridCol w:w="2132"/>
            <w:gridCol w:w="2693"/>
            <w:gridCol w:w="1701"/>
            <w:gridCol w:w="2001"/>
            <w:gridCol w:w="5790"/>
          </w:tblGrid>
          <w:tr>
            <w:trPr>
              <w:trHeight w:val="54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center"/>
                  <w:rPr>
                    <w:szCs w:val="24"/>
                    <w:lang w:eastAsia="lt-LT"/>
                  </w:rPr>
                </w:pPr>
                <w:r>
                  <w:rPr>
                    <w:szCs w:val="24"/>
                    <w:lang w:eastAsia="lt-LT"/>
                  </w:rPr>
                  <w:t>Elemento indeksas</w:t>
                </w:r>
              </w:p>
            </w:tc>
            <w:tc>
              <w:tcPr>
                <w:tcW w:w="2693" w:type="dxa"/>
                <w:tcBorders>
                  <w:top w:val="single" w:sz="4" w:space="0" w:color="auto"/>
                  <w:left w:val="nil"/>
                  <w:bottom w:val="single" w:sz="4" w:space="0" w:color="auto"/>
                  <w:right w:val="single" w:sz="4" w:space="0" w:color="auto"/>
                </w:tcBorders>
                <w:shd w:val="clear" w:color="auto" w:fill="auto"/>
                <w:hideMark/>
              </w:tcPr>
              <w:p>
                <w:pPr>
                  <w:jc w:val="center"/>
                  <w:rPr>
                    <w:szCs w:val="24"/>
                    <w:lang w:eastAsia="lt-LT"/>
                  </w:rPr>
                </w:pPr>
                <w:r>
                  <w:rPr>
                    <w:szCs w:val="24"/>
                    <w:lang w:eastAsia="lt-LT"/>
                  </w:rPr>
                  <w:t>Elemento pavadinimas</w:t>
                </w:r>
              </w:p>
            </w:tc>
            <w:tc>
              <w:tcPr>
                <w:tcW w:w="1701" w:type="dxa"/>
                <w:tcBorders>
                  <w:top w:val="single" w:sz="4" w:space="0" w:color="auto"/>
                  <w:left w:val="nil"/>
                  <w:bottom w:val="single" w:sz="4" w:space="0" w:color="auto"/>
                  <w:right w:val="single" w:sz="4" w:space="0" w:color="auto"/>
                </w:tcBorders>
                <w:shd w:val="clear" w:color="auto" w:fill="auto"/>
                <w:hideMark/>
              </w:tcPr>
              <w:p>
                <w:pPr>
                  <w:jc w:val="center"/>
                  <w:rPr>
                    <w:szCs w:val="24"/>
                    <w:lang w:eastAsia="lt-LT"/>
                  </w:rPr>
                </w:pPr>
                <w:r>
                  <w:rPr>
                    <w:szCs w:val="24"/>
                    <w:lang w:eastAsia="lt-LT"/>
                  </w:rPr>
                  <w:t>Privalomumas</w:t>
                </w:r>
              </w:p>
            </w:tc>
            <w:tc>
              <w:tcPr>
                <w:tcW w:w="2001" w:type="dxa"/>
                <w:tcBorders>
                  <w:top w:val="single" w:sz="4" w:space="0" w:color="auto"/>
                  <w:left w:val="nil"/>
                  <w:bottom w:val="single" w:sz="4" w:space="0" w:color="auto"/>
                  <w:right w:val="single" w:sz="4" w:space="0" w:color="auto"/>
                </w:tcBorders>
                <w:shd w:val="clear" w:color="auto" w:fill="auto"/>
                <w:hideMark/>
              </w:tcPr>
              <w:p>
                <w:pPr>
                  <w:jc w:val="center"/>
                  <w:rPr>
                    <w:szCs w:val="24"/>
                    <w:lang w:eastAsia="lt-LT"/>
                  </w:rPr>
                </w:pPr>
                <w:r>
                  <w:rPr>
                    <w:szCs w:val="24"/>
                    <w:lang w:eastAsia="lt-LT"/>
                  </w:rPr>
                  <w:t>Elemento trumpas aprašas</w:t>
                </w:r>
              </w:p>
            </w:tc>
            <w:tc>
              <w:tcPr>
                <w:tcW w:w="5790" w:type="dxa"/>
                <w:tcBorders>
                  <w:top w:val="single" w:sz="4" w:space="0" w:color="auto"/>
                  <w:left w:val="nil"/>
                  <w:bottom w:val="single" w:sz="4" w:space="0" w:color="auto"/>
                  <w:right w:val="single" w:sz="4" w:space="0" w:color="auto"/>
                </w:tcBorders>
                <w:shd w:val="clear" w:color="auto" w:fill="auto"/>
                <w:hideMark/>
              </w:tcPr>
              <w:p>
                <w:pPr>
                  <w:jc w:val="center"/>
                  <w:rPr>
                    <w:szCs w:val="24"/>
                    <w:lang w:eastAsia="lt-LT"/>
                  </w:rPr>
                </w:pPr>
                <w:r>
                  <w:rPr>
                    <w:bCs/>
                    <w:szCs w:val="24"/>
                    <w:lang w:eastAsia="lt-LT"/>
                  </w:rPr>
                  <w:t>Elemento reikšmės užpildymo paaiškinimas</w:t>
                </w:r>
              </w:p>
            </w:tc>
          </w:tr>
          <w:tr>
            <w:trPr>
              <w:trHeight w:val="63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packageHeader</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bCs/>
                    <w:szCs w:val="24"/>
                    <w:lang w:eastAsia="lt-LT"/>
                  </w:rPr>
                  <w:t xml:space="preserve">Atsiskaitymų už parduodamas prekes (kai prekės superkamos – superkamas prekes) ir teikiamas paslaugas duomenų rinkmenos (toliau – </w:t>
                </w:r>
                <w:r>
                  <w:rPr>
                    <w:szCs w:val="24"/>
                    <w:lang w:eastAsia="lt-LT"/>
                  </w:rPr>
                  <w:t>Duomenų rinkmena) antraštė</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aparatą identifikuojantys duomenys, pagal kuriuos identifikuojamas kasos aparato naudotojas, kasos aparatas, </w:t>
                </w:r>
              </w:p>
              <w:p>
                <w:pPr>
                  <w:jc w:val="both"/>
                  <w:rPr>
                    <w:szCs w:val="24"/>
                    <w:lang w:eastAsia="lt-LT"/>
                  </w:rPr>
                </w:pPr>
                <w:r>
                  <w:rPr>
                    <w:szCs w:val="24"/>
                    <w:lang w:eastAsia="lt-LT"/>
                  </w:rPr>
                  <w:t>saugos modulis (jei kasos aparatas veikia su saugos moduliu), sertifikatai ir kiti bendri duomenys.</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1.1.1.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registrationNumber</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Ūkio subjektą identifikuojantis numeris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Mokesčių mokėtojo (kasos aparato naudotojo) kodas: juridiniams asmenims naudojamas įmonės kodas, o fiziniams asmenims – asmens kodas.</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1.1.2.</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cashRegisterRegistrationNo</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Kasos aparatą identifikuojantis numeris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aparatą identifikuojantis numeris, </w:t>
                </w:r>
                <w:r>
                  <w:rPr>
                    <w:szCs w:val="24"/>
                  </w:rPr>
                  <w:t xml:space="preserve">Išmaniosios mokesčių administravimo informacinės sistemos Išmaniųjų elektroninių kasos aparatų posistemio </w:t>
                </w:r>
                <w:r>
                  <w:rPr>
                    <w:szCs w:val="24"/>
                    <w:lang w:eastAsia="lt-LT"/>
                  </w:rPr>
                  <w:t>(toliau – i.EKA) suteiktas įregistravimo procedūros metu.</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1.1.3.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VATRegistrationNumber</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Ūkio subjekto pridėtinės vertės mokesčio (toliau – PVM) mokėtojo kodas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Ūkio subjekto PVM mokėtojo kodas. Elementą privaloma užpildyti, jei ūkio subjektas yra PVM mokėtojas.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1.1.4.</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softwareCompanyName</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Programinės įrangos kūrėjo pavadinimas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Duomenų rinkmeną sugeneravusios programinės įrangos kūrėjo pavadinimas.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1.1.5.</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softwareName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Programinės įrangos pavadinimas </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Duomenų rinkmeną sugeneravusios programinės įrangos pavadinimas.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1.1.6.</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softwareVersion</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Programinės įrangos versija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Duomenų rinkmeną sugeneravusios programinės įrangos versija.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1.1.7.</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fileVersion</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Duomenų rinkmenos versija</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rPr>
                  <w:t>Duomenų r</w:t>
                </w:r>
                <w:r>
                  <w:rPr>
                    <w:szCs w:val="24"/>
                    <w:lang w:eastAsia="lt-LT"/>
                  </w:rPr>
                  <w:t xml:space="preserve">inkmenos versija, kuri turi sutapti su atitinkamos Duomenų rinkmenos XML </w:t>
                </w:r>
                <w:r>
                  <w:rPr>
                    <w:szCs w:val="24"/>
                  </w:rPr>
                  <w:t xml:space="preserve">(angl. </w:t>
                </w:r>
                <w:r>
                  <w:rPr>
                    <w:i/>
                    <w:szCs w:val="24"/>
                  </w:rPr>
                  <w:t>Extensible Markup Language</w:t>
                </w:r>
                <w:r>
                  <w:rPr>
                    <w:szCs w:val="24"/>
                  </w:rPr>
                  <w:t>)</w:t>
                </w:r>
                <w:r>
                  <w:rPr>
                    <w:szCs w:val="24"/>
                    <w:lang w:eastAsia="lt-LT"/>
                  </w:rPr>
                  <w:t xml:space="preserve"> struktūros aprašo (angl. </w:t>
                </w:r>
                <w:r>
                  <w:rPr>
                    <w:i/>
                    <w:szCs w:val="24"/>
                    <w:lang w:eastAsia="lt-LT"/>
                  </w:rPr>
                  <w:t>XML Schema Definition, XSD</w:t>
                </w:r>
                <w:r>
                  <w:rPr>
                    <w:szCs w:val="24"/>
                    <w:lang w:eastAsia="lt-LT"/>
                  </w:rPr>
                  <w:t>) versija.</w:t>
                </w:r>
              </w:p>
            </w:tc>
          </w:tr>
          <w:tr>
            <w:trPr>
              <w:trHeight w:val="645"/>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document</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Dokumento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Dokumento duomenys. Pateikiamų dokumentų tipai: fiskalinis kvitas, dienos (pamainos) fiskalinė ataskaita (Z) (toliau – ataskaita (Z)), nefiskalinis kvitas (nefiskalinis kvitas, kuriuo užfiksuotos operacijos nepriskirtinos 1.2.5, 1.2.6, 1.2.7, 1.2.8, 1.2.9, 1.2.10, 1.2.11, 1.2.12, 1.2.13 elementų indeksuose nurodytiems nefiskalinių dokumentų tipams), nefiskalinis grynųjų pinigų įdėjimo ir išėmimo kvitas, nefiskalinis kasos aparato techninės priežiūros arba remonto operacijų kvitas, nefiskalinis panaikintų fiskalinių kvitų dokumentas, nefiskalinis mokesčių keitimo dokumentas, nefiskalinis techninio kuro pylimo kvitas, išankstinė sąskaita, nefiskalinio prekių grąžinimo ir (arba) paslaugų atsisakymo dokumento duomenys, nefiskalinio kitų lėšų sumokėjimo / išmokėjimo operacijų kvito duomenys, nefiskalinis informacijos perdavimo pažeidimo kvitas.</w:t>
                </w:r>
              </w:p>
            </w:tc>
          </w:tr>
          <w:tr>
            <w:trPr>
              <w:trHeight w:val="300"/>
            </w:trPr>
            <w:tc>
              <w:tcPr>
                <w:tcW w:w="2132" w:type="dxa"/>
                <w:tcBorders>
                  <w:top w:val="single" w:sz="4" w:space="0" w:color="auto"/>
                  <w:left w:val="single" w:sz="8"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documentHeader</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Dokumento antraštė</w:t>
                </w:r>
              </w:p>
            </w:tc>
            <w:tc>
              <w:tcPr>
                <w:tcW w:w="5790" w:type="dxa"/>
                <w:tcBorders>
                  <w:top w:val="single" w:sz="4" w:space="0" w:color="auto"/>
                  <w:left w:val="nil"/>
                  <w:bottom w:val="single" w:sz="4" w:space="0" w:color="auto"/>
                  <w:right w:val="single" w:sz="8" w:space="0" w:color="auto"/>
                </w:tcBorders>
                <w:shd w:val="clear" w:color="auto" w:fill="auto"/>
                <w:hideMark/>
              </w:tcPr>
              <w:p>
                <w:pPr>
                  <w:jc w:val="both"/>
                  <w:rPr>
                    <w:szCs w:val="24"/>
                    <w:lang w:eastAsia="lt-LT"/>
                  </w:rPr>
                </w:pPr>
                <w:r>
                  <w:rPr>
                    <w:szCs w:val="24"/>
                    <w:lang w:eastAsia="lt-LT"/>
                  </w:rPr>
                  <w:t>Dokumento antraštės informacija.</w:t>
                </w:r>
              </w:p>
            </w:tc>
          </w:tr>
          <w:tr>
            <w:trPr>
              <w:trHeight w:val="300"/>
            </w:trPr>
            <w:tc>
              <w:tcPr>
                <w:tcW w:w="2132" w:type="dxa"/>
                <w:tcBorders>
                  <w:top w:val="nil"/>
                  <w:left w:val="single" w:sz="8"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documentDateTime</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Dokumento data ir laikas</w:t>
                </w:r>
              </w:p>
            </w:tc>
            <w:tc>
              <w:tcPr>
                <w:tcW w:w="5790" w:type="dxa"/>
                <w:tcBorders>
                  <w:top w:val="nil"/>
                  <w:left w:val="nil"/>
                  <w:bottom w:val="single" w:sz="4" w:space="0" w:color="auto"/>
                  <w:right w:val="single" w:sz="8" w:space="0" w:color="auto"/>
                </w:tcBorders>
                <w:shd w:val="clear" w:color="auto" w:fill="auto"/>
                <w:hideMark/>
              </w:tcPr>
              <w:p>
                <w:pPr>
                  <w:jc w:val="both"/>
                  <w:rPr>
                    <w:szCs w:val="24"/>
                    <w:lang w:eastAsia="lt-LT"/>
                  </w:rPr>
                </w:pPr>
                <w:r>
                  <w:rPr>
                    <w:szCs w:val="24"/>
                    <w:lang w:eastAsia="lt-LT"/>
                  </w:rPr>
                  <w:t>Dokumento data ir laikas.</w:t>
                </w:r>
              </w:p>
            </w:tc>
          </w:tr>
          <w:tr>
            <w:trPr>
              <w:trHeight w:val="420"/>
            </w:trPr>
            <w:tc>
              <w:tcPr>
                <w:tcW w:w="2132" w:type="dxa"/>
                <w:tcBorders>
                  <w:top w:val="single" w:sz="4" w:space="0" w:color="auto"/>
                  <w:left w:val="single" w:sz="8"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documentNumber</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Dokumentą identifikuojantis numeris</w:t>
                </w:r>
              </w:p>
            </w:tc>
            <w:tc>
              <w:tcPr>
                <w:tcW w:w="5790" w:type="dxa"/>
                <w:tcBorders>
                  <w:top w:val="single" w:sz="4" w:space="0" w:color="auto"/>
                  <w:left w:val="nil"/>
                  <w:bottom w:val="single" w:sz="4" w:space="0" w:color="auto"/>
                  <w:right w:val="single" w:sz="8" w:space="0" w:color="auto"/>
                </w:tcBorders>
                <w:shd w:val="clear" w:color="auto" w:fill="auto"/>
                <w:hideMark/>
              </w:tcPr>
              <w:p>
                <w:pPr>
                  <w:jc w:val="both"/>
                  <w:rPr>
                    <w:szCs w:val="24"/>
                    <w:lang w:eastAsia="lt-LT"/>
                  </w:rPr>
                </w:pPr>
                <w:r>
                  <w:rPr>
                    <w:szCs w:val="24"/>
                    <w:lang w:eastAsia="lt-LT"/>
                  </w:rPr>
                  <w:t>Bendras dokumento eilės numeris.</w:t>
                </w:r>
                <w:r>
                  <w:rPr>
                    <w:sz w:val="22"/>
                    <w:szCs w:val="22"/>
                  </w:rPr>
                  <w:t xml:space="preserve"> </w:t>
                </w:r>
              </w:p>
              <w:p>
                <w:pPr>
                  <w:jc w:val="both"/>
                  <w:rPr>
                    <w:szCs w:val="24"/>
                    <w:lang w:eastAsia="lt-LT"/>
                  </w:rPr>
                </w:pPr>
              </w:p>
              <w:p>
                <w:pPr>
                  <w:jc w:val="both"/>
                  <w:rPr>
                    <w:szCs w:val="24"/>
                    <w:lang w:eastAsia="lt-LT"/>
                  </w:rPr>
                </w:pPr>
              </w:p>
            </w:tc>
          </w:tr>
          <w:tr>
            <w:trPr>
              <w:trHeight w:val="300"/>
            </w:trPr>
            <w:tc>
              <w:tcPr>
                <w:tcW w:w="2132" w:type="dxa"/>
                <w:tcBorders>
                  <w:top w:val="nil"/>
                  <w:left w:val="single" w:sz="8"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linkedDocumentNumbers</w:t>
                </w:r>
              </w:p>
            </w:tc>
            <w:tc>
              <w:tcPr>
                <w:tcW w:w="1701"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Susijusių dokumentų numeriai</w:t>
                </w:r>
              </w:p>
            </w:tc>
            <w:tc>
              <w:tcPr>
                <w:tcW w:w="5790" w:type="dxa"/>
                <w:tcBorders>
                  <w:top w:val="nil"/>
                  <w:left w:val="nil"/>
                  <w:bottom w:val="single" w:sz="4" w:space="0" w:color="auto"/>
                  <w:right w:val="single" w:sz="8" w:space="0" w:color="auto"/>
                </w:tcBorders>
                <w:shd w:val="clear" w:color="auto" w:fill="auto"/>
                <w:hideMark/>
              </w:tcPr>
              <w:p>
                <w:pPr>
                  <w:jc w:val="both"/>
                  <w:rPr>
                    <w:szCs w:val="24"/>
                    <w:lang w:eastAsia="lt-LT"/>
                  </w:rPr>
                </w:pPr>
                <w:r>
                  <w:rPr>
                    <w:szCs w:val="24"/>
                    <w:lang w:eastAsia="lt-LT"/>
                  </w:rPr>
                  <w:t>Susijusių dokumentų identifikuojantys numeriai.</w:t>
                </w:r>
              </w:p>
              <w:p>
                <w:pPr>
                  <w:jc w:val="both"/>
                  <w:rPr>
                    <w:szCs w:val="24"/>
                    <w:lang w:eastAsia="lt-LT"/>
                  </w:rPr>
                </w:pPr>
                <w:r>
                  <w:rPr>
                    <w:szCs w:val="24"/>
                    <w:lang w:eastAsia="lt-LT"/>
                  </w:rPr>
                  <w:t>Su fiskaliniu kvitu susijęs dokumentas — išankstinė sąskaita.</w:t>
                </w:r>
              </w:p>
              <w:p>
                <w:pPr>
                  <w:jc w:val="both"/>
                  <w:rPr>
                    <w:szCs w:val="24"/>
                    <w:lang w:eastAsia="lt-LT"/>
                  </w:rPr>
                </w:pPr>
                <w:r>
                  <w:rPr>
                    <w:szCs w:val="24"/>
                    <w:lang w:eastAsia="lt-LT"/>
                  </w:rPr>
                  <w:t>Su ataskaita (Z) susiję dokumentai: Nefiskalinis mokesčių keitimo dokumentas; Nefiskalinis techninio kuro pylimo kvitas; Išankstinė sąskaita; Nefiskalinis informacijos perdavimo pažeidimo kvitas.</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linkedDocumentNumber</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Susijusio dokumento numeris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Susijusio dokumento identifikuojantis numeris iš nefiskalinio dokumento </w:t>
                </w:r>
                <w:r>
                  <w:rPr>
                    <w:szCs w:val="24"/>
                  </w:rPr>
                  <w:t>(Pvz., uždarant išankstinę sąskaitą fiskaliniu kvitu, fiskaliniame kvite privaloma nurodyti išankstinės sąskaitos numerį, o jei išankstinė sąskaita išskaidyta į kelias išankstines sąskaitas, tada fiskaliniame kvite turi būti nurodytas ir pirminės išankstinės sąskaitos numeris, ir išskaidytos išankstinės sąskaitos numeris. Šie išankstinių sąskaitų numeriai turi būti teikiami su fiskalinio kvito duomenimis).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1.2.1.4.</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specificDocumentTypeNumber</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Dokumentą identifikuojantis numeris pagal dokumento rūšį</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Dokumento eilės numeris pagal dokumento rūšį (fiskalinis kvitas, nefiskalinis kvitas, ataskaita (Z)).</w:t>
                </w:r>
              </w:p>
              <w:p>
                <w:pPr>
                  <w:jc w:val="both"/>
                  <w:rPr>
                    <w:szCs w:val="24"/>
                    <w:lang w:eastAsia="lt-LT"/>
                  </w:rPr>
                </w:pP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1.2.1.4.1.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fiscalDayNumber</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Ataskaitos (Z) numeris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Su teikiamu dokumentu susijusios ataskaitos (Z) numeris.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1.2.1.4.2.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receiptNumberInFiscalDay</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fiskalinio kvito (toliau – fiskalinis kvitas) numeris ataskaitoje (Z)</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bCs/>
                    <w:szCs w:val="24"/>
                    <w:lang w:eastAsia="lt-LT"/>
                  </w:rPr>
                  <w:t>Fiskalinio kvito</w:t>
                </w:r>
                <w:r>
                  <w:rPr>
                    <w:szCs w:val="24"/>
                    <w:lang w:eastAsia="lt-LT"/>
                  </w:rPr>
                  <w:t xml:space="preserve"> numeris ataskaitoje (Z). Elementą privaloma užpildyti, jei teikimas fiskalinis kvitas.</w:t>
                </w:r>
              </w:p>
              <w:p>
                <w:pPr>
                  <w:jc w:val="both"/>
                  <w:rPr>
                    <w:szCs w:val="24"/>
                    <w:lang w:eastAsia="lt-LT"/>
                  </w:rPr>
                </w:pPr>
              </w:p>
            </w:tc>
          </w:tr>
          <w:tr>
            <w:trPr>
              <w:trHeight w:val="645"/>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1.2.1.4.3.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nonFiscalDocumentNumberInFiscalDay</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nefiskalinio kvito (toliau – nefiskalinis kvitas) numeris ataskaitoje (Z)</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Nefiskalinio kvito numeris ataskaitoje (Z). Elementą privaloma užpildyti, jei teikimas nefiskalinis kvitas.</w:t>
                </w:r>
              </w:p>
              <w:p>
                <w:pPr>
                  <w:jc w:val="both"/>
                  <w:rPr>
                    <w:szCs w:val="24"/>
                    <w:lang w:eastAsia="lt-LT"/>
                  </w:rPr>
                </w:pP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1.2.1.5.</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documentHash</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Dokumento maišos reikšmė</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Dokumento tekstinės kopijos iš elektroninės kontrolinės juostos (toliau – EKJ) maišos reikšmė (angl. </w:t>
                </w:r>
                <w:r>
                  <w:rPr>
                    <w:i/>
                    <w:szCs w:val="24"/>
                    <w:lang w:eastAsia="lt-LT"/>
                  </w:rPr>
                  <w:t>hash</w:t>
                </w:r>
                <w:r>
                  <w:rPr>
                    <w:szCs w:val="24"/>
                    <w:lang w:eastAsia="lt-LT"/>
                  </w:rPr>
                  <w:t>).</w:t>
                </w:r>
              </w:p>
            </w:tc>
          </w:tr>
          <w:tr>
            <w:trPr>
              <w:trHeight w:val="126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1.2.1.6.</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previousDocumentHash</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Ankstesnio dokumento maišos reikšmė</w:t>
                </w:r>
              </w:p>
              <w:p>
                <w:pPr>
                  <w:jc w:val="both"/>
                  <w:rPr>
                    <w:szCs w:val="24"/>
                    <w:lang w:eastAsia="lt-LT"/>
                  </w:rPr>
                </w:pP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Ankstesnio tos pačios rūšies dokumento tekstinės kopijos iš EKJ maišos reikšmė (angl. </w:t>
                </w:r>
                <w:r>
                  <w:rPr>
                    <w:i/>
                    <w:szCs w:val="24"/>
                    <w:lang w:eastAsia="lt-LT"/>
                  </w:rPr>
                  <w:t>hash</w:t>
                </w:r>
                <w:r>
                  <w:rPr>
                    <w:szCs w:val="24"/>
                    <w:lang w:eastAsia="lt-LT"/>
                  </w:rPr>
                  <w:t xml:space="preserve">). Pirmo kiekvieno rūšies dokumento elemento reikšmė turi sutapti su elemento „documentHash“ reikšme.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1.2.1.7.</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location</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adresas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adresas.</w:t>
                </w:r>
              </w:p>
              <w:p>
                <w:pPr>
                  <w:jc w:val="both"/>
                  <w:rPr>
                    <w:szCs w:val="24"/>
                    <w:lang w:eastAsia="lt-LT"/>
                  </w:rPr>
                </w:pP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1.2.1.7.1.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locationUID</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adreso unikalus identifikacinis numeris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Valstybinėje mokesčių inspekcijoje (toliau – VMI) kasos aparato adresui naudojamas unikalus identifikacinis numeris. </w:t>
                </w:r>
              </w:p>
              <w:p>
                <w:pPr>
                  <w:jc w:val="both"/>
                  <w:rPr>
                    <w:szCs w:val="24"/>
                    <w:lang w:eastAsia="lt-LT"/>
                  </w:rPr>
                </w:pPr>
              </w:p>
            </w:tc>
          </w:tr>
          <w:tr>
            <w:trPr>
              <w:trHeight w:val="84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1.2.1.7.2.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locationLKSX</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adreso LKS-94 koordinatės X ašyje</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adreso LKS-94 koordinatės X ašyje (pvz.: 6141287). </w:t>
                </w:r>
              </w:p>
            </w:tc>
          </w:tr>
          <w:tr>
            <w:trPr>
              <w:trHeight w:val="84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1.2.1.7.3.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locationLKSY</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adreso LKS-94 koordinatės Y ašyje </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adreso LKS-94 koordinatės Y ašyje (pvz.: 486622).</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receipt</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documentFiscalAmounts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fiskalinės sumos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fiskalinės sumos.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1.2.2.1.1.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salesOperationData</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pardavimo operacijų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pardavimo operacijų duomenys.</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1.2.2.1.1.1.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totalSalesAmount</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pardavimo suma iš viso</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Fiskaliniame kvite nurodyta pardavimų suma, įskaitant mokesčius.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1.2.2.1.1.2.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totalSalesTaxAmount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pardavimo operacijų mokesčių suma iš viso</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Fiskaliniame kvite nurodyta pardavimams pritaikytų mokesčių bendra suma.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1.2.2.1.1.3.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salesOperationTaxDetails</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pardavimo operacijų mokesčių detalūs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pardavimo operacijų mokesčių detalūs duomenys.</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1.2.2.1.1.3.1.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salesOperationTaxLine</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pardavimo operacijų mokesčių eilutės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pardavimo operacijų mokesčių eilutės (mokesčių detalūs duomenys: mokesčio tarifas, mokesčio suma, pardavimo suma su mokesčiu).</w:t>
                </w:r>
              </w:p>
            </w:tc>
          </w:tr>
          <w:tr>
            <w:trPr>
              <w:trHeight w:val="45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1.2.2.1.1.3.1.1.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taxRate</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mokesčio tarifas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PVM tarifas: 0 – 0%, 5 – 5%, 9 – 9%, 21 – 21%. Jei PVM neapmokestinamas, tai nurodoma tuščia elemento reikšmė</w:t>
                </w:r>
                <w:r>
                  <w:rPr>
                    <w:szCs w:val="24"/>
                    <w:lang w:eastAsia="lt-LT"/>
                  </w:rPr>
                  <w:t xml:space="preserve">.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1.2.2.1.1.3.1.2.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taxAmount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mokesčio suma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PVM suma nurodytam PVM tarifui. </w:t>
                </w:r>
                <w:r>
                  <w:rPr>
                    <w:szCs w:val="24"/>
                    <w:lang w:eastAsia="lt-LT"/>
                  </w:rPr>
                  <w:t>Jei PVM neapmokestinamas, tai nurodoma tuščia elemento reikšmė</w:t>
                </w:r>
                <w:r>
                  <w:rPr>
                    <w:szCs w:val="24"/>
                    <w:lang w:eastAsia="lt-LT"/>
                  </w:rPr>
                  <w:t>.</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1.2.2.1.1.3.1.3.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salesAmountAfterTax</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pardavimo suma su mokesčiu</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Fiskaliniame kvite nurodyto PVM tarifo pardavimo suma, įskaitant PVM.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1.2.2.1.2.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discountsAdditions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nuolaidos ir antkainiai</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nuolaidos ir antkainiai.</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1.2.2.1.2.1.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totalSalesAmountWithoutDiscountAddition</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pardavimo operacijų suma be nuolaidos ir antkainių </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pardavimo operacijų suma be nuolaidos ir antkainių.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1.2.2.1.2.2.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totalSalesDiscountAmount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pardavimo operacijų nuolaidos suma </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Bendra fiskalinio kvito pardavimo operacijų nuolaidos suma.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1.2.2.1.2.3.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totalSalesAdditionAmount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pardavimo operacijų  antkainių suma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bendra pardavimo operacijų antkainių suma.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otherCashCollectionOperations</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Kitos lėšų sumokėjimo / išmokėjimo operacijos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Kitos lėšų sumokėjimo / išmokėjimo operacijos. Elemento reikšmė neapima mokesčių mokėtojo, naudojančio kasos aparatą, vykdomų pinigų įdėjimo ir išėmimo (pavyzdžiui, inkasavimo) operacijų.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1.2.2.2.1.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otherCashCollectionOperation</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Kita lėšų sumokėjimo / išmokėjimo operacija</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Kita lėšų sumokėjimo / išmokėjimo operacija.</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1.2.2.2.1.1.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collectionDirection</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Operacijos požymis</w:t>
                </w:r>
              </w:p>
              <w:p>
                <w:pPr>
                  <w:jc w:val="both"/>
                  <w:rPr>
                    <w:szCs w:val="24"/>
                    <w:lang w:eastAsia="lt-LT"/>
                  </w:rPr>
                </w:pP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Operacijos požymis: sumokėjimo operacijos – „IN“, išmokėjimo operacijos – „OUT“.</w:t>
                </w:r>
              </w:p>
            </w:tc>
          </w:tr>
          <w:tr>
            <w:trPr>
              <w:trHeight w:val="45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1.2.2.2.1.2.</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collectionType</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Operacijos tipas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Operacijos tipas: 1 – depozitas, 2 – kita, 3 – supirkimas. Operacijos tipas „supirkimas“ turi būti fiksuojamas, nurodant operacijos požymį „OUT“.</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1.2.2.2.1.3.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collectionAmount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Operacijos suma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Bendra operacijos suma pagal operacijos požymį ir tipą fiskaliniame kvite.</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receiptPayments</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mokėjimų informacija</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mokėjimų informacija pagal mokėjimo būdus.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1.2.2.3.1.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totalAmountToPay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mokėtina suma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mokėtina suma. Mokėtina suma yra neigiama, jei pirkėjui išmokami pinigai.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1.2.2.3.2.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paymentDetails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mokėjimo būdų detalūs duomenys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mokėjimo būdų detalūs duomenys.</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1.2.2.3.2.1.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paymentDetail</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Fiskalinio kvito mokėjimo būdo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Fiskalinio kvito mokėjimo būdo duomenys.</w:t>
                </w:r>
              </w:p>
            </w:tc>
          </w:tr>
          <w:tr>
            <w:trPr>
              <w:trHeight w:val="9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1.2.2.3.2.1.1.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paymentType</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apmokėjimo būdas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apmokėjimo būdas: 1 – grynieji, 2 – debetinė / kreditinė mokėjimo kortelė, 3 – kita mokėjimo kortelė (pavyzdžiui, lojalumo kortelė), 4 – kuponai, 5 – pavedimas, 6 – kompensuojama iš Privalomojo sveikatos draudimo fondo biudžeto lėšų, 7 – kompensuojama iš valstybės biudžeto lėšų, 8 – kriptovaliuta, 9 – kita, 10 – apvalinimas.  </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1.2.2.3.2.1.2.</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paidAmountNatCur</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apmokėta suma</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Apmokėta fiskalinio kvito suma eurais pagal apmokėjimo būdą ir valiutą.</w:t>
                </w:r>
              </w:p>
            </w:tc>
          </w:tr>
          <w:tr>
            <w:trPr>
              <w:trHeight w:val="45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1.2.2.3.2.1.3.</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paymentCurrency</w:t>
                </w:r>
              </w:p>
            </w:tc>
            <w:tc>
              <w:tcPr>
                <w:tcW w:w="1701"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apmokėjimo valiuta</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w:t>
                </w:r>
                <w:r>
                  <w:rPr>
                    <w:szCs w:val="24"/>
                    <w:lang w:eastAsia="lt-LT"/>
                  </w:rPr>
                  <w:t xml:space="preserve">apmokėjimo valiuta pagal ISO 4217 standartą, pvz.: USD. </w:t>
                </w:r>
                <w:r>
                  <w:rPr>
                    <w:bCs/>
                    <w:szCs w:val="24"/>
                    <w:lang w:eastAsia="lt-LT"/>
                  </w:rPr>
                  <w:t>Elemento reikšmė užpildoma, jei buvo naudojama kita nei euras valiuta.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1.2.2.3.2.1.4.</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paidAmountPaymentCur</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apmokėta suma valiuta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suma, apmokėta kita nei eurais valiuta. Elemento reikšmė užpildoma, jei buvo naudojama kita nei euras valiuta.</w:t>
                </w:r>
              </w:p>
            </w:tc>
          </w:tr>
          <w:tr>
            <w:trPr>
              <w:trHeight w:val="105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1.2.2.3.2.1.5.</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exchangeRate</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apmokėjimo valiutos kursas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Užsienio šalių valiutos konvertuojamos pagal Europos Centrinio Banko paskelbtą orientacinį euro ir užsienio valiutos santykį, o tais atvejais, kai orientacinio euro ir užsienio valiutos santykio Europos Centrinis Bankas neskelbia, – pagal Lietuvos banko skelbiamą orientacinį euro ir užsienio valiutos konvertavimo santykį. Elemento reikšmė užpildoma, jei buvo naudojama kita nei euras valiuta.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1.2.2.3.3.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payoutDetails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pinigų išmokėjimo būdų detalūs duomenys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 pinigų išmokėjimo būdų detalūs duomenys.</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1.2.2.3.3.1.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payoutDetail</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Fiskalinio kvito pinigų išmokėjimo būdo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Fiskalinio kvito pinigų išmokėjimo būdo duomenys.</w:t>
                </w:r>
              </w:p>
            </w:tc>
          </w:tr>
          <w:tr>
            <w:trPr>
              <w:trHeight w:val="84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1.2.2.3.3.1.1.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payoutType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w:t>
                </w:r>
              </w:p>
              <w:p>
                <w:pPr>
                  <w:jc w:val="both"/>
                  <w:rPr>
                    <w:szCs w:val="24"/>
                    <w:lang w:eastAsia="lt-LT"/>
                  </w:rPr>
                </w:pPr>
                <w:r>
                  <w:rPr>
                    <w:szCs w:val="24"/>
                    <w:lang w:eastAsia="lt-LT"/>
                  </w:rPr>
                  <w:t>pinigų išmokėjimo būdas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pinigų išmokėjimo būdas: 1 – grynieji, 2 – debetinė / kreditinė mokėjimo kortelė, 3 – kita mokėjimo kortelė (pavyzdžiui, lojalumo kortelė), 4 – kuponai, 5 – pavedimas, 8 – kriptovaliuta, 9 – kita, 10 – apvalinimas.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1.2.2.3.3.1.2.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payoutAmountNatCur</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Fiskalinio kvito</w:t>
                </w:r>
              </w:p>
              <w:p>
                <w:pPr>
                  <w:jc w:val="both"/>
                  <w:rPr>
                    <w:szCs w:val="24"/>
                    <w:lang w:eastAsia="lt-LT"/>
                  </w:rPr>
                </w:pPr>
                <w:r>
                  <w:rPr>
                    <w:szCs w:val="24"/>
                    <w:lang w:eastAsia="lt-LT"/>
                  </w:rPr>
                  <w:t>pinigų išmokėjimo suma</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Išmokėta fiskalinio kvito pinigų suma eurais pagal išmokėjimo būdą ir valiutą.</w:t>
                </w:r>
              </w:p>
              <w:p>
                <w:pPr>
                  <w:jc w:val="both"/>
                  <w:rPr>
                    <w:szCs w:val="24"/>
                    <w:lang w:eastAsia="lt-LT"/>
                  </w:rPr>
                </w:pPr>
              </w:p>
            </w:tc>
          </w:tr>
          <w:tr>
            <w:trPr>
              <w:trHeight w:val="869"/>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1.2.2.3.3.1.3.</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payoutCurrency</w:t>
                </w:r>
              </w:p>
            </w:tc>
            <w:tc>
              <w:tcPr>
                <w:tcW w:w="1701"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pinigų išmokėjimo valiuta</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w:t>
                </w:r>
                <w:r>
                  <w:rPr>
                    <w:szCs w:val="24"/>
                    <w:lang w:eastAsia="lt-LT"/>
                  </w:rPr>
                  <w:t xml:space="preserve">pinigų išmokėjimo valiuta pagal ISO 4217 standartą, pvz.: USD. </w:t>
                </w:r>
                <w:r>
                  <w:rPr>
                    <w:bCs/>
                    <w:szCs w:val="24"/>
                    <w:lang w:eastAsia="lt-LT"/>
                  </w:rPr>
                  <w:t>Elemento reikšmė užpildoma, jei buvo naudojama kita nei euras valiuta.</w:t>
                </w:r>
                <w:r>
                  <w:rPr>
                    <w:szCs w:val="24"/>
                    <w:lang w:eastAsia="lt-LT"/>
                  </w:rPr>
                  <w:t xml:space="preserve"> </w:t>
                </w:r>
              </w:p>
            </w:tc>
          </w:tr>
          <w:tr>
            <w:trPr>
              <w:trHeight w:val="884"/>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1.2.2.3.3.1.4.</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payoutAmountPaymentCur</w:t>
                </w:r>
              </w:p>
            </w:tc>
            <w:tc>
              <w:tcPr>
                <w:tcW w:w="1701"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pinigų išmokėjimo suma valiuta</w:t>
                  <w:tab/>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pinigų išmokėjimo kita nei eurais valiuta suma. Elemento reikšmė užpildoma, jei buvo naudojama kita nei euras valiuta. </w:t>
                </w:r>
              </w:p>
            </w:tc>
          </w:tr>
          <w:tr>
            <w:trPr>
              <w:trHeight w:val="105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1.2.2.3.3.1.5.</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exchangeRate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Fiskalinio kvito  pinigų išmokėjimo valiutos kursas </w:t>
                </w:r>
              </w:p>
              <w:p>
                <w:pPr>
                  <w:jc w:val="both"/>
                  <w:rPr>
                    <w:szCs w:val="24"/>
                    <w:lang w:eastAsia="lt-LT"/>
                  </w:rPr>
                </w:pPr>
              </w:p>
              <w:p>
                <w:pPr>
                  <w:jc w:val="both"/>
                  <w:rPr>
                    <w:szCs w:val="24"/>
                    <w:lang w:eastAsia="lt-LT"/>
                  </w:rPr>
                </w:pP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Užsienio šalių valiutos konvertuojamos pagal Europos Centrinio Banko paskelbtą orientacinį euro ir užsienio valiutos santykį, o tais atvejais, kai orientacinio euro ir užsienio valiutos santykio Europos Centrinis Bankas neskelbia, – pagal Lietuvos banko skelbiamą orientacinį euro ir užsienio valiutos konvertavimo santykį. Elemento reikšmė užpildoma, jei buvo naudojama kita nei euras valiuta.</w:t>
                </w:r>
              </w:p>
            </w:tc>
          </w:tr>
          <w:tr>
            <w:trPr>
              <w:trHeight w:val="523"/>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1.2.2.4.</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corrections</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Fiskalinio kvito taisymai</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Fiskaliniame kvite atlikti taisymai.</w:t>
                </w:r>
              </w:p>
            </w:tc>
          </w:tr>
          <w:tr>
            <w:trPr>
              <w:trHeight w:val="595"/>
            </w:trPr>
            <w:tc>
              <w:tcPr>
                <w:tcW w:w="2132" w:type="dxa"/>
                <w:tcBorders>
                  <w:top w:val="nil"/>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1.2.2.4.1.</w:t>
                </w:r>
              </w:p>
            </w:tc>
            <w:tc>
              <w:tcPr>
                <w:tcW w:w="2693"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correctionsQuantity</w:t>
                </w:r>
              </w:p>
            </w:tc>
            <w:tc>
              <w:tcPr>
                <w:tcW w:w="1701" w:type="dxa"/>
                <w:tcBorders>
                  <w:top w:val="nil"/>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Fiskalinio kvito taisymų kiekis</w:t>
                </w:r>
              </w:p>
            </w:tc>
            <w:tc>
              <w:tcPr>
                <w:tcW w:w="5790"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 xml:space="preserve">Fiskaliniame kvite </w:t>
                </w:r>
                <w:r>
                  <w:rPr>
                    <w:color w:val="000000"/>
                    <w:szCs w:val="24"/>
                  </w:rPr>
                  <w:t xml:space="preserve">įregistruotų sumų </w:t>
                </w:r>
                <w:r>
                  <w:rPr>
                    <w:szCs w:val="24"/>
                    <w:lang w:eastAsia="lt-LT"/>
                  </w:rPr>
                  <w:t>taisymų kiekis.</w:t>
                </w:r>
              </w:p>
            </w:tc>
          </w:tr>
          <w:tr>
            <w:trPr>
              <w:trHeight w:val="767"/>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1.2.2.4.2.</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correctionsAmount</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Bendra fiskalinio kvito taisymų suma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Bendra fiskaliniame kvite įregistruotų taisymų suma (absoliutus dydis).</w:t>
                </w:r>
              </w:p>
            </w:tc>
          </w:tr>
          <w:tr>
            <w:trPr>
              <w:trHeight w:val="637"/>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fiscalDay</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Ataskaitos (Z)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Ataskaitos (Z) duomenys. K</w:t>
                </w:r>
                <w:r>
                  <w:rPr>
                    <w:color w:val="000000"/>
                    <w:szCs w:val="24"/>
                  </w:rPr>
                  <w:t>asos aparatu suformuoti dienos (pamainos) suminiai fiskaliniai ir kiti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documentFiscalAmounts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Dienos (pamainos)  fiskalinės sumos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nurodytos dienos (pamainos) fiskalinės sumos.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1.2.3.1.1.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salesOperationData</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pardavimo operacijų duomenys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nurodyti dienos (pamainos) pardavimo operacijų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1.2.3.1.1.1.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totalSalesAmount</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bendra pardavimų suma</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nurodyta dienos (pamainos) bendra pardavimų suma, įskaitant mokesčius.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1.2.3.1.1.2.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totalSalesTaxAmount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Dienos (pamainos)   bendra pardavimo operacijų mokesčių suma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nurodyta dienos (pamainos) pardavimų operacijoms pritaikytų mokesčių bendra suma.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1.2.3.1.1.3.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salesOperationTaxDetails</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pardavimo operacijų mokesčių detalūs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nurodyti pardavimo operacijų mokesčių detalūs duomenys. D</w:t>
                </w:r>
                <w:r>
                  <w:rPr>
                    <w:color w:val="000000"/>
                    <w:szCs w:val="24"/>
                  </w:rPr>
                  <w:t xml:space="preserve">ienos (pamainos) pardavimų ir mokesčių sumos, atitinkančios kiekvieną mokesčio tarifą, taip pat neapmokestinta suma. </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1.2.3.1.1.3.1.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salesOperationTaxLine</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pardavimo operacijų mokesčių eilutės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nurodytos dienos (pamainos) pardavimo operacijų mokesčių eilutės (mokesčių detalūs duomenys: mokesčio tarifas, mokesčio suma, pardavimo suma su mokesčiu). </w:t>
                </w:r>
              </w:p>
            </w:tc>
          </w:tr>
          <w:tr>
            <w:trPr>
              <w:trHeight w:val="45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1.2.3.1.1.3.1.1.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taxRate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Mokesčio tarifas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PVM tarifas 0 – 0%, 5 – 5%, 9 – 9%, 21 – 21%. Jei PVM neapmokestinamas, tai nurodoma tuščia elemento reikšmė.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1.2.3.1.1.3.1.2.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taxAmount</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mokesčio suma</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atitinkamam PVM tarifui nurodyta dienos (pamainos) PVM suma.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1.2.3.1.1.3.1.3.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salesAmountAfterTax</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Dienos (pamainos) pardavimų suma </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atitinkamam PVM tarifui nurodyta dienos (pamainos) pardavimų suma su mokesčiu.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1.2.3.1.2.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discountsAdditions</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nuolaidos ir antkainiai</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nurodytos dienos (pamainos) nuolaidos ir antkainiai.</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1.2.3.1.2.1.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totalSalesAmountWithoutDiscountAddition</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Dienos (pamainos)  pardavimo operacijų suma be nuolaidų ir antkainių</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nurodyta dienos (pamainos) pardavimo operacijų suma be nuolaidų ir antkainių.</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1.2.3.1.2.2.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totalSalesDiscountQuantity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Dienos (pamainos)  pardavimo operacijų nuolaidų skaičius </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nurodytas dienos (pamainos) pardavimo operacijų nuolaidų skaičius.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1.2.3.1.2.3.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totalSalesDiscountAmount</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Dienos (pamainos) pardavimo operacijų nuolaidų suma </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nurodyta dienos (pamainos) bendra pardavimo operacijų nuolaidų suma.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1.2.3.1.2.4.</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totalSalesAdditionQuantity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pardavimo operacijų antkainių kiekis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nurodytas pardavimo operacijų antkainių kiekis.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1.2.3.1.2.5.</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totalSalesAdditionAmount</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pardavimo operacijų antkainių suma</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nurodyta bendra pardavimo operacijų antkainių suma.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otherCashCollectionOperations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kitos lėšų sumokėjimo / išmokėjimo operacijos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nurodytos dienos (pamainos) kitos lėšų sumokėjimo / išmokėjimo operacijos. Elemento reikšmė neapima mokesčių mokėtojo, naudojančio kasos aparatą, vykdomų pinigų įdėjimo ir išėmimo (pavyzdžiui, inkasavimo) operacijų. Sumuojama informacija iš dienos (pamainos) fiskalinių kvitų, nefiskalinių kitų lėšų sumokėjimo / išmokėjimo operacijų kvitų ir </w:t>
                </w:r>
                <w:r>
                  <w:rPr>
                    <w:szCs w:val="24"/>
                  </w:rPr>
                  <w:t>nefiskalinių prekių grąžinimo ir (arba) paslaugų atsisakymo dokumentų</w:t>
                </w:r>
                <w:r>
                  <w:rPr>
                    <w:szCs w:val="24"/>
                    <w:lang w:eastAsia="lt-LT"/>
                  </w:rPr>
                  <w:t xml:space="preserve"> elementų.</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1.2.3.2.1.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otherCashCollectionOperation</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Dienos (pamainos) kitos lėšų sumokėjimo / išmokėjimo operacija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Ataskaitoje (Z) nurodytos dienos (pamainos) kitos lėšų sumokėjimo / išmokėjimo operacija.</w:t>
                </w:r>
              </w:p>
            </w:tc>
          </w:tr>
          <w:tr>
            <w:trPr>
              <w:trHeight w:val="561"/>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1.2.3.2.1.1.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collectionDirection</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Operacijų požymis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Operacijos požymis: sumokėjimo operacijos – „IN“, išmokėjimo operacijos – „OUT“.</w:t>
                </w:r>
              </w:p>
            </w:tc>
          </w:tr>
          <w:tr>
            <w:trPr>
              <w:trHeight w:val="45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1.2.3.2.1.2.</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collectionType</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Operacijų tipas</w:t>
                </w:r>
              </w:p>
            </w:tc>
            <w:tc>
              <w:tcPr>
                <w:tcW w:w="5790" w:type="dxa"/>
                <w:tcBorders>
                  <w:top w:val="nil"/>
                  <w:left w:val="nil"/>
                  <w:bottom w:val="single" w:sz="4" w:space="0" w:color="auto"/>
                  <w:right w:val="single" w:sz="4" w:space="0" w:color="auto"/>
                </w:tcBorders>
                <w:shd w:val="clear" w:color="auto" w:fill="auto"/>
                <w:hideMark/>
              </w:tcPr>
              <w:p>
                <w:pPr>
                  <w:jc w:val="both"/>
                  <w:rPr>
                    <w:szCs w:val="24"/>
                    <w:u w:val="single"/>
                    <w:lang w:eastAsia="lt-LT"/>
                  </w:rPr>
                </w:pPr>
                <w:r>
                  <w:rPr>
                    <w:szCs w:val="24"/>
                    <w:lang w:eastAsia="lt-LT"/>
                  </w:rPr>
                  <w:t>Operacijų tipas: 1 – depozitas, 2 – kita, 3 – supirkimas, 4 – grąžinimas. Operacijos tipas „supirkimas“ turi būti fiksuojamas nurodant operacijos požymį „OUT“.</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1.2.3.2.1.3.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collectionAmount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operacijų suma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nurodytos dienos (pamainos) bendra operacijų suma pagal operacijų požymį ir tipą.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fiscalDayPayments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mokėjimų suminė informacija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nurodyta dienos (pamainos) kvitų mokėjimų suminė informacija pagal mokėjimo būdus. Sumuojama informacija iš dienos (pamainos) fiskalinių kvitų, nefiskalinių kitų lėšų sumokėjimo / išmokėjimo operacijų kvitų ir </w:t>
                </w:r>
                <w:r>
                  <w:rPr>
                    <w:szCs w:val="24"/>
                  </w:rPr>
                  <w:t>nefiskalinių prekių grąžinimo ir (arba) paslaugų atsisakymo dokumentų</w:t>
                </w:r>
                <w:r>
                  <w:rPr>
                    <w:szCs w:val="24"/>
                    <w:lang w:eastAsia="lt-LT"/>
                  </w:rPr>
                  <w:t xml:space="preserve"> elementų.</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1.2.3.3.1.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totalAmountToPay</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Dienos (pamainos)  mokėtina suma</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Dienos (pamainos) bendra mokėtina suma. Suma gali būti neigiama, jei per dieną (pamainą) kasos aparatu išmokėta daugiau pinigų nei gauta.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000000" w:fill="FFFFFF"/>
                <w:hideMark/>
              </w:tcPr>
              <w:p>
                <w:pPr>
                  <w:jc w:val="both"/>
                  <w:rPr>
                    <w:szCs w:val="24"/>
                    <w:lang w:eastAsia="lt-LT"/>
                  </w:rPr>
                </w:pPr>
                <w:r>
                  <w:rPr>
                    <w:szCs w:val="24"/>
                    <w:lang w:eastAsia="lt-LT"/>
                  </w:rPr>
                  <w:t>1.2.3.3.2.</w:t>
                </w:r>
              </w:p>
            </w:tc>
            <w:tc>
              <w:tcPr>
                <w:tcW w:w="2693" w:type="dxa"/>
                <w:tcBorders>
                  <w:top w:val="single" w:sz="4" w:space="0" w:color="auto"/>
                  <w:left w:val="single" w:sz="4" w:space="0" w:color="auto"/>
                  <w:bottom w:val="single" w:sz="4" w:space="0" w:color="auto"/>
                  <w:right w:val="single" w:sz="4" w:space="0" w:color="auto"/>
                </w:tcBorders>
                <w:shd w:val="clear" w:color="000000" w:fill="FFFFFF"/>
                <w:hideMark/>
              </w:tcPr>
              <w:p>
                <w:pPr>
                  <w:jc w:val="both"/>
                  <w:rPr>
                    <w:szCs w:val="24"/>
                    <w:lang w:eastAsia="lt-LT"/>
                  </w:rPr>
                </w:pPr>
                <w:r>
                  <w:rPr>
                    <w:szCs w:val="24"/>
                    <w:lang w:eastAsia="lt-LT"/>
                  </w:rPr>
                  <w:t>paymentDetails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mokėjimų būdų detalūs duomenys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nurodyti dienos (pamainos) mokėjimų būdų detalūs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000000" w:fill="FFFFFF"/>
              </w:tcPr>
              <w:p>
                <w:pPr>
                  <w:jc w:val="both"/>
                  <w:rPr>
                    <w:szCs w:val="24"/>
                    <w:lang w:eastAsia="lt-LT"/>
                  </w:rPr>
                </w:pPr>
                <w:r>
                  <w:rPr>
                    <w:szCs w:val="24"/>
                    <w:lang w:eastAsia="lt-LT"/>
                  </w:rPr>
                  <w:t>1.2.3.3.2.1.</w:t>
                </w:r>
              </w:p>
            </w:tc>
            <w:tc>
              <w:tcPr>
                <w:tcW w:w="2693" w:type="dxa"/>
                <w:tcBorders>
                  <w:top w:val="single" w:sz="4" w:space="0" w:color="auto"/>
                  <w:left w:val="single" w:sz="4" w:space="0" w:color="auto"/>
                  <w:bottom w:val="single" w:sz="4" w:space="0" w:color="auto"/>
                  <w:right w:val="single" w:sz="4" w:space="0" w:color="auto"/>
                </w:tcBorders>
                <w:shd w:val="clear" w:color="000000" w:fill="FFFFFF"/>
              </w:tcPr>
              <w:p>
                <w:pPr>
                  <w:jc w:val="both"/>
                  <w:rPr>
                    <w:szCs w:val="24"/>
                    <w:lang w:eastAsia="lt-LT"/>
                  </w:rPr>
                </w:pPr>
                <w:r>
                  <w:rPr>
                    <w:szCs w:val="24"/>
                    <w:lang w:eastAsia="lt-LT"/>
                  </w:rPr>
                  <w:t>paymentDetail</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Dienos (pamainos) mokėjimų būdo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Ataskaitoje (Z) nurodyti dienos (pamainos) mokėjimų būdo duomenys.</w:t>
                </w:r>
              </w:p>
            </w:tc>
          </w:tr>
          <w:tr>
            <w:trPr>
              <w:trHeight w:val="900"/>
            </w:trPr>
            <w:tc>
              <w:tcPr>
                <w:tcW w:w="2132" w:type="dxa"/>
                <w:tcBorders>
                  <w:top w:val="single" w:sz="4" w:space="0" w:color="auto"/>
                  <w:left w:val="single" w:sz="4" w:space="0" w:color="auto"/>
                  <w:bottom w:val="single" w:sz="4" w:space="0" w:color="auto"/>
                  <w:right w:val="single" w:sz="4" w:space="0" w:color="auto"/>
                </w:tcBorders>
                <w:shd w:val="clear" w:color="000000" w:fill="FFFFFF"/>
                <w:hideMark/>
              </w:tcPr>
              <w:p>
                <w:pPr>
                  <w:jc w:val="both"/>
                  <w:rPr>
                    <w:szCs w:val="24"/>
                    <w:lang w:eastAsia="lt-LT"/>
                  </w:rPr>
                </w:pPr>
                <w:r>
                  <w:rPr>
                    <w:szCs w:val="24"/>
                    <w:lang w:eastAsia="lt-LT"/>
                  </w:rPr>
                  <w:t>1.2.3.3.2.1.1.</w:t>
                </w:r>
              </w:p>
            </w:tc>
            <w:tc>
              <w:tcPr>
                <w:tcW w:w="2693" w:type="dxa"/>
                <w:tcBorders>
                  <w:top w:val="single" w:sz="4" w:space="0" w:color="auto"/>
                  <w:left w:val="nil"/>
                  <w:bottom w:val="single" w:sz="4" w:space="0" w:color="auto"/>
                  <w:right w:val="single" w:sz="4" w:space="0" w:color="auto"/>
                </w:tcBorders>
                <w:shd w:val="clear" w:color="000000" w:fill="FFFFFF"/>
                <w:hideMark/>
              </w:tcPr>
              <w:p>
                <w:pPr>
                  <w:jc w:val="both"/>
                  <w:rPr>
                    <w:szCs w:val="24"/>
                    <w:lang w:eastAsia="lt-LT"/>
                  </w:rPr>
                </w:pPr>
                <w:r>
                  <w:rPr>
                    <w:szCs w:val="24"/>
                    <w:lang w:eastAsia="lt-LT"/>
                  </w:rPr>
                  <w:t>paymentType</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Apmokėjimų būdas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u w:val="single"/>
                    <w:lang w:eastAsia="lt-LT"/>
                  </w:rPr>
                </w:pPr>
                <w:r>
                  <w:rPr>
                    <w:szCs w:val="24"/>
                    <w:lang w:eastAsia="lt-LT"/>
                  </w:rPr>
                  <w:t xml:space="preserve">Apmokėjimų būdas: 1 – grynieji, 2 – debetinė / kreditinė mokėjimo kortelė, 3 – kita mokėjimo kortelė (pavyzdžiui, lojalumo kortelė), 4 – kuponai, 5 – pavedimas, 6 – kompensuojama iš Privalomojo sveikatos draudimo fondo biudžeto lėšų, 7 – kompensuojama iš valstybės biudžeto lėšų, 8 – kriptovaliuta, 9 – kita, 10 – apvalinimas.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000000" w:fill="FFFFFF"/>
                <w:hideMark/>
              </w:tcPr>
              <w:p>
                <w:pPr>
                  <w:jc w:val="both"/>
                  <w:rPr>
                    <w:szCs w:val="24"/>
                    <w:lang w:eastAsia="lt-LT"/>
                  </w:rPr>
                </w:pPr>
                <w:r>
                  <w:rPr>
                    <w:szCs w:val="24"/>
                    <w:lang w:eastAsia="lt-LT"/>
                  </w:rPr>
                  <w:t>1.2.3.3.2.1.2.</w:t>
                </w:r>
              </w:p>
            </w:tc>
            <w:tc>
              <w:tcPr>
                <w:tcW w:w="2693" w:type="dxa"/>
                <w:tcBorders>
                  <w:top w:val="single" w:sz="4" w:space="0" w:color="auto"/>
                  <w:left w:val="single" w:sz="4" w:space="0" w:color="auto"/>
                  <w:bottom w:val="single" w:sz="4" w:space="0" w:color="auto"/>
                  <w:right w:val="single" w:sz="4" w:space="0" w:color="auto"/>
                </w:tcBorders>
                <w:shd w:val="clear" w:color="000000" w:fill="FFFFFF"/>
                <w:hideMark/>
              </w:tcPr>
              <w:p>
                <w:pPr>
                  <w:jc w:val="both"/>
                  <w:rPr>
                    <w:szCs w:val="24"/>
                    <w:lang w:eastAsia="lt-LT"/>
                  </w:rPr>
                </w:pPr>
                <w:r>
                  <w:rPr>
                    <w:szCs w:val="24"/>
                    <w:lang w:eastAsia="lt-LT"/>
                  </w:rPr>
                  <w:t>paidAmountNatCur</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bendra apmokėta suma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nurodyta dienos (pamainos) bendra apmokėta suma eurais pagal apmokėjimo būdą ir valiutą. </w:t>
                </w:r>
              </w:p>
            </w:tc>
          </w:tr>
          <w:tr>
            <w:trPr>
              <w:trHeight w:val="450"/>
            </w:trPr>
            <w:tc>
              <w:tcPr>
                <w:tcW w:w="2132" w:type="dxa"/>
                <w:tcBorders>
                  <w:top w:val="single" w:sz="4" w:space="0" w:color="auto"/>
                  <w:left w:val="single" w:sz="4" w:space="0" w:color="auto"/>
                  <w:bottom w:val="single" w:sz="4" w:space="0" w:color="auto"/>
                  <w:right w:val="single" w:sz="4" w:space="0" w:color="auto"/>
                </w:tcBorders>
                <w:shd w:val="clear" w:color="000000" w:fill="FFFFFF"/>
                <w:hideMark/>
              </w:tcPr>
              <w:p>
                <w:pPr>
                  <w:jc w:val="both"/>
                  <w:rPr>
                    <w:szCs w:val="24"/>
                    <w:lang w:eastAsia="lt-LT"/>
                  </w:rPr>
                </w:pPr>
                <w:r>
                  <w:rPr>
                    <w:szCs w:val="24"/>
                    <w:lang w:eastAsia="lt-LT"/>
                  </w:rPr>
                  <w:t>1.2.3.3.2.1.3.</w:t>
                </w:r>
              </w:p>
            </w:tc>
            <w:tc>
              <w:tcPr>
                <w:tcW w:w="2693" w:type="dxa"/>
                <w:tcBorders>
                  <w:top w:val="single" w:sz="4" w:space="0" w:color="auto"/>
                  <w:left w:val="nil"/>
                  <w:bottom w:val="single" w:sz="4" w:space="0" w:color="auto"/>
                  <w:right w:val="single" w:sz="4" w:space="0" w:color="auto"/>
                </w:tcBorders>
                <w:shd w:val="clear" w:color="000000" w:fill="FFFFFF"/>
                <w:hideMark/>
              </w:tcPr>
              <w:p>
                <w:pPr>
                  <w:jc w:val="both"/>
                  <w:rPr>
                    <w:szCs w:val="24"/>
                    <w:lang w:eastAsia="lt-LT"/>
                  </w:rPr>
                </w:pPr>
                <w:r>
                  <w:rPr>
                    <w:szCs w:val="24"/>
                    <w:lang w:eastAsia="lt-LT"/>
                  </w:rPr>
                  <w:t>paymentCurrency</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Apmokėjimo valiuta</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u w:val="single"/>
                    <w:lang w:eastAsia="lt-LT"/>
                  </w:rPr>
                </w:pPr>
                <w:r>
                  <w:rPr>
                    <w:szCs w:val="24"/>
                    <w:lang w:eastAsia="lt-LT"/>
                  </w:rPr>
                  <w:t xml:space="preserve">Apmokėjimo valiuta pagal ISO 4217 standartą, pvz., USD. </w:t>
                </w:r>
                <w:r>
                  <w:rPr>
                    <w:bCs/>
                    <w:szCs w:val="24"/>
                    <w:lang w:eastAsia="lt-LT"/>
                  </w:rPr>
                  <w:t>Elemento reikšmė užpildoma, jei per dieną (pamainą) apmokėjimui buvo naudojama kita nei euras valiuta.</w:t>
                </w:r>
              </w:p>
            </w:tc>
          </w:tr>
          <w:tr>
            <w:trPr>
              <w:trHeight w:val="420"/>
            </w:trPr>
            <w:tc>
              <w:tcPr>
                <w:tcW w:w="2132" w:type="dxa"/>
                <w:tcBorders>
                  <w:top w:val="nil"/>
                  <w:left w:val="single" w:sz="4" w:space="0" w:color="auto"/>
                  <w:bottom w:val="single" w:sz="4" w:space="0" w:color="auto"/>
                  <w:right w:val="single" w:sz="4" w:space="0" w:color="auto"/>
                </w:tcBorders>
                <w:shd w:val="clear" w:color="000000" w:fill="FFFFFF"/>
                <w:hideMark/>
              </w:tcPr>
              <w:p>
                <w:pPr>
                  <w:jc w:val="both"/>
                  <w:rPr>
                    <w:szCs w:val="24"/>
                    <w:lang w:eastAsia="lt-LT"/>
                  </w:rPr>
                </w:pPr>
                <w:r>
                  <w:rPr>
                    <w:szCs w:val="24"/>
                    <w:lang w:eastAsia="lt-LT"/>
                  </w:rPr>
                  <w:t>1.2.3.3.2.1.4.</w:t>
                </w:r>
              </w:p>
            </w:tc>
            <w:tc>
              <w:tcPr>
                <w:tcW w:w="2693" w:type="dxa"/>
                <w:tcBorders>
                  <w:top w:val="nil"/>
                  <w:left w:val="nil"/>
                  <w:bottom w:val="single" w:sz="4" w:space="0" w:color="auto"/>
                  <w:right w:val="single" w:sz="4" w:space="0" w:color="auto"/>
                </w:tcBorders>
                <w:shd w:val="clear" w:color="000000" w:fill="FFFFFF"/>
                <w:hideMark/>
              </w:tcPr>
              <w:p>
                <w:pPr>
                  <w:jc w:val="both"/>
                  <w:rPr>
                    <w:szCs w:val="24"/>
                    <w:lang w:eastAsia="lt-LT"/>
                  </w:rPr>
                </w:pPr>
                <w:r>
                  <w:rPr>
                    <w:szCs w:val="24"/>
                    <w:lang w:eastAsia="lt-LT"/>
                  </w:rPr>
                  <w:t>paidAmountPaymentCur</w:t>
                </w:r>
              </w:p>
            </w:tc>
            <w:tc>
              <w:tcPr>
                <w:tcW w:w="1701"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Dienos (pamainos) valiuta apmokėta suma  </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nurodyta per dieną (pamainą) apmokėta kita nei eurais valiuta suma. Elemento reikšmė užpildoma, jei buvo naudojama kita nei euras valiuta.</w:t>
                </w:r>
              </w:p>
            </w:tc>
          </w:tr>
          <w:tr>
            <w:trPr>
              <w:trHeight w:val="1050"/>
            </w:trPr>
            <w:tc>
              <w:tcPr>
                <w:tcW w:w="2132" w:type="dxa"/>
                <w:tcBorders>
                  <w:top w:val="single" w:sz="4" w:space="0" w:color="auto"/>
                  <w:left w:val="single" w:sz="4" w:space="0" w:color="auto"/>
                  <w:bottom w:val="single" w:sz="4" w:space="0" w:color="auto"/>
                  <w:right w:val="single" w:sz="4" w:space="0" w:color="auto"/>
                </w:tcBorders>
                <w:shd w:val="clear" w:color="000000" w:fill="FFFFFF"/>
                <w:hideMark/>
              </w:tcPr>
              <w:p>
                <w:pPr>
                  <w:jc w:val="both"/>
                  <w:rPr>
                    <w:szCs w:val="24"/>
                    <w:lang w:eastAsia="lt-LT"/>
                  </w:rPr>
                </w:pPr>
                <w:r>
                  <w:rPr>
                    <w:szCs w:val="24"/>
                    <w:lang w:eastAsia="lt-LT"/>
                  </w:rPr>
                  <w:t>1.2.3.3.2.1.5.</w:t>
                </w:r>
              </w:p>
            </w:tc>
            <w:tc>
              <w:tcPr>
                <w:tcW w:w="2693" w:type="dxa"/>
                <w:tcBorders>
                  <w:top w:val="single" w:sz="4" w:space="0" w:color="auto"/>
                  <w:left w:val="single" w:sz="4" w:space="0" w:color="auto"/>
                  <w:bottom w:val="single" w:sz="4" w:space="0" w:color="auto"/>
                  <w:right w:val="single" w:sz="4" w:space="0" w:color="auto"/>
                </w:tcBorders>
                <w:shd w:val="clear" w:color="000000" w:fill="FFFFFF"/>
                <w:hideMark/>
              </w:tcPr>
              <w:p>
                <w:pPr>
                  <w:jc w:val="both"/>
                  <w:rPr>
                    <w:szCs w:val="24"/>
                    <w:lang w:eastAsia="lt-LT"/>
                  </w:rPr>
                </w:pPr>
                <w:r>
                  <w:rPr>
                    <w:szCs w:val="24"/>
                    <w:lang w:eastAsia="lt-LT"/>
                  </w:rPr>
                  <w:t>exchangeRate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Dienos (pamainos) valiutos kursas </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Užsienio šalių valiutos konvertuojamos pagal Europos Centrinio Banko paskelbtą orientacinį euro ir užsienio valiutos santykį, o tais atvejais, kai orientacinio euro ir užsienio valiutos santykio Europos Centrinis Bankas neskelbia, – pagal Lietuvos banko skelbiamą orientacinį euro ir užsienio valiutos konvertavimo santykį. Elemento reikšmė užpildoma, jei buvo naudojama kita nei euras valiuta.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1.2.3.3.3.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payoutDetails</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pinigų išmokėjimų būdų detalūs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nurodyti dienos (pamainos) pinigų išmokėjimų būdų detalūs duomenys.</w:t>
                </w:r>
              </w:p>
              <w:p>
                <w:pPr>
                  <w:jc w:val="both"/>
                  <w:rPr>
                    <w:szCs w:val="24"/>
                    <w:lang w:eastAsia="lt-LT"/>
                  </w:rPr>
                </w:pP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1.2.3.3.3.1.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payoutDetail</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Dienos (pamainos) pinigų išmokėjimų būdo duomenys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Ataskaitoje (Z) nurodyti dienos (pamainos) pinigų išmokėjimų būdo duomenys.</w:t>
                </w:r>
              </w:p>
              <w:p>
                <w:pPr>
                  <w:jc w:val="both"/>
                  <w:rPr>
                    <w:szCs w:val="24"/>
                    <w:lang w:eastAsia="lt-LT"/>
                  </w:rPr>
                </w:pPr>
              </w:p>
            </w:tc>
          </w:tr>
          <w:tr>
            <w:trPr>
              <w:trHeight w:val="562"/>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1.2.3.3.3.1.1.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payoutType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Pinigų išmokėjimų būdas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Pinigų išmokėjimų būdas: 1 – grynieji, 2 – debetinė / kreditinė mokėjimo kortelė, 3 – kita mokėjimo kortelė (pavyzdžiui, lojalumo kortelė), 4 – kuponai, 5 – pavedimas, 6 – kompensuojama iš Privalomojo sveikatos draudimo fondo biudžeto lėšų, 7 – kompensuojama iš valstybės biudžeto lėšų, 8 – kriptovaliuta, 9 – kita, 10 – apvalinimas.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1.2.3.3.3.1.2.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payoutAmountNatCur</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bendra išmokėtų pinigų suma</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nurodyta dienos (pamainos) bendra išmokėtų pinigų suma eurais pagal išmokėjimo būdą ir valiutą.</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1.2.3.3.3.1.3.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payoutCurrency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Pinigų išmokėjimo valiuta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Pinigų išmokėjimų valiuta pagal ISO 4217 standartą, pvz., USD. </w:t>
                </w:r>
                <w:r>
                  <w:rPr>
                    <w:bCs/>
                    <w:szCs w:val="24"/>
                    <w:lang w:eastAsia="lt-LT"/>
                  </w:rPr>
                  <w:t>Elemento reikšmė užpildoma, jei per dieną (pamainą) metu apmokėjimui buvo naudojama kita nei euras valiuta.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1.2.3.3.3.1.4.</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payoutAmountPaymentCur</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Dienos (pamainos) valiuta išmokėta suma  </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nurodyta per dieną (pamainą) išmokėta kita nei eurais valiuta suma. Elemento reikšmė užpildoma, jei buvo naudojama kita nei euras valiuta.</w:t>
                </w:r>
              </w:p>
            </w:tc>
          </w:tr>
          <w:tr>
            <w:trPr>
              <w:trHeight w:val="407"/>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1.2.3.3.3.1.5.</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exchangeRate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Dienos (pamainos) valiutos kursas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Užsienio šalių valiutos konvertuojamos pagal Europos Centrinio Banko paskelbtą orientacinį euro ir užsienio valiutos santykį, o tais atvejais, kai orientacinio euro ir užsienio valiutos santykio Europos Centrinis Bankas neskelbia, – pagal Lietuvos banko skelbiamą orientacinį euro ir užsienio valiutos konvertavimo santykį. Elemento reikšmė užpildoma, jei buvo naudojama kita nei euras valiuta.</w:t>
                </w:r>
              </w:p>
            </w:tc>
          </w:tr>
          <w:tr>
            <w:trPr>
              <w:trHeight w:val="407"/>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1.2.3.4.</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shd w:val="clear" w:color="auto" w:fill="FFFFFF"/>
                  </w:rPr>
                  <w:t>corrections</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Dienos (pamainos) taisymai</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 xml:space="preserve">Ataskaitoje (Z) nurodyti dienos (pamainos) taisymai </w:t>
                </w:r>
                <w:r>
                  <w:rPr>
                    <w:color w:val="000000"/>
                    <w:szCs w:val="24"/>
                  </w:rPr>
                  <w:t>pirkėjų fiskaliniuose kvituose.</w:t>
                </w:r>
              </w:p>
            </w:tc>
          </w:tr>
          <w:tr>
            <w:trPr>
              <w:trHeight w:val="407"/>
            </w:trPr>
            <w:tc>
              <w:tcPr>
                <w:tcW w:w="2132" w:type="dxa"/>
                <w:tcBorders>
                  <w:top w:val="nil"/>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1.2.3.4.1.</w:t>
                </w:r>
              </w:p>
            </w:tc>
            <w:tc>
              <w:tcPr>
                <w:tcW w:w="2693" w:type="dxa"/>
                <w:tcBorders>
                  <w:top w:val="nil"/>
                  <w:left w:val="nil"/>
                  <w:bottom w:val="single" w:sz="4" w:space="0" w:color="auto"/>
                  <w:right w:val="single" w:sz="4" w:space="0" w:color="auto"/>
                </w:tcBorders>
                <w:shd w:val="clear" w:color="auto" w:fill="auto"/>
              </w:tcPr>
              <w:p>
                <w:pPr>
                  <w:jc w:val="both"/>
                  <w:rPr>
                    <w:szCs w:val="24"/>
                    <w:lang w:eastAsia="lt-LT"/>
                  </w:rPr>
                </w:pPr>
                <w:r>
                  <w:rPr>
                    <w:szCs w:val="24"/>
                    <w:shd w:val="clear" w:color="auto" w:fill="FFFFFF"/>
                  </w:rPr>
                  <w:t>correctionsQuantity</w:t>
                </w:r>
              </w:p>
            </w:tc>
            <w:tc>
              <w:tcPr>
                <w:tcW w:w="1701" w:type="dxa"/>
                <w:tcBorders>
                  <w:top w:val="nil"/>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 xml:space="preserve">Dienos (pamainos)  taisymų kiekis</w:t>
                </w:r>
              </w:p>
            </w:tc>
            <w:tc>
              <w:tcPr>
                <w:tcW w:w="5790"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 xml:space="preserve">Ataskaitoje (Z) nurodytas dienos (pamainos) </w:t>
                </w:r>
              </w:p>
              <w:p>
                <w:pPr>
                  <w:jc w:val="both"/>
                  <w:rPr>
                    <w:color w:val="000000"/>
                    <w:szCs w:val="24"/>
                  </w:rPr>
                </w:pPr>
                <w:r>
                  <w:rPr>
                    <w:color w:val="000000"/>
                    <w:szCs w:val="24"/>
                  </w:rPr>
                  <w:t>taisymų skaičius pirkėjų fiskaliniuose kvituose.</w:t>
                </w:r>
              </w:p>
              <w:p>
                <w:pPr>
                  <w:jc w:val="both"/>
                  <w:rPr>
                    <w:szCs w:val="24"/>
                    <w:lang w:eastAsia="lt-LT"/>
                  </w:rPr>
                </w:pPr>
              </w:p>
            </w:tc>
          </w:tr>
          <w:tr>
            <w:trPr>
              <w:trHeight w:val="407"/>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1.2.3.4.2.</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shd w:val="clear" w:color="auto" w:fill="FFFFFF"/>
                  </w:rPr>
                  <w:t>correctionsAmount</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Dienos (pamainos)  bendra taisyta suma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Ataskaitoje (Z) nurodyta dienos (pamainos) bendra </w:t>
                </w:r>
                <w:r>
                  <w:rPr>
                    <w:color w:val="000000"/>
                    <w:szCs w:val="24"/>
                  </w:rPr>
                  <w:t>pirkėjų fiskaliniuose kvituose</w:t>
                </w:r>
                <w:r>
                  <w:rPr>
                    <w:szCs w:val="24"/>
                    <w:lang w:eastAsia="lt-LT"/>
                  </w:rPr>
                  <w:t xml:space="preserve"> taisyta suma (absoliutus dydis).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1.2.3.5.</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dailyData</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Ataskaitos (Z) kiti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nurodyti dienos (pamainos) kiti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1.2.3.5.1.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periodStartDateTime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Ataskaitos (Z) pradžios data ir laikas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Ataskaitos (Z) pradžios data ir laikas.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1.2.3.5.2.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periodEndDateTime</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Ataskaitos (Z) pabaigos data ir laikas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Ataskaitos (Z) pabaigos data ir laikas.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1.2.3.5.3.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receiptQuantity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Fiskalinių kvitų skaičius </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Fiskalinių kvitų, susietų su ataskaita (Z), skaičius. Jeigu per dieną (pamainą) nebuvo suformuotų fiskalinių kvitų, tai teikiama elemento reikšmė 0.</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1.2.3.5.4.</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otherDocumentsQuantity</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Nefiskalinių kvitų skaičius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Nefiskalinių kvitų, susietų su ataskaita (Z), skaičius. Jeigu per dieną (pamainą) nebuvo suformuotų nefiskalinių kvitų, tai teikiama elemento reikšmė 0.</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1.2.3.5.5.</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canceledReceiptsDocuments</w:t>
                </w:r>
                <w:r>
                  <w:rPr>
                    <w:szCs w:val="24"/>
                    <w:shd w:val="clear" w:color="auto" w:fill="FFFFFF"/>
                  </w:rPr>
                  <w:t>Quantity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Panaikintų fiskalinių kvitų skaičius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Ataskaitos (Z) laikotarpiu panaikintų fiskalinių kvitų skaičius. Suminis nefiskalinių panaikintų fiskalinių kvitų dokumentų skaičius. Jeigu per dieną (pamainą) nebuvo panaikintų fiskalinių kvitų, tai teikiama elemento reikšmė 0.</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1.2.3.5.6.</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shd w:val="clear" w:color="auto" w:fill="FFFFFF"/>
                  </w:rPr>
                  <w:t>canceledReceiptsDocumentsAmount</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Panaikintų fiskalinių kvitų suma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Ataskaitos (Z) laikotarpiu panaikintų fiskalinių kvitų suma.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1.2.3.5.7.</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gasStationOperationViolationDocumentsQuantity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Degalinių informacijos perdavimo linijų pažeidimų skaičius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Ataskaitos (Z) laikotarpiu nefiskalinių informacinių kvitų, pažeidus degalinių informacijos perdavimo linijas,  skaičius.</w:t>
                </w:r>
              </w:p>
              <w:p>
                <w:pPr>
                  <w:jc w:val="both"/>
                  <w:rPr>
                    <w:szCs w:val="24"/>
                    <w:lang w:eastAsia="lt-LT"/>
                  </w:rPr>
                </w:pPr>
                <w:r>
                  <w:rPr>
                    <w:szCs w:val="24"/>
                    <w:lang w:eastAsia="lt-LT"/>
                  </w:rPr>
                  <w:t>Kasos aparatas degalinių informacijos perdavimo linijų pažeidimų skaičių privalo teikti, jei teisės aktuose kasos aparato naudotojui nustatyta prievolė formuoti šiuos duomenis ataskaitoje (Z).</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1.2.3.6.</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cashBalanceDetails</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Grynųjų pinigų kasos aparate detalūs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Grynųjų pinigų kasos aparate detalūs duomenys pagal kiekvieną valiutą, įskaitant eurus.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1.2.3.6.1.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cashBalanceDetail</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Grynųjų pinigų kasos aparate duomenys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Grynųjų pinigų kasos aparate duomenys pagal valiutą, įskaitant eurus.</w:t>
                </w:r>
              </w:p>
            </w:tc>
          </w:tr>
          <w:tr>
            <w:trPr>
              <w:trHeight w:val="45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1.2.3.6.1.1.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cashCurrency</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Grynųjų pinigų operacijų valiuta</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u w:val="single"/>
                    <w:lang w:eastAsia="lt-LT"/>
                  </w:rPr>
                </w:pPr>
                <w:r>
                  <w:rPr>
                    <w:szCs w:val="24"/>
                    <w:lang w:eastAsia="lt-LT"/>
                  </w:rPr>
                  <w:t xml:space="preserve">Grynųjų pinigų operacijų valiuta pagal ISO 4217 standartą, pvz., EUR, USD. </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1.2.3.6.1.2.</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cashAmount</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Grynųjų pinigų likučio suma valiuta </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Grynųjų pinigų likučio suma valiuta. </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1.2.3.6.1.3.</w:t>
                </w:r>
              </w:p>
            </w:tc>
            <w:tc>
              <w:tcPr>
                <w:tcW w:w="2693"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insertionOperationCashAmount</w:t>
                </w:r>
              </w:p>
            </w:tc>
            <w:tc>
              <w:tcPr>
                <w:tcW w:w="1701" w:type="dxa"/>
                <w:tcBorders>
                  <w:top w:val="nil"/>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Įdėtų grynųjų pinigų suma valiuta</w:t>
                </w:r>
              </w:p>
            </w:tc>
            <w:tc>
              <w:tcPr>
                <w:tcW w:w="5790"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Įdėtų grynųjų pinigų suma valiuta.</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1.2.3.6.1.4.</w:t>
                </w:r>
              </w:p>
            </w:tc>
            <w:tc>
              <w:tcPr>
                <w:tcW w:w="2693"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insertionOperationCashQuantity</w:t>
                </w:r>
              </w:p>
            </w:tc>
            <w:tc>
              <w:tcPr>
                <w:tcW w:w="1701" w:type="dxa"/>
                <w:tcBorders>
                  <w:top w:val="nil"/>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Grynųjų pinigų įdėjimo operacijų skaičius</w:t>
                </w:r>
              </w:p>
            </w:tc>
            <w:tc>
              <w:tcPr>
                <w:tcW w:w="5790"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Grynųjų pinigų įdėjimo operacijų skaičius.</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1.2.3.6.1.5.</w:t>
                </w:r>
              </w:p>
            </w:tc>
            <w:tc>
              <w:tcPr>
                <w:tcW w:w="2693"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withdrawalOperationCashAmount</w:t>
                </w:r>
              </w:p>
            </w:tc>
            <w:tc>
              <w:tcPr>
                <w:tcW w:w="1701" w:type="dxa"/>
                <w:tcBorders>
                  <w:top w:val="nil"/>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Išimtų grynųjų pinigų suma valiuta</w:t>
                </w:r>
              </w:p>
            </w:tc>
            <w:tc>
              <w:tcPr>
                <w:tcW w:w="5790"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Išimtų grynųjų pinigų suma valiuta.</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1.2.3.6.1.6.</w:t>
                </w:r>
              </w:p>
            </w:tc>
            <w:tc>
              <w:tcPr>
                <w:tcW w:w="2693"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withdrawalOperationCashQuantity</w:t>
                </w:r>
              </w:p>
            </w:tc>
            <w:tc>
              <w:tcPr>
                <w:tcW w:w="1701" w:type="dxa"/>
                <w:tcBorders>
                  <w:top w:val="nil"/>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Grynųjų pinigų išėmimo operacijų skaičius</w:t>
                </w:r>
              </w:p>
            </w:tc>
            <w:tc>
              <w:tcPr>
                <w:tcW w:w="5790"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Grynųjų pinigų išėmimo operacijų skaičius.</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1.2.3.7.</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counters</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Skaitiklių duomenys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Skaitiklių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1.2.3.7.1.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GTSales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Pardavimo operacijų globalus skaitiklis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Bendra kasos aparatu įregistruota pardavimų suma (GT skaitiklis) ataskaitoje (Z).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1.2.3.7.2.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GTSalesTaxAmount</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Pardavimo operacijų mokesčių sumos globalus skaitiklis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Bendra kasos aparatu įregistruota pardavimų mokesčių suma (</w:t>
                </w:r>
                <w:r>
                  <w:rPr>
                    <w:bCs/>
                    <w:szCs w:val="24"/>
                    <w:lang w:eastAsia="lt-LT"/>
                  </w:rPr>
                  <w:t>GT skaitiklis</w:t>
                </w:r>
                <w:r>
                  <w:rPr>
                    <w:szCs w:val="24"/>
                    <w:lang w:eastAsia="lt-LT"/>
                  </w:rPr>
                  <w:t>) ataskaitoje (Z).</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1.2.3.7.3.</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GTBuying</w:t>
                </w:r>
              </w:p>
            </w:tc>
            <w:tc>
              <w:tcPr>
                <w:tcW w:w="1701"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Supirkimo operacijų globalus skaitiklis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Bendra kasos aparatu įregistruota už supirktas prekes išmokėta suma (</w:t>
                </w:r>
                <w:r>
                  <w:rPr>
                    <w:bCs/>
                    <w:szCs w:val="24"/>
                    <w:lang w:eastAsia="lt-LT"/>
                  </w:rPr>
                  <w:t>GT skaitiklis</w:t>
                </w:r>
                <w:r>
                  <w:rPr>
                    <w:szCs w:val="24"/>
                    <w:lang w:eastAsia="lt-LT"/>
                  </w:rPr>
                  <w:t>) ataskaitoje (Z).</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1.2.3.8.</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fiscalDayTaxData</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Taikomų mokesčių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Kasos aparate taikomų mokesčių duomenys.</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1.2.3.8.1.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lastTaxChangeDateTime</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Paskutinių mokesčių nustatymo ar keitimo data ir laikas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Paskutinių mokesčių nustatymo ar keitimo data ir laikas.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1.2.3.8.2.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taxChangeNumber</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Mokesčių keitimo eilės numeris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Mokesčių keitimo eilės numeris.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1.2.3.8.3.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fiscalDayTaxTables</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Taikomų mokesčių lentelė</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Mokesčių lentelė (nurodomi visi mokesčiai).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1.2.3.8.3.1.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fiscalDayTaxTable</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Taikomo mokesčio tarifas ir aprašymas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Mokesčio tarifas ir aprašymas.</w:t>
                </w:r>
              </w:p>
            </w:tc>
          </w:tr>
          <w:tr>
            <w:trPr>
              <w:trHeight w:val="45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1.2.3.8.3.1.1.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taxRate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Mokesčio tarifas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PVM tarifas 0 – 0%, 5 – 5%, 9 – 9%, 21 – 21%. Jei PVM neapmokestinamas, tai nurodoma tuščia elemento reikšmė.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w:t>
                </w:r>
                <w:r>
                  <w:rPr>
                    <w:szCs w:val="24"/>
                    <w:lang w:val="en-US" w:eastAsia="lt-LT"/>
                  </w:rPr>
                  <w:t>8.3.1.2.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taxDescription</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Mokesčio aprašymas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PVM aprašymas (pvz., mokesčio paskirtis, kodas iš mokesčių žymėjimo lentelės).</w:t>
                </w:r>
              </w:p>
            </w:tc>
          </w:tr>
          <w:tr>
            <w:trPr>
              <w:trHeight w:val="63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1.2.3.9.</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additionalData</w:t>
                </w:r>
              </w:p>
            </w:tc>
            <w:tc>
              <w:tcPr>
                <w:tcW w:w="1701"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Papildomi duomenys nurodomi ataskaitoje (Z) </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Papildomi duomenys ataskaitoje (Z). Kasos aparatas papildomus duomenis privalo teikti, jei teisės aktuose kasos aparato naudotojui nustatyta prievolė formuoti šiuos duomenis ataskaitoje (Z).</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1.2.3.9.1.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specialGoodsSales</w:t>
                </w:r>
              </w:p>
            </w:tc>
            <w:tc>
              <w:tcPr>
                <w:tcW w:w="1701"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nurodomų prekių pardavimo detalūs duomenys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nurodomų prekių pardavimo detalūs duomenys. Alkoholinių gėrimų prekių grupei teikiamas vienas suminis detalių duomenų įrašas.</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1.2.3.9.1.1.</w:t>
                </w:r>
              </w:p>
            </w:tc>
            <w:tc>
              <w:tcPr>
                <w:tcW w:w="2693"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specialGoodsSale</w:t>
                </w:r>
              </w:p>
            </w:tc>
            <w:tc>
              <w:tcPr>
                <w:tcW w:w="1701" w:type="dxa"/>
                <w:tcBorders>
                  <w:top w:val="nil"/>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Ataskaitoje (Z) nurodomos</w:t>
                </w:r>
              </w:p>
              <w:p>
                <w:pPr>
                  <w:jc w:val="both"/>
                  <w:rPr>
                    <w:szCs w:val="24"/>
                    <w:lang w:eastAsia="lt-LT"/>
                  </w:rPr>
                </w:pPr>
                <w:r>
                  <w:rPr>
                    <w:szCs w:val="24"/>
                    <w:lang w:eastAsia="lt-LT"/>
                  </w:rPr>
                  <w:t>prekių grupės pardavimo duomenys</w:t>
                </w:r>
              </w:p>
            </w:tc>
            <w:tc>
              <w:tcPr>
                <w:tcW w:w="5790"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Ataskaitoje (Z) nurodomos prekių grupės duomenys.</w:t>
                </w:r>
              </w:p>
            </w:tc>
          </w:tr>
          <w:tr>
            <w:trPr>
              <w:trHeight w:val="549"/>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1.2.3.9.1.1.1.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goodsGroup</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nurodomos prekės grupė</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nurodoma prekės grupė: B1 – benzinas; </w:t>
                </w:r>
                <w:r>
                  <w:rPr>
                    <w:bCs/>
                    <w:szCs w:val="24"/>
                    <w:lang w:eastAsia="lt-LT"/>
                  </w:rPr>
                  <w:t xml:space="preserve">B2 </w:t>
                </w:r>
                <w:r>
                  <w:rPr>
                    <w:szCs w:val="24"/>
                    <w:lang w:eastAsia="lt-LT"/>
                  </w:rPr>
                  <w:t>–</w:t>
                </w:r>
                <w:r>
                  <w:rPr>
                    <w:bCs/>
                    <w:szCs w:val="24"/>
                    <w:lang w:eastAsia="lt-LT"/>
                  </w:rPr>
                  <w:t xml:space="preserve"> automobiliniai etanolio degalai;</w:t>
                </w:r>
                <w:r>
                  <w:rPr>
                    <w:szCs w:val="24"/>
                    <w:lang w:eastAsia="lt-LT"/>
                  </w:rPr>
                  <w:t xml:space="preserve"> D1 – dyzelinas; </w:t>
                </w:r>
                <w:r>
                  <w:rPr>
                    <w:bCs/>
                    <w:szCs w:val="24"/>
                    <w:lang w:eastAsia="lt-LT"/>
                  </w:rPr>
                  <w:t xml:space="preserve">D2 </w:t>
                </w:r>
                <w:r>
                  <w:rPr>
                    <w:szCs w:val="24"/>
                    <w:lang w:eastAsia="lt-LT"/>
                  </w:rPr>
                  <w:t>–</w:t>
                </w:r>
                <w:r>
                  <w:rPr>
                    <w:bCs/>
                    <w:szCs w:val="24"/>
                    <w:lang w:eastAsia="lt-LT"/>
                  </w:rPr>
                  <w:t xml:space="preserve"> riebalų rūgščių metilo esteris (RRME);</w:t>
                </w:r>
                <w:r>
                  <w:rPr>
                    <w:szCs w:val="24"/>
                    <w:lang w:eastAsia="lt-LT"/>
                  </w:rPr>
                  <w:t xml:space="preserve"> DZ – žymėtas dyzelinas, skirtas naudoti žemės ūkyje ir žuvininkystėje; GD – gamtinės dujos, skirtos transportui; </w:t>
                </w:r>
                <w:r>
                  <w:rPr>
                    <w:bCs/>
                    <w:szCs w:val="24"/>
                    <w:lang w:eastAsia="lt-LT"/>
                  </w:rPr>
                  <w:t>LPG</w:t>
                </w:r>
                <w:r>
                  <w:rPr>
                    <w:szCs w:val="24"/>
                    <w:lang w:eastAsia="lt-LT"/>
                  </w:rPr>
                  <w:t xml:space="preserve"> – suskystintos naftos dujos, skirtos transportui; KT – kitoms grupėms nepriskirt</w:t>
                </w:r>
                <w:r>
                  <w:rPr>
                    <w:bCs/>
                    <w:szCs w:val="24"/>
                    <w:lang w:eastAsia="lt-LT"/>
                  </w:rPr>
                  <w:t>i</w:t>
                </w:r>
                <w:r>
                  <w:rPr>
                    <w:szCs w:val="24"/>
                    <w:lang w:eastAsia="lt-LT"/>
                  </w:rPr>
                  <w:t xml:space="preserve"> </w:t>
                </w:r>
                <w:r>
                  <w:rPr>
                    <w:bCs/>
                    <w:szCs w:val="24"/>
                    <w:lang w:eastAsia="lt-LT"/>
                  </w:rPr>
                  <w:t xml:space="preserve">degalai, skirti transportui; </w:t>
                </w:r>
                <w:r>
                  <w:rPr>
                    <w:szCs w:val="24"/>
                    <w:lang w:eastAsia="lt-LT"/>
                  </w:rPr>
                  <w:t>AG – alkoholiniai gėrimai.</w:t>
                </w:r>
              </w:p>
            </w:tc>
          </w:tr>
          <w:tr>
            <w:trPr>
              <w:trHeight w:val="63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1.2.3.9.1.1.2.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goods</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nurodomos prekės pavadinimas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nurodomos prekės pavadinimas iš kasos aparato laisvu tekstu.  Elemento reikšmė alkoholinių gėrimų prekių grupei nepildoma.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1.2.3.9.1.1.3.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goodsTotalSalesQuantity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nurodomos prekės pardavimų kiekis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nurodomos prekės pardavimų per dieną (pamainą) kiekis, litrais. Elemento reikšmė alkoholinių gėrimų prekių grupei nepildoma.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1.2.3.9.1.1.4.</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goodsTotalSalesAmount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nurodomos prekės pardavimų suma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nurodomos prekės pardavimų per dieną (pamainą) suma, įskaitant mokesčius.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1.2.3.9.2.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preOrderDocuments</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Išankstinių sąskaitų apskaita</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Išankstinių sąskaitų apskaita. </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1.2.3.9.2.1.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preOrderTotalQuantity</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Išankstinių sąskaitų kiekis ataskaitoje (Z)</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Išankstinių sąskaitų kiekis ataskaitoje (Z). Jeigu per dieną (pamainą) nebuvo suformuotų išankstinių sąskaitų, tai teikiama elemento reikšmė 0.</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1.2.3.9.2.2.</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preOrderTransfToAccomodInvQuantity</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Perkeltų išankstinių sąskaitų kiekis ataskaitoje (Z)</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Perkeltų išankstinių sąskaitų į viešbučio apskaitą kiekis ataskaitoje (Z). Jeigu per dieną (pamainą) nebuvo perkeltų išankstinių sąskaitų į viešbučio apskaitą, tai teikiama elemento reikšmė 0.</w:t>
                </w:r>
              </w:p>
            </w:tc>
          </w:tr>
          <w:tr>
            <w:trPr>
              <w:trHeight w:val="42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1.2.3.9.2.3.</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preOrderTotalUnpaidQuantity</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Neapmokėtų išankstinių sąskaitų kiekis ataskaitoje (Z)</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Neapmokėtų išankstinių sąskaitų kiekis ataskaitoje (Z). Jeigu per dieną (pamainą) nebuvo neapmokėtų išankstinių sąskaitų, tai teikiama elemento reikšmė 0.</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1.2.3.9.2.4.</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preOrderTotalAmount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Išankstinių sąskaitų bendra suma ataskaitoje (Z)</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Išankstinių sąskaitų bendra suma ataskaitoje (Z). Jeigu per dieną (pamainą) nebuvo suformuotų išankstinių sąskaitų, tai teikiama elemento reikšmė 0.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1.2.3.9.2.5.</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preOrderTransfToAccomodInvAmount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Perkeltų išankstinių sąskaitų bendra suma ataskaitoje (Z)</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Perkeltų išankstinių sąskaitų į viešbučio apskaitą bendra suma ataskaitoje (Z). Jeigu per dieną (pamainą) nebuvo perkeltų išankstinių sąskaitų į viešbučio apskaitą, tai teikiama elemento reikšmė 0.</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1.2.3.9.2.6.</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preOrderTotalUnpaidAmount</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Neapmokėtų išankstinių sąskaitų suma ataskaitoje (Z)</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Neapmokėtų išankstinių sąskaitų suma ataskaitoje (Z). Jeigu per dieną (pamainą) nebuvo neapmokėtų išankstinių sąskaitų, tai teikiama elemento reikšmė 0.</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1.2.3.9.3.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technicalRefuelings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Techniniai kuro pylimai ataskaitoje (Z)</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Techniniai kuro pylimai ataskaitoje (Z). </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1.2.3.9.3.1.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technicalRefueling</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Techninis kuro pylimas ataskaitoje (Z)</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Techninis kuro pylimas ataskaitoje (Z).</w:t>
                </w:r>
              </w:p>
            </w:tc>
          </w:tr>
          <w:tr>
            <w:trPr>
              <w:trHeight w:val="558"/>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1.2.3.9.3.1.1.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fuelType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nurodomo kuro grupė</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spacing w:line="259" w:lineRule="auto"/>
                  <w:jc w:val="both"/>
                  <w:rPr>
                    <w:szCs w:val="24"/>
                    <w:lang w:eastAsia="lt-LT"/>
                  </w:rPr>
                </w:pPr>
                <w:r>
                  <w:rPr>
                    <w:szCs w:val="24"/>
                    <w:lang w:eastAsia="lt-LT"/>
                  </w:rPr>
                  <w:t xml:space="preserve">Ataskaitoje (Z) nurodoma kuro grupė: </w:t>
                </w:r>
                <w:r>
                  <w:rPr>
                    <w:rFonts w:eastAsia="Calibri"/>
                    <w:color w:val="000000"/>
                    <w:szCs w:val="24"/>
                  </w:rPr>
                  <w:t xml:space="preserve">B1 – benzinas; </w:t>
                </w:r>
                <w:r>
                  <w:rPr>
                    <w:rFonts w:eastAsia="Calibri"/>
                    <w:bCs/>
                    <w:color w:val="000000"/>
                    <w:szCs w:val="24"/>
                  </w:rPr>
                  <w:t xml:space="preserve">B2 </w:t>
                </w:r>
                <w:r>
                  <w:rPr>
                    <w:rFonts w:eastAsia="Calibri"/>
                    <w:color w:val="000000"/>
                    <w:szCs w:val="24"/>
                  </w:rPr>
                  <w:t>–</w:t>
                </w:r>
                <w:r>
                  <w:rPr>
                    <w:rFonts w:eastAsia="Calibri"/>
                    <w:bCs/>
                    <w:color w:val="000000"/>
                    <w:szCs w:val="24"/>
                  </w:rPr>
                  <w:t xml:space="preserve"> automobiliniai etanolio degalai;</w:t>
                </w:r>
                <w:r>
                  <w:rPr>
                    <w:rFonts w:eastAsia="Calibri"/>
                    <w:color w:val="000000"/>
                    <w:szCs w:val="24"/>
                  </w:rPr>
                  <w:t xml:space="preserve"> D1 – dyzelinas; </w:t>
                </w:r>
                <w:r>
                  <w:rPr>
                    <w:rFonts w:eastAsia="Calibri"/>
                    <w:bCs/>
                    <w:color w:val="000000"/>
                    <w:szCs w:val="24"/>
                  </w:rPr>
                  <w:t xml:space="preserve">D2 </w:t>
                </w:r>
                <w:r>
                  <w:rPr>
                    <w:rFonts w:eastAsia="Calibri"/>
                    <w:color w:val="000000"/>
                    <w:szCs w:val="24"/>
                  </w:rPr>
                  <w:t>–</w:t>
                </w:r>
                <w:r>
                  <w:rPr>
                    <w:rFonts w:eastAsia="Calibri"/>
                    <w:bCs/>
                    <w:color w:val="000000"/>
                    <w:szCs w:val="24"/>
                  </w:rPr>
                  <w:t xml:space="preserve"> riebalų rūgščių metilo esteris (RRME);</w:t>
                </w:r>
                <w:r>
                  <w:rPr>
                    <w:rFonts w:eastAsia="Calibri"/>
                    <w:color w:val="000000"/>
                    <w:szCs w:val="24"/>
                  </w:rPr>
                  <w:t xml:space="preserve"> DZ – žymėtas dyzelinas, skirtas naudoti žemės ūkyje ir žuvininkystėje; GD – gamtinės dujos, skirtos transportui; </w:t>
                </w:r>
                <w:r>
                  <w:rPr>
                    <w:rFonts w:eastAsia="Calibri"/>
                    <w:bCs/>
                    <w:color w:val="000000"/>
                    <w:szCs w:val="24"/>
                  </w:rPr>
                  <w:t>LPG</w:t>
                </w:r>
                <w:r>
                  <w:rPr>
                    <w:rFonts w:eastAsia="Calibri"/>
                    <w:color w:val="000000"/>
                    <w:szCs w:val="24"/>
                  </w:rPr>
                  <w:t xml:space="preserve"> – suskystintos naftos dujos, skirtos transportui; KT – kitoms grupėms nepriskirt</w:t>
                </w:r>
                <w:r>
                  <w:rPr>
                    <w:rFonts w:eastAsia="Calibri"/>
                    <w:bCs/>
                    <w:color w:val="000000"/>
                    <w:szCs w:val="24"/>
                  </w:rPr>
                  <w:t>i</w:t>
                </w:r>
                <w:r>
                  <w:rPr>
                    <w:rFonts w:eastAsia="Calibri"/>
                    <w:color w:val="000000"/>
                    <w:szCs w:val="24"/>
                  </w:rPr>
                  <w:t xml:space="preserve"> </w:t>
                </w:r>
                <w:r>
                  <w:rPr>
                    <w:rFonts w:eastAsia="Calibri"/>
                    <w:bCs/>
                    <w:color w:val="000000"/>
                    <w:szCs w:val="24"/>
                  </w:rPr>
                  <w:t>degalai, skirti transportui.</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1.2.3.9.3.1.2.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fuel</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nurodomo kuro pavadinimas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nurodomo kuro pavadinimas iš kasos aparato laisvu tekstu, pvz.: 95 benzinas. </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1.2.3.9.3.1.3.</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fuelQuantity</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Ataskaitoje (Z) nurodomo techninių pylimų kuro kiekis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Ataskaitoje (Z) nurodomo techninių pylimų kuro kiekis, litrais.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1.2.4.</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nonFiscalDocument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Nefiskalinio kvito duomenys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Nefiskalinio kvito duomenys (nefiskalinis kvitas, kuriuo užfiksuotos operacijos nepriskirtinos 1.2.1.5, 1.2.1.6, 1.2.1.7, 1.2.1.8, 1.2.1.9, 1.2.1.10, 1.2.1.11, 1.2.1.12, 1.2.1.13 elementų indeksuose nurodytiems nefiskalinių dokumentų tipams).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1.2.4.1.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operationName</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Nefiskalinės operacijos aprašymas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Nefiskalinės operacijos aprašymas.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1.2.5.</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nonFiscalCollectionDocument</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Nefiskalinio grynųjų pinigų įdėjimo ir išėmimo kvito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Nefiskalinio grynųjų pinigų įdėjimo ir išėmimo kvito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1.2.5.1.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documentAmounts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Nefiskalinio grynųjų pinigų įdėjimo ir išėmimo kvito  sumos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Nefiskalinio grynųjų pinigų įdėjimo ir išėmimo kvito  sumos.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1.2.5.1.1.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PICashDetailsBeforeOperations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grynųjų pinigų sumų, prieš grynųjų pinigų įdėjimo ir išėmimo operacijas, detalūs duomenys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grynųjų pinigų sumų, prieš grynųjų pinigų įdėjimo ir išėmimo operacijas, detalūs duomenys (pagal valiutas įskaitant eurus).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1.2.5.1.1.1.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PICashDetailsBeforeOperation</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Kasos aparato grynųjų pinigų sumos, prieš grynųjų pinigų įdėjimo ir išėmimo operacijas,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Kasos aparato grynųjų pinigų sumos, prieš grynųjų pinigų įdėjimo ir išėmimo operacijas, duomenys (pagal valiutas įskaitant eurus).  </w:t>
                </w:r>
              </w:p>
            </w:tc>
          </w:tr>
          <w:tr>
            <w:trPr>
              <w:trHeight w:val="45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1.2.5.1.1.1.1.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cashCurrency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grynųjų pinigų sumos, prieš grynųjų pinigų įdėjimo ir išėmimo operacijas,  valiuta </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grynųjų pinigų sumos, prieš grynųjų pinigų įdėjimo ir išėmimo operacijas,  valiuta pagal ISO 4217 standartą, pvz., EUR, USD.</w:t>
                </w:r>
              </w:p>
              <w:p>
                <w:pPr>
                  <w:jc w:val="both"/>
                  <w:rPr>
                    <w:szCs w:val="24"/>
                    <w:lang w:eastAsia="lt-LT"/>
                  </w:rPr>
                </w:pP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1.2.5.1.1.1.2.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initialCashAmount</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grynųjų pinigų suma konkrečia valiuta  prieš grynųjų pinigų įdėjimo ir išėmimo operacijas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grynųjų pinigų suma konkrečia valiuta įskaitant eurus  prieš grynųjų pinigų įdėjimo ir išėmimo operacijas.</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1.2.5.1.2.</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PICashOperationDetails</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grynųjų pinigų operacijų detalūs duomenys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grynųjų pinigų operacijų detalūs duomenys (operacijos kryptis, valiuta).</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1.2.5.1.2.1.</w:t>
                </w:r>
              </w:p>
            </w:tc>
            <w:tc>
              <w:tcPr>
                <w:tcW w:w="2693"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PICashOperationDetail</w:t>
                </w:r>
              </w:p>
            </w:tc>
            <w:tc>
              <w:tcPr>
                <w:tcW w:w="1701" w:type="dxa"/>
                <w:tcBorders>
                  <w:top w:val="nil"/>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Kasos aparato grynųjų pinigų operacijos duomenys</w:t>
                </w:r>
              </w:p>
            </w:tc>
            <w:tc>
              <w:tcPr>
                <w:tcW w:w="5790" w:type="dxa"/>
                <w:tcBorders>
                  <w:top w:val="nil"/>
                  <w:left w:val="nil"/>
                  <w:bottom w:val="single" w:sz="4" w:space="0" w:color="auto"/>
                  <w:right w:val="single" w:sz="4" w:space="0" w:color="auto"/>
                </w:tcBorders>
                <w:shd w:val="clear" w:color="auto" w:fill="auto"/>
              </w:tcPr>
              <w:p>
                <w:pPr>
                  <w:jc w:val="both"/>
                  <w:rPr>
                    <w:szCs w:val="24"/>
                    <w:lang w:eastAsia="lt-LT"/>
                  </w:rPr>
                </w:pPr>
                <w:r>
                  <w:rPr>
                    <w:szCs w:val="24"/>
                    <w:lang w:eastAsia="lt-LT"/>
                  </w:rPr>
                  <w:t>Kasos aparato grynųjų pinigų operacijos duomenys (operacijos kryptis, valiuta).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1.2.5.1.2.1.1.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operationDirection</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Operacijos požymis </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Operacijos požymis: įdėti grynieji pinigai – IN; išimti grynieji pinigai – OUT. </w:t>
                </w:r>
              </w:p>
            </w:tc>
          </w:tr>
          <w:tr>
            <w:trPr>
              <w:trHeight w:val="45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1.2.5.1.2.1.2.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cashCurrency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Grynųjų pinigų operacijos valiuta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u w:val="single"/>
                    <w:lang w:eastAsia="lt-LT"/>
                  </w:rPr>
                </w:pPr>
                <w:r>
                  <w:rPr>
                    <w:szCs w:val="24"/>
                    <w:lang w:eastAsia="lt-LT"/>
                  </w:rPr>
                  <w:t>Grynųjų pinigų operacijos valiuta pagal ISO 4217 standartą, pvz., EUR, USD.</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1.2.5.1.2.1.3.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operationCashAmount</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Grynųjų pinigų operacijos suma pagal konkrečią valiutą </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Grynųjų pinigų operacijos suma pagal konkrečią valiutą įskaitant eurus.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1.2.5.1.3.</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PICashDetailsAfterOperations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grynųjų pinigų sumų, po grynųjų pinigų įdėjimo ir išėmimo operacijų, detalūs duomenys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grynųjų pinigų sumų, po grynųjų pinigų įdėjimo ir išėmimo operacijų, detalūs duomenys (pagal valiutas įskaitant eurus).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1.2.5.1.3.1.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PICashDetailsAfterOperation</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Kasos aparato grynųjų pinigų sumos, po grynųjų pinigų įdėjimo ir išėmimo operacijų,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Kasos aparato grynųjų pinigų sumos, po grynųjų pinigų įdėjimo ir išėmimo operacijų, duomenys (pagal valiutas įskaitant eurus).  </w:t>
                </w:r>
              </w:p>
            </w:tc>
          </w:tr>
          <w:tr>
            <w:trPr>
              <w:trHeight w:val="45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1.2.5.1.3.1.1.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cashCurrency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grynųjų pinigų sumos, po grynųjų pinigų įdėjimo ir išėmimo operacijų,  valiuta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grynųjų pinigų sumos, po grynųjų pinigų įdėjimo ir išėmimo operacijų,  valiuta pagal ISO 4217 standartą, pvz., EUR, USD.</w:t>
                </w:r>
              </w:p>
              <w:p>
                <w:pPr>
                  <w:jc w:val="both"/>
                  <w:rPr>
                    <w:szCs w:val="24"/>
                    <w:u w:val="single"/>
                    <w:lang w:eastAsia="lt-LT"/>
                  </w:rPr>
                </w:pP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1.2.5.1.3.1.2.</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finalCashAmount</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grynųjų pinigų suma konkrečia valiuta  po grynųjų pinigų įdėjimo ir išėmimo operacijų</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grynųjų pinigų suma konkrečia valiuta įskaitant eurus  po grynųjų pinigų įdėjimo ir išėmimo operacijų.</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1.2.6.</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nonFiscalPIMaintenanceDocument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Nefiskalinio kasos aparato techninės priežiūros arba remonto operacijų kvito duomenys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Nefiskalinio kasos aparato techninės priežiūros arba remonto operacijų kvito duomenys.</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1.2.6.1.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maintenanceDescription</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Kasos aparato priežiūros arba remonto operacijos aprašymas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Kasos aparato priežiūros arba remonto operacijos aprašymas.  Aprašymas pateikiamas laisvu tekstu. Šis tekstas bus pateikiamas kasos aparato elektroniniame techniniame pase.</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ind w:firstLine="62"/>
                  <w:jc w:val="both"/>
                  <w:rPr>
                    <w:szCs w:val="24"/>
                    <w:lang w:eastAsia="lt-LT"/>
                  </w:rPr>
                </w:pPr>
                <w:r>
                  <w:rPr>
                    <w:szCs w:val="24"/>
                    <w:lang w:eastAsia="lt-LT"/>
                  </w:rPr>
                  <w:t>1.2.7.</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nonFiscalCancelationDocument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Nefiskalinio panaikintų fiskalinių kvitų dokumento duomenys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Neužbaigtų fiskalinių kvitų, kurie laikomi panaikintais, pagrindžiančio nefiskalinio dokumento duomenys.</w:t>
                </w:r>
              </w:p>
              <w:p>
                <w:pPr>
                  <w:jc w:val="both"/>
                  <w:rPr>
                    <w:szCs w:val="24"/>
                    <w:lang w:eastAsia="lt-LT"/>
                  </w:rPr>
                </w:pPr>
              </w:p>
              <w:p>
                <w:pPr>
                  <w:jc w:val="both"/>
                  <w:rPr>
                    <w:szCs w:val="24"/>
                    <w:lang w:eastAsia="lt-LT"/>
                  </w:rPr>
                </w:pP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1.2.7.1.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canceledAmount</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Dokumento, kuris buvo anuliuotas, </w:t>
                </w:r>
                <w:r>
                  <w:rPr>
                    <w:szCs w:val="24"/>
                    <w:shd w:val="clear" w:color="auto" w:fill="FFFFFF"/>
                  </w:rPr>
                  <w:t>suma</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Dokumento, kuris buvo anuliuotas, suma.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1.2.8.</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nonFiscalTaxChangeDocument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Nefiskalinio mokesčių keitimo dokumento duomenys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Nefiskalinio mokesčių keitimo dokumento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1.2.8.1.</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taxTables</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Taikomų mokesčių lentelė</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Taikomų mokesčių lentelė (nurodomi visi mokesčiai po pakeitimo).</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1.2.8.1.1.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taxTable</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Taikomo mokesčio tarifas ir aprašymas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Taikomo mokesčio tarifas ir aprašymas.</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1.2.8.1.1.1.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taxRate</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Mokesčio tarifas</w:t>
                </w:r>
              </w:p>
            </w:tc>
            <w:tc>
              <w:tcPr>
                <w:tcW w:w="5790" w:type="dxa"/>
                <w:tcBorders>
                  <w:top w:val="nil"/>
                  <w:left w:val="nil"/>
                  <w:bottom w:val="single" w:sz="4" w:space="0" w:color="auto"/>
                  <w:right w:val="single" w:sz="4" w:space="0" w:color="auto"/>
                </w:tcBorders>
                <w:shd w:val="clear" w:color="auto" w:fill="auto"/>
                <w:hideMark/>
              </w:tcPr>
              <w:p>
                <w:pPr>
                  <w:jc w:val="both"/>
                  <w:rPr>
                    <w:szCs w:val="24"/>
                    <w:u w:val="single"/>
                    <w:lang w:eastAsia="lt-LT"/>
                  </w:rPr>
                </w:pPr>
                <w:r>
                  <w:rPr>
                    <w:szCs w:val="24"/>
                    <w:lang w:eastAsia="lt-LT"/>
                  </w:rPr>
                  <w:t>PVM tarifas 0 – 0%, 5 – 5%, 9 – 9%, 21 – 21%. Jei PVM neapmokestinamas, tai nurodoma tuščia elemento reikšmė.</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1.2.8.1.1.2.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taxDescription</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Mokesčio aprašymas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PVM aprašymas (pvz., mokesčio paskirtis, kodas iš mokesčių žymėjimo lentelės).</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1.2.9.</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nonFiscalTechnicalRefuelingDocument</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Nefiskalinio techninio kuro pylimo kvito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Nefiskalinio techninio kuro pylimo kvito duomenys.</w:t>
                </w:r>
              </w:p>
            </w:tc>
          </w:tr>
          <w:tr>
            <w:trPr>
              <w:trHeight w:val="300"/>
            </w:trPr>
            <w:tc>
              <w:tcPr>
                <w:tcW w:w="2132" w:type="dxa"/>
                <w:tcBorders>
                  <w:top w:val="nil"/>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1.2.9.1.</w:t>
                </w:r>
              </w:p>
            </w:tc>
            <w:tc>
              <w:tcPr>
                <w:tcW w:w="2693"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nonFiscalTechnicalRefueling</w:t>
                </w:r>
              </w:p>
            </w:tc>
            <w:tc>
              <w:tcPr>
                <w:tcW w:w="1701" w:type="dxa"/>
                <w:tcBorders>
                  <w:top w:val="nil"/>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Techninio kuro pylimo detalūs duomenys</w:t>
                </w:r>
              </w:p>
            </w:tc>
            <w:tc>
              <w:tcPr>
                <w:tcW w:w="5790" w:type="dxa"/>
                <w:tcBorders>
                  <w:top w:val="nil"/>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Techninio kuro pylimo detalūs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1.2.9.1.1.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nozzleNumber</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Kuro pylimo žarnos numeris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Kuro pylimo žarnos numeris.</w:t>
                </w:r>
              </w:p>
            </w:tc>
          </w:tr>
          <w:tr>
            <w:trPr>
              <w:trHeight w:val="45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1.2.9.1.2.</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fuelType</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Kuro grupė</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u w:val="single"/>
                    <w:lang w:eastAsia="lt-LT"/>
                  </w:rPr>
                </w:pPr>
                <w:r>
                  <w:rPr>
                    <w:szCs w:val="24"/>
                    <w:lang w:eastAsia="lt-LT"/>
                  </w:rPr>
                  <w:t xml:space="preserve">Techninio kuro pylimo nefiskaliniame dokumente nurodoma kuro grupė: B1 – benzinas; </w:t>
                </w:r>
                <w:r>
                  <w:rPr>
                    <w:bCs/>
                    <w:szCs w:val="24"/>
                    <w:lang w:eastAsia="lt-LT"/>
                  </w:rPr>
                  <w:t xml:space="preserve">B2 </w:t>
                </w:r>
                <w:r>
                  <w:rPr>
                    <w:szCs w:val="24"/>
                    <w:lang w:eastAsia="lt-LT"/>
                  </w:rPr>
                  <w:t>–</w:t>
                </w:r>
                <w:r>
                  <w:rPr>
                    <w:bCs/>
                    <w:szCs w:val="24"/>
                    <w:lang w:eastAsia="lt-LT"/>
                  </w:rPr>
                  <w:t xml:space="preserve"> automobiliniai etanolio degalai;</w:t>
                </w:r>
                <w:r>
                  <w:rPr>
                    <w:szCs w:val="24"/>
                    <w:lang w:eastAsia="lt-LT"/>
                  </w:rPr>
                  <w:t xml:space="preserve"> D1 – dyzelinas; </w:t>
                </w:r>
                <w:r>
                  <w:rPr>
                    <w:bCs/>
                    <w:szCs w:val="24"/>
                    <w:lang w:eastAsia="lt-LT"/>
                  </w:rPr>
                  <w:t xml:space="preserve">D2 </w:t>
                </w:r>
                <w:r>
                  <w:rPr>
                    <w:szCs w:val="24"/>
                    <w:lang w:eastAsia="lt-LT"/>
                  </w:rPr>
                  <w:t>–</w:t>
                </w:r>
                <w:r>
                  <w:rPr>
                    <w:bCs/>
                    <w:szCs w:val="24"/>
                    <w:lang w:eastAsia="lt-LT"/>
                  </w:rPr>
                  <w:t xml:space="preserve"> riebalų rūgščių metilo esteris (RRME);</w:t>
                </w:r>
                <w:r>
                  <w:rPr>
                    <w:szCs w:val="24"/>
                    <w:lang w:eastAsia="lt-LT"/>
                  </w:rPr>
                  <w:t xml:space="preserve"> DZ – žymėtas dyzelinas, skirtas naudoti žemės ūkyje ir žuvininkystėje; GD – gamtinės dujos, skirtos transportui; </w:t>
                </w:r>
                <w:r>
                  <w:rPr>
                    <w:bCs/>
                    <w:szCs w:val="24"/>
                    <w:lang w:eastAsia="lt-LT"/>
                  </w:rPr>
                  <w:t>LPG</w:t>
                </w:r>
                <w:r>
                  <w:rPr>
                    <w:szCs w:val="24"/>
                    <w:lang w:eastAsia="lt-LT"/>
                  </w:rPr>
                  <w:t xml:space="preserve"> – suskystintos naftos dujos, skirtos transportui; KT – kitoms grupėms nepriskirt</w:t>
                </w:r>
                <w:r>
                  <w:rPr>
                    <w:bCs/>
                    <w:szCs w:val="24"/>
                    <w:lang w:eastAsia="lt-LT"/>
                  </w:rPr>
                  <w:t>i</w:t>
                </w:r>
                <w:r>
                  <w:rPr>
                    <w:szCs w:val="24"/>
                    <w:lang w:eastAsia="lt-LT"/>
                  </w:rPr>
                  <w:t xml:space="preserve"> </w:t>
                </w:r>
                <w:r>
                  <w:rPr>
                    <w:bCs/>
                    <w:szCs w:val="24"/>
                    <w:lang w:eastAsia="lt-LT"/>
                  </w:rPr>
                  <w:t>degalai, skirti transportui.</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1.2.9.1.3.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fuel</w:t>
                </w:r>
              </w:p>
            </w:tc>
            <w:tc>
              <w:tcPr>
                <w:tcW w:w="1701" w:type="dxa"/>
                <w:tcBorders>
                  <w:top w:val="single" w:sz="4" w:space="0" w:color="auto"/>
                  <w:left w:val="nil"/>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Kuro pavadinimas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Techninio kuro pylimo nefiskaliniame kvite nurodomas kuro pavadinimas iš kasos aparato laisvu tekstu, pvz.: 95 benzinas.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1.2.9.1.4.</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fuelQuantity</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Techninio pylimo kuro kiekis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Techninio kuro pylimo nefiskaliniame kvite nurodomas techninio pylimo kuro kiekis, litrais.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1.2.10.</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preOrderDocument</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Išankstinės sąskaitos duomenys</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Išankstinės sąskaitos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1.2.10.1.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preSaleAmount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Išankstinės sąskaitos </w:t>
                </w:r>
                <w:r>
                  <w:rPr>
                    <w:rFonts w:eastAsia="Calibri"/>
                    <w:szCs w:val="24"/>
                  </w:rPr>
                  <w:t>bendra mokėtina suma</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Išankstinėje sąskaitoje nurodyta </w:t>
                </w:r>
                <w:r>
                  <w:rPr>
                    <w:rFonts w:eastAsia="Calibri"/>
                    <w:szCs w:val="24"/>
                  </w:rPr>
                  <w:t>bendra mokėtina suma</w:t>
                </w:r>
                <w:r>
                  <w:rPr>
                    <w:szCs w:val="24"/>
                    <w:lang w:eastAsia="lt-LT"/>
                  </w:rPr>
                  <w:t>.</w:t>
                </w:r>
              </w:p>
              <w:p>
                <w:pPr>
                  <w:jc w:val="both"/>
                  <w:rPr>
                    <w:szCs w:val="24"/>
                    <w:lang w:eastAsia="lt-LT"/>
                  </w:rPr>
                </w:pP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nonFiscalReturnDocument</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Prekių grąžinimo ir (arba) paslaugų atsisakymo operacijos duomenys.</w:t>
                </w:r>
              </w:p>
              <w:p>
                <w:pPr>
                  <w:jc w:val="both"/>
                  <w:rPr>
                    <w:szCs w:val="24"/>
                    <w:lang w:eastAsia="lt-LT"/>
                  </w:rPr>
                </w:pPr>
                <w:r>
                  <w:rPr>
                    <w:szCs w:val="24"/>
                  </w:rPr>
                  <w:t>Kasos aparatu registruojama prekių grąžinimo ir (arba) paslaugų atsisakymo operacija gali būti vykdoma tik kaip nefiskalinė operacija.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p>
              <w:p>
                <w:pPr>
                  <w:jc w:val="both"/>
                  <w:rPr>
                    <w:szCs w:val="24"/>
                    <w:lang w:eastAsia="lt-LT"/>
                  </w:rPr>
                </w:pPr>
                <w:r>
                  <w:rPr>
                    <w:szCs w:val="24"/>
                    <w:lang w:eastAsia="lt-LT"/>
                  </w:rPr>
                  <w:t>1.2.11.1.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otherCashCollectionOperations</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Prekių grąžinimo ir (arba) paslaugų atsisakymo operacijos detalūs duomenys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rPr>
                </w:pPr>
                <w:r>
                  <w:rPr>
                    <w:szCs w:val="24"/>
                  </w:rPr>
                  <w:t>Prekių grąžinimo ir (arba) paslaugų atsisakymo operacijos detalūs duomenys.</w:t>
                </w:r>
              </w:p>
              <w:p>
                <w:pPr>
                  <w:jc w:val="both"/>
                  <w:rPr>
                    <w:szCs w:val="24"/>
                    <w:lang w:eastAsia="lt-LT"/>
                  </w:rPr>
                </w:pPr>
                <w:r>
                  <w:rPr>
                    <w:szCs w:val="24"/>
                  </w:rPr>
                  <w:t>Prekių grąžinimo ir (arba) paslaugų atsisakymo operacijos nefiskaliniame dokumente nurodytos</w:t>
                </w:r>
                <w:r>
                  <w:rPr>
                    <w:szCs w:val="24"/>
                    <w:lang w:eastAsia="lt-LT"/>
                  </w:rPr>
                  <w:t xml:space="preserve"> lėšų sumokėjimo / išmokėjimo operacijos.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otherCashCollectionOperation</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rPr>
                </w:pPr>
                <w:r>
                  <w:rPr>
                    <w:szCs w:val="24"/>
                  </w:rPr>
                  <w:t>Prekių grąžinimo ir (arba) paslaugų atsisakymo operacijos duomenys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rPr>
                </w:pPr>
                <w:r>
                  <w:rPr>
                    <w:szCs w:val="24"/>
                  </w:rPr>
                  <w:t>Prekių grąžinimo ir (arba) paslaugų atsisakymo operacijos duomenys.</w:t>
                </w:r>
              </w:p>
              <w:p>
                <w:pPr>
                  <w:jc w:val="both"/>
                  <w:rPr>
                    <w:szCs w:val="24"/>
                  </w:rPr>
                </w:pP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1.2.11.1.1.1.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collectionDirection</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Operacijos požymis </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val="en-US" w:eastAsia="lt-LT"/>
                  </w:rPr>
                </w:pPr>
                <w:r>
                  <w:rPr>
                    <w:szCs w:val="24"/>
                    <w:lang w:eastAsia="lt-LT"/>
                  </w:rPr>
                  <w:t>Operacijos požymis: sumokėjimo operacijos – „IN“, išmokėjimo operacijos – „OUT“. Operacijos požymis „IN“ taikomas kai grąžinimas atliekamas dėl registruotų prekių supirkimo operacijų.</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1.2.11.1.1.2.</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collectionType</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Operacijos tipas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 xml:space="preserve">Operacijos tipas: 1 – depozitas,  – grąžinimas. Operacijos tipas „depozitas“ turi būti fiksuojamas kartu su operacijos tipu „grąžinimas“.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1.2.11.1.1.3.</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collectionAmount</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Operacijos suma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val="en-US" w:eastAsia="lt-LT"/>
                  </w:rPr>
                </w:pPr>
                <w:r>
                  <w:rPr>
                    <w:szCs w:val="24"/>
                    <w:lang w:eastAsia="lt-LT"/>
                  </w:rPr>
                  <w:t xml:space="preserve">Bendra operacijos suma pagal operacijos požymį ir tipą. </w:t>
                </w:r>
                <w:r>
                  <w:rPr>
                    <w:szCs w:val="24"/>
                  </w:rPr>
                  <w:t>Prekių grąžinimo ir (arba) paslaugų atsisakymo operacijos nefiskaliniame dokumente</w:t>
                </w:r>
                <w:r>
                  <w:rPr>
                    <w:szCs w:val="24"/>
                    <w:lang w:eastAsia="lt-LT"/>
                  </w:rPr>
                  <w:t>.</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1.2.11.1.1.4.</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returnedDocumentCashRegisterRegistrationNo</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Kvito, pagal kurį grąžinama, kasos aparato unikalus numeris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Kvito, pagal kurį grąžinama, kasos aparato unikalus numeris (kasos aparatams, kurie teikia duomenys i.EKA, nurodoma cashRegisterRegistrationNo reikšmė, kitų kasos aparatų gamintojo suteiktas unikalus serijinis numeris). Privalomas, jei neteikiama 1.2.11.1.6 elemento reikšmė.</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1.2.11.1.1.5.</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returnedDocumentNumber</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Kvito, pagal kurį grąžinama, dokumentą identifikuojantis numeris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Kvito, pagal kurį gražinama, dokumentą identifikuojantis numeris (Bendras dokumento eilės numeris).</w:t>
                </w:r>
                <w:r>
                  <w:rPr>
                    <w:sz w:val="22"/>
                    <w:szCs w:val="22"/>
                  </w:rPr>
                  <w:t xml:space="preserve"> </w:t>
                </w:r>
                <w:r>
                  <w:rPr>
                    <w:szCs w:val="24"/>
                    <w:lang w:eastAsia="lt-LT"/>
                  </w:rPr>
                  <w:t xml:space="preserve">Privalomas, jei neteikiama 1.2.11.1.6 elemento reikšmė.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1.2.11.1.1.6. </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returnedOtherSalesDocumentNumber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Pardavimo dokumento, pagal kurį grąžinama, numeris.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Pardavimo dokumento, pagal kurį grąžinama, identifikuojantis numeris.</w:t>
                </w:r>
              </w:p>
              <w:p>
                <w:pPr>
                  <w:jc w:val="both"/>
                  <w:rPr>
                    <w:szCs w:val="24"/>
                    <w:lang w:eastAsia="lt-LT"/>
                  </w:rPr>
                </w:pPr>
                <w:r>
                  <w:rPr>
                    <w:szCs w:val="24"/>
                    <w:lang w:eastAsia="lt-LT"/>
                  </w:rPr>
                  <w:t>Laukas pildomas, kai nėra fiskalinio kvito, pagal kurį grąžinama, duomenų (pvz.: prekė buvo parduota internetu ir turimas tik prekės sąskaitos numeris). Privalomas, jei neteikiamos 1.2.11.1.4 ir 1.2.11.1.5 elemento reikšmės.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receiptPayments</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mokėjimų informacija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mokėjimų informacija pagal mokėjimo būdus.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totalAmountToPay</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mokėtina suma</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mokėtina suma. Mokėtina suma yra neigiama, jei pirkėjui išmokami pinigai.</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paymentDetails</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mokėjimo būdų detalūs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mokėjimo būdų detalūs duomenys.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paymentDetail</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Nefiskalinio prekių grąžinimo ir (arba) paslaugų atsisakymo dokumento</w:t>
                </w:r>
                <w:r>
                  <w:rPr>
                    <w:szCs w:val="24"/>
                    <w:lang w:eastAsia="lt-LT"/>
                  </w:rPr>
                  <w:t xml:space="preserve"> mokėjimo būdo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Nefiskalinio prekių grąžinimo ir (arba) paslaugų atsisakymo dokumento</w:t>
                </w:r>
                <w:r>
                  <w:rPr>
                    <w:szCs w:val="24"/>
                    <w:lang w:eastAsia="lt-LT"/>
                  </w:rPr>
                  <w:t xml:space="preserve"> mokėjimo būdo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1.2.11.2.2.1.1.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paymentType</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apmokėjimo būdas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apmokėjimo būdas: 1 – grynieji, 2 – debetinė / kreditinė mokėjimo kortelė, 3 – kita mokėjimo kortelė (pavyzdžiui, lojalumo kortelė), 4 – kuponai, 5 – pavedimas, 8 – kriptovaliuta, 9 – kita, 10 – apvalinimas.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1.2.11.2.2.1.2.</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paidAmountNatCur</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apmokėta suma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Apmokėta </w:t>
                </w:r>
                <w:r>
                  <w:rPr>
                    <w:szCs w:val="24"/>
                  </w:rPr>
                  <w:t>nefiskalinio prekių grąžinimo ir (arba) paslaugų atsisakymo dokumento</w:t>
                </w:r>
                <w:r>
                  <w:rPr>
                    <w:szCs w:val="24"/>
                    <w:lang w:eastAsia="lt-LT"/>
                  </w:rPr>
                  <w:t xml:space="preserve"> suma eurais pagal apmokėjimo būdą ir valiutą.</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1.2.11.2.2.1.3.</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paymentCurrency</w:t>
                </w:r>
              </w:p>
            </w:tc>
            <w:tc>
              <w:tcPr>
                <w:tcW w:w="1701" w:type="dxa"/>
                <w:tcBorders>
                  <w:top w:val="single" w:sz="4" w:space="0" w:color="auto"/>
                  <w:left w:val="nil"/>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apmokėta suma</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apmokėta suma  </w:t>
                </w:r>
                <w:r>
                  <w:rPr>
                    <w:szCs w:val="24"/>
                    <w:lang w:eastAsia="lt-LT"/>
                  </w:rPr>
                  <w:t xml:space="preserve">apmokėjimo valiuta pagal ISO 4217 standartą, pvz.: USD. </w:t>
                </w:r>
                <w:r>
                  <w:rPr>
                    <w:bCs/>
                    <w:szCs w:val="24"/>
                    <w:lang w:eastAsia="lt-LT"/>
                  </w:rPr>
                  <w:t>Elemento reikšmė užpildoma, jei buvo naudojama kita nei euras valiuta.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1.2.11.2.2.1.4.</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paidAmountPaymentCur</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apmokėta suma  apmokėta suma valiuta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apmokėta suma apmokėta kita nei eurais valiuta suma. Elemento reikšmė užpildoma, jei buvo naudojama kita nei euras valiuta.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1.2.11.2.2.1.5.</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exchangeRate</w:t>
                </w:r>
              </w:p>
            </w:tc>
            <w:tc>
              <w:tcPr>
                <w:tcW w:w="1701" w:type="dxa"/>
                <w:tcBorders>
                  <w:top w:val="single" w:sz="4" w:space="0" w:color="auto"/>
                  <w:left w:val="nil"/>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apmokėta suma  apmokėjimo valiutos kursas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Užsienio šalių valiutos konvertuojamos pagal Europos Centrinio Banko paskelbtą orientacinį euro ir užsienio valiutos santykį, o tais atvejais, kai orientacinio euro ir užsienio valiutos santykio Europos Centrinis Bankas neskelbia, – pagal Lietuvos banko skelbiamą orientacinį euro ir užsienio valiutos konvertavimo santykį. Elemento reikšmė užpildoma, jei buvo naudojama kita nei euras valiuta.</w:t>
                </w:r>
              </w:p>
            </w:tc>
          </w:tr>
          <w:tr>
            <w:trPr>
              <w:trHeight w:val="845"/>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1.2.11.2.3.</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payoutDetails</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pinigų išmokėjimo būdų detalūs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pinigų išmokėjimo būdų detalūs duomenys.</w:t>
                </w:r>
              </w:p>
            </w:tc>
          </w:tr>
          <w:tr>
            <w:trPr>
              <w:trHeight w:val="845"/>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1.2.11.2.3.1.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payoutDetail</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Nefiskalinio prekių grąžinimo ir (arba) paslaugų atsisakymo dokumento</w:t>
                </w:r>
                <w:r>
                  <w:rPr>
                    <w:szCs w:val="24"/>
                    <w:lang w:eastAsia="lt-LT"/>
                  </w:rPr>
                  <w:t xml:space="preserve"> pinigų išmokėjimo būdo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Nefiskalinio prekių grąžinimo ir (arba) paslaugų atsisakymo dokumento</w:t>
                </w:r>
                <w:r>
                  <w:rPr>
                    <w:szCs w:val="24"/>
                    <w:lang w:eastAsia="lt-LT"/>
                  </w:rPr>
                  <w:t xml:space="preserve"> pinigų išmokėjimo būdo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1.2.11.2.3.1.1.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payoutType</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p>
              <w:p>
                <w:pPr>
                  <w:jc w:val="both"/>
                  <w:rPr>
                    <w:szCs w:val="24"/>
                    <w:lang w:eastAsia="lt-LT"/>
                  </w:rPr>
                </w:pPr>
                <w:r>
                  <w:rPr>
                    <w:szCs w:val="24"/>
                    <w:lang w:eastAsia="lt-LT"/>
                  </w:rPr>
                  <w:t>pinigų išmokėjimo būdas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pinigų išmokėjimo būdas: 1 – grynieji, 2 – debetinė / kreditinė mokėjimo kortelė, 3 – kita mokėjimo kortelė (pavyzdžiui, lojalumo kortelė), 4 – kuponai, 5 – pavedimas, 6 – kompensuojama iš Privalomojo sveikatos draudimo fondo biudžeto lėšų, 7 – kompensuojama iš valstybės biudžeto lėšų, 8 – kriptovaliuta, 9 – kita, 10 – apvalinimas.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1.2.11.2.3.1.2.</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payoutAmountNatCur</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p>
              <w:p>
                <w:pPr>
                  <w:jc w:val="both"/>
                  <w:rPr>
                    <w:szCs w:val="24"/>
                    <w:lang w:eastAsia="lt-LT"/>
                  </w:rPr>
                </w:pPr>
                <w:r>
                  <w:rPr>
                    <w:szCs w:val="24"/>
                    <w:lang w:eastAsia="lt-LT"/>
                  </w:rPr>
                  <w:t>pinigų išmokėjimo suma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Išmokėta </w:t>
                </w:r>
                <w:r>
                  <w:rPr>
                    <w:szCs w:val="24"/>
                  </w:rPr>
                  <w:t>nefiskalinio prekių grąžinimo ir (arba) paslaugų atsisakymo dokumento</w:t>
                </w:r>
                <w:r>
                  <w:rPr>
                    <w:szCs w:val="24"/>
                    <w:lang w:eastAsia="lt-LT"/>
                  </w:rPr>
                  <w:t xml:space="preserve"> pinigų suma eurais pagal išmokėjimo būdą ir valiutą.</w:t>
                </w:r>
              </w:p>
              <w:p>
                <w:pPr>
                  <w:jc w:val="both"/>
                  <w:rPr>
                    <w:szCs w:val="24"/>
                    <w:lang w:eastAsia="lt-LT"/>
                  </w:rPr>
                </w:pP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1.2.11.2.3.1.3.</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payoutCurrency</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pinigų išmokėjimo valiuta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w:t>
                </w:r>
                <w:r>
                  <w:rPr>
                    <w:szCs w:val="24"/>
                    <w:lang w:eastAsia="lt-LT"/>
                  </w:rPr>
                  <w:t xml:space="preserve">pinigų išmokėjimo valiuta pagal ISO 4217 standartą, pvz.: USD. </w:t>
                </w:r>
                <w:r>
                  <w:rPr>
                    <w:bCs/>
                    <w:szCs w:val="24"/>
                    <w:lang w:eastAsia="lt-LT"/>
                  </w:rPr>
                  <w:t>Elemento reikšmė užpildoma, jei buvo naudojama kita nei euras valiuta.</w:t>
                </w:r>
                <w:r>
                  <w:rPr>
                    <w:szCs w:val="24"/>
                    <w:lang w:eastAsia="lt-LT"/>
                  </w:rPr>
                  <w:t xml:space="preserve"> </w:t>
                </w:r>
              </w:p>
              <w:p>
                <w:pPr>
                  <w:jc w:val="both"/>
                  <w:rPr>
                    <w:szCs w:val="24"/>
                    <w:lang w:eastAsia="lt-LT"/>
                  </w:rPr>
                </w:pP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1.2.11.2.3.1.4.</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payoutAmountPaymentCur</w:t>
                </w:r>
              </w:p>
            </w:tc>
            <w:tc>
              <w:tcPr>
                <w:tcW w:w="1701" w:type="dxa"/>
                <w:tcBorders>
                  <w:top w:val="single" w:sz="4" w:space="0" w:color="auto"/>
                  <w:left w:val="nil"/>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pinigų išmokėjimo suma valiuta</w:t>
                  <w:tab/>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pinigų išmokėjimo kita nei eurais valiuta suma. Elemento reikšmė užpildoma, jei buvo naudojama kita nei euras valiuta. </w:t>
                </w:r>
              </w:p>
              <w:p>
                <w:pPr>
                  <w:jc w:val="both"/>
                  <w:rPr>
                    <w:szCs w:val="24"/>
                    <w:lang w:eastAsia="lt-LT"/>
                  </w:rPr>
                </w:pPr>
              </w:p>
            </w:tc>
          </w:tr>
          <w:tr>
            <w:trPr>
              <w:trHeight w:val="845"/>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1.2.11.2.3.1.5.</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exchangeRate</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rPr>
                  <w:t>Nefiskalinio prekių grąžinimo ir (arba) paslaugų atsisakymo dokumento</w:t>
                </w:r>
                <w:r>
                  <w:rPr>
                    <w:szCs w:val="24"/>
                    <w:lang w:eastAsia="lt-LT"/>
                  </w:rPr>
                  <w:t xml:space="preserve">  pinigų išmokėjimo valiutos kursas </w:t>
                </w:r>
              </w:p>
              <w:p>
                <w:pPr>
                  <w:jc w:val="both"/>
                  <w:rPr>
                    <w:szCs w:val="24"/>
                    <w:lang w:eastAsia="lt-LT"/>
                  </w:rPr>
                </w:pP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Užsienio šalių valiutos konvertuojamos pagal Europos Centrinio Banko paskelbtą orientacinį euro ir užsienio valiutos santykį, o tais atvejais, kai orientacinio euro ir užsienio valiutos santykio Europos Centrinis Bankas neskelbia, – pagal Lietuvos banko skelbiamą orientacinį euro ir užsienio valiutos konvertavimo santykį. Elemento reikšmė užpildoma, jei buvo naudojama kita nei euras valiuta.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nonFiscalFinancialDocument</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duomenys</w:t>
                </w:r>
              </w:p>
            </w:tc>
            <w:tc>
              <w:tcPr>
                <w:tcW w:w="5790" w:type="dxa"/>
                <w:tcBorders>
                  <w:top w:val="single" w:sz="4" w:space="0" w:color="auto"/>
                  <w:left w:val="nil"/>
                  <w:bottom w:val="single" w:sz="4" w:space="0" w:color="auto"/>
                  <w:right w:val="single" w:sz="4" w:space="0" w:color="auto"/>
                </w:tcBorders>
                <w:shd w:val="clear" w:color="auto" w:fill="auto"/>
              </w:tcPr>
              <w:p>
                <w:pPr>
                  <w:jc w:val="both"/>
                  <w:rPr>
                    <w:color w:val="000000"/>
                    <w:szCs w:val="24"/>
                  </w:rPr>
                </w:pPr>
                <w:r>
                  <w:rPr>
                    <w:szCs w:val="24"/>
                    <w:lang w:eastAsia="lt-LT"/>
                  </w:rPr>
                  <w:t xml:space="preserve">Nefiskalinio kitų lėšų sumokėjimo / išmokėjimo operacijų kvito duomenys.  Kitos lėšų sumokėjimo / išmokėjimo nefiskalinės operacijos </w:t>
                </w:r>
                <w:r>
                  <w:rPr>
                    <w:color w:val="000000"/>
                    <w:szCs w:val="24"/>
                  </w:rPr>
                  <w:t xml:space="preserve">neapimančios prekių (paslaugų) pardavimo ir (ar) supirkimo operacijų, keičiančių kasos aparato fiskalinių duomenų sumuojančių skaitiklių reikšmes. </w:t>
                </w:r>
              </w:p>
              <w:p>
                <w:pPr>
                  <w:jc w:val="both"/>
                  <w:rPr>
                    <w:color w:val="000000"/>
                    <w:szCs w:val="24"/>
                  </w:rPr>
                </w:pPr>
                <w:r>
                  <w:rPr>
                    <w:szCs w:val="24"/>
                    <w:lang w:eastAsia="lt-LT"/>
                  </w:rPr>
                  <w:t xml:space="preserve">Taip pat, elemento reikšmė neapima mokesčių mokėtojo, naudojančio kasos aparatą, vykdomų pinigų įdėjimo ir išėmimo (pavyzdžiui, inkasavimo) operacijų.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1.2.12.1.</w:t>
                </w:r>
              </w:p>
              <w:p>
                <w:pPr>
                  <w:jc w:val="both"/>
                  <w:rPr>
                    <w:szCs w:val="24"/>
                    <w:lang w:eastAsia="lt-LT"/>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otherCashCollectionOperations</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Kitos lėšų sumokėjimo / išmokėjimo operacijos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Kitos lėšų sumokėjimo / išmokėjimo operacijos. Elemento reikšmė neapima mokesčių mokėtojo, naudojančio kasos aparatą, vykdomų pinigų įdėjimo ir išėmimo (pavyzdžiui, inkasavimo) operacijų.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1.2.12.1.1.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otherCashCollectionOperation</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Kita lėšų sumokėjimo / išmokėjimo operacija</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Kita lėšų sumokėjimo / išmokėjimo operacija.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1.2.12.1.1.1.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collectionDirection</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Operacijos požymis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Operacijos požymis: sumokėjimo operacijos – „IN“, išmokėjimo operacijos – „OUT“.</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1.2.12.1.1.2.</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collectionType</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Operacijos tipas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Operacijos tipas: 1 – depozitas, 2 – kita.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1.2.12.1.1.3.</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collectionAmount</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Operacijos suma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Bendra operacijos suma pagal operacijos požymį ir tipą nefiskaliniame kitų lėšų sumokėjimo / išmokėjimo operacijų kvite.</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1.2.12.2.</w:t>
                </w:r>
              </w:p>
              <w:p>
                <w:pPr>
                  <w:jc w:val="both"/>
                  <w:rPr>
                    <w:szCs w:val="24"/>
                    <w:lang w:eastAsia="lt-LT"/>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receiptPayments</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mokėjimų informacija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mokėjimų informacija pagal mokėjimo būdus.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1.2.12.2.1.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totalAmountToPay</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mokėtina suma</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mokėtina suma. Mokėtina suma yra neigiama, jei pirkėjui išmokami pinigai.</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1.2.12.2.2.</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paymentDetails</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mokėjimo būdų detalūs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mokėjimo būdų detalūs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1.2.12.2.2.1.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paymentDetail</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mokėjimo būdo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mokėjimo būdo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1.2.12.2.2.1.1.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paymentType</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kvito apmokėjimo būdas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Nefiskalinio kvito apmokėjimo būdas: 1 – grynieji, 2 – debetinė / kreditinė mokėjimo kortelė, 3 – kita mokėjimo kortelė (pavyzdžiui, lojalumo kortelė), 4 – kuponai, 5 – pavedimas, 8 – kriptovaliuta, 9 – kita, 10 – apvalinimas.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1.2.12.2.2.1.2.</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paidAmountNatCur</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apmokėta suma</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Apmokėta Nefiskalinio kitų lėšų sumokėjimo / išmokėjimo operacijų kvito suma eurais pagal apmokėjimo būdą ir valiutą.</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1.2.12.2.2.1.3.</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paymentCurrency</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apmokėjimo valiuta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Nefiskalinio kitų lėšų sumokėjimo / išmokėjimo operacijų kvito  </w:t>
                </w:r>
                <w:r>
                  <w:rPr>
                    <w:szCs w:val="24"/>
                    <w:lang w:eastAsia="lt-LT"/>
                  </w:rPr>
                  <w:t xml:space="preserve">apmokėjimo valiuta pagal ISO 4217 standartą, pvz.: USD. </w:t>
                </w:r>
                <w:r>
                  <w:rPr>
                    <w:bCs/>
                    <w:szCs w:val="24"/>
                    <w:lang w:eastAsia="lt-LT"/>
                  </w:rPr>
                  <w:t>Elemento reikšmė užpildoma, jei buvo naudojama kita nei euras valiuta.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1.2.12.2.2.1.4.</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paidAmountPaymentCur</w:t>
                </w:r>
              </w:p>
            </w:tc>
            <w:tc>
              <w:tcPr>
                <w:tcW w:w="1701" w:type="dxa"/>
                <w:tcBorders>
                  <w:top w:val="single" w:sz="4" w:space="0" w:color="auto"/>
                  <w:left w:val="nil"/>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 xml:space="preserve">Nefiskalinio kitų lėšų sumokėjimo / išmokėjimo operacijų kvito  apmokėta suma valiuta</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apmokėta kita nei eurais valiuta suma. Elemento reikšmė užpildoma, jei buvo naudojama kita nei euras valiuta.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1.2.12.2.2.1.5.</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exchangeRate</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apmokėjimo valiutos kursas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Užsienio šalių valiutos konvertuojamos pagal Europos Centrinio Banko paskelbtą orientacinį euro ir užsienio valiutos santykį, o tais atvejais, kai orientacinio euro ir užsienio valiutos santykio Europos Centrinis Bankas neskelbia, – pagal Lietuvos banko skelbiamą orientacinį euro ir užsienio valiutos konvertavimo santykį. Elemento reikšmė užpildoma, jei buvo naudojama kita nei euras valiuta.</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1.2.12.2.3.</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payoutDetails</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pinigų išmokėjimo būdų detalūs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pinigų išmokėjimo būdų detalūs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1.2.12.2.3.1.</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payoutDetail</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pinigų išmokėjimo būdo duomenys</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pinigų išmokėjimo būdo duomenys.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1.2.12.2.3.1.1.</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payoutType</w:t>
                </w:r>
              </w:p>
            </w:tc>
            <w:tc>
              <w:tcPr>
                <w:tcW w:w="1701" w:type="dxa"/>
                <w:tcBorders>
                  <w:top w:val="single" w:sz="4" w:space="0" w:color="auto"/>
                  <w:left w:val="nil"/>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pinigų išmokėjimo būdas</w:t>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 xml:space="preserve">Nefiskalinio kitų lėšų sumokėjimo / išmokėjimo operacijų kvito pinigų išmokėjimo būdas: 1 – grynieji, 2 – debetinė / kreditinė mokėjimo kortelė, 3 – kita mokėjimo kortelė (pavyzdžiui, lojalumo kortelė), 4 – kuponai, 5 – pavedimas, 8 – kriptovaliuta, 9 – kita, 10 – apvalinimas.  </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1.2.12.2.3.1.2.</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payoutAmountNatCur</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pinigų išmokėjimo suma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Išmokėta nefiskalinio kitų lėšų sumokėjimo / išmokėjimo operacijų kvito pinigų suma eurais pagal išmokėjimo būdą ir valiutą.</w:t>
                </w:r>
              </w:p>
              <w:p>
                <w:pPr>
                  <w:jc w:val="both"/>
                  <w:rPr>
                    <w:szCs w:val="24"/>
                    <w:lang w:eastAsia="lt-LT"/>
                  </w:rPr>
                </w:pP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1.2.12.2.3.1.3.</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payoutCurrency</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 pinigų išmokėjimo valiuta</w:t>
                </w: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Nefiskalinio kitų lėšų sumokėjimo / išmokėjimo operacijų kvito</w:t>
                </w:r>
                <w:r>
                  <w:rPr>
                    <w:color w:val="0563C1"/>
                    <w:szCs w:val="24"/>
                    <w:lang w:eastAsia="lt-LT"/>
                  </w:rPr>
                  <w:t xml:space="preserve"> </w:t>
                </w:r>
                <w:r>
                  <w:rPr>
                    <w:szCs w:val="24"/>
                    <w:lang w:eastAsia="lt-LT"/>
                  </w:rPr>
                  <w:t xml:space="preserve">pinigų išmokėjimo valiuta pagal ISO 4217 standartą, pvz.: USD. </w:t>
                </w:r>
                <w:r>
                  <w:rPr>
                    <w:bCs/>
                    <w:szCs w:val="24"/>
                    <w:lang w:eastAsia="lt-LT"/>
                  </w:rPr>
                  <w:t>Elemento reikšmė užpildoma, jei buvo naudojama kita nei euras valiuta.</w:t>
                </w:r>
                <w:r>
                  <w:rPr>
                    <w:szCs w:val="24"/>
                    <w:lang w:eastAsia="lt-LT"/>
                  </w:rPr>
                  <w:t xml:space="preserve"> </w:t>
                </w:r>
              </w:p>
            </w:tc>
          </w:tr>
          <w:tr>
            <w:trPr>
              <w:trHeight w:val="1566"/>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1.2.12.2.3.1.4.</w:t>
                </w:r>
              </w:p>
            </w:tc>
            <w:tc>
              <w:tcPr>
                <w:tcW w:w="2693"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payoutAmountPaymentCur</w:t>
                </w:r>
              </w:p>
            </w:tc>
            <w:tc>
              <w:tcPr>
                <w:tcW w:w="1701" w:type="dxa"/>
                <w:tcBorders>
                  <w:top w:val="single" w:sz="4" w:space="0" w:color="auto"/>
                  <w:left w:val="nil"/>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 xml:space="preserve">Nefiskalinio kitų lėšų sumokėjimo / išmokėjimo operacijų kvito  pinigų išmokėjimo suma valiuta</w:t>
                  <w:tab/>
                </w:r>
              </w:p>
            </w:tc>
            <w:tc>
              <w:tcPr>
                <w:tcW w:w="5790" w:type="dxa"/>
                <w:tcBorders>
                  <w:top w:val="single" w:sz="4" w:space="0" w:color="auto"/>
                  <w:left w:val="nil"/>
                  <w:bottom w:val="single" w:sz="4" w:space="0" w:color="auto"/>
                  <w:right w:val="single" w:sz="4" w:space="0" w:color="auto"/>
                </w:tcBorders>
                <w:shd w:val="clear" w:color="auto" w:fill="auto"/>
              </w:tcPr>
              <w:p>
                <w:pPr>
                  <w:jc w:val="both"/>
                  <w:rPr>
                    <w:szCs w:val="24"/>
                    <w:lang w:eastAsia="lt-LT"/>
                  </w:rPr>
                </w:pPr>
                <w:r>
                  <w:rPr>
                    <w:szCs w:val="24"/>
                    <w:lang w:eastAsia="lt-LT"/>
                  </w:rPr>
                  <w:t xml:space="preserve">Nefiskalinio kitų lėšų sumokėjimo / išmokėjimo operacijų kvito pinigų išmokėjimo kita nei eurais valiuta suma. Elemento reikšmė užpildoma, jei buvo naudojama kita nei euras valiuta. </w:t>
                </w:r>
              </w:p>
              <w:p>
                <w:pPr>
                  <w:jc w:val="both"/>
                  <w:rPr>
                    <w:szCs w:val="24"/>
                    <w:lang w:eastAsia="lt-LT"/>
                  </w:rPr>
                </w:pPr>
              </w:p>
            </w:tc>
          </w:tr>
          <w:tr>
            <w:trPr>
              <w:trHeight w:val="2198"/>
            </w:trPr>
            <w:tc>
              <w:tcPr>
                <w:tcW w:w="213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1.2.12.2.3.1.5.</w:t>
                </w:r>
              </w:p>
            </w:tc>
            <w:tc>
              <w:tcPr>
                <w:tcW w:w="2693"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exchangeRate</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ind w:firstLine="62"/>
                  <w:rPr>
                    <w:szCs w:val="24"/>
                    <w:lang w:eastAsia="lt-LT"/>
                  </w:rPr>
                </w:pPr>
              </w:p>
            </w:tc>
            <w:tc>
              <w:tcPr>
                <w:tcW w:w="2001"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Nefiskalinio kitų lėšų sumokėjimo / išmokėjimo operacijų kvito pinigų išmokėjimo valiutos kursas </w:t>
                </w:r>
              </w:p>
              <w:p>
                <w:pPr>
                  <w:jc w:val="both"/>
                  <w:rPr>
                    <w:szCs w:val="24"/>
                    <w:lang w:eastAsia="lt-LT"/>
                  </w:rPr>
                </w:pPr>
              </w:p>
            </w:tc>
            <w:tc>
              <w:tcPr>
                <w:tcW w:w="5790"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Užsienio šalių valiutos konvertavimas pagal Europos Centrinio Banko paskelbtą orientacinį euro ir užsienio valiutos santykį, o tais atvejais, kai orientacinio euro ir užsienio valiutos santykio Europos Centrinis Bankas neskelbia, – pagal Lietuvos banko skelbiamą orientacinį euro ir užsienio valiutos konvertavimo santykį. Elemento reikšmė užpildoma, jei buvo naudojama kita nei euras valiuta.</w:t>
                </w:r>
              </w:p>
            </w:tc>
          </w:tr>
          <w:tr>
            <w:trPr>
              <w:trHeight w:val="42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w:t>
                </w:r>
              </w:p>
            </w:tc>
            <w:tc>
              <w:tcPr>
                <w:tcW w:w="2693"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gasStationOperationViolationDocument</w:t>
                </w:r>
              </w:p>
            </w:tc>
            <w:tc>
              <w:tcPr>
                <w:tcW w:w="1701" w:type="dxa"/>
                <w:tcBorders>
                  <w:top w:val="single" w:sz="4" w:space="0" w:color="auto"/>
                  <w:left w:val="nil"/>
                  <w:bottom w:val="single" w:sz="4" w:space="0" w:color="auto"/>
                  <w:right w:val="single" w:sz="4" w:space="0" w:color="auto"/>
                </w:tcBorders>
                <w:shd w:val="clear" w:color="auto" w:fill="auto"/>
                <w:hideMark/>
              </w:tcPr>
              <w:p>
                <w:pPr>
                  <w:ind w:firstLine="62"/>
                  <w:rPr>
                    <w:szCs w:val="24"/>
                    <w:lang w:eastAsia="lt-LT"/>
                  </w:rPr>
                </w:pPr>
              </w:p>
            </w:tc>
            <w:tc>
              <w:tcPr>
                <w:tcW w:w="2001"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Nefiskalinio informacijos perdavimo  pažeidimo kvito duomenys </w:t>
                </w:r>
              </w:p>
            </w:tc>
            <w:tc>
              <w:tcPr>
                <w:tcW w:w="5790" w:type="dxa"/>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 xml:space="preserve">Nefiskalinio informacijos perdavimo  pažeidimo kvito duomenys. </w:t>
                </w:r>
                <w:r>
                  <w:rPr>
                    <w:color w:val="000000"/>
                    <w:szCs w:val="24"/>
                  </w:rPr>
                  <w:t>Duomenys apie degalinės sistemos arba degalų įpylimo kolonėlės darbo blokavimą, pažeidus informacijos perdavimą linijomis, jungiančiomis atskirus modulius ir kolonėles.</w:t>
                </w:r>
              </w:p>
            </w:tc>
          </w:tr>
          <w:tr>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1.2.13.1.</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violationDescription</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w:t>
                </w:r>
              </w:p>
            </w:tc>
            <w:tc>
              <w:tcPr>
                <w:tcW w:w="2001"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Pažeidimo aprašymas</w:t>
                </w:r>
              </w:p>
            </w:tc>
            <w:tc>
              <w:tcPr>
                <w:tcW w:w="5790" w:type="dxa"/>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Laisvo teksto pažeidimo aprašymas (pvz.: prarastas ryšys).</w:t>
                </w:r>
              </w:p>
            </w:tc>
          </w:tr>
        </w:tbl>
        <w:p>
          <w:pPr>
            <w:spacing w:line="259" w:lineRule="auto"/>
            <w:rPr>
              <w:szCs w:val="24"/>
              <w:lang w:eastAsia="lt-LT"/>
            </w:rPr>
          </w:pPr>
          <w:r>
            <w:rPr>
              <w:szCs w:val="24"/>
              <w:lang w:eastAsia="lt-LT"/>
            </w:rPr>
            <w:t>Sutartiniai ženklai grafoje „Privalomumas“:</w:t>
          </w:r>
        </w:p>
        <w:p>
          <w:pPr>
            <w:rPr>
              <w:sz w:val="14"/>
              <w:szCs w:val="14"/>
            </w:rPr>
          </w:pPr>
        </w:p>
        <w:tbl>
          <w:tblPr>
            <w:tblW w:w="10055" w:type="dxa"/>
            <w:tblInd w:w="5" w:type="dxa"/>
            <w:tblLayout w:type="fixed"/>
            <w:tblCellMar>
              <w:left w:w="0" w:type="dxa"/>
              <w:right w:w="0" w:type="dxa"/>
            </w:tblCellMar>
            <w:tblLook w:val="04A0" w:firstRow="1" w:lastRow="0" w:firstColumn="1" w:lastColumn="0" w:noHBand="0" w:noVBand="1"/>
          </w:tblPr>
          <w:tblGrid>
            <w:gridCol w:w="1266"/>
            <w:gridCol w:w="8789"/>
          </w:tblGrid>
          <w:tr>
            <w:trPr>
              <w:trHeight w:val="255"/>
            </w:trPr>
            <w:tc>
              <w:tcPr>
                <w:tcW w:w="1266" w:type="dxa"/>
                <w:tcBorders>
                  <w:top w:val="single" w:sz="4" w:space="0" w:color="auto"/>
                  <w:left w:val="single" w:sz="4" w:space="0" w:color="auto"/>
                  <w:bottom w:val="single" w:sz="4" w:space="0" w:color="auto"/>
                  <w:right w:val="single" w:sz="4" w:space="0" w:color="auto"/>
                </w:tcBorders>
                <w:shd w:val="clear" w:color="auto" w:fill="auto"/>
                <w:noWrap/>
              </w:tcPr>
              <w:p>
                <w:pPr>
                  <w:spacing w:line="259" w:lineRule="auto"/>
                  <w:rPr>
                    <w:szCs w:val="24"/>
                    <w:lang w:eastAsia="lt-LT"/>
                  </w:rPr>
                </w:pPr>
                <w:r>
                  <w:rPr>
                    <w:szCs w:val="24"/>
                    <w:lang w:eastAsia="lt-LT"/>
                  </w:rPr>
                  <w:t>*</w:t>
                </w:r>
              </w:p>
            </w:tc>
            <w:tc>
              <w:tcPr>
                <w:tcW w:w="8789" w:type="dxa"/>
                <w:tcBorders>
                  <w:top w:val="single" w:sz="4" w:space="0" w:color="auto"/>
                  <w:left w:val="single" w:sz="4" w:space="0" w:color="auto"/>
                  <w:bottom w:val="single" w:sz="4" w:space="0" w:color="auto"/>
                  <w:right w:val="single" w:sz="4" w:space="0" w:color="auto"/>
                </w:tcBorders>
                <w:shd w:val="clear" w:color="auto" w:fill="auto"/>
                <w:noWrap/>
              </w:tcPr>
              <w:p>
                <w:pPr>
                  <w:spacing w:line="259" w:lineRule="auto"/>
                  <w:rPr>
                    <w:szCs w:val="24"/>
                    <w:lang w:eastAsia="lt-LT"/>
                  </w:rPr>
                </w:pPr>
                <w:r>
                  <w:rPr>
                    <w:szCs w:val="24"/>
                    <w:lang w:eastAsia="lt-LT"/>
                  </w:rPr>
                  <w:t>Privalomas elementas, reikšmė turi būti užpildoma.</w:t>
                </w:r>
              </w:p>
            </w:tc>
          </w:tr>
          <w:tr>
            <w:trPr>
              <w:trHeight w:val="255"/>
            </w:trPr>
            <w:tc>
              <w:tcPr>
                <w:tcW w:w="1266" w:type="dxa"/>
                <w:tcBorders>
                  <w:top w:val="single" w:sz="4" w:space="0" w:color="auto"/>
                  <w:left w:val="single" w:sz="4" w:space="0" w:color="auto"/>
                  <w:bottom w:val="single" w:sz="4" w:space="0" w:color="auto"/>
                  <w:right w:val="single" w:sz="4" w:space="0" w:color="auto"/>
                </w:tcBorders>
                <w:shd w:val="clear" w:color="auto" w:fill="FFFFFF"/>
                <w:noWrap/>
              </w:tcPr>
              <w:p>
                <w:pPr>
                  <w:spacing w:line="259" w:lineRule="auto"/>
                  <w:rPr>
                    <w:szCs w:val="24"/>
                    <w:lang w:eastAsia="lt-LT"/>
                  </w:rPr>
                </w:pPr>
                <w:r>
                  <w:rPr>
                    <w:szCs w:val="24"/>
                    <w:lang w:eastAsia="lt-LT"/>
                  </w:rPr>
                  <w:t>Nenurodyta</w:t>
                </w:r>
              </w:p>
            </w:tc>
            <w:tc>
              <w:tcPr>
                <w:tcW w:w="8789" w:type="dxa"/>
                <w:tcBorders>
                  <w:top w:val="single" w:sz="4" w:space="0" w:color="auto"/>
                  <w:left w:val="single" w:sz="4" w:space="0" w:color="auto"/>
                  <w:bottom w:val="single" w:sz="4" w:space="0" w:color="auto"/>
                  <w:right w:val="single" w:sz="4" w:space="0" w:color="auto"/>
                </w:tcBorders>
                <w:shd w:val="clear" w:color="auto" w:fill="FFFFFF"/>
                <w:noWrap/>
              </w:tcPr>
              <w:p>
                <w:pPr>
                  <w:jc w:val="both"/>
                  <w:rPr>
                    <w:szCs w:val="24"/>
                    <w:lang w:eastAsia="lt-LT"/>
                  </w:rPr>
                </w:pPr>
                <w:r>
                  <w:rPr>
                    <w:szCs w:val="24"/>
                    <w:lang w:eastAsia="lt-LT"/>
                  </w:rPr>
                  <w:t>Rinkmenoje elemento ir reikšmės gali nebūti.</w:t>
                </w:r>
              </w:p>
              <w:p>
                <w:pPr>
                  <w:jc w:val="both"/>
                  <w:rPr>
                    <w:szCs w:val="24"/>
                    <w:lang w:eastAsia="lt-LT"/>
                  </w:rPr>
                </w:pPr>
                <w:r>
                  <w:rPr>
                    <w:szCs w:val="24"/>
                    <w:lang w:eastAsia="lt-LT"/>
                  </w:rPr>
                  <w:t>Žvaigždute (*) nepažymėti elementai į pateikiamą rinkmeną neįtraukiami ir neužpildomi tik tais atvejais, kai ūkio subjekto kasos aparatu suformuotame dokumente tokių duomenų nėra.</w:t>
                </w:r>
              </w:p>
            </w:tc>
          </w:tr>
        </w:tbl>
        <w:p>
          <w:pPr>
            <w:tabs>
              <w:tab w:val="left" w:pos="914"/>
            </w:tabs>
            <w:spacing w:line="259" w:lineRule="auto"/>
            <w:rPr>
              <w:sz w:val="22"/>
              <w:szCs w:val="24"/>
              <w:lang w:eastAsia="lt-LT"/>
            </w:rPr>
          </w:pPr>
        </w:p>
        <w:p>
          <w:pPr>
            <w:rPr>
              <w:sz w:val="14"/>
              <w:szCs w:val="14"/>
            </w:rPr>
          </w:pPr>
        </w:p>
        <w:p>
          <w:pPr>
            <w:spacing w:line="259" w:lineRule="auto"/>
            <w:jc w:val="center"/>
            <w:rPr>
              <w:sz w:val="22"/>
              <w:szCs w:val="24"/>
              <w:lang w:eastAsia="lt-LT"/>
            </w:rPr>
          </w:pPr>
          <w:r>
            <w:rPr>
              <w:sz w:val="22"/>
              <w:szCs w:val="24"/>
              <w:lang w:eastAsia="lt-LT"/>
            </w:rPr>
            <w:t>___________________________________</w:t>
          </w:r>
        </w:p>
        <w:p>
          <w:pPr>
            <w:rPr>
              <w:sz w:val="14"/>
              <w:szCs w:val="14"/>
            </w:rPr>
          </w:pPr>
        </w:p>
        <w:p>
          <w:pPr>
            <w:spacing w:line="259" w:lineRule="auto"/>
            <w:jc w:val="center"/>
            <w:rPr>
              <w:sz w:val="22"/>
              <w:szCs w:val="24"/>
              <w:lang w:eastAsia="lt-LT"/>
            </w:rPr>
          </w:pPr>
        </w:p>
      </w:sdtContent>
    </w:sdt>
    <w:sectPr>
      <w:pgSz w:w="16838" w:h="11906" w:orient="landscape"/>
      <w:pgMar w:top="1701" w:right="1134" w:bottom="567" w:left="1134" w:header="567" w:footer="567" w:gutter="0"/>
      <w:pgNumType w:start="1"/>
      <w:cols w:space="1296"/>
      <w:titlePg/>
      <w:docGrid w:linePitch="360"/>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F6EC5F4" w16cid:durableId="262C92EB"/>
  <w16cid:commentId w16cid:paraId="17BB672E" w16cid:durableId="262C9227"/>
  <w16cid:commentId w16cid:paraId="4082A8F1" w16cid:durableId="262C9228"/>
  <w16cid:commentId w16cid:paraId="23E19D75" w16cid:durableId="262C9229"/>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rebuchet MS">
    <w:panose1 w:val="020B0603020202020204"/>
    <w:charset w:val="BA"/>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31</w:t>
    </w:r>
    <w:r>
      <w:rPr>
        <w:szCs w:val="24"/>
      </w:rPr>
      <w:fldChar w:fldCharType="end"/>
    </w:r>
  </w:p>
  <w:p>
    <w:pPr>
      <w:tabs>
        <w:tab w:val="center" w:pos="4819"/>
        <w:tab w:val="right" w:pos="9638"/>
      </w:tabs>
      <w:jc w:val="right"/>
      <w:rPr>
        <w:rFonts w:ascii="Trebuchet MS" w:hAnsi="Trebuchet MS"/>
        <w:b/>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revisionView w:inkAnnotations="0"/>
  <w:defaultTabStop w:val="1296"/>
  <w:hyphenationZone w:val="396"/>
  <w:doNotHyphenateCaps/>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02D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5:chartTrackingRefBased/>
  <w15:docId w15:val="{1D797A82-2EB8-4E67-BD82-DED35213A95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3864595">
      <w:bodyDiv w:val="1"/>
      <w:marLeft w:val="0"/>
      <w:marRight w:val="0"/>
      <w:marTop w:val="0"/>
      <w:marBottom w:val="0"/>
      <w:divBdr>
        <w:top w:val="none" w:sz="0" w:space="0" w:color="auto"/>
        <w:left w:val="none" w:sz="0" w:space="0" w:color="auto"/>
        <w:bottom w:val="none" w:sz="0" w:space="0" w:color="auto"/>
        <w:right w:val="none" w:sz="0" w:space="0" w:color="auto"/>
      </w:divBdr>
    </w:div>
    <w:div w:id="367485886">
      <w:bodyDiv w:val="1"/>
      <w:marLeft w:val="0"/>
      <w:marRight w:val="0"/>
      <w:marTop w:val="0"/>
      <w:marBottom w:val="0"/>
      <w:divBdr>
        <w:top w:val="none" w:sz="0" w:space="0" w:color="auto"/>
        <w:left w:val="none" w:sz="0" w:space="0" w:color="auto"/>
        <w:bottom w:val="none" w:sz="0" w:space="0" w:color="auto"/>
        <w:right w:val="none" w:sz="0" w:space="0" w:color="auto"/>
      </w:divBdr>
    </w:div>
    <w:div w:id="486290555">
      <w:bodyDiv w:val="1"/>
      <w:marLeft w:val="0"/>
      <w:marRight w:val="0"/>
      <w:marTop w:val="0"/>
      <w:marBottom w:val="0"/>
      <w:divBdr>
        <w:top w:val="none" w:sz="0" w:space="0" w:color="auto"/>
        <w:left w:val="none" w:sz="0" w:space="0" w:color="auto"/>
        <w:bottom w:val="none" w:sz="0" w:space="0" w:color="auto"/>
        <w:right w:val="none" w:sz="0" w:space="0" w:color="auto"/>
      </w:divBdr>
    </w:div>
    <w:div w:id="640425077">
      <w:bodyDiv w:val="1"/>
      <w:marLeft w:val="0"/>
      <w:marRight w:val="0"/>
      <w:marTop w:val="0"/>
      <w:marBottom w:val="0"/>
      <w:divBdr>
        <w:top w:val="none" w:sz="0" w:space="0" w:color="auto"/>
        <w:left w:val="none" w:sz="0" w:space="0" w:color="auto"/>
        <w:bottom w:val="none" w:sz="0" w:space="0" w:color="auto"/>
        <w:right w:val="none" w:sz="0" w:space="0" w:color="auto"/>
      </w:divBdr>
    </w:div>
    <w:div w:id="679427708">
      <w:bodyDiv w:val="1"/>
      <w:marLeft w:val="0"/>
      <w:marRight w:val="0"/>
      <w:marTop w:val="0"/>
      <w:marBottom w:val="0"/>
      <w:divBdr>
        <w:top w:val="none" w:sz="0" w:space="0" w:color="auto"/>
        <w:left w:val="none" w:sz="0" w:space="0" w:color="auto"/>
        <w:bottom w:val="none" w:sz="0" w:space="0" w:color="auto"/>
        <w:right w:val="none" w:sz="0" w:space="0" w:color="auto"/>
      </w:divBdr>
    </w:div>
    <w:div w:id="685208424">
      <w:bodyDiv w:val="1"/>
      <w:marLeft w:val="0"/>
      <w:marRight w:val="0"/>
      <w:marTop w:val="0"/>
      <w:marBottom w:val="0"/>
      <w:divBdr>
        <w:top w:val="none" w:sz="0" w:space="0" w:color="auto"/>
        <w:left w:val="none" w:sz="0" w:space="0" w:color="auto"/>
        <w:bottom w:val="none" w:sz="0" w:space="0" w:color="auto"/>
        <w:right w:val="none" w:sz="0" w:space="0" w:color="auto"/>
      </w:divBdr>
      <w:divsChild>
        <w:div w:id="604507271">
          <w:marLeft w:val="0"/>
          <w:marRight w:val="0"/>
          <w:marTop w:val="0"/>
          <w:marBottom w:val="0"/>
          <w:divBdr>
            <w:top w:val="none" w:sz="0" w:space="0" w:color="auto"/>
            <w:left w:val="none" w:sz="0" w:space="0" w:color="auto"/>
            <w:bottom w:val="none" w:sz="0" w:space="0" w:color="auto"/>
            <w:right w:val="none" w:sz="0" w:space="0" w:color="auto"/>
          </w:divBdr>
          <w:divsChild>
            <w:div w:id="730419183">
              <w:marLeft w:val="0"/>
              <w:marRight w:val="0"/>
              <w:marTop w:val="0"/>
              <w:marBottom w:val="0"/>
              <w:divBdr>
                <w:top w:val="none" w:sz="0" w:space="0" w:color="auto"/>
                <w:left w:val="none" w:sz="0" w:space="0" w:color="auto"/>
                <w:bottom w:val="none" w:sz="0" w:space="0" w:color="auto"/>
                <w:right w:val="none" w:sz="0" w:space="0" w:color="auto"/>
              </w:divBdr>
              <w:divsChild>
                <w:div w:id="215169296">
                  <w:marLeft w:val="0"/>
                  <w:marRight w:val="0"/>
                  <w:marTop w:val="0"/>
                  <w:marBottom w:val="0"/>
                  <w:divBdr>
                    <w:top w:val="none" w:sz="0" w:space="0" w:color="auto"/>
                    <w:left w:val="none" w:sz="0" w:space="0" w:color="auto"/>
                    <w:bottom w:val="none" w:sz="0" w:space="0" w:color="auto"/>
                    <w:right w:val="none" w:sz="0" w:space="0" w:color="auto"/>
                  </w:divBdr>
                  <w:divsChild>
                    <w:div w:id="402532875">
                      <w:marLeft w:val="0"/>
                      <w:marRight w:val="0"/>
                      <w:marTop w:val="0"/>
                      <w:marBottom w:val="0"/>
                      <w:divBdr>
                        <w:top w:val="none" w:sz="0" w:space="0" w:color="auto"/>
                        <w:left w:val="none" w:sz="0" w:space="0" w:color="auto"/>
                        <w:bottom w:val="none" w:sz="0" w:space="0" w:color="auto"/>
                        <w:right w:val="none" w:sz="0" w:space="0" w:color="auto"/>
                      </w:divBdr>
                      <w:divsChild>
                        <w:div w:id="118155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1585342">
      <w:bodyDiv w:val="1"/>
      <w:marLeft w:val="0"/>
      <w:marRight w:val="0"/>
      <w:marTop w:val="0"/>
      <w:marBottom w:val="0"/>
      <w:divBdr>
        <w:top w:val="none" w:sz="0" w:space="0" w:color="auto"/>
        <w:left w:val="none" w:sz="0" w:space="0" w:color="auto"/>
        <w:bottom w:val="none" w:sz="0" w:space="0" w:color="auto"/>
        <w:right w:val="none" w:sz="0" w:space="0" w:color="auto"/>
      </w:divBdr>
      <w:divsChild>
        <w:div w:id="1042243885">
          <w:marLeft w:val="0"/>
          <w:marRight w:val="0"/>
          <w:marTop w:val="0"/>
          <w:marBottom w:val="0"/>
          <w:divBdr>
            <w:top w:val="none" w:sz="0" w:space="0" w:color="auto"/>
            <w:left w:val="none" w:sz="0" w:space="0" w:color="auto"/>
            <w:bottom w:val="none" w:sz="0" w:space="0" w:color="auto"/>
            <w:right w:val="none" w:sz="0" w:space="0" w:color="auto"/>
          </w:divBdr>
        </w:div>
      </w:divsChild>
    </w:div>
    <w:div w:id="786579174">
      <w:bodyDiv w:val="1"/>
      <w:marLeft w:val="0"/>
      <w:marRight w:val="0"/>
      <w:marTop w:val="0"/>
      <w:marBottom w:val="0"/>
      <w:divBdr>
        <w:top w:val="none" w:sz="0" w:space="0" w:color="auto"/>
        <w:left w:val="none" w:sz="0" w:space="0" w:color="auto"/>
        <w:bottom w:val="none" w:sz="0" w:space="0" w:color="auto"/>
        <w:right w:val="none" w:sz="0" w:space="0" w:color="auto"/>
      </w:divBdr>
      <w:divsChild>
        <w:div w:id="1493837681">
          <w:marLeft w:val="0"/>
          <w:marRight w:val="0"/>
          <w:marTop w:val="0"/>
          <w:marBottom w:val="0"/>
          <w:divBdr>
            <w:top w:val="none" w:sz="0" w:space="0" w:color="auto"/>
            <w:left w:val="none" w:sz="0" w:space="0" w:color="auto"/>
            <w:bottom w:val="none" w:sz="0" w:space="0" w:color="auto"/>
            <w:right w:val="none" w:sz="0" w:space="0" w:color="auto"/>
          </w:divBdr>
          <w:divsChild>
            <w:div w:id="1029648873">
              <w:marLeft w:val="0"/>
              <w:marRight w:val="0"/>
              <w:marTop w:val="0"/>
              <w:marBottom w:val="0"/>
              <w:divBdr>
                <w:top w:val="none" w:sz="0" w:space="0" w:color="auto"/>
                <w:left w:val="none" w:sz="0" w:space="0" w:color="auto"/>
                <w:bottom w:val="none" w:sz="0" w:space="0" w:color="auto"/>
                <w:right w:val="none" w:sz="0" w:space="0" w:color="auto"/>
              </w:divBdr>
              <w:divsChild>
                <w:div w:id="2064139007">
                  <w:marLeft w:val="0"/>
                  <w:marRight w:val="0"/>
                  <w:marTop w:val="0"/>
                  <w:marBottom w:val="0"/>
                  <w:divBdr>
                    <w:top w:val="none" w:sz="0" w:space="0" w:color="auto"/>
                    <w:left w:val="none" w:sz="0" w:space="0" w:color="auto"/>
                    <w:bottom w:val="none" w:sz="0" w:space="0" w:color="auto"/>
                    <w:right w:val="none" w:sz="0" w:space="0" w:color="auto"/>
                  </w:divBdr>
                  <w:divsChild>
                    <w:div w:id="731856853">
                      <w:marLeft w:val="0"/>
                      <w:marRight w:val="0"/>
                      <w:marTop w:val="0"/>
                      <w:marBottom w:val="0"/>
                      <w:divBdr>
                        <w:top w:val="none" w:sz="0" w:space="0" w:color="auto"/>
                        <w:left w:val="none" w:sz="0" w:space="0" w:color="auto"/>
                        <w:bottom w:val="none" w:sz="0" w:space="0" w:color="auto"/>
                        <w:right w:val="none" w:sz="0" w:space="0" w:color="auto"/>
                      </w:divBdr>
                      <w:divsChild>
                        <w:div w:id="32778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7382852">
      <w:bodyDiv w:val="1"/>
      <w:marLeft w:val="0"/>
      <w:marRight w:val="0"/>
      <w:marTop w:val="0"/>
      <w:marBottom w:val="0"/>
      <w:divBdr>
        <w:top w:val="none" w:sz="0" w:space="0" w:color="auto"/>
        <w:left w:val="none" w:sz="0" w:space="0" w:color="auto"/>
        <w:bottom w:val="none" w:sz="0" w:space="0" w:color="auto"/>
        <w:right w:val="none" w:sz="0" w:space="0" w:color="auto"/>
      </w:divBdr>
      <w:divsChild>
        <w:div w:id="856387830">
          <w:marLeft w:val="0"/>
          <w:marRight w:val="0"/>
          <w:marTop w:val="0"/>
          <w:marBottom w:val="0"/>
          <w:divBdr>
            <w:top w:val="none" w:sz="0" w:space="0" w:color="auto"/>
            <w:left w:val="none" w:sz="0" w:space="0" w:color="auto"/>
            <w:bottom w:val="none" w:sz="0" w:space="0" w:color="auto"/>
            <w:right w:val="none" w:sz="0" w:space="0" w:color="auto"/>
          </w:divBdr>
          <w:divsChild>
            <w:div w:id="1848665533">
              <w:marLeft w:val="0"/>
              <w:marRight w:val="0"/>
              <w:marTop w:val="0"/>
              <w:marBottom w:val="0"/>
              <w:divBdr>
                <w:top w:val="none" w:sz="0" w:space="0" w:color="auto"/>
                <w:left w:val="none" w:sz="0" w:space="0" w:color="auto"/>
                <w:bottom w:val="none" w:sz="0" w:space="0" w:color="auto"/>
                <w:right w:val="none" w:sz="0" w:space="0" w:color="auto"/>
              </w:divBdr>
              <w:divsChild>
                <w:div w:id="487019886">
                  <w:marLeft w:val="0"/>
                  <w:marRight w:val="0"/>
                  <w:marTop w:val="0"/>
                  <w:marBottom w:val="0"/>
                  <w:divBdr>
                    <w:top w:val="none" w:sz="0" w:space="0" w:color="auto"/>
                    <w:left w:val="none" w:sz="0" w:space="0" w:color="auto"/>
                    <w:bottom w:val="none" w:sz="0" w:space="0" w:color="auto"/>
                    <w:right w:val="none" w:sz="0" w:space="0" w:color="auto"/>
                  </w:divBdr>
                  <w:divsChild>
                    <w:div w:id="2063168954">
                      <w:marLeft w:val="0"/>
                      <w:marRight w:val="0"/>
                      <w:marTop w:val="0"/>
                      <w:marBottom w:val="0"/>
                      <w:divBdr>
                        <w:top w:val="none" w:sz="0" w:space="0" w:color="auto"/>
                        <w:left w:val="none" w:sz="0" w:space="0" w:color="auto"/>
                        <w:bottom w:val="none" w:sz="0" w:space="0" w:color="auto"/>
                        <w:right w:val="none" w:sz="0" w:space="0" w:color="auto"/>
                      </w:divBdr>
                      <w:divsChild>
                        <w:div w:id="1662002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3074720">
      <w:bodyDiv w:val="1"/>
      <w:marLeft w:val="0"/>
      <w:marRight w:val="0"/>
      <w:marTop w:val="0"/>
      <w:marBottom w:val="0"/>
      <w:divBdr>
        <w:top w:val="none" w:sz="0" w:space="0" w:color="auto"/>
        <w:left w:val="none" w:sz="0" w:space="0" w:color="auto"/>
        <w:bottom w:val="none" w:sz="0" w:space="0" w:color="auto"/>
        <w:right w:val="none" w:sz="0" w:space="0" w:color="auto"/>
      </w:divBdr>
      <w:divsChild>
        <w:div w:id="191307186">
          <w:marLeft w:val="0"/>
          <w:marRight w:val="0"/>
          <w:marTop w:val="0"/>
          <w:marBottom w:val="0"/>
          <w:divBdr>
            <w:top w:val="none" w:sz="0" w:space="0" w:color="auto"/>
            <w:left w:val="none" w:sz="0" w:space="0" w:color="auto"/>
            <w:bottom w:val="none" w:sz="0" w:space="0" w:color="auto"/>
            <w:right w:val="none" w:sz="0" w:space="0" w:color="auto"/>
          </w:divBdr>
          <w:divsChild>
            <w:div w:id="155154824">
              <w:marLeft w:val="0"/>
              <w:marRight w:val="0"/>
              <w:marTop w:val="0"/>
              <w:marBottom w:val="0"/>
              <w:divBdr>
                <w:top w:val="none" w:sz="0" w:space="0" w:color="auto"/>
                <w:left w:val="none" w:sz="0" w:space="0" w:color="auto"/>
                <w:bottom w:val="none" w:sz="0" w:space="0" w:color="auto"/>
                <w:right w:val="none" w:sz="0" w:space="0" w:color="auto"/>
              </w:divBdr>
              <w:divsChild>
                <w:div w:id="1050346850">
                  <w:marLeft w:val="0"/>
                  <w:marRight w:val="0"/>
                  <w:marTop w:val="0"/>
                  <w:marBottom w:val="0"/>
                  <w:divBdr>
                    <w:top w:val="none" w:sz="0" w:space="0" w:color="auto"/>
                    <w:left w:val="none" w:sz="0" w:space="0" w:color="auto"/>
                    <w:bottom w:val="none" w:sz="0" w:space="0" w:color="auto"/>
                    <w:right w:val="none" w:sz="0" w:space="0" w:color="auto"/>
                  </w:divBdr>
                  <w:divsChild>
                    <w:div w:id="2106800647">
                      <w:marLeft w:val="0"/>
                      <w:marRight w:val="0"/>
                      <w:marTop w:val="0"/>
                      <w:marBottom w:val="0"/>
                      <w:divBdr>
                        <w:top w:val="none" w:sz="0" w:space="0" w:color="auto"/>
                        <w:left w:val="none" w:sz="0" w:space="0" w:color="auto"/>
                        <w:bottom w:val="none" w:sz="0" w:space="0" w:color="auto"/>
                        <w:right w:val="none" w:sz="0" w:space="0" w:color="auto"/>
                      </w:divBdr>
                      <w:divsChild>
                        <w:div w:id="1586914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1740098">
      <w:bodyDiv w:val="1"/>
      <w:marLeft w:val="0"/>
      <w:marRight w:val="0"/>
      <w:marTop w:val="0"/>
      <w:marBottom w:val="0"/>
      <w:divBdr>
        <w:top w:val="none" w:sz="0" w:space="0" w:color="auto"/>
        <w:left w:val="none" w:sz="0" w:space="0" w:color="auto"/>
        <w:bottom w:val="none" w:sz="0" w:space="0" w:color="auto"/>
        <w:right w:val="none" w:sz="0" w:space="0" w:color="auto"/>
      </w:divBdr>
    </w:div>
    <w:div w:id="1183855632">
      <w:bodyDiv w:val="1"/>
      <w:marLeft w:val="0"/>
      <w:marRight w:val="0"/>
      <w:marTop w:val="0"/>
      <w:marBottom w:val="0"/>
      <w:divBdr>
        <w:top w:val="none" w:sz="0" w:space="0" w:color="auto"/>
        <w:left w:val="none" w:sz="0" w:space="0" w:color="auto"/>
        <w:bottom w:val="none" w:sz="0" w:space="0" w:color="auto"/>
        <w:right w:val="none" w:sz="0" w:space="0" w:color="auto"/>
      </w:divBdr>
    </w:div>
    <w:div w:id="1221398872">
      <w:bodyDiv w:val="1"/>
      <w:marLeft w:val="0"/>
      <w:marRight w:val="0"/>
      <w:marTop w:val="0"/>
      <w:marBottom w:val="0"/>
      <w:divBdr>
        <w:top w:val="none" w:sz="0" w:space="0" w:color="auto"/>
        <w:left w:val="none" w:sz="0" w:space="0" w:color="auto"/>
        <w:bottom w:val="none" w:sz="0" w:space="0" w:color="auto"/>
        <w:right w:val="none" w:sz="0" w:space="0" w:color="auto"/>
      </w:divBdr>
    </w:div>
    <w:div w:id="1300375501">
      <w:bodyDiv w:val="1"/>
      <w:marLeft w:val="0"/>
      <w:marRight w:val="0"/>
      <w:marTop w:val="0"/>
      <w:marBottom w:val="0"/>
      <w:divBdr>
        <w:top w:val="none" w:sz="0" w:space="0" w:color="auto"/>
        <w:left w:val="none" w:sz="0" w:space="0" w:color="auto"/>
        <w:bottom w:val="none" w:sz="0" w:space="0" w:color="auto"/>
        <w:right w:val="none" w:sz="0" w:space="0" w:color="auto"/>
      </w:divBdr>
    </w:div>
    <w:div w:id="1352533525">
      <w:bodyDiv w:val="1"/>
      <w:marLeft w:val="0"/>
      <w:marRight w:val="0"/>
      <w:marTop w:val="0"/>
      <w:marBottom w:val="0"/>
      <w:divBdr>
        <w:top w:val="none" w:sz="0" w:space="0" w:color="auto"/>
        <w:left w:val="none" w:sz="0" w:space="0" w:color="auto"/>
        <w:bottom w:val="none" w:sz="0" w:space="0" w:color="auto"/>
        <w:right w:val="none" w:sz="0" w:space="0" w:color="auto"/>
      </w:divBdr>
    </w:div>
    <w:div w:id="1433823949">
      <w:bodyDiv w:val="1"/>
      <w:marLeft w:val="0"/>
      <w:marRight w:val="0"/>
      <w:marTop w:val="0"/>
      <w:marBottom w:val="0"/>
      <w:divBdr>
        <w:top w:val="none" w:sz="0" w:space="0" w:color="auto"/>
        <w:left w:val="none" w:sz="0" w:space="0" w:color="auto"/>
        <w:bottom w:val="none" w:sz="0" w:space="0" w:color="auto"/>
        <w:right w:val="none" w:sz="0" w:space="0" w:color="auto"/>
      </w:divBdr>
    </w:div>
    <w:div w:id="1543400486">
      <w:bodyDiv w:val="1"/>
      <w:marLeft w:val="0"/>
      <w:marRight w:val="0"/>
      <w:marTop w:val="0"/>
      <w:marBottom w:val="0"/>
      <w:divBdr>
        <w:top w:val="none" w:sz="0" w:space="0" w:color="auto"/>
        <w:left w:val="none" w:sz="0" w:space="0" w:color="auto"/>
        <w:bottom w:val="none" w:sz="0" w:space="0" w:color="auto"/>
        <w:right w:val="none" w:sz="0" w:space="0" w:color="auto"/>
      </w:divBdr>
    </w:div>
    <w:div w:id="1819686190">
      <w:bodyDiv w:val="1"/>
      <w:marLeft w:val="0"/>
      <w:marRight w:val="0"/>
      <w:marTop w:val="0"/>
      <w:marBottom w:val="0"/>
      <w:divBdr>
        <w:top w:val="none" w:sz="0" w:space="0" w:color="auto"/>
        <w:left w:val="none" w:sz="0" w:space="0" w:color="auto"/>
        <w:bottom w:val="none" w:sz="0" w:space="0" w:color="auto"/>
        <w:right w:val="none" w:sz="0" w:space="0" w:color="auto"/>
      </w:divBdr>
    </w:div>
    <w:div w:id="2046443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39" Type="http://schemas.openxmlformats.org/officeDocument/2006/relationships/fontTable" Target="fontTable.xml"/>
  <Relationship Id="rId4" Type="http://schemas.openxmlformats.org/officeDocument/2006/relationships/webSettings" Target="webSettings.xml"/>
  <Relationship Id="rId40" Type="http://schemas.openxmlformats.org/officeDocument/2006/relationships/theme" Target="theme/theme1.xml"/>
  <Relationship Id="rId42" Type="http://schemas.microsoft.com/office/2016/09/relationships/commentsIds" Target="commentsId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fb8905dabc440ac87f72d00480ef0e9" PartId="679442b1fd1e4a149feb8c6b209b04a9">
    <Part Type="preambule" DocPartId="a7d408cbf57249fa9911ae9f31da4ee2" PartId="bcb767dac1c049f899d965e23087b4c2"/>
    <Part Type="punktas" Nr="1" Abbr="1 p." DocPartId="97817be66fdc48fba21b3f4fe84bdffb" PartId="fbaf66a6a7b64ce095e49f19af133490"/>
    <Part Type="punktas" Nr="2" Abbr="2 p." DocPartId="a8f1c0720fd04330ae34f31d544e3d01" PartId="65db588c87594eb8ae263a921b111658"/>
    <Part Type="punktas" Nr="3" Abbr="3 p." DocPartId="af80508adc304a319fdca1b3391ca0a8" PartId="9059ead99276401483344ce1fd51ff03">
      <Part Type="papunktis" Nr="3.1" Abbr="3.1 pp." DocPartId="344f6831a3a0489bb34d135a03b4625e" PartId="247797ab271e4867972b977c53d3f68f"/>
      <Part Type="papunktis" Nr="3.2" Abbr="3.2 pp." DocPartId="9b035fdc56c44b75be937a42778a3428" PartId="87dfd4c1c6974b5796e3bb58532970ad"/>
    </Part>
    <Part Type="signatura" DocPartId="e489addab4b248f68be206821fb01330" PartId="4c29dfce70064ad7a308cb9819e36fb2"/>
  </Part>
  <Part Type="patvirtinta" Title="ATSISKAITYMŲ UŽ PREKES IR PASLAUGAS DUOMENŲ TEIKIMO VALSTYBINEI MOKESČIŲ INSPEKCIJAI TAISYKLĖS" DocPartId="6f03434dd5934ce6b4db9f9bd21a29b2" PartId="2b51d1cb648c49be88bd042ea0c00ae1">
    <Part Type="skyrius" Nr="1" Title="BENDROSIOS NUOSTATOS" DocPartId="03407ea844874eb38311595ac7927e97" PartId="cace15799adb4a97bedaa1e408813489">
      <Part Type="punktas" Nr="1" Abbr="1 p." DocPartId="111449874a0d4aafba02bb8cb1301d5f" PartId="8b5a72e9613045c2b3997b93c4db215a"/>
      <Part Type="punktas" Nr="2" Abbr="2 p." DocPartId="670e6ac3ef4f4919af19cc6da17db9a2" PartId="461d7764f93f47098417705d0c217d9b"/>
      <Part Type="punktas" Nr="3" Abbr="3 p." DocPartId="9cdff7dd523141d9bb90f093ad072bac" PartId="d09faeb480f342de82c10a43cc152b9e">
        <Part Type="papunktis" Nr="3.1" Abbr="3.1 pp." Notes="Numeris ne iš eilės. Trūksta dalių? [DocDalys]" DocPartId="f44d8a0bf1fb4b1ba99062a9260ccbb8" PartId="64d31f9a3256406a96f47b51ca6b0cd1"/>
        <Part Type="papunktis" Nr="3.2" Abbr="3.2 pp." DocPartId="5fe6208d282f4a33903d9ff607ed2db3" PartId="334335d54e2f4d0f87ab06dff06bfbb6"/>
        <Part Type="papunktis" Nr="3.3" Abbr="3.3 pp." DocPartId="a2fc57f1f33f4228abdaa730a321ee0c" PartId="a08bd651f4ad42888af6958d328b3818"/>
      </Part>
      <Part Type="punktas" Nr="4" Abbr="4 p." DocPartId="7c630e17abf44072908eb973ac80d0f5" PartId="3bb48b442b0d4b59816d5f84621a171d"/>
    </Part>
    <Part Type="skyrius" Nr="2" Title="DUOMENŲ TEIKIMO TVARKA IR TERMINAI" DocPartId="3998408a8a2343e8b9f6a5be779d0762" PartId="1cfd53f0352a423d89b3f4064dd63746">
      <Part Type="punktas" Nr="5" Abbr="5 p." DocPartId="3163d66c4a794fdca43d3ed451125ef4" PartId="aec9e667ce5a4fc291e03f9d2771a0a5"/>
      <Part Type="punktas" Nr="6" Abbr="6 p." DocPartId="ae9bbe8bdf2541e6bdc708f8e28ff517" PartId="d2a408dff26e4439b7a8c100a3270be2"/>
      <Part Type="punktas" Nr="7" Abbr="7 p." DocPartId="8cf4eaba60694847b7c2057945780d41" PartId="5ecbbb3914f145cc9e80fd87f2c4f337">
        <Part Type="papunktis" Nr="7.1" Abbr="7.1 pp." DocPartId="f06c1f8d1ba945fe8b50aa4a18896aee" PartId="acbd18249aa840979e73c78626124769"/>
        <Part Type="papunktis" Nr="7.2" Abbr="7.2 pp." DocPartId="4c841d64216f4eb7ac55fdaf8ee066be" PartId="7f766de4c0c945038a69eacc601b4b2f"/>
      </Part>
      <Part Type="punktas" Nr="8" Abbr="8 p." DocPartId="04a34f4ee53748dc8bb8d94b83348d23" PartId="b3e2c7ed69744b4aad9528f3b88ab44c">
        <Part Type="papunktis" Nr="8.1" Abbr="8.1 pp." DocPartId="b7f4619d979a47e6b9429d583fffc007" PartId="8b042cb946bf419a9981144565a1c927"/>
        <Part Type="papunktis" Nr="8.2" Abbr="8.2 pp." DocPartId="c2d7a8cdd7394812940614913c0c408d" PartId="e7ed648cc81a46e8b9b5b0989108027c"/>
        <Part Type="papunktis" Nr="8.3" Abbr="8.3 pp." DocPartId="ccba8bfee68c42fe85911fbdcd85f019" PartId="6bca93d6528c46788a17b3f2ea689257"/>
        <Part Type="papunktis" Nr="8.4" Abbr="8.4 pp." DocPartId="0a5d48f100c84ec1ac1ca2051fae35c6" PartId="afc9ede966d94f46b844c4267c2c47a3"/>
        <Part Type="papunktis" Nr="8.5" Abbr="8.5 pp." DocPartId="b236c125142840ec8b30b74ebbbf23ad" PartId="b7c9a4e7b9b448d380ef0531cf91cc71"/>
      </Part>
      <Part Type="punktas" Nr="9" Abbr="9 p." DocPartId="7099c49748114f44a4f9a4b8e27f06a5" PartId="b8ab0bd7c4444b5d9393fb0291d3788d"/>
      <Part Type="punktas" Nr="10" Abbr="10 p." DocPartId="16c5c4569b1d4b9da72a01e1229f98b9" PartId="2d9ece1f190c4cba8dc07115ef78b5d9"/>
      <Part Type="punktas" Nr="11" Abbr="11 p." DocPartId="e26ce446ec2746a8800864ea5075a888" PartId="1b28ae28ae644e1dad6cdb5ee96ccb69">
        <Part Type="papunktis" Nr="11.1" Abbr="11.1 pp." DocPartId="0bb4d4fe7e73416fbfe407447129f415" PartId="58d2aac4c8594d4f95f91492397ac8a9"/>
        <Part Type="papunktis" Nr="11.2" Abbr="11.2 pp." DocPartId="ee1649d569d04a269c25b3d698e513f8" PartId="989319d77d8d496d9d666d2a8e402e6e"/>
        <Part Type="papunktis" Nr="11.3" Abbr="11.3 pp." DocPartId="d5e5c2d3d940425693ac9f1c8aaab2ea" PartId="6d82f091384a4af88b0b3e8eba7d2d59"/>
      </Part>
      <Part Type="punktas" Nr="12" Abbr="12 p." DocPartId="879bbf1931b74126a3134cd62a28dac3" PartId="8c892591e89d4eaf919ce8b48749cf12"/>
    </Part>
    <Part Type="skyrius" Nr="3" Title="TEIKIAMŲ DUOMENŲ STRUKTŪRA IR TEIKIMO SĄLYGOS" DocPartId="03647fe2a8b6493e9b798b2d8f2ab667" PartId="7ae013e6fd7a40b2a1a6e64c4a761e33">
      <Part Type="punktas" Nr="13" Abbr="13 p." DocPartId="5f3fed9ce6b04e9a9141012299fdeb81" PartId="770043a146a04ffeba23aae6a0cbdbfc">
        <Part Type="papunktis" Nr="13.1" Abbr="13.1 pp." DocPartId="0901d687298f40b9b136e4c2c6959828" PartId="ee7464f1e68040c2995ab6dca84efc79"/>
        <Part Type="papunktis" Nr="13.2" Abbr="13.2 pp." DocPartId="bd0055a5ffb34b8da1202742b2954507" PartId="8b780c988169494f8f66a010edf31516"/>
        <Part Type="papunktis" Nr="13.3" Abbr="13.3 pp." DocPartId="e44c20ddf80f4a4b95b42fb10aa89919" PartId="197636568b204beb8c680c1cb677d8d9"/>
      </Part>
      <Part Type="punktas" Nr="14" Abbr="14 p." DocPartId="db5b458fec6142aaac0450b2208a6e47" PartId="e5fb5895b68244db83027e88cb14b7d8"/>
      <Part Type="punktas" Nr="15" Abbr="15 p." DocPartId="a647b54726bb47cc95d6def41da43749" PartId="a8d7d76a72244753bd86bc7d4192c897"/>
      <Part Type="punktas" Nr="16" Abbr="16 p." DocPartId="0bcf3f924e7b450fa8f07e473caf80ce" PartId="879c31ff05254a80b17ddcc39ae248d3"/>
    </Part>
    <Part Type="skyrius" Nr="4" Title="PATEIKTŲ DUOMENŲ IR DUOMENŲ RINKMENOS TIKSLINIMAS" DocPartId="4f066ef625144eb095e84ddae1341e65" PartId="4347a11554654af5a9aa0d0ba694c877">
      <Part Type="punktas" Nr="17" Abbr="17 p." DocPartId="f11d3c517dcc4b8fa3ca2e9a6d2e86ae" PartId="4d14f8f65b5241e5a9eda220932563be"/>
      <Part Type="punktas" Nr="18" Abbr="18 p." DocPartId="ad6a1f2ca19e4796a8486f4d8c4bec1b" PartId="b517d7b197014b8bb96970a035b1e2be"/>
      <Part Type="punktas" Nr="19" Abbr="19 p." DocPartId="fcc442ed8d70428a9dd365d82bc70ec0" PartId="a743ad09df6c484ba8b2eeda70fd1100"/>
      <Part Type="punktas" Nr="20" Abbr="20 p." DocPartId="125773be749340bdaacbda6edbdd17c3" PartId="3dd01c2055a34c6bb1234ca202125d69"/>
      <Part Type="punktas" Nr="21" Abbr="21 p." DocPartId="3febbc86b3424275868f5b7ba29c8c37" PartId="4146670bbfae4df3a9c39cccb7ebccac"/>
      <Part Type="punktas" Nr="22" Abbr="22 p." DocPartId="aba96dc696884f7aa171a3b08a50a6e2" PartId="16c8c7c2401340dfab5fc0e536807922"/>
    </Part>
    <Part Type="skyrius" Nr="5" Title="BAIGIAMOSIOS NUOSTATOS" DocPartId="c45d57a000804091963ba3aaf58b12d0" PartId="cde9dfe5b58f480dafb66082f29e4b15">
      <Part Type="punktas" Nr="23" Abbr="23 p." DocPartId="47166f1e575244a08db331fccabc03a3" PartId="dda9f0927bf8432e9c550146a891ea96"/>
    </Part>
  </Part>
  <Part Type="priedas" Nr="1" Abbr="1 pr." Title="KASOS APARATO, VEIKIANČIO SU SAUGOS MODULIU, DUOMENŲ RINKMENOS APRAŠYMAS" DocPartId="ee4c1d331b0b422f9e02ff71e56313ad" PartId="eaebbd41846d45cda67520b6f13a7373"/>
  <Part Type="priedas" Nr="2" Abbr="2 pr." Title="VIRTUALIOS FISKALIZACIJOS KASOS APARATO DUOMENŲ RINKMENOS APRAŠYMAS" DocPartId="bb2b9a3c260246bb8fb5b6056dd3f4a0" PartId="99eddb99e19c48a19186ed03d50313e8"/>
</Parts>
</file>

<file path=customXml/itemProps1.xml><?xml version="1.0" encoding="utf-8"?>
<ds:datastoreItem xmlns:ds="http://schemas.openxmlformats.org/officeDocument/2006/customXml" ds:itemID="{ECB71179-0BBD-4F03-8BF9-7F0662649E9B}">
  <ds:schemaRefs>
    <ds:schemaRef ds:uri="http://schemas.openxmlformats.org/officeDocument/2006/bibliography"/>
  </ds:schemaRefs>
</ds:datastoreItem>
</file>

<file path=customXml/itemProps2.xml><?xml version="1.0" encoding="utf-8"?>
<ds:datastoreItem xmlns:ds="http://schemas.openxmlformats.org/officeDocument/2006/customXml" ds:itemID="{B3700AAD-8A2F-4746-A44E-AE4A6188761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13674</Words>
  <Characters>103104</Characters>
  <Application>Microsoft Office Word</Application>
  <DocSecurity>4</DocSecurity>
  <Lines>5426</Lines>
  <Paragraphs>2715</Paragraphs>
  <ScaleCrop>false</ScaleCrop>
  <HeadingPairs>
    <vt:vector size="2" baseType="variant">
      <vt:variant>
        <vt:lpstr>Pavadinimas</vt:lpstr>
      </vt:variant>
      <vt:variant>
        <vt:i4>1</vt:i4>
      </vt:variant>
    </vt:vector>
  </HeadingPairs>
  <TitlesOfParts>
    <vt:vector size="1" baseType="lpstr">
      <vt:lpstr/>
    </vt:vector>
  </TitlesOfParts>
  <Company>VMI</Company>
  <LinksUpToDate>false</LinksUpToDate>
  <CharactersWithSpaces>114063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2022-09-16T06:12:00Z</dcterms:created>
  <dc:creator>Skaidrutė Mikalauskienė</dc:creator>
  <lastModifiedBy>adlibuser</lastModifiedBy>
  <dcterms:modified xsi:type="dcterms:W3CDTF">2022-09-16T06:12:00Z</dcterms:modified>
  <revision>2</revision>
</coreProperties>
</file>