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c597431172594002b428616ce73b4a0d"/>
        <w:lock w:val="sdtLocked"/>
        <w:richText/>
      </w:sdtPr>
      <w:sdtContent>
        <w:p w14:paraId="356550AE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</w:rPr>
          </w:pPr>
        </w:p>
        <w:p w14:paraId="58A350CA" w14:textId="03D22108">
          <w:pPr>
            <w:widowControl w:val="0"/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uppressAutoHyphens/>
            <w:ind w:right="-739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lt-LT"/>
            </w:rPr>
            <w:t>2015 M. LAPKRIČIO 25 D. EUROPOS PARLAMENTO IR TARYBOS DIREKTYVOS (ES) 2015/2193 DĖL TAM TIKRŲ TERŠALŲ, IŠMETAMŲ Į ORĄ IŠ VIDUTINIO DYDŽIO KURĄ DEGINANČIŲ ĮRENGINIŲ, KIEKIO APRIBOJIMO</w:t>
          </w:r>
          <w:r>
            <w:rPr>
              <w:b/>
              <w:szCs w:val="24"/>
              <w:lang w:eastAsia="ar-SA"/>
            </w:rPr>
            <w:t xml:space="preserve"> IR LIETUVOS RESPUBLIKOS APLINKOS MINISTRO ĮSAKYMO</w:t>
          </w:r>
          <w:r>
            <w:rPr>
              <w:rFonts w:eastAsia="Andale Sans UI" w:cs="Tahoma"/>
              <w:b/>
              <w:bCs/>
              <w:szCs w:val="24"/>
              <w:lang w:bidi="en-US"/>
            </w:rPr>
            <w:t xml:space="preserve"> „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APLINKOS MINISTRO 2014 M. KOVO 6 D. ĮSAKYMO D1-259 „DĖL TARŠOS LEIDIMŲ IŠDAVIMO, PAKEITIMO IR GALIOJIMO PANAIKINIMO TAISYKLIŲ PATVIRTINIMO“</w:t>
          </w:r>
          <w:r>
            <w:rPr>
              <w:rFonts w:cs="Courier New"/>
              <w:b/>
              <w:bCs/>
              <w:iCs/>
              <w:szCs w:val="24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PAKEITIMO“ PROJEKTO </w:t>
          </w:r>
          <w:r>
            <w:rPr>
              <w:b/>
              <w:szCs w:val="24"/>
              <w:lang w:eastAsia="ar-SA"/>
            </w:rPr>
            <w:t>ATITIKTIES LENTELĖ</w:t>
          </w:r>
        </w:p>
        <w:p w14:paraId="0C5F42EE" w14:textId="77777777">
          <w:pPr>
            <w:widowControl w:val="0"/>
            <w:suppressAutoHyphens/>
            <w:jc w:val="center"/>
            <w:rPr>
              <w:b/>
              <w:szCs w:val="24"/>
              <w:lang w:eastAsia="ar-SA"/>
            </w:rPr>
          </w:pPr>
        </w:p>
        <w:tbl>
          <w:tblPr>
            <w:tblW w:w="15334" w:type="dxa"/>
            <w:tblInd w:w="1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4962"/>
            <w:gridCol w:w="9072"/>
            <w:gridCol w:w="1300"/>
          </w:tblGrid>
          <w:tr w14:paraId="30E70D5B" w14:textId="77777777">
            <w:tc>
              <w:tcPr>
                <w:tcW w:w="4962" w:type="dxa"/>
                <w:tcBorders>
                  <w:top w:val="single" w:sz="1" w:space="0" w:color="000000" w:themeColor="text1"/>
                  <w:left w:val="single" w:sz="1" w:space="0" w:color="000000" w:themeColor="text1"/>
                  <w:bottom w:val="single" w:sz="2" w:space="0" w:color="000000" w:themeColor="text1"/>
                </w:tcBorders>
              </w:tcPr>
              <w:p w14:paraId="3D976D5E" w14:textId="77777777">
                <w:pPr>
                  <w:widowControl w:val="0"/>
                  <w:suppressAutoHyphens/>
                  <w:snapToGrid w:val="0"/>
                  <w:ind w:left="142" w:right="182" w:firstLine="15"/>
                  <w:jc w:val="both"/>
                  <w:rPr>
                    <w:rFonts w:eastAsia="Lucida Sans Unicode" w:cs="Courier New"/>
                    <w:b/>
                  </w:rPr>
                </w:pPr>
                <w:r>
                  <w:rPr>
                    <w:b/>
                    <w:szCs w:val="24"/>
                    <w:lang w:eastAsia="lt-LT"/>
                  </w:rPr>
                  <w:t>2015 m. lapkričio 25 d. Europos Parlamento ir Tarybos direktyva (ES) 2015/2193 dėl tam tikrų teršalų, išmetamų į orą iš vidutinio dydžio kurą deginančių įrenginių, kiekio apribojimo</w:t>
                </w:r>
                <w:r>
                  <w:rPr>
                    <w:b/>
                    <w:szCs w:val="24"/>
                  </w:rPr>
                  <w:t xml:space="preserve"> (OL 2015 L 313, p. 1)</w:t>
                </w:r>
              </w:p>
            </w:tc>
            <w:tc>
              <w:tcPr>
                <w:tcW w:w="9072" w:type="dxa"/>
                <w:tcBorders>
                  <w:top w:val="single" w:sz="1" w:space="0" w:color="000000" w:themeColor="text1"/>
                  <w:left w:val="single" w:sz="1" w:space="0" w:color="000000" w:themeColor="text1"/>
                  <w:bottom w:val="single" w:sz="2" w:space="0" w:color="000000" w:themeColor="text1"/>
                </w:tcBorders>
              </w:tcPr>
              <w:p w14:paraId="484BD99D" w14:textId="57142174">
                <w:pPr>
                  <w:widowControl w:val="0"/>
                  <w:tabs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ind w:left="142" w:right="142"/>
                  <w:jc w:val="both"/>
                  <w:rPr>
                    <w:rFonts w:cs="Courier New"/>
                    <w:b/>
                    <w:bCs/>
                    <w:iCs/>
                    <w:szCs w:val="24"/>
                  </w:rPr>
                </w:pPr>
                <w:r>
                  <w:rPr>
                    <w:rFonts w:cs="Courier New"/>
                    <w:b/>
                    <w:bCs/>
                    <w:iCs/>
                    <w:szCs w:val="24"/>
                  </w:rPr>
                  <w:t>1. Lietuvos Respublikos aplinkos ministro įsakymo „D</w:t>
                </w:r>
                <w:r>
                  <w:rPr>
                    <w:b/>
                    <w:szCs w:val="24"/>
                    <w:lang w:eastAsia="lt-LT"/>
                  </w:rPr>
                  <w:t>ėl Lietuvos Respublikos aplinkos ministro 2014 m. kovo 6 d. įsakymo D1-259 „Dėl Taršos leidimų išdavimo, pakeitimo ir galiojimo panaikinimo taisyklių patvirtinimo“</w:t>
                </w:r>
                <w:r>
                  <w:rPr>
                    <w:rFonts w:cs="Courier New"/>
                    <w:b/>
                    <w:bCs/>
                    <w:iCs/>
                    <w:szCs w:val="24"/>
                  </w:rPr>
                  <w:t xml:space="preserve"> </w:t>
                </w:r>
                <w:r>
                  <w:rPr>
                    <w:b/>
                    <w:szCs w:val="24"/>
                    <w:lang w:eastAsia="lt-LT"/>
                  </w:rPr>
                  <w:t xml:space="preserve">pakeitimo“ projektas </w:t>
                </w:r>
                <w:r>
                  <w:rPr>
                    <w:rFonts w:cs="Courier New"/>
                    <w:b/>
                    <w:bCs/>
                    <w:iCs/>
                    <w:szCs w:val="24"/>
                  </w:rPr>
                  <w:t>(toliau – Įsakymo projektas).</w:t>
                </w:r>
              </w:p>
              <w:p w14:paraId="068CA635" w14:textId="1473863C">
                <w:pPr>
                  <w:widowControl w:val="0"/>
                  <w:tabs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ind w:left="142" w:right="142"/>
                  <w:jc w:val="both"/>
                  <w:rPr>
                    <w:rFonts w:cs="Courier New"/>
                    <w:szCs w:val="24"/>
                  </w:rPr>
                </w:pPr>
                <w:r>
                  <w:rPr>
                    <w:rFonts w:cs="Courier New"/>
                    <w:szCs w:val="24"/>
                  </w:rPr>
                  <w:t>2. Taršos leidimų išdavimo, pakeitimo ir galiojimo panaikinimo taisyklės, patvirtintos</w:t>
                </w:r>
                <w:r>
                  <w:rPr>
                    <w:szCs w:val="24"/>
                    <w:lang w:eastAsia="lt-LT"/>
                  </w:rPr>
                  <w:t xml:space="preserve"> Lietuvos Respublikos aplinkos ministro 2014 m. kovo 6 d. įsakymu D1-259 „Dėl Taršos leidimų išdavimo, pakeitimo ir galiojimo panaikinimo taisyklių patvirtinimo“</w:t>
                </w:r>
                <w:r>
                  <w:rPr>
                    <w:rFonts w:cs="Courier New"/>
                    <w:szCs w:val="24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pakeitimo“ (toliau – TL taisyklės“</w:t>
                </w:r>
              </w:p>
              <w:p w14:paraId="754B7EDF" w14:textId="32ABD0F7">
                <w:pPr>
                  <w:widowControl w:val="0"/>
                  <w:tabs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ind w:left="142" w:right="142"/>
                  <w:jc w:val="both"/>
                  <w:rPr>
                    <w:rFonts w:cs="Courier New"/>
                    <w:bCs/>
                    <w:iCs/>
                    <w:szCs w:val="24"/>
                  </w:rPr>
                </w:pPr>
              </w:p>
            </w:tc>
            <w:tc>
              <w:tcPr>
                <w:tcW w:w="1300" w:type="dxa"/>
                <w:tcBorders>
                  <w:top w:val="single" w:sz="1" w:space="0" w:color="000000" w:themeColor="text1"/>
                  <w:left w:val="single" w:sz="1" w:space="0" w:color="000000" w:themeColor="text1"/>
                  <w:bottom w:val="single" w:sz="2" w:space="0" w:color="000000" w:themeColor="text1"/>
                  <w:right w:val="single" w:sz="1" w:space="0" w:color="000000" w:themeColor="text1"/>
                </w:tcBorders>
              </w:tcPr>
              <w:p w14:paraId="6C4F150A" w14:textId="77777777">
                <w:pPr>
                  <w:widowControl w:val="0"/>
                  <w:suppressLineNumbers/>
                  <w:suppressAutoHyphens/>
                  <w:snapToGrid w:val="0"/>
                  <w:ind w:left="57" w:right="57"/>
                  <w:jc w:val="both"/>
                  <w:rPr>
                    <w:rFonts w:eastAsia="Lucida Sans Unicode" w:cs="Courier New"/>
                    <w:b/>
                    <w:bCs/>
                    <w:iCs/>
                    <w:sz w:val="22"/>
                    <w:szCs w:val="22"/>
                  </w:rPr>
                </w:pPr>
                <w:r>
                  <w:rPr>
                    <w:rFonts w:eastAsia="Lucida Sans Unicode" w:cs="Courier New"/>
                    <w:b/>
                    <w:bCs/>
                    <w:iCs/>
                    <w:sz w:val="22"/>
                    <w:szCs w:val="22"/>
                  </w:rPr>
                  <w:t>Direktyvos perkėlimo (įgyvendinimo) lygis</w:t>
                </w:r>
              </w:p>
            </w:tc>
          </w:tr>
          <w:tr w14:paraId="6C8597F3" w14:textId="77777777">
            <w:tc>
              <w:tcPr>
                <w:tcW w:w="4962" w:type="dxa"/>
                <w:tcBorders>
                  <w:top w:val="single" w:sz="2" w:space="0" w:color="000000" w:themeColor="text1"/>
                  <w:left w:val="single" w:sz="2" w:space="0" w:color="000000" w:themeColor="text1"/>
                  <w:right w:val="single" w:sz="2" w:space="0" w:color="000000" w:themeColor="text1"/>
                </w:tcBorders>
              </w:tcPr>
              <w:p w14:paraId="471207D2" w14:textId="77777777">
                <w:pPr>
                  <w:widowControl w:val="0"/>
                  <w:shd w:val="clear" w:color="auto" w:fill="FFFFFF"/>
                  <w:suppressAutoHyphens/>
                  <w:snapToGrid w:val="0"/>
                  <w:spacing w:line="274" w:lineRule="exact"/>
                  <w:ind w:left="142" w:right="182"/>
                  <w:jc w:val="both"/>
                  <w:rPr>
                    <w:rFonts w:eastAsia="Lucida Sans Unicode" w:cs="Tahoma"/>
                    <w:b/>
                    <w:bCs/>
                    <w:i/>
                    <w:color w:val="000000"/>
                    <w:spacing w:val="-1"/>
                    <w:szCs w:val="24"/>
                  </w:rPr>
                </w:pPr>
                <w:r>
                  <w:rPr>
                    <w:rFonts w:eastAsia="Lucida Sans Unicode" w:cs="Tahoma"/>
                    <w:b/>
                    <w:bCs/>
                    <w:i/>
                    <w:color w:val="000000"/>
                    <w:spacing w:val="-1"/>
                    <w:szCs w:val="24"/>
                  </w:rPr>
                  <w:t>5 straipsnis. Leidimai ir registracija</w:t>
                </w:r>
              </w:p>
            </w:tc>
            <w:tc>
              <w:tcPr>
                <w:tcW w:w="9072" w:type="dxa"/>
                <w:tcBorders>
                  <w:top w:val="single" w:sz="2" w:space="0" w:color="000000" w:themeColor="text1"/>
                  <w:left w:val="single" w:sz="2" w:space="0" w:color="000000" w:themeColor="text1"/>
                  <w:right w:val="single" w:sz="2" w:space="0" w:color="000000" w:themeColor="text1"/>
                </w:tcBorders>
              </w:tcPr>
              <w:p w14:paraId="19F60436" w14:textId="77777777">
                <w:pPr>
                  <w:widowControl w:val="0"/>
                  <w:suppressAutoHyphens/>
                  <w:ind w:right="142"/>
                  <w:jc w:val="both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Įsakymo projektas</w:t>
                </w:r>
              </w:p>
              <w:p w14:paraId="19C2D15E" w14:textId="6A47A032">
                <w:pPr>
                  <w:widowControl w:val="0"/>
                  <w:suppressAutoHyphens/>
                  <w:ind w:right="142"/>
                  <w:jc w:val="both"/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 xml:space="preserve">1.6.11 – 1.6.14 papunkčiai </w:t>
                </w:r>
              </w:p>
            </w:tc>
            <w:tc>
              <w:tcPr>
                <w:tcW w:w="1300" w:type="dxa"/>
                <w:tcBorders>
                  <w:top w:val="single" w:sz="2" w:space="0" w:color="000000" w:themeColor="text1"/>
                  <w:left w:val="single" w:sz="2" w:space="0" w:color="000000" w:themeColor="text1"/>
                  <w:right w:val="single" w:sz="2" w:space="0" w:color="000000" w:themeColor="text1"/>
                </w:tcBorders>
              </w:tcPr>
              <w:p w14:paraId="61E6C0F6" w14:textId="7DD5FF9F">
                <w:pPr>
                  <w:widowControl w:val="0"/>
                  <w:suppressLineNumbers/>
                  <w:suppressAutoHyphens/>
                  <w:ind w:left="57" w:right="57"/>
                  <w:rPr>
                    <w:rFonts w:eastAsia="Lucida Sans Unicode" w:cs="Courier New"/>
                    <w:szCs w:val="24"/>
                  </w:rPr>
                </w:pPr>
                <w:r>
                  <w:rPr>
                    <w:rFonts w:eastAsia="Lucida Sans Unicode" w:cs="Courier New"/>
                    <w:szCs w:val="24"/>
                  </w:rPr>
                  <w:t>Visiškas</w:t>
                </w:r>
              </w:p>
            </w:tc>
          </w:tr>
          <w:tr w14:paraId="420B5058" w14:textId="77777777">
            <w:tc>
              <w:tcPr>
                <w:tcW w:w="4962" w:type="dxa"/>
                <w:tcBorders>
                  <w:left w:val="single" w:sz="2" w:space="0" w:color="000000" w:themeColor="text1"/>
                  <w:bottom w:val="single" w:sz="2" w:space="0" w:color="000000" w:themeColor="text1"/>
                  <w:right w:val="single" w:sz="2" w:space="0" w:color="000000" w:themeColor="text1"/>
                </w:tcBorders>
              </w:tcPr>
              <w:p w14:paraId="5C232569" w14:textId="77777777">
                <w:pPr>
                  <w:widowControl w:val="0"/>
                  <w:shd w:val="clear" w:color="auto" w:fill="FFFFFF"/>
                  <w:suppressAutoHyphens/>
                  <w:snapToGrid w:val="0"/>
                  <w:spacing w:line="274" w:lineRule="exact"/>
                  <w:ind w:left="142" w:right="182"/>
                  <w:jc w:val="both"/>
                  <w:rPr>
                    <w:rFonts w:eastAsia="Lucida Sans Unicode" w:cs="Tahoma"/>
                    <w:b/>
                    <w:bCs/>
                    <w:i/>
                    <w:color w:val="000000"/>
                    <w:spacing w:val="-1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1. Valstybės narės imasi priemonių, būtinų užtikrinti, kad joks naujas vidutinio dydžio kurą deginantis įrenginys nebūtų eksploatuojamas, jei neturima leidimo ar jo neužregistravus.</w:t>
                </w:r>
              </w:p>
            </w:tc>
            <w:tc>
              <w:tcPr>
                <w:tcW w:w="9072" w:type="dxa"/>
                <w:tcBorders>
                  <w:left w:val="single" w:sz="2" w:space="0" w:color="000000" w:themeColor="text1"/>
                  <w:bottom w:val="single" w:sz="2" w:space="0" w:color="000000" w:themeColor="text1"/>
                  <w:right w:val="single" w:sz="2" w:space="0" w:color="000000" w:themeColor="text1"/>
                </w:tcBorders>
              </w:tcPr>
              <w:p w14:paraId="5C7D8BE6" w14:textId="77777777">
                <w:pPr>
                  <w:widowControl w:val="0"/>
                  <w:jc w:val="both"/>
                  <w:rPr>
                    <w:rFonts w:eastAsia="Lucida Sans Unicode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„1.6.11. Pakeičiu 1 priedo 2.1 papunktį ir jį išdėstau taip :</w:t>
                </w:r>
              </w:p>
              <w:p w14:paraId="576CF0C3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color w:val="000000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„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2.1. naudojamas kurą deginantis įrenginys, pradėjęs veikti 2018 m. gruodžio 20 d. arba vėliau, kurio:</w:t>
                </w:r>
              </w:p>
              <w:p w14:paraId="095D4C80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2.1.1. vardinė (nominali) šiluminė galia lygi arba didesnė kaip 1 MW, bet nesiekia 50 MW, įskaitant vidaus degimo variklius ir dujų turbinas;</w:t>
                </w:r>
              </w:p>
              <w:p w14:paraId="5B4C6DF1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2.1.2. vardinė (nominali) šiluminė galia yra mažesnė kaip 1 MW, kai šiame įrenginyje yra ne mažesnės kaip 0,5 MW vardinės (nominalios) šiluminės galios kietuoju kuru kūrenamas katilas, išskyrus vidaus degimo variklius ir dujų turbinas;</w:t>
                </w:r>
                <w:r>
                  <w:rPr>
                    <w:rFonts w:eastAsia="Lucida Sans Unicode"/>
                    <w:color w:val="000000"/>
                    <w:szCs w:val="24"/>
                  </w:rPr>
                  <w:t>“.</w:t>
                </w:r>
              </w:p>
              <w:p w14:paraId="1E228D2C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1.6.12. Pakeičiu 1 priedo 2.2 papunktį ir jį išdėstau taip:</w:t>
                </w:r>
              </w:p>
              <w:p w14:paraId="2E8E8390" w14:textId="323F2125"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color w:val="000000"/>
                    <w:szCs w:val="24"/>
                  </w:rPr>
                </w:pPr>
                <w:r>
                  <w:rPr>
                    <w:rFonts w:eastAsia="Lucida Sans Unicode"/>
                    <w:color w:val="000000"/>
                    <w:szCs w:val="24"/>
                  </w:rPr>
                  <w:t>„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2.2. naudojamas kurą deginantis įrenginys</w:t>
                </w:r>
                <w:r>
                  <w:rPr>
                    <w:rFonts w:eastAsia="Lucida Sans Unicode"/>
                    <w:b/>
                    <w:bCs/>
                    <w:szCs w:val="24"/>
                  </w:rPr>
                  <w:t xml:space="preserve">, 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kuris pradėjo veikti iki 2018 m. gruodžio 20 d. ir kurio:</w:t>
                </w:r>
              </w:p>
              <w:p w14:paraId="2C59F618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2.2.1. vardinė (nominali) šiluminė galia yra didesnė</w:t>
                </w:r>
                <w:r>
                  <w:rPr>
                    <w:rFonts w:eastAsia="Lucida Sans Unicode"/>
                    <w:b/>
                    <w:bCs/>
                    <w:szCs w:val="24"/>
                  </w:rPr>
                  <w:t xml:space="preserve"> kaip 5 MW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 xml:space="preserve">, bet nesiekia 50 MW, įskaitant vidaus degimo variklius ir dujų turbinas; </w:t>
                </w:r>
              </w:p>
              <w:p w14:paraId="1242B4D6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 xml:space="preserve">2.2.2. vardinė (nominali) šiluminė galia </w:t>
                </w:r>
                <w:r>
                  <w:rPr>
                    <w:rFonts w:eastAsia="Lucida Sans Unicode"/>
                    <w:b/>
                    <w:bCs/>
                    <w:szCs w:val="24"/>
                  </w:rPr>
                  <w:t>mažesnė arba lygi 5 MW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, kai šiame įrenginyje yra ne mažesnės kaip 0,5 MW vardinės (nominalios) šiluminės galios kietuoju kuru kūrenamas katilas, išskyrus vidaus degimo variklius ir dujų turbinas;“.</w:t>
                </w:r>
              </w:p>
              <w:p w14:paraId="24203F79" w14:textId="77777777">
                <w:pPr>
                  <w:widowControl w:val="0"/>
                  <w:jc w:val="both"/>
                  <w:rPr>
                    <w:rFonts w:eastAsia="Lucida Sans Unicode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1.6.13. Pakeičiu 1 priedo 2.1 papunktį ir jį išdėstau taip:</w:t>
                </w:r>
              </w:p>
              <w:p w14:paraId="042FD49C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Cs w:val="24"/>
                  </w:rPr>
                </w:pPr>
                <w:r>
                  <w:rPr>
                    <w:rFonts w:eastAsia="Lucida Sans Unicode"/>
                    <w:color w:val="000000"/>
                    <w:szCs w:val="24"/>
                  </w:rPr>
                  <w:t>„2.1. naudojamas kurą deginantis įrenginys, kurio vardinė (nominali) šiluminė galia lygi arba didesnė kaip 1 MW, bet nesiekia 50 MW, įskaitant vidaus degimo variklius ir dujų turbinas;“.</w:t>
                </w:r>
              </w:p>
              <w:p w14:paraId="39FC1B5F" w14:textId="77777777">
                <w:pPr>
                  <w:widowControl w:val="0"/>
                  <w:jc w:val="both"/>
                  <w:rPr>
                    <w:rFonts w:eastAsia="Lucida Sans Unicode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1.6.14. Pakeičiu 1 priedo 2.2 papunktį ir jį išdėstau taip:</w:t>
                </w:r>
              </w:p>
              <w:p w14:paraId="17B2D5EB" w14:textId="58D99E5D"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strike/>
                    <w:color w:val="000000"/>
                    <w:szCs w:val="24"/>
                  </w:rPr>
                </w:pPr>
                <w:r>
                  <w:rPr>
                    <w:rFonts w:eastAsia="Lucida Sans Unicode"/>
                    <w:color w:val="000000"/>
                    <w:szCs w:val="24"/>
                  </w:rPr>
                  <w:t>„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2.2. naudojamas kurą deginantis įrenginys</w:t>
                </w:r>
                <w:r>
                  <w:rPr>
                    <w:rFonts w:eastAsia="Lucida Sans Unicode"/>
                    <w:b/>
                    <w:bCs/>
                    <w:szCs w:val="24"/>
                  </w:rPr>
                  <w:t xml:space="preserve">, 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 xml:space="preserve">kurio vardinė (nominali) šiluminė galia </w:t>
                </w:r>
                <w:r>
                  <w:rPr>
                    <w:rFonts w:eastAsia="Lucida Sans Unicode"/>
                    <w:b/>
                    <w:bCs/>
                    <w:szCs w:val="24"/>
                  </w:rPr>
                  <w:t>mažesnė kaip 1 MW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, kai šiame įrenginyje yra ne mažesnės kaip 0,5 MW vardinės (nominalios) šiluminės galios kietuoju kuru kūrenamas katilas, išskyrus vidaus degimo variklius ir dujų turbinas;“.</w:t>
                </w:r>
              </w:p>
              <w:p w14:paraId="1C1DB735" w14:textId="42C55A02"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Cs w:val="24"/>
                  </w:rPr>
                </w:pPr>
              </w:p>
              <w:p w14:paraId="61DFD8D1" w14:textId="77777777">
                <w:pPr>
                  <w:widowControl w:val="0"/>
                  <w:suppressAutoHyphens/>
                  <w:ind w:right="142"/>
                  <w:jc w:val="both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Įsakymo projektas</w:t>
                </w:r>
              </w:p>
              <w:p w14:paraId="0E0E5F02" w14:textId="1BCD5828"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val="en-US" w:eastAsia="lt-LT"/>
                  </w:rPr>
                  <w:t>2</w:t>
                </w:r>
                <w:r>
                  <w:rPr>
                    <w:rFonts w:eastAsia="Lucida Sans Unicode"/>
                    <w:b/>
                    <w:bCs/>
                    <w:kern w:val="1"/>
                    <w:szCs w:val="24"/>
                    <w:lang w:eastAsia="lt-LT"/>
                  </w:rPr>
                  <w:t>.1 – 2.2 papunkčiai</w:t>
                </w:r>
              </w:p>
              <w:p w14:paraId="5BBA215F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bCs/>
                    <w:color w:val="000000"/>
                    <w:szCs w:val="24"/>
                  </w:rPr>
                </w:pPr>
                <w:r>
                  <w:rPr>
                    <w:rFonts w:eastAsia="Lucida Sans Unicode"/>
                    <w:color w:val="000000"/>
                    <w:szCs w:val="24"/>
                  </w:rPr>
                  <w:t>„</w:t>
                </w:r>
                <w:r>
                  <w:rPr>
                    <w:rFonts w:eastAsia="Lucida Sans Unicode"/>
                    <w:b/>
                    <w:bCs/>
                    <w:szCs w:val="24"/>
                  </w:rPr>
                  <w:t xml:space="preserve">2. </w:t>
                </w:r>
                <w:r>
                  <w:rPr>
                    <w:rFonts w:eastAsia="Lucida Sans Unicode"/>
                    <w:b/>
                    <w:bCs/>
                    <w:color w:val="000000"/>
                    <w:spacing w:val="56"/>
                    <w:szCs w:val="24"/>
                  </w:rPr>
                  <w:t>Nustata</w:t>
                </w: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u, kad:</w:t>
                </w:r>
              </w:p>
              <w:p w14:paraId="0E9F293C" w14:textId="77777777">
                <w:pPr>
                  <w:widowControl w:val="0"/>
                  <w:jc w:val="both"/>
                  <w:rPr>
                    <w:rFonts w:eastAsia="Lucida Sans Unicode"/>
                    <w:b/>
                    <w:bCs/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2.1. šio įsakymo 1.6.10, 1.6.11, 1.6.12, 1.6.21 papunkčiai įsigalioja 2024 m. sausio 1 d.</w:t>
                </w:r>
              </w:p>
              <w:p w14:paraId="0AFD8F9C" w14:textId="50B3DE5F">
                <w:pPr>
                  <w:widowControl w:val="0"/>
                  <w:jc w:val="both"/>
                  <w:rPr>
                    <w:rFonts w:eastAsia="Lucida Sans Unicode"/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</w:rPr>
                  <w:t>2.2. šio įsakymo 1.6.13 ir 1.6.14 papunkčiai įsigalioja 2029 m. sausio 1 d.;</w:t>
                </w:r>
                <w:r>
                  <w:rPr>
                    <w:rFonts w:eastAsia="Lucida Sans Unicode"/>
                    <w:color w:val="000000"/>
                    <w:szCs w:val="24"/>
                  </w:rPr>
                  <w:t>“.</w:t>
                </w:r>
              </w:p>
              <w:p w14:paraId="32A3227E" w14:textId="3C7AF89D"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Cs w:val="24"/>
                  </w:rPr>
                </w:pPr>
              </w:p>
              <w:p w14:paraId="772B5BA3" w14:textId="77777777">
                <w:pPr>
                  <w:widowControl w:val="0"/>
                  <w:suppressAutoHyphens/>
                  <w:ind w:right="142"/>
                  <w:jc w:val="both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TL taisyklės</w:t>
                </w:r>
              </w:p>
              <w:p w14:paraId="55676171" w14:textId="77777777">
                <w:pPr>
                  <w:widowControl w:val="0"/>
                  <w:suppressAutoHyphens/>
                  <w:ind w:right="142"/>
                  <w:jc w:val="both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6 punktas</w:t>
                </w:r>
              </w:p>
              <w:p w14:paraId="7A12152C" w14:textId="77777777">
                <w:pPr>
                  <w:widowControl w:val="0"/>
                  <w:suppressAutoHyphens/>
                  <w:ind w:right="142"/>
                  <w:jc w:val="both"/>
                  <w:rPr>
                    <w:rFonts w:eastAsia="Lucida Sans Unicode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szCs w:val="24"/>
                    <w:lang w:eastAsia="lt-LT"/>
                  </w:rPr>
                  <w:t>“6. Veiklos vykdytojas, eksploatuojantis įrenginį (jo dalį, kelis įrenginius ar jų dalis), atitinkantį vieną ar kelis Taisyklių 1 priede nurodytus kriterijus, privalo turėti leidimą.”</w:t>
                </w:r>
              </w:p>
              <w:p w14:paraId="38A85A6F" w14:textId="02598BF2">
                <w:pPr>
                  <w:widowControl w:val="0"/>
                  <w:suppressAutoHyphens/>
                  <w:jc w:val="both"/>
                  <w:rPr>
                    <w:rFonts w:eastAsia="Lucida Sans Unicode"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300" w:type="dxa"/>
                <w:tcBorders>
                  <w:left w:val="single" w:sz="2" w:space="0" w:color="000000" w:themeColor="text1"/>
                  <w:bottom w:val="single" w:sz="4" w:space="0" w:color="auto"/>
                  <w:right w:val="single" w:sz="2" w:space="0" w:color="000000" w:themeColor="text1"/>
                </w:tcBorders>
              </w:tcPr>
              <w:p w14:paraId="2DA22FAA" w14:textId="77777777">
                <w:pPr>
                  <w:widowControl w:val="0"/>
                  <w:suppressLineNumbers/>
                  <w:suppressAutoHyphens/>
                  <w:snapToGrid w:val="0"/>
                  <w:ind w:left="57" w:right="57"/>
                  <w:rPr>
                    <w:rFonts w:eastAsia="Lucida Sans Unicode" w:cs="Courier New"/>
                    <w:iCs/>
                  </w:rPr>
                </w:pPr>
              </w:p>
            </w:tc>
          </w:tr>
          <w:tr w14:paraId="076F29EC" w14:textId="77777777">
            <w:tc>
              <w:tcPr>
                <w:tcW w:w="4962" w:type="dxa"/>
                <w:tcBorders>
                  <w:top w:val="single" w:sz="2" w:space="0" w:color="000000" w:themeColor="text1"/>
                  <w:left w:val="single" w:sz="2" w:space="0" w:color="000000" w:themeColor="text1"/>
                  <w:bottom w:val="single" w:sz="2" w:space="0" w:color="000000" w:themeColor="text1"/>
                  <w:right w:val="single" w:sz="2" w:space="0" w:color="000000" w:themeColor="text1"/>
                </w:tcBorders>
              </w:tcPr>
              <w:p w14:paraId="471613AA" w14:textId="77777777">
                <w:pPr>
                  <w:widowControl w:val="0"/>
                  <w:shd w:val="clear" w:color="auto" w:fill="FFFFFF"/>
                  <w:suppressAutoHyphens/>
                  <w:snapToGrid w:val="0"/>
                  <w:spacing w:line="274" w:lineRule="exact"/>
                  <w:ind w:left="142" w:right="182"/>
                  <w:jc w:val="both"/>
                  <w:rPr>
                    <w:rFonts w:eastAsia="Lucida Sans Unicode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 xml:space="preserve">2. Valstybės narės imasi priemonių, būtinų užtikrinti, kad nuo 2024 m. sausio 1 d. joks esamas vidutinio dydžio kurą deginantis įrenginys, kurio vardinė šiluminė galia didesnė kaip 5 MW, nebūtų eksploatuojamas, jei neturima leidimo ar jo neužregistravus. </w:t>
                </w:r>
              </w:p>
              <w:p w14:paraId="34FD367A" w14:textId="77777777">
                <w:pPr>
                  <w:widowControl w:val="0"/>
                  <w:shd w:val="clear" w:color="auto" w:fill="FFFFFF"/>
                  <w:suppressAutoHyphens/>
                  <w:snapToGrid w:val="0"/>
                  <w:spacing w:line="274" w:lineRule="exact"/>
                  <w:ind w:left="142" w:right="182"/>
                  <w:jc w:val="both"/>
                  <w:rPr>
                    <w:rFonts w:eastAsia="Lucida Sans Unicode" w:cs="Tahoma"/>
                    <w:b/>
                    <w:bCs/>
                    <w:i/>
                    <w:color w:val="000000"/>
                    <w:spacing w:val="-1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Valstybės narės imasi priemonių, būtinų užtikrinti, kad nuo 2029 m. sausio 1 d. joks esamas vidutinio dydžio kurą deginantis įrenginys, kurio vardinė šiluminė galia mažesnė arba lygi 5 MW, nebūtų eksploatuojamas, jei neturima leidimo ar jo neužregistravus.</w:t>
                </w:r>
              </w:p>
            </w:tc>
            <w:tc>
              <w:tcPr>
                <w:tcW w:w="9072" w:type="dxa"/>
                <w:tcBorders>
                  <w:top w:val="single" w:sz="2" w:space="0" w:color="000000" w:themeColor="text1"/>
                  <w:left w:val="single" w:sz="2" w:space="0" w:color="000000" w:themeColor="text1"/>
                  <w:bottom w:val="single" w:sz="2" w:space="0" w:color="000000" w:themeColor="text1"/>
                  <w:right w:val="single" w:sz="4" w:space="0" w:color="auto"/>
                </w:tcBorders>
              </w:tcPr>
              <w:p w14:paraId="1BB3133C" w14:textId="77777777">
                <w:pPr>
                  <w:widowControl w:val="0"/>
                  <w:suppressAutoHyphens/>
                  <w:ind w:right="142"/>
                  <w:jc w:val="both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Įsakymo projektas</w:t>
                </w:r>
              </w:p>
              <w:p w14:paraId="50C8A0CD" w14:textId="319E6F52">
                <w:pPr>
                  <w:widowControl w:val="0"/>
                  <w:suppressAutoHyphens/>
                  <w:ind w:right="142"/>
                  <w:jc w:val="both"/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kern w:val="1"/>
                    <w:szCs w:val="24"/>
                    <w:lang w:eastAsia="lt-LT"/>
                  </w:rPr>
                  <w:t>1.1. papunktis</w:t>
                </w:r>
              </w:p>
              <w:p w14:paraId="2F69E03D" w14:textId="02364941">
                <w:pPr>
                  <w:widowControl w:val="0"/>
                  <w:jc w:val="both"/>
                  <w:rPr>
                    <w:rFonts w:eastAsia="Lucida Sans Unicode"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„1.1. Pakeičiu 2.17 papunktį ir jį išdėstau taip:</w:t>
                </w:r>
              </w:p>
              <w:p w14:paraId="64F53F17" w14:textId="77777777">
                <w:pPr>
                  <w:widowControl w:val="0"/>
                  <w:jc w:val="both"/>
                  <w:rPr>
                    <w:rFonts w:eastAsia="Lucida Sans Unicode"/>
                    <w:b/>
                    <w:bCs/>
                    <w:szCs w:val="24"/>
                  </w:rPr>
                </w:pPr>
                <w:r>
                  <w:rPr>
                    <w:rFonts w:eastAsia="Lucida Sans Unicode"/>
                    <w:szCs w:val="24"/>
                  </w:rPr>
                  <w:t>„</w:t>
                </w:r>
                <w:r>
                  <w:rPr>
                    <w:rFonts w:eastAsia="Lucida Sans Unicode"/>
                    <w:b/>
                    <w:bCs/>
                    <w:szCs w:val="24"/>
                  </w:rPr>
                  <w:t>2.17. veiklos vykdytojai, eksploatuojantys kurą deginančius įrenginius, pradėjusius veikti iki 2018 m. gruodžio 20 d., kurių vardinė (nominali) šiluminė galia yra 1 MW ar didesnė, bet nesiekia 20 MW, įskaitant vidaus degimo variklius ir dujų turbinas, taršos leidimą su specialiąja dalimi „Aplinkos oro taršos valdymas“ privalo turėti:</w:t>
                </w:r>
              </w:p>
              <w:p w14:paraId="2F822F58" w14:textId="574DF160">
                <w:pPr>
                  <w:widowControl w:val="0"/>
                  <w:jc w:val="both"/>
                  <w:rPr>
                    <w:rFonts w:eastAsia="Lucida Sans Unicode"/>
                    <w:b/>
                    <w:bCs/>
                    <w:strike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szCs w:val="24"/>
                  </w:rPr>
                  <w:t xml:space="preserve">2.17.1. kai kurą deginančio įrenginio vardinė (nominali) šiluminė galia didesnė kaip 5 MW, – nuo 2024 m. sausio 1 d.; </w:t>
                </w:r>
              </w:p>
              <w:p w14:paraId="40140A48" w14:textId="2CF45E11">
                <w:pPr>
                  <w:widowControl w:val="0"/>
                  <w:tabs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uppressAutoHyphens/>
                  <w:ind w:right="142"/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szCs w:val="24"/>
                  </w:rPr>
                  <w:t>2.17.2. kai kurą deginančio įrenginio vardinė (nominali) šiluminė galia yra 1 MW ar didesnė, bet mažesnė arba lygi 5 MW, – nuo 2029 m. sausio 1 d.;“.</w:t>
                </w:r>
              </w:p>
            </w:tc>
            <w:tc>
              <w:tcPr>
                <w:tcW w:w="13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DB4EE9" w14:textId="47EE3F36">
                <w:pPr>
                  <w:widowControl w:val="0"/>
                  <w:suppressLineNumbers/>
                  <w:suppressAutoHyphens/>
                  <w:snapToGrid w:val="0"/>
                  <w:ind w:left="57" w:right="57"/>
                  <w:rPr>
                    <w:rFonts w:eastAsia="Lucida Sans Unicode" w:cs="Courier New"/>
                    <w:szCs w:val="24"/>
                  </w:rPr>
                </w:pPr>
                <w:r>
                  <w:rPr>
                    <w:rFonts w:eastAsia="Lucida Sans Unicode" w:cs="Courier New"/>
                    <w:szCs w:val="24"/>
                  </w:rPr>
                  <w:t>Visiškas</w:t>
                </w:r>
              </w:p>
            </w:tc>
          </w:tr>
        </w:tbl>
        <w:p w14:paraId="43E6048C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 w14:paraId="6A495223" w14:textId="77777777"/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993" w:right="1670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96A4EF" w14:textId="77777777">
      <w:pPr>
        <w:widowControl w:val="0"/>
        <w:suppressAutoHyphens/>
        <w:rPr>
          <w:rFonts w:eastAsia="Lucida Sans Unicode"/>
          <w:szCs w:val="24"/>
        </w:rPr>
      </w:pPr>
      <w:r>
        <w:rPr>
          <w:rFonts w:eastAsia="Lucida Sans Unicode"/>
          <w:szCs w:val="24"/>
        </w:rPr>
        <w:separator/>
      </w:r>
    </w:p>
  </w:endnote>
  <w:endnote w:type="continuationSeparator" w:id="0">
    <w:p w14:paraId="25997D67" w14:textId="77777777">
      <w:pPr>
        <w:widowControl w:val="0"/>
        <w:suppressAutoHyphens/>
        <w:rPr>
          <w:rFonts w:eastAsia="Lucida Sans Unicode"/>
          <w:szCs w:val="24"/>
        </w:rPr>
      </w:pPr>
      <w:r>
        <w:rPr>
          <w:rFonts w:eastAsia="Lucida Sans Unicode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BA"/>
    <w:family w:val="auto"/>
    <w:pitch w:val="default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2923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89DE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DB56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E0FC68" w14:textId="77777777">
      <w:pPr>
        <w:widowControl w:val="0"/>
        <w:suppressAutoHyphens/>
        <w:rPr>
          <w:rFonts w:eastAsia="Lucida Sans Unicode"/>
          <w:szCs w:val="24"/>
        </w:rPr>
      </w:pPr>
      <w:r>
        <w:rPr>
          <w:rFonts w:eastAsia="Lucida Sans Unicode"/>
          <w:szCs w:val="24"/>
        </w:rPr>
        <w:separator/>
      </w:r>
    </w:p>
  </w:footnote>
  <w:footnote w:type="continuationSeparator" w:id="0">
    <w:p w14:paraId="197FF8A6" w14:textId="77777777">
      <w:pPr>
        <w:widowControl w:val="0"/>
        <w:suppressAutoHyphens/>
        <w:rPr>
          <w:rFonts w:eastAsia="Lucida Sans Unicode"/>
          <w:szCs w:val="24"/>
        </w:rPr>
      </w:pPr>
      <w:r>
        <w:rPr>
          <w:rFonts w:eastAsia="Lucida Sans Unicode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63876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0BFFB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</w:rPr>
    </w:pPr>
    <w:r>
      <w:rPr>
        <w:rFonts w:eastAsia="Lucida Sans Unicode"/>
        <w:szCs w:val="24"/>
      </w:rPr>
      <w:fldChar w:fldCharType="begin"/>
    </w:r>
    <w:r>
      <w:rPr>
        <w:rFonts w:eastAsia="Lucida Sans Unicode"/>
        <w:szCs w:val="24"/>
      </w:rPr>
      <w:instrText xml:space="preserve"> PAGE   \* MERGEFORMAT </w:instrText>
    </w:r>
    <w:r>
      <w:rPr>
        <w:rFonts w:eastAsia="Lucida Sans Unicode"/>
        <w:szCs w:val="24"/>
      </w:rPr>
      <w:fldChar w:fldCharType="separate"/>
    </w:r>
    <w:r>
      <w:rPr>
        <w:rFonts w:eastAsia="Lucida Sans Unicode"/>
        <w:szCs w:val="24"/>
      </w:rPr>
      <w:t>2</w:t>
    </w:r>
    <w:r>
      <w:rPr>
        <w:rFonts w:eastAsia="Lucida Sans Unicode"/>
        <w:szCs w:val="24"/>
      </w:rPr>
      <w:fldChar w:fldCharType="end"/>
    </w:r>
  </w:p>
  <w:p w14:paraId="6F41D40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80AB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93DDC"/>
  <w15:docId w15:val="{5B5CA1E6-7C42-469E-AE23-B72F8881ED8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515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3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6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3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0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0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efa7f54-0b88-496a-bb5a-ade2a3e75a49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4442E85BB6774C954094258DFE0F39" ma:contentTypeVersion="15" ma:contentTypeDescription="Create a new document." ma:contentTypeScope="" ma:versionID="7fcaf5ed88667b4a6a4bf9e0f01502ef">
  <xsd:schema xmlns:xsd="http://www.w3.org/2001/XMLSchema" xmlns:xs="http://www.w3.org/2001/XMLSchema" xmlns:p="http://schemas.microsoft.com/office/2006/metadata/properties" xmlns:ns3="9efa7f54-0b88-496a-bb5a-ade2a3e75a49" xmlns:ns4="a19e1a3c-3394-465b-be3e-c3387c763511" targetNamespace="http://schemas.microsoft.com/office/2006/metadata/properties" ma:root="true" ma:fieldsID="5724770e48eeaf42b9d26878b477b148" ns3:_="" ns4:_="">
    <xsd:import namespace="9efa7f54-0b88-496a-bb5a-ade2a3e75a49"/>
    <xsd:import namespace="a19e1a3c-3394-465b-be3e-c3387c763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a7f54-0b88-496a-bb5a-ade2a3e75a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9e1a3c-3394-465b-be3e-c3387c763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lentele" DocPartId="4eede3d29c404db182890ca76958658d" PartId="c597431172594002b428616ce73b4a0d"/>
</Parts>
</file>

<file path=customXml/itemProps1.xml><?xml version="1.0" encoding="utf-8"?>
<ds:datastoreItem xmlns:ds="http://schemas.openxmlformats.org/officeDocument/2006/customXml" ds:itemID="{F0ADCE34-FC7C-4FA2-AAF7-8708E3A8EF47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dcmitype/"/>
    <ds:schemaRef ds:uri="a19e1a3c-3394-465b-be3e-c3387c763511"/>
    <ds:schemaRef ds:uri="http://schemas.openxmlformats.org/package/2006/metadata/core-properties"/>
    <ds:schemaRef ds:uri="9efa7f54-0b88-496a-bb5a-ade2a3e75a49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63940B7-12E7-49A6-A9B5-36B03A178A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DF06A1-6544-461E-A89D-AF2C7FD8EA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fa7f54-0b88-496a-bb5a-ade2a3e75a49"/>
    <ds:schemaRef ds:uri="a19e1a3c-3394-465b-be3e-c3387c763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5D8DAD2-F231-4B8E-8830-4F32DF3F413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46BA588-84E8-4DFB-8040-E04DDEF38B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691</Words>
  <Characters>4144</Characters>
  <Application>Microsoft Office Word</Application>
  <DocSecurity>4</DocSecurity>
  <Lines>96</Lines>
  <Paragraphs>45</Paragraphs>
  <ScaleCrop>false</ScaleCrop>
  <Company>Hewlett-Packard Company</Company>
  <LinksUpToDate>false</LinksUpToDate>
  <CharactersWithSpaces>4790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2023-10-25T08:05:00Z</dcterms:created>
  <dc:creator>Eugenijus Leonavičius</dc:creator>
  <lastModifiedBy>adlibuser</lastModifiedBy>
  <lastPrinted>2017-11-14T08:24:00Z</lastPrinted>
  <dcterms:modified xsi:type="dcterms:W3CDTF">2023-10-25T08:05:00Z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0x010100374442E85BB6774C954094258DFE0F39</vt:lpwstr>
  </property>
</Properties>
</file>