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95fe257b8e40bea2a8c3fe5e9db9d9"/>
        <w:lock w:val="sdtLocked"/>
        <w:richText/>
      </w:sdtPr>
      <w:sdtContent>
        <w:p>
          <w:pPr>
            <w:tabs>
              <w:tab w:val="center" w:pos="4153"/>
              <w:tab w:val="right" w:pos="8306"/>
            </w:tabs>
            <w:spacing w:line="276" w:lineRule="auto"/>
            <w:rPr>
              <w:lang w:eastAsia="lt-LT"/>
            </w:rPr>
          </w:pPr>
        </w:p>
        <w:p>
          <w:pPr>
            <w:rPr>
              <w:sz w:val="18"/>
              <w:szCs w:val="18"/>
            </w:rPr>
          </w:pPr>
        </w:p>
        <w:p>
          <w:pPr>
            <w:tabs>
              <w:tab w:val="center" w:pos="4153"/>
              <w:tab w:val="right" w:pos="8306"/>
            </w:tabs>
            <w:ind w:firstLine="7371"/>
            <w:jc w:val="both"/>
            <w:rPr>
              <w:b/>
              <w:lang w:eastAsia="lt-LT"/>
            </w:rPr>
          </w:pPr>
          <w:r>
            <w:rPr>
              <w:b/>
              <w:lang w:eastAsia="lt-LT"/>
            </w:rPr>
            <w:t xml:space="preserve">Projekto </w:t>
          </w:r>
        </w:p>
        <w:p>
          <w:pPr>
            <w:tabs>
              <w:tab w:val="center" w:pos="4153"/>
              <w:tab w:val="right" w:pos="8306"/>
            </w:tabs>
            <w:ind w:firstLine="7371"/>
            <w:jc w:val="both"/>
            <w:rPr>
              <w:b/>
              <w:lang w:eastAsia="lt-LT"/>
            </w:rPr>
          </w:pPr>
          <w:r>
            <w:rPr>
              <w:b/>
              <w:lang w:eastAsia="lt-LT"/>
            </w:rPr>
            <w:t>lyginamasis variantas</w:t>
          </w:r>
        </w:p>
        <w:p>
          <w:pPr>
            <w:jc w:val="center"/>
            <w:rPr>
              <w:lang w:eastAsia="lt-LT"/>
            </w:rPr>
          </w:pPr>
        </w:p>
        <w:p>
          <w:pPr>
            <w:jc w:val="center"/>
            <w:rPr>
              <w:lang w:eastAsia="lt-LT"/>
            </w:rPr>
          </w:pPr>
        </w:p>
        <w:p>
          <w:pPr>
            <w:rPr>
              <w:sz w:val="10"/>
              <w:szCs w:val="10"/>
            </w:rPr>
          </w:pP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bCs/>
              <w:caps/>
              <w:color w:val="000000"/>
              <w:lang w:eastAsia="lt-LT"/>
            </w:rPr>
          </w:pPr>
          <w:r>
            <w:rPr>
              <w:b/>
              <w:caps/>
              <w:lang w:eastAsia="lt-LT"/>
            </w:rPr>
            <w:t xml:space="preserve">DĖL </w:t>
          </w:r>
          <w:r>
            <w:rPr>
              <w:b/>
              <w:bCs/>
              <w:caps/>
              <w:color w:val="000000"/>
              <w:lang w:eastAsia="lt-LT"/>
            </w:rPr>
            <w:t xml:space="preserve">LIETUVOS RESPUBLIKOS VYRIAUSYBĖS 2004 M. RUGSĖJO 23 D. </w:t>
          </w:r>
        </w:p>
        <w:p>
          <w:pPr>
            <w:widowControl w:val="0"/>
            <w:jc w:val="center"/>
            <w:rPr>
              <w:b/>
              <w:caps/>
              <w:lang w:eastAsia="lt-LT"/>
            </w:rPr>
          </w:pPr>
          <w:r>
            <w:rPr>
              <w:b/>
              <w:bCs/>
              <w:caps/>
              <w:color w:val="000000"/>
              <w:lang w:eastAsia="lt-LT"/>
            </w:rPr>
            <w:t>NUTARIMO NR. 1213 „DĖL DAUGIABUČIŲ NAMŲ ATNAUJINIMO (MODERNIZAVIMO) PROGRAMOS PATVIRTINIMO“ PAKEITIMO</w:t>
          </w:r>
        </w:p>
        <w:p>
          <w:pPr>
            <w:tabs>
              <w:tab w:val="center" w:pos="4153"/>
              <w:tab w:val="right" w:pos="8306"/>
            </w:tabs>
            <w:rPr>
              <w:lang w:eastAsia="lt-LT"/>
            </w:rPr>
          </w:pPr>
        </w:p>
        <w:p>
          <w:pPr>
            <w:ind w:firstLine="62"/>
            <w:jc w:val="center"/>
            <w:rPr>
              <w:lang w:eastAsia="lt-LT"/>
            </w:rPr>
          </w:pPr>
          <w:r>
            <w:rPr>
              <w:lang w:eastAsia="lt-LT"/>
            </w:rPr>
            <w:t xml:space="preserve">2026 m.                    d. Nr. </w:t>
          </w:r>
        </w:p>
        <w:p>
          <w:pPr>
            <w:jc w:val="center"/>
            <w:rPr>
              <w:lang w:eastAsia="lt-LT"/>
            </w:rPr>
          </w:pPr>
          <w:r>
            <w:rPr>
              <w:lang w:eastAsia="lt-LT"/>
            </w:rPr>
            <w:t>Vilnius</w:t>
          </w:r>
        </w:p>
        <w:p>
          <w:pPr>
            <w:jc w:val="center"/>
            <w:rPr>
              <w:lang w:eastAsia="lt-LT"/>
            </w:rPr>
          </w:pPr>
        </w:p>
        <w:sdt>
          <w:sdtPr>
            <w:alias w:val="preambule"/>
            <w:tag w:val="part_796a5a9a97bd4af899e98480f112d14b"/>
            <w:lock w:val="sdtLocked"/>
            <w:richText/>
          </w:sdtPr>
          <w:sdtContent>
            <w:p>
              <w:pPr>
                <w:spacing w:line="23" w:lineRule="atLeast"/>
                <w:ind w:firstLine="720"/>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1 p."/>
            <w:tag w:val="part_9761dd544bd0479d9885371bd2a18e2c"/>
            <w:lock w:val="sdtLocked"/>
            <w:richText/>
          </w:sdtPr>
          <w:sdtContent>
            <w:p>
              <w:pPr>
                <w:tabs>
                  <w:tab w:val="left" w:pos="851"/>
                  <w:tab w:val="left" w:pos="1134"/>
                  <w:tab w:val="left" w:pos="1276"/>
                  <w:tab w:val="left" w:pos="1418"/>
                </w:tabs>
                <w:spacing w:line="23" w:lineRule="atLeast"/>
                <w:ind w:firstLine="720"/>
                <w:jc w:val="both"/>
                <w:rPr>
                  <w:lang w:eastAsia="lt-LT"/>
                </w:rPr>
              </w:pPr>
              <w:sdt>
                <w:sdtPr>
                  <w:alias w:val="Numeris"/>
                  <w:tag w:val="nr_9761dd544bd0479d9885371bd2a18e2c"/>
                  <w:lock w:val="sdtLocked"/>
                  <w:richText/>
                </w:sdtPr>
                <w:sdtContent>
                  <w:r>
                    <w:rPr>
                      <w:lang w:eastAsia="lt-LT"/>
                    </w:rPr>
                    <w:t>1</w:t>
                  </w:r>
                </w:sdtContent>
              </w:sdt>
              <w:r>
                <w:rPr>
                  <w:lang w:eastAsia="lt-LT"/>
                </w:rPr>
                <w:t xml:space="preserve">. Pakeisti Lietuvos Respublikos Vyriausybės 2004 m. rugsėjo 23 d. nutarimą Nr. 1213 </w:t>
              </w:r>
              <w:r>
                <w:rPr>
                  <w:szCs w:val="24"/>
                  <w:lang w:eastAsia="lt-LT"/>
                </w:rPr>
                <w:t>„</w:t>
              </w:r>
              <w:r>
                <w:rPr>
                  <w:lang w:eastAsia="lt-LT"/>
                </w:rPr>
                <w:t xml:space="preserve">Dėl Daugiabučių namų atnaujinimo (modernizavimo) programos patvirtinimo“: </w:t>
              </w:r>
            </w:p>
            <w:sdt>
              <w:sdtPr>
                <w:alias w:val="1.1 pp."/>
                <w:tag w:val="part_9c06999843f84c04a584a062a3bf497f"/>
                <w:lock w:val="sdtLocked"/>
                <w:richText/>
              </w:sdtPr>
              <w:sdtContent>
                <w:p>
                  <w:pPr>
                    <w:tabs>
                      <w:tab w:val="left" w:pos="851"/>
                      <w:tab w:val="left" w:pos="1134"/>
                      <w:tab w:val="left" w:pos="1276"/>
                      <w:tab w:val="left" w:pos="1418"/>
                    </w:tabs>
                    <w:spacing w:line="23" w:lineRule="atLeast"/>
                    <w:ind w:firstLine="720"/>
                    <w:jc w:val="both"/>
                    <w:rPr>
                      <w:b/>
                      <w:bCs/>
                      <w:color w:val="000000"/>
                      <w:szCs w:val="24"/>
                      <w:lang w:eastAsia="lt-LT"/>
                    </w:rPr>
                  </w:pPr>
                  <w:sdt>
                    <w:sdtPr>
                      <w:alias w:val="Numeris"/>
                      <w:tag w:val="nr_9c06999843f84c04a584a062a3bf497f"/>
                      <w:lock w:val="sdtLocked"/>
                      <w:richText/>
                    </w:sdtPr>
                    <w:sdtContent>
                      <w:r>
                        <w:rPr>
                          <w:lang w:eastAsia="lt-LT"/>
                        </w:rPr>
                        <w:t>1.1</w:t>
                      </w:r>
                    </w:sdtContent>
                  </w:sdt>
                  <w:r>
                    <w:rPr>
                      <w:lang w:eastAsia="lt-LT"/>
                    </w:rPr>
                    <w:t xml:space="preserve">. </w:t>
                  </w:r>
                  <w:r>
                    <w:rPr>
                      <w:color w:val="000000"/>
                    </w:rPr>
                    <w:t>Pakeisti nurodytą nutarimą ir jį išdėstyti nauja redakcija (</w:t>
                  </w:r>
                  <w:r>
                    <w:rPr>
                      <w:lang w:eastAsia="lt-LT"/>
                    </w:rPr>
                    <w:t>Daugiabučių namų atnaujinimo (modernizavimo) programa nauja redakcija nedėstoma):</w:t>
                  </w:r>
                </w:p>
                <w:sdt>
                  <w:sdtPr>
                    <w:alias w:val="citata"/>
                    <w:tag w:val="part_fbe6db9211264f78987b635dcb1db693"/>
                    <w:lock w:val="sdtLocked"/>
                    <w:richText/>
                  </w:sdtPr>
                  <w:sdtContent>
                    <w:sdt>
                      <w:sdtPr>
                        <w:alias w:val="pagrindine"/>
                        <w:tag w:val="part_f81dca01565c4e85afb1f82582179793"/>
                        <w:lock w:val="sdtLocked"/>
                        <w:richText/>
                      </w:sdtPr>
                      <w:sdtContent>
                        <w:p>
                          <w:pPr>
                            <w:jc w:val="center"/>
                            <w:rPr>
                              <w:color w:val="000000"/>
                              <w:szCs w:val="24"/>
                              <w:lang w:eastAsia="lt-LT"/>
                            </w:rPr>
                          </w:pPr>
                          <w:r>
                            <w:rPr>
                              <w:b/>
                              <w:bCs/>
                              <w:color w:val="000000"/>
                              <w:szCs w:val="24"/>
                              <w:lang w:eastAsia="lt-LT"/>
                            </w:rPr>
                            <w:t>„LIETUVOS RESPUBLIKOS VYRIAUSYBĖ</w:t>
                          </w:r>
                        </w:p>
                        <w:p>
                          <w:pPr>
                            <w:ind w:firstLine="62"/>
                            <w:jc w:val="center"/>
                            <w:rPr>
                              <w:color w:val="000000"/>
                              <w:szCs w:val="24"/>
                              <w:lang w:eastAsia="lt-LT"/>
                            </w:rPr>
                          </w:pPr>
                        </w:p>
                        <w:p>
                          <w:pPr>
                            <w:jc w:val="center"/>
                            <w:rPr>
                              <w:color w:val="000000"/>
                              <w:szCs w:val="24"/>
                              <w:lang w:eastAsia="lt-LT"/>
                            </w:rPr>
                          </w:pPr>
                          <w:r>
                            <w:rPr>
                              <w:b/>
                              <w:bCs/>
                              <w:caps/>
                              <w:color w:val="000000"/>
                              <w:szCs w:val="24"/>
                              <w:lang w:eastAsia="lt-LT"/>
                            </w:rPr>
                            <w:t>NUTARIMAS</w:t>
                          </w:r>
                        </w:p>
                        <w:p>
                          <w:pPr>
                            <w:jc w:val="center"/>
                            <w:rPr>
                              <w:lang w:eastAsia="lt-LT"/>
                            </w:rPr>
                          </w:pPr>
                          <w:r>
                            <w:rPr>
                              <w:b/>
                              <w:bCs/>
                              <w:color w:val="000000"/>
                              <w:szCs w:val="24"/>
                              <w:lang w:eastAsia="lt-LT"/>
                            </w:rPr>
                            <w:t xml:space="preserve">DĖL </w:t>
                          </w:r>
                          <w:r>
                            <w:rPr>
                              <w:b/>
                              <w:bCs/>
                              <w:color w:val="000000"/>
                            </w:rPr>
                            <w:t>DAUGIABUČIŲ NAMŲ ATNAUJINIMO (MODERNIZAVIMO) PROGRAMOS PATVIRTINIMO</w:t>
                          </w:r>
                          <w:r>
                            <w:rPr>
                              <w:b/>
                              <w:bCs/>
                              <w:color w:val="000000"/>
                              <w:szCs w:val="24"/>
                              <w:lang w:eastAsia="lt-LT"/>
                            </w:rPr>
                            <w:t xml:space="preserve"> </w:t>
                          </w:r>
                        </w:p>
                        <w:p>
                          <w:pPr>
                            <w:tabs>
                              <w:tab w:val="left" w:pos="851"/>
                              <w:tab w:val="left" w:pos="1134"/>
                              <w:tab w:val="left" w:pos="1276"/>
                              <w:tab w:val="left" w:pos="1418"/>
                            </w:tabs>
                            <w:spacing w:line="23" w:lineRule="atLeast"/>
                            <w:ind w:firstLine="720"/>
                            <w:jc w:val="both"/>
                            <w:rPr>
                              <w:lang w:eastAsia="lt-LT"/>
                            </w:rPr>
                          </w:pPr>
                        </w:p>
                        <w:sdt>
                          <w:sdtPr>
                            <w:alias w:val="preambule"/>
                            <w:tag w:val="part_168da63af78a45db8cd16157e5f7b0e2"/>
                            <w:lock w:val="sdtLocked"/>
                            <w:richText/>
                          </w:sdtPr>
                          <w:sdtContent>
                            <w:p>
                              <w:pPr>
                                <w:tabs>
                                  <w:tab w:val="left" w:pos="851"/>
                                  <w:tab w:val="left" w:pos="1134"/>
                                  <w:tab w:val="left" w:pos="1276"/>
                                  <w:tab w:val="left" w:pos="1418"/>
                                </w:tabs>
                                <w:spacing w:line="23" w:lineRule="atLeast"/>
                                <w:ind w:firstLine="720"/>
                                <w:jc w:val="both"/>
                                <w:rPr>
                                  <w:lang w:eastAsia="lt-LT"/>
                                </w:rPr>
                              </w:pPr>
                              <w:r>
                                <w:rPr>
                                  <w:color w:val="000000"/>
                                </w:rPr>
                                <w:t>Vadovaudamasi Lietuvos Respublikos valstybės paramos daugiabučiams namams atnaujinti (modernizuoti) įstatymo 3 straipsnio 1 dalimi, Lietuvos Respublikos Vyriausybė</w:t>
                              </w:r>
                              <w:r>
                                <w:rPr>
                                  <w:color w:val="000000"/>
                                  <w:spacing w:val="100"/>
                                </w:rPr>
                                <w:t> nutari</w:t>
                              </w:r>
                              <w:r>
                                <w:rPr>
                                  <w:color w:val="000000"/>
                                </w:rPr>
                                <w:t>a:</w:t>
                              </w:r>
                            </w:p>
                          </w:sdtContent>
                        </w:sdt>
                        <w:sdt>
                          <w:sdtPr>
                            <w:alias w:val="pastraipa"/>
                            <w:tag w:val="part_938b86bd904047228268853f29a301b2"/>
                            <w:lock w:val="sdtLocked"/>
                            <w:richText/>
                          </w:sdtPr>
                          <w:sdtContent>
                            <w:p>
                              <w:pPr>
                                <w:tabs>
                                  <w:tab w:val="left" w:pos="851"/>
                                  <w:tab w:val="left" w:pos="1134"/>
                                  <w:tab w:val="left" w:pos="1276"/>
                                  <w:tab w:val="left" w:pos="1418"/>
                                </w:tabs>
                                <w:spacing w:line="23" w:lineRule="atLeast"/>
                                <w:ind w:firstLine="720"/>
                                <w:rPr>
                                  <w:color w:val="000000"/>
                                </w:rPr>
                              </w:pPr>
                              <w:r>
                                <w:rPr>
                                  <w:color w:val="000000"/>
                                </w:rPr>
                                <w:t xml:space="preserve">Patvirtinti </w:t>
                              </w:r>
                              <w:r>
                                <w:rPr>
                                  <w:lang w:eastAsia="lt-LT"/>
                                </w:rPr>
                                <w:t>Daugiabučių namų atnaujinimo (modernizavimo) programą</w:t>
                              </w:r>
                              <w:r>
                                <w:rPr>
                                  <w:color w:val="000000"/>
                                </w:rPr>
                                <w:t xml:space="preserve"> (pridedama).“</w:t>
                              </w:r>
                            </w:p>
                          </w:sdtContent>
                        </w:sdt>
                      </w:sdtContent>
                    </w:sdt>
                  </w:sdtContent>
                </w:sdt>
              </w:sdtContent>
            </w:sdt>
            <w:sdt>
              <w:sdtPr>
                <w:alias w:val="1.2 pp."/>
                <w:tag w:val="part_406ec77ae2ef477cbb0fb868382c9461"/>
                <w:lock w:val="sdtLocked"/>
                <w:richText/>
              </w:sdtPr>
              <w:sdtContent>
                <w:p>
                  <w:pPr>
                    <w:tabs>
                      <w:tab w:val="left" w:pos="851"/>
                      <w:tab w:val="left" w:pos="1134"/>
                      <w:tab w:val="left" w:pos="1276"/>
                      <w:tab w:val="left" w:pos="1418"/>
                    </w:tabs>
                    <w:spacing w:line="23" w:lineRule="atLeast"/>
                    <w:ind w:firstLine="720"/>
                    <w:rPr>
                      <w:lang w:eastAsia="lt-LT"/>
                    </w:rPr>
                  </w:pPr>
                  <w:sdt>
                    <w:sdtPr>
                      <w:alias w:val="Numeris"/>
                      <w:tag w:val="nr_406ec77ae2ef477cbb0fb868382c9461"/>
                      <w:lock w:val="sdtLocked"/>
                      <w:richText/>
                    </w:sdtPr>
                    <w:sdtContent>
                      <w:r>
                        <w:rPr>
                          <w:color w:val="000000"/>
                        </w:rPr>
                        <w:t>1.2</w:t>
                      </w:r>
                    </w:sdtContent>
                  </w:sdt>
                  <w:r>
                    <w:rPr>
                      <w:color w:val="000000"/>
                    </w:rPr>
                    <w:t xml:space="preserve">. Pakeisti nurodytu nutarimu patvirtintą </w:t>
                  </w:r>
                  <w:r>
                    <w:rPr>
                      <w:lang w:eastAsia="lt-LT"/>
                    </w:rPr>
                    <w:t>Daugiabučių namų atnaujinimo (modernizavimo) programą:</w:t>
                  </w:r>
                </w:p>
                <w:sdt>
                  <w:sdtPr>
                    <w:alias w:val="1.2.1 pp."/>
                    <w:tag w:val="part_2928dc17ff15433ab537c2969e538607"/>
                    <w:lock w:val="sdtLocked"/>
                    <w:richText/>
                  </w:sdtPr>
                  <w:sdtContent>
                    <w:p>
                      <w:pPr>
                        <w:tabs>
                          <w:tab w:val="left" w:pos="851"/>
                          <w:tab w:val="left" w:pos="1134"/>
                          <w:tab w:val="left" w:pos="1276"/>
                          <w:tab w:val="left" w:pos="1418"/>
                        </w:tabs>
                        <w:spacing w:line="23" w:lineRule="atLeast"/>
                        <w:ind w:firstLine="720"/>
                        <w:jc w:val="both"/>
                      </w:pPr>
                      <w:sdt>
                        <w:sdtPr>
                          <w:alias w:val="Numeris"/>
                          <w:tag w:val="nr_2928dc17ff15433ab537c2969e538607"/>
                          <w:lock w:val="sdtLocked"/>
                          <w:richText/>
                        </w:sdtPr>
                        <w:sdtContent>
                          <w:r>
                            <w:rPr>
                              <w:lang w:eastAsia="lt-LT"/>
                            </w:rPr>
                            <w:t>1.2.1</w:t>
                          </w:r>
                        </w:sdtContent>
                      </w:sdt>
                      <w:r>
                        <w:rPr>
                          <w:lang w:eastAsia="lt-LT"/>
                        </w:rPr>
                        <w:t>.</w:t>
                      </w:r>
                      <w:r>
                        <w:t xml:space="preserve"> </w:t>
                      </w:r>
                      <w:r>
                        <w:rPr>
                          <w:lang w:eastAsia="lt-LT"/>
                        </w:rPr>
                        <w:t>Pakeisti priedo lentelės 14 punktą ir jį išdėstyti taip:</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0"/>
                        <w:gridCol w:w="8528"/>
                      </w:tblGrid>
                      <w:tr>
                        <w:trPr>
                          <w:trHeight w:val="23"/>
                        </w:trPr>
                        <w:tc>
                          <w:tcPr>
                            <w:tcW w:w="789" w:type="dxa"/>
                            <w:tcBorders>
                              <w:top w:val="single" w:sz="4" w:space="0" w:color="auto"/>
                              <w:left w:val="single" w:sz="4" w:space="0" w:color="auto"/>
                              <w:bottom w:val="single" w:sz="4" w:space="0" w:color="auto"/>
                              <w:right w:val="single" w:sz="4" w:space="0" w:color="auto"/>
                            </w:tcBorders>
                            <w:hideMark/>
                          </w:tcPr>
                          <w:p>
                            <w:pPr>
                              <w:ind w:right="-285" w:firstLine="347"/>
                              <w:rPr>
                                <w:szCs w:val="24"/>
                              </w:rPr>
                            </w:pPr>
                            <w:r>
                              <w:rPr>
                                <w:szCs w:val="24"/>
                                <w:lang w:eastAsia="lt-LT"/>
                              </w:rPr>
                              <w:t>„</w:t>
                            </w:r>
                            <w:r>
                              <w:rPr>
                                <w:szCs w:val="24"/>
                              </w:rPr>
                              <w:t>14.</w:t>
                            </w:r>
                          </w:p>
                        </w:tc>
                        <w:tc>
                          <w:tcPr>
                            <w:tcW w:w="8709" w:type="dxa"/>
                            <w:tcBorders>
                              <w:top w:val="single" w:sz="4" w:space="0" w:color="auto"/>
                              <w:left w:val="single" w:sz="4" w:space="0" w:color="auto"/>
                              <w:bottom w:val="single" w:sz="4" w:space="0" w:color="auto"/>
                              <w:right w:val="single" w:sz="4" w:space="0" w:color="auto"/>
                            </w:tcBorders>
                            <w:hideMark/>
                          </w:tcPr>
                          <w:p>
                            <w:pPr>
                              <w:spacing w:line="259" w:lineRule="auto"/>
                              <w:jc w:val="both"/>
                              <w:rPr>
                                <w:b/>
                                <w:bCs/>
                              </w:rPr>
                            </w:pPr>
                            <w:r>
                              <w:rPr>
                                <w:strike/>
                                <w:color w:val="000000"/>
                              </w:rPr>
                              <w:t>Čiurlių</w:t>
                            </w:r>
                            <w:r>
                              <w:rPr>
                                <w:color w:val="000000"/>
                              </w:rPr>
                              <w:t xml:space="preserve"> </w:t>
                            </w:r>
                            <w:r>
                              <w:rPr>
                                <w:b/>
                                <w:bCs/>
                                <w:color w:val="000000"/>
                              </w:rPr>
                              <w:t>Juodųjų čiurlių</w:t>
                            </w:r>
                            <w:r>
                              <w:rPr>
                                <w:color w:val="000000"/>
                              </w:rPr>
                              <w:t xml:space="preserve"> ir (ar) kitų </w:t>
                            </w:r>
                            <w:r>
                              <w:rPr>
                                <w:b/>
                                <w:bCs/>
                                <w:color w:val="000000"/>
                              </w:rPr>
                              <w:t>laukinių</w:t>
                            </w:r>
                            <w:r>
                              <w:rPr>
                                <w:color w:val="000000"/>
                              </w:rPr>
                              <w:t xml:space="preserve"> paukščių </w:t>
                            </w:r>
                            <w:r>
                              <w:rPr>
                                <w:strike/>
                                <w:color w:val="000000"/>
                              </w:rPr>
                              <w:t>rūšies</w:t>
                            </w:r>
                            <w:r>
                              <w:rPr>
                                <w:color w:val="000000"/>
                              </w:rPr>
                              <w:t xml:space="preserve"> </w:t>
                            </w:r>
                            <w:r>
                              <w:rPr>
                                <w:b/>
                                <w:bCs/>
                                <w:color w:val="000000"/>
                              </w:rPr>
                              <w:t>rūšių</w:t>
                            </w:r>
                            <w:r>
                              <w:rPr>
                                <w:color w:val="000000"/>
                              </w:rPr>
                              <w:t xml:space="preserve"> reikalavimus atitinkančios dirbtinės lizdavietės</w:t>
                            </w:r>
                            <w:r>
                              <w:t xml:space="preserve"> </w:t>
                            </w:r>
                            <w:r>
                              <w:rPr>
                                <w:color w:val="000000"/>
                              </w:rPr>
                              <w:t>įrengimas“.</w:t>
                            </w:r>
                          </w:p>
                        </w:tc>
                      </w:tr>
                    </w:tbl>
                    <w:p/>
                  </w:sdtContent>
                </w:sdt>
                <w:sdt>
                  <w:sdtPr>
                    <w:alias w:val="1.2.2 pp."/>
                    <w:tag w:val="part_40b61b1472124fd2ad4c7d8c0192d433"/>
                    <w:lock w:val="sdtLocked"/>
                    <w:richText/>
                  </w:sdtPr>
                  <w:sdtContent>
                    <w:p>
                      <w:pPr>
                        <w:tabs>
                          <w:tab w:val="left" w:pos="851"/>
                          <w:tab w:val="left" w:pos="1134"/>
                          <w:tab w:val="left" w:pos="1276"/>
                        </w:tabs>
                        <w:spacing w:line="23" w:lineRule="atLeast"/>
                        <w:ind w:left="720"/>
                        <w:jc w:val="both"/>
                        <w:rPr>
                          <w:lang w:eastAsia="lt-LT"/>
                        </w:rPr>
                      </w:pPr>
                      <w:sdt>
                        <w:sdtPr>
                          <w:alias w:val="Numeris"/>
                          <w:tag w:val="nr_40b61b1472124fd2ad4c7d8c0192d433"/>
                          <w:lock w:val="sdtLocked"/>
                          <w:richText/>
                        </w:sdtPr>
                        <w:sdtContent>
                          <w:r>
                            <w:rPr>
                              <w:lang w:eastAsia="lt-LT"/>
                            </w:rPr>
                            <w:t>1.2.2</w:t>
                          </w:r>
                        </w:sdtContent>
                      </w:sdt>
                      <w:r>
                        <w:rPr>
                          <w:lang w:eastAsia="lt-LT"/>
                        </w:rPr>
                        <w:t xml:space="preserve">. Papildyti priedo lentelę </w:t>
                      </w:r>
                      <w:r>
                        <w:rPr>
                          <w:lang w:val="en-GB" w:eastAsia="lt-LT"/>
                        </w:rPr>
                        <w:t>19</w:t>
                      </w:r>
                      <w:r>
                        <w:rPr>
                          <w:lang w:eastAsia="lt-LT"/>
                        </w:rPr>
                        <w:t xml:space="preserve"> punktu: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8514"/>
                      </w:tblGrid>
                      <w:tr>
                        <w:trPr>
                          <w:trHeight w:val="23"/>
                        </w:trPr>
                        <w:tc>
                          <w:tcPr>
                            <w:tcW w:w="984" w:type="dxa"/>
                            <w:tcBorders>
                              <w:top w:val="single" w:sz="4" w:space="0" w:color="auto"/>
                              <w:left w:val="single" w:sz="4" w:space="0" w:color="auto"/>
                              <w:bottom w:val="single" w:sz="4" w:space="0" w:color="auto"/>
                              <w:right w:val="single" w:sz="4" w:space="0" w:color="auto"/>
                            </w:tcBorders>
                            <w:hideMark/>
                          </w:tcPr>
                          <w:p>
                            <w:pPr>
                              <w:ind w:right="-285" w:firstLine="347"/>
                              <w:rPr>
                                <w:b/>
                                <w:bCs/>
                                <w:szCs w:val="24"/>
                              </w:rPr>
                            </w:pPr>
                            <w:r>
                              <w:rPr>
                                <w:b/>
                                <w:bCs/>
                                <w:szCs w:val="24"/>
                                <w:lang w:eastAsia="lt-LT"/>
                              </w:rPr>
                              <w:t>„</w:t>
                            </w:r>
                            <w:r>
                              <w:rPr>
                                <w:b/>
                                <w:bCs/>
                                <w:szCs w:val="24"/>
                              </w:rPr>
                              <w:t>19.</w:t>
                            </w:r>
                          </w:p>
                        </w:tc>
                        <w:tc>
                          <w:tcPr>
                            <w:tcW w:w="8514" w:type="dxa"/>
                            <w:tcBorders>
                              <w:top w:val="single" w:sz="4" w:space="0" w:color="auto"/>
                              <w:left w:val="single" w:sz="4" w:space="0" w:color="auto"/>
                              <w:bottom w:val="single" w:sz="4" w:space="0" w:color="auto"/>
                              <w:right w:val="single" w:sz="4" w:space="0" w:color="auto"/>
                            </w:tcBorders>
                            <w:hideMark/>
                          </w:tcPr>
                          <w:p>
                            <w:pPr>
                              <w:spacing w:line="259" w:lineRule="auto"/>
                              <w:jc w:val="both"/>
                              <w:rPr>
                                <w:b/>
                                <w:bCs/>
                              </w:rPr>
                            </w:pPr>
                            <w:r>
                              <w:rPr>
                                <w:b/>
                                <w:bCs/>
                              </w:rPr>
                              <w:t>Kitos priemonės, nenurodytos šios lentelės 11–18 punktuose, kurias galima įgyvendinti.</w:t>
                            </w:r>
                            <w:r>
                              <w:rPr>
                                <w:b/>
                                <w:bCs/>
                                <w:lang w:eastAsia="lt-LT"/>
                              </w:rPr>
                              <w:t>“</w:t>
                            </w:r>
                          </w:p>
                        </w:tc>
                      </w:tr>
                    </w:tbl>
                    <w:p/>
                  </w:sdtContent>
                </w:sdt>
                <w:sdt>
                  <w:sdtPr>
                    <w:alias w:val="1.2.3 pp."/>
                    <w:tag w:val="part_cb64d3867e28477c929688045111ee57"/>
                    <w:lock w:val="sdtLocked"/>
                    <w:richText/>
                  </w:sdtPr>
                  <w:sdtContent>
                    <w:p>
                      <w:pPr>
                        <w:tabs>
                          <w:tab w:val="left" w:pos="851"/>
                          <w:tab w:val="left" w:pos="1134"/>
                          <w:tab w:val="left" w:pos="1276"/>
                        </w:tabs>
                        <w:spacing w:line="23" w:lineRule="atLeast"/>
                        <w:ind w:left="709"/>
                        <w:jc w:val="both"/>
                      </w:pPr>
                      <w:sdt>
                        <w:sdtPr>
                          <w:alias w:val="Numeris"/>
                          <w:tag w:val="nr_cb64d3867e28477c929688045111ee57"/>
                          <w:lock w:val="sdtLocked"/>
                          <w:richText/>
                        </w:sdtPr>
                        <w:sdtContent>
                          <w:r>
                            <w:t>1.2.3</w:t>
                          </w:r>
                        </w:sdtContent>
                      </w:sdt>
                      <w:r>
                        <w:t>. Pakeisti priedo 7 pastabą ir ją išdėstyti taip:  </w:t>
                      </w:r>
                    </w:p>
                  </w:sdtContent>
                </w:sdt>
              </w:sdtContent>
            </w:sdt>
          </w:sdtContent>
        </w:sdt>
        <w:sdt>
          <w:sdtPr>
            <w:alias w:val="7 p."/>
            <w:tag w:val="part_d34585724f8640d8a0c460d7e259ba54"/>
            <w:lock w:val="sdtLocked"/>
            <w:richText/>
          </w:sdtPr>
          <w:sdtContent>
            <w:p>
              <w:pPr>
                <w:tabs>
                  <w:tab w:val="left" w:pos="1134"/>
                  <w:tab w:val="left" w:pos="1276"/>
                  <w:tab w:val="left" w:pos="3402"/>
                </w:tabs>
                <w:spacing w:line="23" w:lineRule="atLeast"/>
                <w:ind w:firstLine="709"/>
                <w:jc w:val="both"/>
              </w:pPr>
              <w:r>
                <w:rPr>
                  <w:b/>
                  <w:bCs/>
                </w:rPr>
                <w:t>„</w:t>
              </w:r>
              <w:sdt>
                <w:sdtPr>
                  <w:alias w:val="Numeris"/>
                  <w:tag w:val="nr_d34585724f8640d8a0c460d7e259ba54"/>
                  <w:lock w:val="sdtLocked"/>
                  <w:richText/>
                </w:sdtPr>
                <w:sdtContent>
                  <w:r>
                    <w:t>7</w:t>
                  </w:r>
                </w:sdtContent>
              </w:sdt>
              <w:r>
                <w:t xml:space="preserve">. </w:t>
              </w:r>
              <w:r>
                <w:rPr>
                  <w:b/>
                  <w:bCs/>
                </w:rPr>
                <w:t>dirbtinių lizdaviečių paukščiams įrengimas yra privalomas tais atvejais, kai nustatoma, kad iki daugiabučio namo atnaujinimo (modernizavimo) pastato konstrukcijose buvo juodųjų čiurlių (Apus apus)</w:t>
              </w:r>
              <w:r>
                <w:t xml:space="preserve"> </w:t>
              </w:r>
              <w:r>
                <w:rPr>
                  <w:strike/>
                </w:rPr>
                <w:t>kai atnaujinamas (modernizuojamas) daugiabutis namas, kuriame yra</w:t>
              </w:r>
              <w:r>
                <w:t xml:space="preserve"> ir (ar) kitų </w:t>
              </w:r>
              <w:r>
                <w:rPr>
                  <w:b/>
                  <w:bCs/>
                </w:rPr>
                <w:t>laukinių</w:t>
              </w:r>
              <w:r>
                <w:t xml:space="preserve"> paukščių rūšių, </w:t>
              </w:r>
              <w:r>
                <w:rPr>
                  <w:b/>
                  <w:bCs/>
                </w:rPr>
                <w:t>išskyrus uolinius karvelius (Columba livia f. domestica)</w:t>
              </w:r>
              <w:r>
                <w:t>, lizdaviečių</w:t>
              </w:r>
              <w:r>
                <w:rPr>
                  <w:strike/>
                </w:rPr>
                <w:t>, joms išsaugoti skirtos priemonės pasiūlymai rengiami pritarus gyventojams, rengiant daugiabučiam namui atnaujinti (modernizuoti) investicijų planą</w:t>
              </w:r>
              <w:r>
                <w:t>. (</w:t>
              </w:r>
              <w:r>
                <w:rPr>
                  <w:b/>
                  <w:bCs/>
                </w:rPr>
                <w:t>Paukščių lizdaviečių buvimo ar nebuvimo faktas nustatomas ornitologo atlikto patikrinimo metu. Ornitologu laikomas asmuo, kuris atitinka šiuos minimalius reikalavimus: turi aukštąjį universitetinį arba koleginį biologijos, ekologijos, miškininkystės, gyvūnų mokslų ar aplinkotyros studijų krypties išsilavinimą arba jam lygiavertę aukštojo mokslo kvalifikaciją ir ne mažesnę kaip vienų metų darbo patirtį paukščių stebėjimo srityje. Ornitologas, atlikęs patikrinimą, surašo pažymą, kurioje privalo būti nurodyta: nustatytos paukščių rūšys, lizdaviečių skaičius, lizdaviečių nustatymo data, fotofiksacijos ar kiti lizdaviečių nustatymą pagrindžiantys duomenys, siūlomos priemonės paukščių perėjimo vietoms išsaugoti.</w:t>
              </w:r>
              <w:r>
                <w:t xml:space="preserve"> </w:t>
              </w:r>
              <w:r>
                <w:rPr>
                  <w:b/>
                  <w:bCs/>
                </w:rPr>
                <w:t>Numatomų lizdaviečių skaičius neturi būti mažesnis nei ornitologo nustatytas lizdaviečių skaičius kiekvienai paukščių rūšiai. Ornitologo pažyma yra privalomas dokumentas visais atvejais, kai rengiamas daugiabučio namo atnaujinimo (modernizavimo) investicijų planas. Tais atvejais, kai nustatoma, kad iki daugiabučio namo atnaujinimo (modernizavimo) pastato konstrukcijose paukščių lizdaviečių nebuvo, dirbtinės lizdavietės gali būti numatomos daugiabučio namo atnaujinimo (modernizavimo) investicijų plane tik gavus butų ir kitų patalpų savininkų pritarimą.);“.</w:t>
              </w:r>
            </w:p>
          </w:sdtContent>
        </w:sdt>
        <w:sdt>
          <w:sdtPr>
            <w:alias w:val="2 p."/>
            <w:tag w:val="part_8ed41908e2c848cbbfbddf4164dcad51"/>
            <w:lock w:val="sdtLocked"/>
            <w:richText/>
          </w:sdtPr>
          <w:sdtContent>
            <w:p>
              <w:pPr>
                <w:tabs>
                  <w:tab w:val="left" w:pos="851"/>
                  <w:tab w:val="left" w:pos="1276"/>
                </w:tabs>
                <w:spacing w:line="23" w:lineRule="atLeast"/>
                <w:ind w:firstLine="709"/>
                <w:jc w:val="both"/>
              </w:pPr>
              <w:sdt>
                <w:sdtPr>
                  <w:alias w:val="Numeris"/>
                  <w:tag w:val="nr_8ed41908e2c848cbbfbddf4164dcad51"/>
                  <w:lock w:val="sdtLocked"/>
                  <w:richText/>
                </w:sdtPr>
                <w:sdtContent>
                  <w:r>
                    <w:t>2</w:t>
                  </w:r>
                </w:sdtContent>
              </w:sdt>
              <w:r>
                <w:t>. Nustatyti, kad:</w:t>
              </w:r>
            </w:p>
            <w:sdt>
              <w:sdtPr>
                <w:alias w:val="2.1 pp."/>
                <w:tag w:val="part_619d85280bfa46b3a78065691a06678b"/>
                <w:lock w:val="sdtLocked"/>
                <w:richText/>
              </w:sdtPr>
              <w:sdtContent>
                <w:p>
                  <w:pPr>
                    <w:tabs>
                      <w:tab w:val="left" w:pos="851"/>
                      <w:tab w:val="left" w:pos="1276"/>
                    </w:tabs>
                    <w:spacing w:line="23" w:lineRule="atLeast"/>
                    <w:ind w:firstLine="709"/>
                    <w:jc w:val="both"/>
                  </w:pPr>
                  <w:sdt>
                    <w:sdtPr>
                      <w:alias w:val="Numeris"/>
                      <w:tag w:val="nr_619d85280bfa46b3a78065691a06678b"/>
                      <w:lock w:val="sdtLocked"/>
                      <w:richText/>
                    </w:sdtPr>
                    <w:sdtContent>
                      <w:r>
                        <w:t>2.1</w:t>
                      </w:r>
                    </w:sdtContent>
                  </w:sdt>
                  <w:r>
                    <w:t>. šis nutarimas įsigalioja 2026 m. rugsėjo 1 d.;</w:t>
                  </w:r>
                </w:p>
              </w:sdtContent>
            </w:sdt>
            <w:sdt>
              <w:sdtPr>
                <w:alias w:val="2.2 pp."/>
                <w:tag w:val="part_0dfb332e47264de8b4b21c5c8b1dc482"/>
                <w:lock w:val="sdtLocked"/>
                <w:richText/>
              </w:sdtPr>
              <w:sdtContent>
                <w:p>
                  <w:pPr>
                    <w:tabs>
                      <w:tab w:val="left" w:pos="851"/>
                      <w:tab w:val="left" w:pos="1276"/>
                    </w:tabs>
                    <w:spacing w:line="23" w:lineRule="atLeast"/>
                    <w:ind w:firstLine="709"/>
                    <w:jc w:val="both"/>
                    <w:rPr>
                      <w:lang w:eastAsia="lt-LT"/>
                    </w:rPr>
                  </w:pPr>
                  <w:sdt>
                    <w:sdtPr>
                      <w:alias w:val="Numeris"/>
                      <w:tag w:val="nr_0dfb332e47264de8b4b21c5c8b1dc482"/>
                      <w:lock w:val="sdtLocked"/>
                      <w:richText/>
                    </w:sdtPr>
                    <w:sdtContent>
                      <w:r>
                        <w:t>2.2</w:t>
                      </w:r>
                    </w:sdtContent>
                  </w:sdt>
                  <w:r>
                    <w:t>. šiuo nutarimu nustatomas teisinis reguliavimas taikomas ir iki šio nutarimo įsigaliojimo įgyvendinamiems ir pradėtiems rengti (ar tikslinamiems) daugiabučio namo atnaujinimo (modernizavimo) projektams.</w:t>
                  </w:r>
                </w:p>
                <w:p>
                  <w:pPr>
                    <w:spacing w:line="23" w:lineRule="atLeast"/>
                    <w:ind w:firstLine="720"/>
                    <w:jc w:val="both"/>
                    <w:rPr>
                      <w:lang w:eastAsia="lt-LT"/>
                    </w:rPr>
                  </w:pPr>
                </w:p>
              </w:sdtContent>
            </w:sdt>
          </w:sdtContent>
        </w:sdt>
        <w:sdt>
          <w:sdtPr>
            <w:alias w:val="signatura"/>
            <w:tag w:val="part_a1a4fe658de04fc199d417418b7cbb17"/>
            <w:lock w:val="sdtLocked"/>
            <w:richText/>
          </w:sdtPr>
          <w:sdtContent>
            <w:p>
              <w:pPr>
                <w:tabs>
                  <w:tab w:val="center" w:pos="-7800"/>
                  <w:tab w:val="left" w:pos="6237"/>
                  <w:tab w:val="right" w:pos="8306"/>
                </w:tabs>
                <w:spacing w:line="23" w:lineRule="atLeast"/>
                <w:rPr>
                  <w:lang w:eastAsia="lt-LT"/>
                </w:rPr>
              </w:pPr>
              <w:r>
                <w:rPr>
                  <w:lang w:eastAsia="lt-LT"/>
                </w:rPr>
                <w:t>Ministras Pirmininkas</w:t>
                <w:tab/>
              </w: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rPr>
                  <w:lang w:eastAsia="lt-LT"/>
                </w:rPr>
              </w:pPr>
              <w:r>
                <w:rPr>
                  <w:lang w:eastAsia="lt-LT"/>
                </w:rPr>
                <w:t>Aplinkos ministras</w:t>
              </w: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rPr>
                  <w:lang w:eastAsia="lt-LT"/>
                </w:rPr>
              </w:pPr>
            </w:p>
            <w:p>
              <w:pPr>
                <w:tabs>
                  <w:tab w:val="center" w:pos="-7800"/>
                  <w:tab w:val="left" w:pos="6237"/>
                  <w:tab w:val="right" w:pos="8306"/>
                </w:tabs>
                <w:spacing w:line="23" w:lineRule="atLeast"/>
                <w:ind w:left="60"/>
                <w:rPr>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46" w:right="567" w:bottom="1134" w:left="1701" w:header="850"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453" w:y="-315"/>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D7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5EAFB9D2-17E6-4921-B60C-8419DAAA92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66039110">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84138604">
      <w:bodyDiv w:val="1"/>
      <w:marLeft w:val="0"/>
      <w:marRight w:val="0"/>
      <w:marTop w:val="0"/>
      <w:marBottom w:val="0"/>
      <w:divBdr>
        <w:top w:val="none" w:sz="0" w:space="0" w:color="auto"/>
        <w:left w:val="none" w:sz="0" w:space="0" w:color="auto"/>
        <w:bottom w:val="none" w:sz="0" w:space="0" w:color="auto"/>
        <w:right w:val="none" w:sz="0" w:space="0" w:color="auto"/>
      </w:divBdr>
      <w:divsChild>
        <w:div w:id="80765373">
          <w:marLeft w:val="0"/>
          <w:marRight w:val="0"/>
          <w:marTop w:val="0"/>
          <w:marBottom w:val="0"/>
          <w:divBdr>
            <w:top w:val="none" w:sz="0" w:space="0" w:color="auto"/>
            <w:left w:val="none" w:sz="0" w:space="0" w:color="auto"/>
            <w:bottom w:val="none" w:sz="0" w:space="0" w:color="auto"/>
            <w:right w:val="none" w:sz="0" w:space="0" w:color="auto"/>
          </w:divBdr>
        </w:div>
        <w:div w:id="247737398">
          <w:marLeft w:val="0"/>
          <w:marRight w:val="0"/>
          <w:marTop w:val="0"/>
          <w:marBottom w:val="0"/>
          <w:divBdr>
            <w:top w:val="none" w:sz="0" w:space="0" w:color="auto"/>
            <w:left w:val="none" w:sz="0" w:space="0" w:color="auto"/>
            <w:bottom w:val="none" w:sz="0" w:space="0" w:color="auto"/>
            <w:right w:val="none" w:sz="0" w:space="0" w:color="auto"/>
          </w:divBdr>
        </w:div>
        <w:div w:id="275648706">
          <w:marLeft w:val="0"/>
          <w:marRight w:val="0"/>
          <w:marTop w:val="0"/>
          <w:marBottom w:val="0"/>
          <w:divBdr>
            <w:top w:val="none" w:sz="0" w:space="0" w:color="auto"/>
            <w:left w:val="none" w:sz="0" w:space="0" w:color="auto"/>
            <w:bottom w:val="none" w:sz="0" w:space="0" w:color="auto"/>
            <w:right w:val="none" w:sz="0" w:space="0" w:color="auto"/>
          </w:divBdr>
        </w:div>
        <w:div w:id="332537933">
          <w:marLeft w:val="0"/>
          <w:marRight w:val="0"/>
          <w:marTop w:val="0"/>
          <w:marBottom w:val="0"/>
          <w:divBdr>
            <w:top w:val="none" w:sz="0" w:space="0" w:color="auto"/>
            <w:left w:val="none" w:sz="0" w:space="0" w:color="auto"/>
            <w:bottom w:val="none" w:sz="0" w:space="0" w:color="auto"/>
            <w:right w:val="none" w:sz="0" w:space="0" w:color="auto"/>
          </w:divBdr>
        </w:div>
        <w:div w:id="653338307">
          <w:marLeft w:val="0"/>
          <w:marRight w:val="0"/>
          <w:marTop w:val="0"/>
          <w:marBottom w:val="0"/>
          <w:divBdr>
            <w:top w:val="none" w:sz="0" w:space="0" w:color="auto"/>
            <w:left w:val="none" w:sz="0" w:space="0" w:color="auto"/>
            <w:bottom w:val="none" w:sz="0" w:space="0" w:color="auto"/>
            <w:right w:val="none" w:sz="0" w:space="0" w:color="auto"/>
          </w:divBdr>
        </w:div>
        <w:div w:id="768358502">
          <w:marLeft w:val="0"/>
          <w:marRight w:val="0"/>
          <w:marTop w:val="0"/>
          <w:marBottom w:val="0"/>
          <w:divBdr>
            <w:top w:val="none" w:sz="0" w:space="0" w:color="auto"/>
            <w:left w:val="none" w:sz="0" w:space="0" w:color="auto"/>
            <w:bottom w:val="none" w:sz="0" w:space="0" w:color="auto"/>
            <w:right w:val="none" w:sz="0" w:space="0" w:color="auto"/>
          </w:divBdr>
        </w:div>
        <w:div w:id="1244336963">
          <w:marLeft w:val="0"/>
          <w:marRight w:val="0"/>
          <w:marTop w:val="0"/>
          <w:marBottom w:val="0"/>
          <w:divBdr>
            <w:top w:val="none" w:sz="0" w:space="0" w:color="auto"/>
            <w:left w:val="none" w:sz="0" w:space="0" w:color="auto"/>
            <w:bottom w:val="none" w:sz="0" w:space="0" w:color="auto"/>
            <w:right w:val="none" w:sz="0" w:space="0" w:color="auto"/>
          </w:divBdr>
        </w:div>
        <w:div w:id="1267466427">
          <w:marLeft w:val="0"/>
          <w:marRight w:val="0"/>
          <w:marTop w:val="0"/>
          <w:marBottom w:val="0"/>
          <w:divBdr>
            <w:top w:val="none" w:sz="0" w:space="0" w:color="auto"/>
            <w:left w:val="none" w:sz="0" w:space="0" w:color="auto"/>
            <w:bottom w:val="none" w:sz="0" w:space="0" w:color="auto"/>
            <w:right w:val="none" w:sz="0" w:space="0" w:color="auto"/>
          </w:divBdr>
        </w:div>
        <w:div w:id="1614942857">
          <w:marLeft w:val="0"/>
          <w:marRight w:val="0"/>
          <w:marTop w:val="0"/>
          <w:marBottom w:val="0"/>
          <w:divBdr>
            <w:top w:val="none" w:sz="0" w:space="0" w:color="auto"/>
            <w:left w:val="none" w:sz="0" w:space="0" w:color="auto"/>
            <w:bottom w:val="none" w:sz="0" w:space="0" w:color="auto"/>
            <w:right w:val="none" w:sz="0" w:space="0" w:color="auto"/>
          </w:divBdr>
        </w:div>
        <w:div w:id="1811285296">
          <w:marLeft w:val="0"/>
          <w:marRight w:val="0"/>
          <w:marTop w:val="0"/>
          <w:marBottom w:val="0"/>
          <w:divBdr>
            <w:top w:val="none" w:sz="0" w:space="0" w:color="auto"/>
            <w:left w:val="none" w:sz="0" w:space="0" w:color="auto"/>
            <w:bottom w:val="none" w:sz="0" w:space="0" w:color="auto"/>
            <w:right w:val="none" w:sz="0" w:space="0" w:color="auto"/>
          </w:divBdr>
          <w:divsChild>
            <w:div w:id="994070585">
              <w:marLeft w:val="0"/>
              <w:marRight w:val="0"/>
              <w:marTop w:val="0"/>
              <w:marBottom w:val="0"/>
              <w:divBdr>
                <w:top w:val="none" w:sz="0" w:space="0" w:color="auto"/>
                <w:left w:val="none" w:sz="0" w:space="0" w:color="auto"/>
                <w:bottom w:val="none" w:sz="0" w:space="0" w:color="auto"/>
                <w:right w:val="none" w:sz="0" w:space="0" w:color="auto"/>
              </w:divBdr>
            </w:div>
            <w:div w:id="1108356072">
              <w:marLeft w:val="0"/>
              <w:marRight w:val="0"/>
              <w:marTop w:val="0"/>
              <w:marBottom w:val="0"/>
              <w:divBdr>
                <w:top w:val="none" w:sz="0" w:space="0" w:color="auto"/>
                <w:left w:val="none" w:sz="0" w:space="0" w:color="auto"/>
                <w:bottom w:val="none" w:sz="0" w:space="0" w:color="auto"/>
                <w:right w:val="none" w:sz="0" w:space="0" w:color="auto"/>
              </w:divBdr>
            </w:div>
          </w:divsChild>
        </w:div>
        <w:div w:id="2045327464">
          <w:marLeft w:val="0"/>
          <w:marRight w:val="0"/>
          <w:marTop w:val="0"/>
          <w:marBottom w:val="0"/>
          <w:divBdr>
            <w:top w:val="none" w:sz="0" w:space="0" w:color="auto"/>
            <w:left w:val="none" w:sz="0" w:space="0" w:color="auto"/>
            <w:bottom w:val="none" w:sz="0" w:space="0" w:color="auto"/>
            <w:right w:val="none" w:sz="0" w:space="0" w:color="auto"/>
          </w:divBdr>
        </w:div>
      </w:divsChild>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09948755">
      <w:bodyDiv w:val="1"/>
      <w:marLeft w:val="0"/>
      <w:marRight w:val="0"/>
      <w:marTop w:val="0"/>
      <w:marBottom w:val="0"/>
      <w:divBdr>
        <w:top w:val="none" w:sz="0" w:space="0" w:color="auto"/>
        <w:left w:val="none" w:sz="0" w:space="0" w:color="auto"/>
        <w:bottom w:val="none" w:sz="0" w:space="0" w:color="auto"/>
        <w:right w:val="none" w:sz="0" w:space="0" w:color="auto"/>
      </w:divBdr>
    </w:div>
    <w:div w:id="511068687">
      <w:bodyDiv w:val="1"/>
      <w:marLeft w:val="0"/>
      <w:marRight w:val="0"/>
      <w:marTop w:val="0"/>
      <w:marBottom w:val="0"/>
      <w:divBdr>
        <w:top w:val="none" w:sz="0" w:space="0" w:color="auto"/>
        <w:left w:val="none" w:sz="0" w:space="0" w:color="auto"/>
        <w:bottom w:val="none" w:sz="0" w:space="0" w:color="auto"/>
        <w:right w:val="none" w:sz="0" w:space="0" w:color="auto"/>
      </w:divBdr>
      <w:divsChild>
        <w:div w:id="1318417924">
          <w:marLeft w:val="0"/>
          <w:marRight w:val="0"/>
          <w:marTop w:val="0"/>
          <w:marBottom w:val="0"/>
          <w:divBdr>
            <w:top w:val="none" w:sz="0" w:space="0" w:color="auto"/>
            <w:left w:val="none" w:sz="0" w:space="0" w:color="auto"/>
            <w:bottom w:val="none" w:sz="0" w:space="0" w:color="auto"/>
            <w:right w:val="none" w:sz="0" w:space="0" w:color="auto"/>
          </w:divBdr>
          <w:divsChild>
            <w:div w:id="390542135">
              <w:marLeft w:val="0"/>
              <w:marRight w:val="0"/>
              <w:marTop w:val="0"/>
              <w:marBottom w:val="0"/>
              <w:divBdr>
                <w:top w:val="none" w:sz="0" w:space="0" w:color="auto"/>
                <w:left w:val="none" w:sz="0" w:space="0" w:color="auto"/>
                <w:bottom w:val="none" w:sz="0" w:space="0" w:color="auto"/>
                <w:right w:val="none" w:sz="0" w:space="0" w:color="auto"/>
              </w:divBdr>
              <w:divsChild>
                <w:div w:id="1997799962">
                  <w:marLeft w:val="0"/>
                  <w:marRight w:val="0"/>
                  <w:marTop w:val="0"/>
                  <w:marBottom w:val="0"/>
                  <w:divBdr>
                    <w:top w:val="none" w:sz="0" w:space="0" w:color="auto"/>
                    <w:left w:val="none" w:sz="0" w:space="0" w:color="auto"/>
                    <w:bottom w:val="none" w:sz="0" w:space="0" w:color="auto"/>
                    <w:right w:val="none" w:sz="0" w:space="0" w:color="auto"/>
                  </w:divBdr>
                  <w:divsChild>
                    <w:div w:id="1558516447">
                      <w:marLeft w:val="0"/>
                      <w:marRight w:val="0"/>
                      <w:marTop w:val="0"/>
                      <w:marBottom w:val="0"/>
                      <w:divBdr>
                        <w:top w:val="none" w:sz="0" w:space="0" w:color="auto"/>
                        <w:left w:val="none" w:sz="0" w:space="0" w:color="auto"/>
                        <w:bottom w:val="none" w:sz="0" w:space="0" w:color="auto"/>
                        <w:right w:val="none" w:sz="0" w:space="0" w:color="auto"/>
                      </w:divBdr>
                      <w:divsChild>
                        <w:div w:id="1870216242">
                          <w:marLeft w:val="0"/>
                          <w:marRight w:val="0"/>
                          <w:marTop w:val="0"/>
                          <w:marBottom w:val="0"/>
                          <w:divBdr>
                            <w:top w:val="none" w:sz="0" w:space="0" w:color="auto"/>
                            <w:left w:val="none" w:sz="0" w:space="0" w:color="auto"/>
                            <w:bottom w:val="none" w:sz="0" w:space="0" w:color="auto"/>
                            <w:right w:val="none" w:sz="0" w:space="0" w:color="auto"/>
                          </w:divBdr>
                        </w:div>
                      </w:divsChild>
                    </w:div>
                    <w:div w:id="1755589241">
                      <w:marLeft w:val="0"/>
                      <w:marRight w:val="0"/>
                      <w:marTop w:val="0"/>
                      <w:marBottom w:val="0"/>
                      <w:divBdr>
                        <w:top w:val="none" w:sz="0" w:space="0" w:color="auto"/>
                        <w:left w:val="none" w:sz="0" w:space="0" w:color="auto"/>
                        <w:bottom w:val="none" w:sz="0" w:space="0" w:color="auto"/>
                        <w:right w:val="none" w:sz="0" w:space="0" w:color="auto"/>
                      </w:divBdr>
                      <w:divsChild>
                        <w:div w:id="663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88289691">
      <w:bodyDiv w:val="1"/>
      <w:marLeft w:val="0"/>
      <w:marRight w:val="0"/>
      <w:marTop w:val="0"/>
      <w:marBottom w:val="0"/>
      <w:divBdr>
        <w:top w:val="none" w:sz="0" w:space="0" w:color="auto"/>
        <w:left w:val="none" w:sz="0" w:space="0" w:color="auto"/>
        <w:bottom w:val="none" w:sz="0" w:space="0" w:color="auto"/>
        <w:right w:val="none" w:sz="0" w:space="0" w:color="auto"/>
      </w:divBdr>
      <w:divsChild>
        <w:div w:id="321978527">
          <w:marLeft w:val="0"/>
          <w:marRight w:val="0"/>
          <w:marTop w:val="0"/>
          <w:marBottom w:val="0"/>
          <w:divBdr>
            <w:top w:val="none" w:sz="0" w:space="0" w:color="auto"/>
            <w:left w:val="none" w:sz="0" w:space="0" w:color="auto"/>
            <w:bottom w:val="none" w:sz="0" w:space="0" w:color="auto"/>
            <w:right w:val="none" w:sz="0" w:space="0" w:color="auto"/>
          </w:divBdr>
        </w:div>
        <w:div w:id="418525657">
          <w:marLeft w:val="0"/>
          <w:marRight w:val="0"/>
          <w:marTop w:val="0"/>
          <w:marBottom w:val="0"/>
          <w:divBdr>
            <w:top w:val="none" w:sz="0" w:space="0" w:color="auto"/>
            <w:left w:val="none" w:sz="0" w:space="0" w:color="auto"/>
            <w:bottom w:val="none" w:sz="0" w:space="0" w:color="auto"/>
            <w:right w:val="none" w:sz="0" w:space="0" w:color="auto"/>
          </w:divBdr>
        </w:div>
        <w:div w:id="687944888">
          <w:marLeft w:val="0"/>
          <w:marRight w:val="0"/>
          <w:marTop w:val="0"/>
          <w:marBottom w:val="0"/>
          <w:divBdr>
            <w:top w:val="none" w:sz="0" w:space="0" w:color="auto"/>
            <w:left w:val="none" w:sz="0" w:space="0" w:color="auto"/>
            <w:bottom w:val="none" w:sz="0" w:space="0" w:color="auto"/>
            <w:right w:val="none" w:sz="0" w:space="0" w:color="auto"/>
          </w:divBdr>
        </w:div>
        <w:div w:id="1464811085">
          <w:marLeft w:val="0"/>
          <w:marRight w:val="0"/>
          <w:marTop w:val="0"/>
          <w:marBottom w:val="0"/>
          <w:divBdr>
            <w:top w:val="none" w:sz="0" w:space="0" w:color="auto"/>
            <w:left w:val="none" w:sz="0" w:space="0" w:color="auto"/>
            <w:bottom w:val="none" w:sz="0" w:space="0" w:color="auto"/>
            <w:right w:val="none" w:sz="0" w:space="0" w:color="auto"/>
          </w:divBdr>
        </w:div>
        <w:div w:id="1573730553">
          <w:marLeft w:val="0"/>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0132627">
      <w:bodyDiv w:val="1"/>
      <w:marLeft w:val="0"/>
      <w:marRight w:val="0"/>
      <w:marTop w:val="0"/>
      <w:marBottom w:val="0"/>
      <w:divBdr>
        <w:top w:val="none" w:sz="0" w:space="0" w:color="auto"/>
        <w:left w:val="none" w:sz="0" w:space="0" w:color="auto"/>
        <w:bottom w:val="none" w:sz="0" w:space="0" w:color="auto"/>
        <w:right w:val="none" w:sz="0" w:space="0" w:color="auto"/>
      </w:divBdr>
      <w:divsChild>
        <w:div w:id="301737841">
          <w:marLeft w:val="0"/>
          <w:marRight w:val="0"/>
          <w:marTop w:val="0"/>
          <w:marBottom w:val="0"/>
          <w:divBdr>
            <w:top w:val="none" w:sz="0" w:space="0" w:color="auto"/>
            <w:left w:val="none" w:sz="0" w:space="0" w:color="auto"/>
            <w:bottom w:val="none" w:sz="0" w:space="0" w:color="auto"/>
            <w:right w:val="none" w:sz="0" w:space="0" w:color="auto"/>
          </w:divBdr>
        </w:div>
        <w:div w:id="408385002">
          <w:marLeft w:val="0"/>
          <w:marRight w:val="0"/>
          <w:marTop w:val="0"/>
          <w:marBottom w:val="0"/>
          <w:divBdr>
            <w:top w:val="none" w:sz="0" w:space="0" w:color="auto"/>
            <w:left w:val="none" w:sz="0" w:space="0" w:color="auto"/>
            <w:bottom w:val="none" w:sz="0" w:space="0" w:color="auto"/>
            <w:right w:val="none" w:sz="0" w:space="0" w:color="auto"/>
          </w:divBdr>
        </w:div>
        <w:div w:id="579368865">
          <w:marLeft w:val="0"/>
          <w:marRight w:val="0"/>
          <w:marTop w:val="0"/>
          <w:marBottom w:val="0"/>
          <w:divBdr>
            <w:top w:val="none" w:sz="0" w:space="0" w:color="auto"/>
            <w:left w:val="none" w:sz="0" w:space="0" w:color="auto"/>
            <w:bottom w:val="none" w:sz="0" w:space="0" w:color="auto"/>
            <w:right w:val="none" w:sz="0" w:space="0" w:color="auto"/>
          </w:divBdr>
        </w:div>
        <w:div w:id="660960663">
          <w:marLeft w:val="0"/>
          <w:marRight w:val="0"/>
          <w:marTop w:val="0"/>
          <w:marBottom w:val="0"/>
          <w:divBdr>
            <w:top w:val="none" w:sz="0" w:space="0" w:color="auto"/>
            <w:left w:val="none" w:sz="0" w:space="0" w:color="auto"/>
            <w:bottom w:val="none" w:sz="0" w:space="0" w:color="auto"/>
            <w:right w:val="none" w:sz="0" w:space="0" w:color="auto"/>
          </w:divBdr>
        </w:div>
        <w:div w:id="1110007483">
          <w:marLeft w:val="0"/>
          <w:marRight w:val="0"/>
          <w:marTop w:val="0"/>
          <w:marBottom w:val="0"/>
          <w:divBdr>
            <w:top w:val="none" w:sz="0" w:space="0" w:color="auto"/>
            <w:left w:val="none" w:sz="0" w:space="0" w:color="auto"/>
            <w:bottom w:val="none" w:sz="0" w:space="0" w:color="auto"/>
            <w:right w:val="none" w:sz="0" w:space="0" w:color="auto"/>
          </w:divBdr>
        </w:div>
        <w:div w:id="1135952402">
          <w:marLeft w:val="0"/>
          <w:marRight w:val="0"/>
          <w:marTop w:val="0"/>
          <w:marBottom w:val="0"/>
          <w:divBdr>
            <w:top w:val="none" w:sz="0" w:space="0" w:color="auto"/>
            <w:left w:val="none" w:sz="0" w:space="0" w:color="auto"/>
            <w:bottom w:val="none" w:sz="0" w:space="0" w:color="auto"/>
            <w:right w:val="none" w:sz="0" w:space="0" w:color="auto"/>
          </w:divBdr>
        </w:div>
        <w:div w:id="1298030626">
          <w:marLeft w:val="0"/>
          <w:marRight w:val="0"/>
          <w:marTop w:val="0"/>
          <w:marBottom w:val="0"/>
          <w:divBdr>
            <w:top w:val="none" w:sz="0" w:space="0" w:color="auto"/>
            <w:left w:val="none" w:sz="0" w:space="0" w:color="auto"/>
            <w:bottom w:val="none" w:sz="0" w:space="0" w:color="auto"/>
            <w:right w:val="none" w:sz="0" w:space="0" w:color="auto"/>
          </w:divBdr>
          <w:divsChild>
            <w:div w:id="174468431">
              <w:marLeft w:val="0"/>
              <w:marRight w:val="0"/>
              <w:marTop w:val="0"/>
              <w:marBottom w:val="0"/>
              <w:divBdr>
                <w:top w:val="none" w:sz="0" w:space="0" w:color="auto"/>
                <w:left w:val="none" w:sz="0" w:space="0" w:color="auto"/>
                <w:bottom w:val="none" w:sz="0" w:space="0" w:color="auto"/>
                <w:right w:val="none" w:sz="0" w:space="0" w:color="auto"/>
              </w:divBdr>
            </w:div>
            <w:div w:id="406153404">
              <w:marLeft w:val="0"/>
              <w:marRight w:val="0"/>
              <w:marTop w:val="0"/>
              <w:marBottom w:val="0"/>
              <w:divBdr>
                <w:top w:val="none" w:sz="0" w:space="0" w:color="auto"/>
                <w:left w:val="none" w:sz="0" w:space="0" w:color="auto"/>
                <w:bottom w:val="none" w:sz="0" w:space="0" w:color="auto"/>
                <w:right w:val="none" w:sz="0" w:space="0" w:color="auto"/>
              </w:divBdr>
            </w:div>
            <w:div w:id="603460303">
              <w:marLeft w:val="0"/>
              <w:marRight w:val="0"/>
              <w:marTop w:val="0"/>
              <w:marBottom w:val="0"/>
              <w:divBdr>
                <w:top w:val="none" w:sz="0" w:space="0" w:color="auto"/>
                <w:left w:val="none" w:sz="0" w:space="0" w:color="auto"/>
                <w:bottom w:val="none" w:sz="0" w:space="0" w:color="auto"/>
                <w:right w:val="none" w:sz="0" w:space="0" w:color="auto"/>
              </w:divBdr>
            </w:div>
            <w:div w:id="721565233">
              <w:marLeft w:val="0"/>
              <w:marRight w:val="0"/>
              <w:marTop w:val="0"/>
              <w:marBottom w:val="0"/>
              <w:divBdr>
                <w:top w:val="none" w:sz="0" w:space="0" w:color="auto"/>
                <w:left w:val="none" w:sz="0" w:space="0" w:color="auto"/>
                <w:bottom w:val="none" w:sz="0" w:space="0" w:color="auto"/>
                <w:right w:val="none" w:sz="0" w:space="0" w:color="auto"/>
              </w:divBdr>
            </w:div>
          </w:divsChild>
        </w:div>
        <w:div w:id="1325162931">
          <w:marLeft w:val="0"/>
          <w:marRight w:val="0"/>
          <w:marTop w:val="0"/>
          <w:marBottom w:val="0"/>
          <w:divBdr>
            <w:top w:val="none" w:sz="0" w:space="0" w:color="auto"/>
            <w:left w:val="none" w:sz="0" w:space="0" w:color="auto"/>
            <w:bottom w:val="none" w:sz="0" w:space="0" w:color="auto"/>
            <w:right w:val="none" w:sz="0" w:space="0" w:color="auto"/>
          </w:divBdr>
        </w:div>
        <w:div w:id="1536236863">
          <w:marLeft w:val="0"/>
          <w:marRight w:val="0"/>
          <w:marTop w:val="0"/>
          <w:marBottom w:val="0"/>
          <w:divBdr>
            <w:top w:val="none" w:sz="0" w:space="0" w:color="auto"/>
            <w:left w:val="none" w:sz="0" w:space="0" w:color="auto"/>
            <w:bottom w:val="none" w:sz="0" w:space="0" w:color="auto"/>
            <w:right w:val="none" w:sz="0" w:space="0" w:color="auto"/>
          </w:divBdr>
        </w:div>
      </w:divsChild>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3170269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69600635">
      <w:bodyDiv w:val="1"/>
      <w:marLeft w:val="0"/>
      <w:marRight w:val="0"/>
      <w:marTop w:val="0"/>
      <w:marBottom w:val="0"/>
      <w:divBdr>
        <w:top w:val="none" w:sz="0" w:space="0" w:color="auto"/>
        <w:left w:val="none" w:sz="0" w:space="0" w:color="auto"/>
        <w:bottom w:val="none" w:sz="0" w:space="0" w:color="auto"/>
        <w:right w:val="none" w:sz="0" w:space="0" w:color="auto"/>
      </w:divBdr>
      <w:divsChild>
        <w:div w:id="1788502345">
          <w:marLeft w:val="0"/>
          <w:marRight w:val="0"/>
          <w:marTop w:val="0"/>
          <w:marBottom w:val="0"/>
          <w:divBdr>
            <w:top w:val="none" w:sz="0" w:space="0" w:color="auto"/>
            <w:left w:val="none" w:sz="0" w:space="0" w:color="auto"/>
            <w:bottom w:val="none" w:sz="0" w:space="0" w:color="auto"/>
            <w:right w:val="none" w:sz="0" w:space="0" w:color="auto"/>
          </w:divBdr>
        </w:div>
        <w:div w:id="2027560654">
          <w:marLeft w:val="0"/>
          <w:marRight w:val="0"/>
          <w:marTop w:val="0"/>
          <w:marBottom w:val="0"/>
          <w:divBdr>
            <w:top w:val="none" w:sz="0" w:space="0" w:color="auto"/>
            <w:left w:val="none" w:sz="0" w:space="0" w:color="auto"/>
            <w:bottom w:val="none" w:sz="0" w:space="0" w:color="auto"/>
            <w:right w:val="none" w:sz="0" w:space="0" w:color="auto"/>
          </w:divBdr>
          <w:divsChild>
            <w:div w:id="708645749">
              <w:marLeft w:val="0"/>
              <w:marRight w:val="0"/>
              <w:marTop w:val="0"/>
              <w:marBottom w:val="0"/>
              <w:divBdr>
                <w:top w:val="none" w:sz="0" w:space="0" w:color="auto"/>
                <w:left w:val="none" w:sz="0" w:space="0" w:color="auto"/>
                <w:bottom w:val="none" w:sz="0" w:space="0" w:color="auto"/>
                <w:right w:val="none" w:sz="0" w:space="0" w:color="auto"/>
              </w:divBdr>
            </w:div>
            <w:div w:id="747576261">
              <w:marLeft w:val="0"/>
              <w:marRight w:val="0"/>
              <w:marTop w:val="0"/>
              <w:marBottom w:val="0"/>
              <w:divBdr>
                <w:top w:val="none" w:sz="0" w:space="0" w:color="auto"/>
                <w:left w:val="none" w:sz="0" w:space="0" w:color="auto"/>
                <w:bottom w:val="none" w:sz="0" w:space="0" w:color="auto"/>
                <w:right w:val="none" w:sz="0" w:space="0" w:color="auto"/>
              </w:divBdr>
            </w:div>
            <w:div w:id="1424371880">
              <w:marLeft w:val="0"/>
              <w:marRight w:val="0"/>
              <w:marTop w:val="0"/>
              <w:marBottom w:val="0"/>
              <w:divBdr>
                <w:top w:val="none" w:sz="0" w:space="0" w:color="auto"/>
                <w:left w:val="none" w:sz="0" w:space="0" w:color="auto"/>
                <w:bottom w:val="none" w:sz="0" w:space="0" w:color="auto"/>
                <w:right w:val="none" w:sz="0" w:space="0" w:color="auto"/>
              </w:divBdr>
            </w:div>
            <w:div w:id="1566647840">
              <w:marLeft w:val="0"/>
              <w:marRight w:val="0"/>
              <w:marTop w:val="0"/>
              <w:marBottom w:val="0"/>
              <w:divBdr>
                <w:top w:val="none" w:sz="0" w:space="0" w:color="auto"/>
                <w:left w:val="none" w:sz="0" w:space="0" w:color="auto"/>
                <w:bottom w:val="none" w:sz="0" w:space="0" w:color="auto"/>
                <w:right w:val="none" w:sz="0" w:space="0" w:color="auto"/>
              </w:divBdr>
            </w:div>
            <w:div w:id="1939295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531955">
      <w:bodyDiv w:val="1"/>
      <w:marLeft w:val="0"/>
      <w:marRight w:val="0"/>
      <w:marTop w:val="0"/>
      <w:marBottom w:val="0"/>
      <w:divBdr>
        <w:top w:val="none" w:sz="0" w:space="0" w:color="auto"/>
        <w:left w:val="none" w:sz="0" w:space="0" w:color="auto"/>
        <w:bottom w:val="none" w:sz="0" w:space="0" w:color="auto"/>
        <w:right w:val="none" w:sz="0" w:space="0" w:color="auto"/>
      </w:divBdr>
      <w:divsChild>
        <w:div w:id="1668824">
          <w:marLeft w:val="0"/>
          <w:marRight w:val="0"/>
          <w:marTop w:val="0"/>
          <w:marBottom w:val="0"/>
          <w:divBdr>
            <w:top w:val="none" w:sz="0" w:space="0" w:color="auto"/>
            <w:left w:val="none" w:sz="0" w:space="0" w:color="auto"/>
            <w:bottom w:val="none" w:sz="0" w:space="0" w:color="auto"/>
            <w:right w:val="none" w:sz="0" w:space="0" w:color="auto"/>
          </w:divBdr>
        </w:div>
        <w:div w:id="492306799">
          <w:marLeft w:val="0"/>
          <w:marRight w:val="0"/>
          <w:marTop w:val="0"/>
          <w:marBottom w:val="0"/>
          <w:divBdr>
            <w:top w:val="none" w:sz="0" w:space="0" w:color="auto"/>
            <w:left w:val="none" w:sz="0" w:space="0" w:color="auto"/>
            <w:bottom w:val="none" w:sz="0" w:space="0" w:color="auto"/>
            <w:right w:val="none" w:sz="0" w:space="0" w:color="auto"/>
          </w:divBdr>
        </w:div>
        <w:div w:id="1848984417">
          <w:marLeft w:val="0"/>
          <w:marRight w:val="0"/>
          <w:marTop w:val="0"/>
          <w:marBottom w:val="0"/>
          <w:divBdr>
            <w:top w:val="none" w:sz="0" w:space="0" w:color="auto"/>
            <w:left w:val="none" w:sz="0" w:space="0" w:color="auto"/>
            <w:bottom w:val="none" w:sz="0" w:space="0" w:color="auto"/>
            <w:right w:val="none" w:sz="0" w:space="0" w:color="auto"/>
          </w:divBdr>
        </w:div>
      </w:divsChild>
    </w:div>
    <w:div w:id="1843466316">
      <w:bodyDiv w:val="1"/>
      <w:marLeft w:val="0"/>
      <w:marRight w:val="0"/>
      <w:marTop w:val="0"/>
      <w:marBottom w:val="0"/>
      <w:divBdr>
        <w:top w:val="none" w:sz="0" w:space="0" w:color="auto"/>
        <w:left w:val="none" w:sz="0" w:space="0" w:color="auto"/>
        <w:bottom w:val="none" w:sz="0" w:space="0" w:color="auto"/>
        <w:right w:val="none" w:sz="0" w:space="0" w:color="auto"/>
      </w:divBdr>
    </w:div>
    <w:div w:id="1890802832">
      <w:bodyDiv w:val="1"/>
      <w:marLeft w:val="0"/>
      <w:marRight w:val="0"/>
      <w:marTop w:val="0"/>
      <w:marBottom w:val="0"/>
      <w:divBdr>
        <w:top w:val="none" w:sz="0" w:space="0" w:color="auto"/>
        <w:left w:val="none" w:sz="0" w:space="0" w:color="auto"/>
        <w:bottom w:val="none" w:sz="0" w:space="0" w:color="auto"/>
        <w:right w:val="none" w:sz="0" w:space="0" w:color="auto"/>
      </w:divBdr>
      <w:divsChild>
        <w:div w:id="1640186370">
          <w:marLeft w:val="0"/>
          <w:marRight w:val="0"/>
          <w:marTop w:val="0"/>
          <w:marBottom w:val="0"/>
          <w:divBdr>
            <w:top w:val="none" w:sz="0" w:space="0" w:color="auto"/>
            <w:left w:val="none" w:sz="0" w:space="0" w:color="auto"/>
            <w:bottom w:val="none" w:sz="0" w:space="0" w:color="auto"/>
            <w:right w:val="none" w:sz="0" w:space="0" w:color="auto"/>
          </w:divBdr>
          <w:divsChild>
            <w:div w:id="947128720">
              <w:marLeft w:val="0"/>
              <w:marRight w:val="0"/>
              <w:marTop w:val="0"/>
              <w:marBottom w:val="0"/>
              <w:divBdr>
                <w:top w:val="none" w:sz="0" w:space="0" w:color="auto"/>
                <w:left w:val="none" w:sz="0" w:space="0" w:color="auto"/>
                <w:bottom w:val="none" w:sz="0" w:space="0" w:color="auto"/>
                <w:right w:val="none" w:sz="0" w:space="0" w:color="auto"/>
              </w:divBdr>
              <w:divsChild>
                <w:div w:id="1079712518">
                  <w:marLeft w:val="0"/>
                  <w:marRight w:val="0"/>
                  <w:marTop w:val="0"/>
                  <w:marBottom w:val="0"/>
                  <w:divBdr>
                    <w:top w:val="none" w:sz="0" w:space="0" w:color="auto"/>
                    <w:left w:val="none" w:sz="0" w:space="0" w:color="auto"/>
                    <w:bottom w:val="none" w:sz="0" w:space="0" w:color="auto"/>
                    <w:right w:val="none" w:sz="0" w:space="0" w:color="auto"/>
                  </w:divBdr>
                </w:div>
                <w:div w:id="168559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404233">
          <w:marLeft w:val="0"/>
          <w:marRight w:val="0"/>
          <w:marTop w:val="0"/>
          <w:marBottom w:val="0"/>
          <w:divBdr>
            <w:top w:val="none" w:sz="0" w:space="0" w:color="auto"/>
            <w:left w:val="none" w:sz="0" w:space="0" w:color="auto"/>
            <w:bottom w:val="none" w:sz="0" w:space="0" w:color="auto"/>
            <w:right w:val="none" w:sz="0" w:space="0" w:color="auto"/>
          </w:divBdr>
        </w:div>
      </w:divsChild>
    </w:div>
    <w:div w:id="1900438721">
      <w:bodyDiv w:val="1"/>
      <w:marLeft w:val="0"/>
      <w:marRight w:val="0"/>
      <w:marTop w:val="0"/>
      <w:marBottom w:val="0"/>
      <w:divBdr>
        <w:top w:val="none" w:sz="0" w:space="0" w:color="auto"/>
        <w:left w:val="none" w:sz="0" w:space="0" w:color="auto"/>
        <w:bottom w:val="none" w:sz="0" w:space="0" w:color="auto"/>
        <w:right w:val="none" w:sz="0" w:space="0" w:color="auto"/>
      </w:divBdr>
      <w:divsChild>
        <w:div w:id="1506088952">
          <w:marLeft w:val="0"/>
          <w:marRight w:val="0"/>
          <w:marTop w:val="0"/>
          <w:marBottom w:val="0"/>
          <w:divBdr>
            <w:top w:val="none" w:sz="0" w:space="0" w:color="auto"/>
            <w:left w:val="none" w:sz="0" w:space="0" w:color="auto"/>
            <w:bottom w:val="none" w:sz="0" w:space="0" w:color="auto"/>
            <w:right w:val="none" w:sz="0" w:space="0" w:color="auto"/>
          </w:divBdr>
        </w:div>
        <w:div w:id="1754469030">
          <w:marLeft w:val="0"/>
          <w:marRight w:val="0"/>
          <w:marTop w:val="0"/>
          <w:marBottom w:val="0"/>
          <w:divBdr>
            <w:top w:val="none" w:sz="0" w:space="0" w:color="auto"/>
            <w:left w:val="none" w:sz="0" w:space="0" w:color="auto"/>
            <w:bottom w:val="none" w:sz="0" w:space="0" w:color="auto"/>
            <w:right w:val="none" w:sz="0" w:space="0" w:color="auto"/>
          </w:divBdr>
          <w:divsChild>
            <w:div w:id="443423471">
              <w:marLeft w:val="0"/>
              <w:marRight w:val="0"/>
              <w:marTop w:val="0"/>
              <w:marBottom w:val="0"/>
              <w:divBdr>
                <w:top w:val="none" w:sz="0" w:space="0" w:color="auto"/>
                <w:left w:val="none" w:sz="0" w:space="0" w:color="auto"/>
                <w:bottom w:val="none" w:sz="0" w:space="0" w:color="auto"/>
                <w:right w:val="none" w:sz="0" w:space="0" w:color="auto"/>
              </w:divBdr>
            </w:div>
            <w:div w:id="575286965">
              <w:marLeft w:val="0"/>
              <w:marRight w:val="0"/>
              <w:marTop w:val="0"/>
              <w:marBottom w:val="0"/>
              <w:divBdr>
                <w:top w:val="none" w:sz="0" w:space="0" w:color="auto"/>
                <w:left w:val="none" w:sz="0" w:space="0" w:color="auto"/>
                <w:bottom w:val="none" w:sz="0" w:space="0" w:color="auto"/>
                <w:right w:val="none" w:sz="0" w:space="0" w:color="auto"/>
              </w:divBdr>
            </w:div>
            <w:div w:id="1293484832">
              <w:marLeft w:val="0"/>
              <w:marRight w:val="0"/>
              <w:marTop w:val="0"/>
              <w:marBottom w:val="0"/>
              <w:divBdr>
                <w:top w:val="none" w:sz="0" w:space="0" w:color="auto"/>
                <w:left w:val="none" w:sz="0" w:space="0" w:color="auto"/>
                <w:bottom w:val="none" w:sz="0" w:space="0" w:color="auto"/>
                <w:right w:val="none" w:sz="0" w:space="0" w:color="auto"/>
              </w:divBdr>
            </w:div>
            <w:div w:id="1379739391">
              <w:marLeft w:val="0"/>
              <w:marRight w:val="0"/>
              <w:marTop w:val="0"/>
              <w:marBottom w:val="0"/>
              <w:divBdr>
                <w:top w:val="none" w:sz="0" w:space="0" w:color="auto"/>
                <w:left w:val="none" w:sz="0" w:space="0" w:color="auto"/>
                <w:bottom w:val="none" w:sz="0" w:space="0" w:color="auto"/>
                <w:right w:val="none" w:sz="0" w:space="0" w:color="auto"/>
              </w:divBdr>
            </w:div>
            <w:div w:id="209462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
        <AccountId xsi:nil="true"/>
        <AccountType/>
      </UserInfo>
    </SharedWithUsers>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4e8590824684cc893c4d757e875eae3" PartId="d095fe257b8e40bea2a8c3fe5e9db9d9">
    <Part Type="preambule" DocPartId="e8811aaf47ad456b9d3f0c7d12e57ff0" PartId="796a5a9a97bd4af899e98480f112d14b"/>
    <Part Type="punktas" Nr="1" Abbr="1 p." DocPartId="c86f96b7fece45c8a12125847d25edc3" PartId="9761dd544bd0479d9885371bd2a18e2c">
      <Part Type="papunktis" Nr="1.1" Abbr="1.1 pp." DocPartId="89d34ac168c64c569f7ca288ee03c8dd" PartId="9c06999843f84c04a584a062a3bf497f">
        <Part Type="citata" DocPartId="32c3f070310e4bfca19e50eb25b67084" PartId="fbe6db9211264f78987b635dcb1db693">
          <Part Type="pagrindine" DocPartId="3b2f89be80b541a7890ae8d0e43aece6" PartId="f81dca01565c4e85afb1f82582179793">
            <Part Type="preambule" DocPartId="523c1e55b4f34bedab451e40eb905f95" PartId="168da63af78a45db8cd16157e5f7b0e2"/>
            <Part Type="pastraipa" DocPartId="bb1fd5ec56a04797a803ce53e25c2251" PartId="938b86bd904047228268853f29a301b2"/>
          </Part>
        </Part>
      </Part>
      <Part Type="papunktis" Nr="1.2" Abbr="1.2 pp." DocPartId="9b31d70c8f77446da3e43b7ce993457e" PartId="406ec77ae2ef477cbb0fb868382c9461">
        <Part Type="papunktis" Nr="1.2.1" Abbr="1.2.1 pp." DocPartId="51e3aebcc72c4c62906e452774827901" PartId="2928dc17ff15433ab537c2969e538607"/>
        <Part Type="papunktis" Nr="1.2.2" Abbr="1.2.2 pp." DocPartId="4edd37b74ae540979e115344333acecb" PartId="40b61b1472124fd2ad4c7d8c0192d433"/>
        <Part Type="papunktis" Nr="1.2.3" Abbr="1.2.3 pp." DocPartId="d5c3e0b1332742acb293d9c2883fa552" PartId="cb64d3867e28477c929688045111ee57"/>
      </Part>
    </Part>
    <Part Type="punktas" Nr="7" Abbr="7 p." Notes="Numeris ne iš eilės. Trūksta dalių? [DocDalys]" DocPartId="eba7dd09562741119845eee1e88f6e52" PartId="d34585724f8640d8a0c460d7e259ba54"/>
    <Part Type="punktas" Nr="2" Abbr="2 p." Notes="Numeris ne iš eilės. Trūksta dalių? [DocDalys]" DocPartId="47d8533b039545468cf703492036ca71" PartId="8ed41908e2c848cbbfbddf4164dcad51">
      <Part Type="papunktis" Nr="2.1" Abbr="2.1 pp." DocPartId="2ca8b3afc568477a9d250ab89a887767" PartId="619d85280bfa46b3a78065691a06678b"/>
      <Part Type="papunktis" Nr="2.2" Abbr="2.2 pp." DocPartId="b108a4cb27334330b2e775440edc93a8" PartId="0dfb332e47264de8b4b21c5c8b1dc482"/>
    </Part>
    <Part Type="signatura" DocPartId="8ff783d4b1e64e3ab5a01f6fd01a87cd" PartId="a1a4fe658de04fc199d417418b7cbb17"/>
  </Part>
</Parts>
</file>

<file path=customXml/itemProps1.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2.xml><?xml version="1.0" encoding="utf-8"?>
<ds:datastoreItem xmlns:ds="http://schemas.openxmlformats.org/officeDocument/2006/customXml" ds:itemID="{EF953C60-6CC6-475D-8444-7BB8AA0EE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5FCC11-036D-4AF9-9286-738665006FCA}">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7CD0B752-7498-4217-A3AD-EE2B28C59E09}">
  <ds:schemaRefs>
    <ds:schemaRef ds:uri="http://schemas.openxmlformats.org/officeDocument/2006/bibliography"/>
  </ds:schemaRefs>
</ds:datastoreItem>
</file>

<file path=customXml/itemProps5.xml><?xml version="1.0" encoding="utf-8"?>
<ds:datastoreItem xmlns:ds="http://schemas.openxmlformats.org/officeDocument/2006/customXml" ds:itemID="{D115047F-16B4-45A8-96D2-08EAF6A0C4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416</Words>
  <Characters>3211</Characters>
  <Application>Microsoft Office Word</Application>
  <DocSecurity>4</DocSecurity>
  <Lines>72</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3593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2026-03-24T06:56:00Z</dcterms:created>
  <dc:creator>Virginija Pilipienė</dc:creator>
  <lastModifiedBy>adlibuser</lastModifiedBy>
  <lastPrinted>2024-04-30T09:49:00Z</lastPrinted>
  <dcterms:modified xsi:type="dcterms:W3CDTF">2026-03-24T06:56:00Z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