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17d10066cc784fa28a8f2f2713ae67d7"/>
        <w:lock w:val="sdtLocked"/>
        <w:richText/>
      </w:sdtPr>
      <w:sdtContent>
        <w:tbl>
          <w:tblPr>
            <w:tblW w:w="9835" w:type="dxa"/>
            <w:tblInd w:w="-142" w:type="dxa"/>
            <w:tblLayout w:type="fixed"/>
            <w:tblCellMar>
              <w:top w:w="55" w:type="dxa"/>
              <w:left w:w="55" w:type="dxa"/>
              <w:bottom w:w="55" w:type="dxa"/>
              <w:right w:w="55" w:type="dxa"/>
            </w:tblCellMar>
            <w:tblLook w:val="0000" w:firstRow="0" w:lastRow="0" w:firstColumn="0" w:lastColumn="0" w:noHBand="0" w:noVBand="0"/>
          </w:tblPr>
          <w:tblGrid>
            <w:gridCol w:w="5014"/>
            <w:gridCol w:w="282"/>
            <w:gridCol w:w="1841"/>
            <w:gridCol w:w="565"/>
            <w:gridCol w:w="2133"/>
          </w:tblGrid>
          <w:tr>
            <w:tc>
              <w:tcPr>
                <w:tcW w:w="9835" w:type="dxa"/>
                <w:gridSpan w:val="5"/>
                <w:tcBorders>
                  <w:bottom w:val="single" w:sz="4" w:space="0" w:color="000000"/>
                </w:tcBorders>
              </w:tcPr>
              <w:p>
                <w:pPr>
                  <w:suppressLineNumbers/>
                  <w:tabs>
                    <w:tab w:val="center" w:pos="4800"/>
                    <w:tab w:val="right" w:pos="9601"/>
                  </w:tabs>
                  <w:jc w:val="both"/>
                  <w:rPr>
                    <w:rFonts w:eastAsia="Andale Sans UI" w:cs="Tahoma"/>
                    <w:szCs w:val="24"/>
                    <w:lang w:bidi="en-US"/>
                  </w:rPr>
                </w:pPr>
              </w:p>
              <w:p>
                <w:pPr>
                  <w:suppressLineNumbers/>
                  <w:jc w:val="center"/>
                  <w:rPr>
                    <w:rFonts w:eastAsia="Andale Sans UI" w:cs="Tahoma"/>
                    <w:b/>
                    <w:bCs/>
                    <w:spacing w:val="20"/>
                    <w:szCs w:val="24"/>
                    <w:lang w:bidi="en-US"/>
                  </w:rPr>
                </w:pPr>
                <w:r>
                  <w:rPr>
                    <w:rFonts w:eastAsia="Andale Sans UI" w:cs="Tahoma"/>
                    <w:b/>
                    <w:spacing w:val="20"/>
                    <w:sz w:val="26"/>
                    <w:szCs w:val="26"/>
                    <w:lang w:val="en-US"/>
                  </w:rPr>
                  <w:drawing>
                    <wp:inline distT="0" distB="0" distL="0" distR="0" wp14:anchorId="47B4FF70" wp14:editId="05B85950">
                      <wp:extent cx="523875" cy="619125"/>
                      <wp:effectExtent l="0" t="0" r="0" b="0"/>
                      <wp:docPr id="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23875" cy="619125"/>
                              </a:xfrm>
                              <a:prstGeom prst="rect">
                                <a:avLst/>
                              </a:prstGeom>
                              <a:solidFill>
                                <a:srgbClr val="FFFFFF">
                                  <a:alpha val="0"/>
                                </a:srgbClr>
                              </a:solidFill>
                              <a:ln>
                                <a:noFill/>
                              </a:ln>
                            </pic:spPr>
                          </pic:pic>
                        </a:graphicData>
                      </a:graphic>
                    </wp:inline>
                  </w:drawing>
                </w:r>
              </w:p>
              <w:p>
                <w:pPr>
                  <w:rPr>
                    <w:sz w:val="10"/>
                    <w:szCs w:val="10"/>
                  </w:rPr>
                </w:pPr>
              </w:p>
              <w:p>
                <w:pPr>
                  <w:suppressLineNumbers/>
                  <w:jc w:val="center"/>
                  <w:rPr>
                    <w:rFonts w:eastAsia="Andale Sans UI" w:cs="Tahoma"/>
                    <w:b/>
                    <w:bCs/>
                    <w:spacing w:val="20"/>
                    <w:szCs w:val="24"/>
                    <w:lang w:bidi="en-US"/>
                  </w:rPr>
                </w:pPr>
                <w:r>
                  <w:rPr>
                    <w:rFonts w:eastAsia="Andale Sans UI" w:cs="Tahoma"/>
                    <w:b/>
                    <w:bCs/>
                    <w:spacing w:val="20"/>
                    <w:szCs w:val="24"/>
                    <w:lang w:bidi="en-US"/>
                  </w:rPr>
                  <w:t>LIETUVOS RESPUBLIKOS APLINKOS MINISTERIJA</w:t>
                </w:r>
              </w:p>
              <w:p>
                <w:pPr>
                  <w:rPr>
                    <w:sz w:val="10"/>
                    <w:szCs w:val="10"/>
                  </w:rPr>
                </w:pPr>
              </w:p>
              <w:p>
                <w:pPr>
                  <w:suppressLineNumbers/>
                  <w:jc w:val="center"/>
                  <w:rPr>
                    <w:rFonts w:eastAsia="Andale Sans UI"/>
                    <w:spacing w:val="12"/>
                    <w:sz w:val="16"/>
                    <w:szCs w:val="16"/>
                    <w:lang w:bidi="en-US"/>
                  </w:rPr>
                </w:pPr>
                <w:r>
                  <w:rPr>
                    <w:rFonts w:eastAsia="Andale Sans UI"/>
                    <w:spacing w:val="12"/>
                    <w:sz w:val="16"/>
                    <w:szCs w:val="16"/>
                    <w:lang w:bidi="en-US"/>
                  </w:rPr>
                  <w:t>Biudžetinė įstaiga, A. Jakšto g. 4, LT-01105 Vilnius,</w:t>
                </w:r>
              </w:p>
              <w:p>
                <w:pPr>
                  <w:suppressLineNumbers/>
                  <w:jc w:val="center"/>
                  <w:rPr>
                    <w:rFonts w:eastAsia="Andale Sans UI"/>
                    <w:spacing w:val="12"/>
                    <w:sz w:val="16"/>
                    <w:szCs w:val="16"/>
                    <w:lang w:bidi="en-US"/>
                  </w:rPr>
                </w:pPr>
                <w:r>
                  <w:rPr>
                    <w:rFonts w:eastAsia="Andale Sans UI"/>
                    <w:spacing w:val="12"/>
                    <w:sz w:val="16"/>
                    <w:szCs w:val="16"/>
                    <w:lang w:bidi="en-US"/>
                  </w:rPr>
                  <w:t>tel. +370 626 22 252, el. p. info@am.lt, https://am.lrv.lt.</w:t>
                </w:r>
              </w:p>
              <w:p>
                <w:pPr>
                  <w:suppressLineNumbers/>
                  <w:jc w:val="center"/>
                  <w:rPr>
                    <w:rFonts w:ascii="Arial" w:eastAsia="Andale Sans UI" w:hAnsi="Arial" w:cs="Tahoma"/>
                    <w:b/>
                    <w:bCs/>
                    <w:spacing w:val="12"/>
                    <w:sz w:val="14"/>
                    <w:szCs w:val="14"/>
                    <w:lang w:bidi="en-US"/>
                  </w:rPr>
                </w:pPr>
                <w:r>
                  <w:rPr>
                    <w:rFonts w:eastAsia="Andale Sans UI"/>
                    <w:spacing w:val="12"/>
                    <w:sz w:val="16"/>
                    <w:szCs w:val="16"/>
                    <w:lang w:bidi="en-US"/>
                  </w:rPr>
                  <w:t>Duomenys kaupiami ir saugomi Juridinių asmenų registre, kodas 188602370</w:t>
                </w:r>
              </w:p>
            </w:tc>
          </w:tr>
          <w:tr>
            <w:tc>
              <w:tcPr>
                <w:tcW w:w="9835" w:type="dxa"/>
                <w:gridSpan w:val="5"/>
                <w:tcMar>
                  <w:top w:w="0" w:type="dxa"/>
                  <w:left w:w="0" w:type="dxa"/>
                  <w:bottom w:w="0" w:type="dxa"/>
                  <w:right w:w="0" w:type="dxa"/>
                </w:tcMar>
              </w:tcPr>
              <w:p>
                <w:pPr>
                  <w:suppressLineNumbers/>
                  <w:jc w:val="both"/>
                  <w:rPr>
                    <w:rFonts w:eastAsia="Andale Sans UI" w:cs="Tahoma"/>
                    <w:szCs w:val="24"/>
                    <w:lang w:bidi="en-US"/>
                  </w:rPr>
                </w:pPr>
              </w:p>
            </w:tc>
          </w:tr>
          <w:tr>
            <w:trPr>
              <w:cantSplit/>
              <w:trHeight w:val="340"/>
            </w:trPr>
            <w:tc>
              <w:tcPr>
                <w:tcW w:w="5014" w:type="dxa"/>
                <w:vMerge w:val="restart"/>
                <w:tcMar>
                  <w:top w:w="0" w:type="dxa"/>
                  <w:left w:w="0" w:type="dxa"/>
                  <w:bottom w:w="0" w:type="dxa"/>
                  <w:right w:w="0" w:type="dxa"/>
                </w:tcMar>
              </w:tcPr>
              <w:p>
                <w:pPr>
                  <w:suppressLineNumbers/>
                  <w:spacing w:line="276" w:lineRule="auto"/>
                  <w:jc w:val="both"/>
                  <w:rPr>
                    <w:rFonts w:eastAsia="Andale Sans UI"/>
                    <w:spacing w:val="10"/>
                    <w:szCs w:val="24"/>
                    <w:lang w:bidi="en-US"/>
                  </w:rPr>
                </w:pPr>
                <w:r>
                  <w:rPr>
                    <w:rFonts w:eastAsia="Andale Sans UI"/>
                    <w:szCs w:val="24"/>
                    <w:lang w:bidi="en-US"/>
                  </w:rPr>
                  <w:t>Pagal adresatų sąrašą</w:t>
                </w:r>
              </w:p>
              <w:p>
                <w:pPr>
                  <w:suppressLineNumbers/>
                  <w:spacing w:line="276" w:lineRule="auto"/>
                  <w:jc w:val="both"/>
                  <w:rPr>
                    <w:rFonts w:eastAsia="Andale Sans UI"/>
                    <w:spacing w:val="10"/>
                    <w:szCs w:val="24"/>
                    <w:lang w:bidi="en-US"/>
                  </w:rPr>
                </w:pPr>
              </w:p>
            </w:tc>
            <w:tc>
              <w:tcPr>
                <w:tcW w:w="282" w:type="dxa"/>
                <w:tcMar>
                  <w:top w:w="0" w:type="dxa"/>
                  <w:left w:w="0" w:type="dxa"/>
                  <w:bottom w:w="0" w:type="dxa"/>
                  <w:right w:w="0" w:type="dxa"/>
                </w:tcMar>
              </w:tcPr>
              <w:p>
                <w:pPr>
                  <w:spacing w:line="276" w:lineRule="auto"/>
                  <w:ind w:right="67"/>
                  <w:jc w:val="right"/>
                  <w:rPr>
                    <w:rFonts w:eastAsia="Andale Sans UI"/>
                    <w:spacing w:val="10"/>
                    <w:szCs w:val="24"/>
                    <w:lang w:bidi="en-US"/>
                  </w:rPr>
                </w:pPr>
              </w:p>
            </w:tc>
            <w:tc>
              <w:tcPr>
                <w:tcW w:w="1841" w:type="dxa"/>
                <w:tcMar>
                  <w:top w:w="0" w:type="dxa"/>
                  <w:left w:w="0" w:type="dxa"/>
                  <w:bottom w:w="0" w:type="dxa"/>
                  <w:right w:w="0" w:type="dxa"/>
                </w:tcMar>
              </w:tcPr>
              <w:p>
                <w:pPr>
                  <w:suppressLineNumbers/>
                  <w:spacing w:line="276" w:lineRule="auto"/>
                  <w:ind w:right="67"/>
                  <w:jc w:val="both"/>
                  <w:rPr>
                    <w:rFonts w:eastAsia="Andale Sans UI"/>
                    <w:szCs w:val="24"/>
                    <w:lang w:bidi="en-US"/>
                  </w:rPr>
                </w:pPr>
              </w:p>
            </w:tc>
            <w:tc>
              <w:tcPr>
                <w:tcW w:w="565" w:type="dxa"/>
              </w:tcPr>
              <w:p>
                <w:pPr>
                  <w:spacing w:line="276" w:lineRule="auto"/>
                  <w:ind w:right="67"/>
                  <w:jc w:val="right"/>
                  <w:rPr>
                    <w:rFonts w:eastAsia="Andale Sans UI"/>
                    <w:spacing w:val="10"/>
                    <w:szCs w:val="24"/>
                    <w:lang w:bidi="en-US"/>
                  </w:rPr>
                </w:pPr>
                <w:r>
                  <w:rPr>
                    <w:rFonts w:eastAsia="Andale Sans UI"/>
                    <w:spacing w:val="10"/>
                    <w:szCs w:val="24"/>
                    <w:lang w:bidi="en-US"/>
                  </w:rPr>
                  <w:t>Nr.</w:t>
                </w:r>
              </w:p>
            </w:tc>
            <w:tc>
              <w:tcPr>
                <w:tcW w:w="2133" w:type="dxa"/>
              </w:tcPr>
              <w:p>
                <w:pPr>
                  <w:suppressLineNumbers/>
                  <w:spacing w:line="276" w:lineRule="auto"/>
                  <w:ind w:right="67"/>
                  <w:jc w:val="both"/>
                  <w:rPr>
                    <w:rFonts w:eastAsia="Andale Sans UI"/>
                    <w:szCs w:val="24"/>
                    <w:lang w:bidi="en-US"/>
                  </w:rPr>
                </w:pPr>
              </w:p>
            </w:tc>
          </w:tr>
          <w:tr>
            <w:trPr>
              <w:cantSplit/>
              <w:trHeight w:val="340"/>
            </w:trPr>
            <w:tc>
              <w:tcPr>
                <w:tcW w:w="5014" w:type="dxa"/>
                <w:vMerge/>
                <w:tcMar>
                  <w:top w:w="0" w:type="dxa"/>
                  <w:left w:w="0" w:type="dxa"/>
                  <w:bottom w:w="0" w:type="dxa"/>
                  <w:right w:w="0" w:type="dxa"/>
                </w:tcMar>
              </w:tcPr>
              <w:p>
                <w:pPr>
                  <w:spacing w:line="276" w:lineRule="auto"/>
                  <w:jc w:val="both"/>
                  <w:rPr>
                    <w:rFonts w:eastAsia="Andale Sans UI"/>
                    <w:szCs w:val="24"/>
                    <w:lang w:bidi="en-US"/>
                  </w:rPr>
                </w:pPr>
              </w:p>
            </w:tc>
            <w:tc>
              <w:tcPr>
                <w:tcW w:w="282" w:type="dxa"/>
                <w:tcMar>
                  <w:top w:w="0" w:type="dxa"/>
                  <w:left w:w="0" w:type="dxa"/>
                  <w:bottom w:w="0" w:type="dxa"/>
                  <w:right w:w="0" w:type="dxa"/>
                </w:tcMar>
              </w:tcPr>
              <w:p>
                <w:pPr>
                  <w:tabs>
                    <w:tab w:val="left" w:pos="2869"/>
                  </w:tabs>
                  <w:spacing w:line="276" w:lineRule="auto"/>
                  <w:ind w:right="67"/>
                  <w:jc w:val="right"/>
                  <w:rPr>
                    <w:rFonts w:eastAsia="Andale Sans UI"/>
                    <w:spacing w:val="10"/>
                    <w:szCs w:val="24"/>
                    <w:lang w:bidi="en-US"/>
                  </w:rPr>
                </w:pPr>
                <w:r>
                  <w:rPr>
                    <w:rFonts w:eastAsia="Andale Sans UI"/>
                    <w:spacing w:val="10"/>
                    <w:szCs w:val="24"/>
                    <w:lang w:bidi="en-US"/>
                  </w:rPr>
                  <w:t>Į</w:t>
                </w:r>
              </w:p>
            </w:tc>
            <w:tc>
              <w:tcPr>
                <w:tcW w:w="1841" w:type="dxa"/>
                <w:tcMar>
                  <w:top w:w="0" w:type="dxa"/>
                  <w:left w:w="0" w:type="dxa"/>
                  <w:bottom w:w="0" w:type="dxa"/>
                  <w:right w:w="0" w:type="dxa"/>
                </w:tcMar>
              </w:tcPr>
              <w:p>
                <w:pPr>
                  <w:suppressLineNumbers/>
                  <w:spacing w:line="276" w:lineRule="auto"/>
                  <w:ind w:right="67"/>
                  <w:jc w:val="both"/>
                  <w:rPr>
                    <w:rFonts w:eastAsia="Andale Sans UI"/>
                    <w:szCs w:val="24"/>
                    <w:lang w:bidi="en-US"/>
                  </w:rPr>
                </w:pPr>
              </w:p>
            </w:tc>
            <w:tc>
              <w:tcPr>
                <w:tcW w:w="565" w:type="dxa"/>
              </w:tcPr>
              <w:p>
                <w:pPr>
                  <w:tabs>
                    <w:tab w:val="left" w:pos="2869"/>
                  </w:tabs>
                  <w:spacing w:line="276" w:lineRule="auto"/>
                  <w:ind w:right="67"/>
                  <w:jc w:val="right"/>
                  <w:rPr>
                    <w:rFonts w:eastAsia="Andale Sans UI"/>
                    <w:spacing w:val="10"/>
                    <w:szCs w:val="24"/>
                    <w:lang w:bidi="en-US"/>
                  </w:rPr>
                </w:pPr>
                <w:r>
                  <w:rPr>
                    <w:rFonts w:eastAsia="Andale Sans UI"/>
                    <w:spacing w:val="10"/>
                    <w:szCs w:val="24"/>
                    <w:lang w:bidi="en-US"/>
                  </w:rPr>
                  <w:t>Nr.</w:t>
                </w:r>
              </w:p>
            </w:tc>
            <w:tc>
              <w:tcPr>
                <w:tcW w:w="2133" w:type="dxa"/>
              </w:tcPr>
              <w:p>
                <w:pPr>
                  <w:suppressLineNumbers/>
                  <w:spacing w:line="276" w:lineRule="auto"/>
                  <w:ind w:right="67"/>
                  <w:jc w:val="both"/>
                  <w:rPr>
                    <w:rFonts w:eastAsia="Andale Sans UI"/>
                    <w:szCs w:val="24"/>
                    <w:lang w:bidi="en-US"/>
                  </w:rPr>
                </w:pPr>
              </w:p>
            </w:tc>
          </w:tr>
          <w:tr>
            <w:trPr>
              <w:cantSplit/>
            </w:trPr>
            <w:tc>
              <w:tcPr>
                <w:tcW w:w="5014" w:type="dxa"/>
                <w:vMerge/>
                <w:tcMar>
                  <w:top w:w="0" w:type="dxa"/>
                  <w:left w:w="0" w:type="dxa"/>
                  <w:bottom w:w="0" w:type="dxa"/>
                  <w:right w:w="0" w:type="dxa"/>
                </w:tcMar>
              </w:tcPr>
              <w:p>
                <w:pPr>
                  <w:spacing w:line="276" w:lineRule="auto"/>
                  <w:jc w:val="both"/>
                  <w:rPr>
                    <w:rFonts w:eastAsia="Andale Sans UI"/>
                    <w:szCs w:val="24"/>
                    <w:lang w:bidi="en-US"/>
                  </w:rPr>
                </w:pPr>
              </w:p>
            </w:tc>
            <w:tc>
              <w:tcPr>
                <w:tcW w:w="4821" w:type="dxa"/>
                <w:gridSpan w:val="4"/>
                <w:tcMar>
                  <w:top w:w="0" w:type="dxa"/>
                  <w:left w:w="0" w:type="dxa"/>
                  <w:bottom w:w="0" w:type="dxa"/>
                  <w:right w:w="0" w:type="dxa"/>
                </w:tcMar>
              </w:tcPr>
              <w:p>
                <w:pPr>
                  <w:tabs>
                    <w:tab w:val="left" w:pos="2869"/>
                  </w:tabs>
                  <w:spacing w:line="276" w:lineRule="auto"/>
                  <w:ind w:right="67"/>
                  <w:jc w:val="both"/>
                  <w:rPr>
                    <w:rFonts w:eastAsia="Andale Sans UI"/>
                    <w:spacing w:val="10"/>
                    <w:szCs w:val="24"/>
                    <w:lang w:bidi="en-US"/>
                  </w:rPr>
                </w:pPr>
              </w:p>
            </w:tc>
          </w:tr>
          <w:tr>
            <w:trPr>
              <w:trHeight w:val="340"/>
            </w:trPr>
            <w:tc>
              <w:tcPr>
                <w:tcW w:w="9835" w:type="dxa"/>
                <w:gridSpan w:val="5"/>
                <w:tcMar>
                  <w:top w:w="0" w:type="dxa"/>
                  <w:left w:w="0" w:type="dxa"/>
                  <w:bottom w:w="0" w:type="dxa"/>
                  <w:right w:w="0" w:type="dxa"/>
                </w:tcMar>
              </w:tcPr>
              <w:p>
                <w:pPr>
                  <w:suppressLineNumbers/>
                  <w:spacing w:line="276" w:lineRule="auto"/>
                  <w:jc w:val="both"/>
                  <w:rPr>
                    <w:rFonts w:eastAsia="Andale Sans UI"/>
                    <w:b/>
                    <w:szCs w:val="24"/>
                    <w:lang w:eastAsia="lt-LT" w:bidi="en-US"/>
                  </w:rPr>
                </w:pPr>
                <w:r>
                  <w:rPr>
                    <w:rFonts w:eastAsia="Andale Sans UI"/>
                    <w:b/>
                    <w:caps/>
                    <w:szCs w:val="24"/>
                    <w:lang w:bidi="en-US"/>
                  </w:rPr>
                  <w:t xml:space="preserve">DĖL </w:t>
                </w:r>
                <w:r>
                  <w:rPr>
                    <w:rFonts w:eastAsia="Andale Sans UI"/>
                    <w:b/>
                    <w:szCs w:val="24"/>
                    <w:lang w:eastAsia="lt-LT" w:bidi="en-US"/>
                  </w:rPr>
                  <w:t>VYRIAUSYBĖS NUTARIMO PROJEKTO</w:t>
                </w:r>
              </w:p>
              <w:p>
                <w:pPr>
                  <w:suppressLineNumbers/>
                  <w:spacing w:line="276" w:lineRule="auto"/>
                  <w:jc w:val="both"/>
                  <w:rPr>
                    <w:rFonts w:eastAsia="Andale Sans UI"/>
                    <w:b/>
                    <w:bCs/>
                    <w:szCs w:val="24"/>
                    <w:lang w:bidi="en-US"/>
                  </w:rPr>
                </w:pPr>
              </w:p>
            </w:tc>
          </w:tr>
        </w:tbl>
        <w:p/>
      </w:sdtContent>
    </w:sdt>
    <w:sdt>
      <w:sdtPr>
        <w:alias w:val="pastraipa"/>
        <w:tag w:val="part_1145bf8829874bf680f8a8a0fb4ca621"/>
        <w:lock w:val="sdtLocked"/>
        <w:richText/>
      </w:sdtPr>
      <w:sdtContent>
        <w:p>
          <w:pPr>
            <w:spacing w:line="276" w:lineRule="auto"/>
            <w:ind w:firstLine="567"/>
            <w:jc w:val="both"/>
            <w:rPr>
              <w:rFonts w:eastAsia="Andale Sans UI"/>
              <w:szCs w:val="24"/>
              <w:lang w:bidi="en-US"/>
            </w:rPr>
          </w:pPr>
          <w:r>
            <w:rPr>
              <w:rFonts w:eastAsia="Andale Sans UI"/>
              <w:szCs w:val="24"/>
              <w:lang w:bidi="en-US"/>
            </w:rPr>
            <w:t>Aplinkos ministerija teikia derinti Lietuvos Respublikos Vyriausybės nutarimo „Dėl Lietuvos Respublikos Vyriausybės 2004 m. rugsėjo 23 d. nutarimo Nr. 1213 „Dėl Daugiabučių namų atnaujinimo (modernizavimo) programos patvirtinimo“ pakeitimo“ projektą (toliau – Projektas).</w:t>
          </w:r>
        </w:p>
        <w:sdt>
          <w:sdtPr>
            <w:alias w:val="1 p."/>
            <w:tag w:val="part_8124c9ea201e4281a9fcb85c10659346"/>
            <w:lock w:val="sdtLocked"/>
            <w:richText/>
          </w:sdtPr>
          <w:sdtContent>
            <w:p>
              <w:pPr>
                <w:spacing w:line="276" w:lineRule="auto"/>
                <w:ind w:firstLine="567"/>
                <w:jc w:val="both"/>
                <w:rPr>
                  <w:rFonts w:eastAsia="Andale Sans UI"/>
                  <w:b/>
                  <w:bCs/>
                  <w:szCs w:val="24"/>
                  <w:lang w:bidi="en-US"/>
                </w:rPr>
              </w:pPr>
              <w:sdt>
                <w:sdtPr>
                  <w:alias w:val="Numeris"/>
                  <w:tag w:val="nr_8124c9ea201e4281a9fcb85c10659346"/>
                  <w:lock w:val="sdtLocked"/>
                  <w:richText/>
                </w:sdtPr>
                <w:sdtContent>
                  <w:r>
                    <w:rPr>
                      <w:rFonts w:eastAsia="Andale Sans UI"/>
                      <w:b/>
                      <w:bCs/>
                      <w:szCs w:val="24"/>
                      <w:lang w:bidi="en-US"/>
                    </w:rPr>
                    <w:t>1</w:t>
                  </w:r>
                </w:sdtContent>
              </w:sdt>
              <w:r>
                <w:rPr>
                  <w:rFonts w:eastAsia="Andale Sans UI"/>
                  <w:b/>
                  <w:bCs/>
                  <w:szCs w:val="24"/>
                  <w:lang w:bidi="en-US"/>
                </w:rPr>
                <w:t>. Projektu sprendžiama problema ir Projektą rengti paskatinusios priežastys</w:t>
              </w:r>
            </w:p>
            <w:p>
              <w:pPr>
                <w:shd w:val="clear" w:color="auto" w:fill="FFFFFF"/>
                <w:spacing w:line="276" w:lineRule="auto"/>
                <w:ind w:firstLine="567"/>
                <w:jc w:val="both"/>
                <w:textAlignment w:val="center"/>
                <w:rPr>
                  <w:rFonts w:eastAsia="Andale Sans UI"/>
                  <w:szCs w:val="24"/>
                  <w:lang w:bidi="en-US"/>
                </w:rPr>
              </w:pPr>
              <w:r>
                <w:rPr>
                  <w:rFonts w:eastAsia="Andale Sans UI"/>
                  <w:szCs w:val="24"/>
                  <w:lang w:bidi="en-US"/>
                </w:rPr>
                <w:t xml:space="preserve">Projektu siekiama, kad daugiabučiai namai, kuriems pagal Daugiabučių namų atnaujinimo (modernizavimo) programą, patvirtintą Lietuvos Respublikos Vyriausybės 2004 m. rugsėjo 23 d. nutarimu Nr. 1213 „Dėl Daugiabučių namų atnaujinimo (modernizavimo) programos patvirtinimo“  (toliau – Programa), teikiama valstybės parama daugiabučių namų atnaujinimo (modernizavimo) projektams, kuriuose numatytos pastato energinį efektyvumą didinančios ir kitos pastato atnaujinimo (modernizavimo) priemonės, turėtų būti privalomai įrengiamos čiurlių ar kitų saugomų rūšių paukščių lizdavietės, taip pat numatyta galimybė įtraukti kitas būtinas priemones, susijusias su pastatu atnaujinimu (modernizavimu), kurios nenumatytos Programos priedo lentelės 11–18  punktuose.</w:t>
              </w:r>
            </w:p>
            <w:p>
              <w:pPr>
                <w:shd w:val="clear" w:color="auto" w:fill="FFFFFF"/>
                <w:spacing w:line="276" w:lineRule="auto"/>
                <w:ind w:firstLine="567"/>
                <w:jc w:val="both"/>
                <w:textAlignment w:val="center"/>
                <w:rPr>
                  <w:rFonts w:eastAsia="Andale Sans UI" w:cs="Tahoma"/>
                  <w:color w:val="FF0000"/>
                  <w:szCs w:val="24"/>
                  <w:lang w:bidi="en-US"/>
                </w:rPr>
              </w:pPr>
              <w:r>
                <w:rPr>
                  <w:rFonts w:eastAsia="Andale Sans UI"/>
                  <w:szCs w:val="24"/>
                  <w:lang w:bidi="en-US"/>
                </w:rPr>
                <w:t xml:space="preserve">Numatoma patikslinti Programos priedo 14 punktą dėl </w:t>
              </w:r>
              <w:r>
                <w:rPr>
                  <w:rFonts w:eastAsia="Andale Sans UI" w:cs="Tahoma"/>
                  <w:szCs w:val="24"/>
                  <w:lang w:bidi="en-US"/>
                </w:rPr>
                <w:t>čiurlių ir (ar) kitų paukščių rūšies ekologinius poreikius atitinkančios dirbtinės lizdavietės įrengimo. Taip pat patikslinti programos priedo pastabų 7 punktą, nustatant privalomuosius reikalavimus tais atvejais, kai nustatoma, kad iki namo atnaujinimo (modernizavimo) pastate buvo saugomų paukščių rūšių lizdaviečių. Paukščių lizdaviečių buvimą nustato ornitologas, surašydamas apžiūros aktą.</w:t>
              </w:r>
            </w:p>
            <w:p>
              <w:pPr>
                <w:shd w:val="clear" w:color="auto" w:fill="FFFFFF"/>
                <w:spacing w:line="276" w:lineRule="auto"/>
                <w:ind w:firstLine="567"/>
                <w:jc w:val="both"/>
                <w:textAlignment w:val="center"/>
                <w:rPr>
                  <w:rFonts w:eastAsia="Andale Sans UI"/>
                  <w:szCs w:val="24"/>
                  <w:lang w:bidi="en-US"/>
                </w:rPr>
              </w:pPr>
              <w:r>
                <w:rPr>
                  <w:rFonts w:eastAsia="Andale Sans UI"/>
                  <w:szCs w:val="24"/>
                  <w:lang w:bidi="en-US"/>
                </w:rPr>
                <w:t xml:space="preserve">Numatoma papildyti kitų pastato atnaujinimo (modernizavimo) priemonių nauju 19 punktu ir sudaryti butų ir kitų patalpų savininkams galimybę įtraukti kitas būtinas priemonės, susijusias su namo bendrojo naudojimo konstrukciniais elementais ar inžinerinėmis sistemomis. </w:t>
              </w:r>
            </w:p>
          </w:sdtContent>
        </w:sdt>
        <w:sdt>
          <w:sdtPr>
            <w:alias w:val="2 p."/>
            <w:tag w:val="part_aa21a9b97c5c4cf28122d3e0c2dfc8ad"/>
            <w:lock w:val="sdtLocked"/>
            <w:richText/>
          </w:sdtPr>
          <w:sdtContent>
            <w:p>
              <w:pPr>
                <w:shd w:val="clear" w:color="auto" w:fill="FFFFFF"/>
                <w:spacing w:line="276" w:lineRule="auto"/>
                <w:ind w:firstLine="567"/>
                <w:jc w:val="both"/>
                <w:textAlignment w:val="center"/>
                <w:rPr>
                  <w:rFonts w:eastAsia="Andale Sans UI"/>
                  <w:b/>
                  <w:bCs/>
                  <w:szCs w:val="24"/>
                  <w:lang w:bidi="en-US"/>
                </w:rPr>
              </w:pPr>
              <w:sdt>
                <w:sdtPr>
                  <w:alias w:val="Numeris"/>
                  <w:tag w:val="nr_aa21a9b97c5c4cf28122d3e0c2dfc8ad"/>
                  <w:lock w:val="sdtLocked"/>
                  <w:richText/>
                </w:sdtPr>
                <w:sdtContent>
                  <w:r>
                    <w:rPr>
                      <w:rFonts w:eastAsia="Andale Sans UI"/>
                      <w:b/>
                      <w:bCs/>
                      <w:szCs w:val="24"/>
                      <w:lang w:bidi="en-US"/>
                    </w:rPr>
                    <w:t>2</w:t>
                  </w:r>
                </w:sdtContent>
              </w:sdt>
              <w:r>
                <w:rPr>
                  <w:rFonts w:eastAsia="Andale Sans UI"/>
                  <w:b/>
                  <w:bCs/>
                  <w:szCs w:val="24"/>
                  <w:lang w:bidi="en-US"/>
                </w:rPr>
                <w:t>. Projektu siūlomo teisinio reguliavimo esmė – problemos sprendimas</w:t>
              </w:r>
            </w:p>
            <w:p>
              <w:pPr>
                <w:shd w:val="clear" w:color="auto" w:fill="FFFFFF"/>
                <w:spacing w:line="276" w:lineRule="auto"/>
                <w:ind w:firstLine="567"/>
                <w:jc w:val="both"/>
                <w:textAlignment w:val="center"/>
                <w:rPr>
                  <w:rFonts w:eastAsia="Andale Sans UI"/>
                  <w:szCs w:val="24"/>
                  <w:lang w:bidi="en-US"/>
                </w:rPr>
              </w:pPr>
              <w:r>
                <w:rPr>
                  <w:rFonts w:eastAsia="Andale Sans UI"/>
                  <w:szCs w:val="24"/>
                  <w:lang w:bidi="en-US"/>
                </w:rPr>
                <w:t>Projektu siekiama spręsti problemą, kad įgyvendinant Daugiabučių namų atnaujinimo (modernizavimo) programą būtų užtikrinta saugomų paukščių rūšių lizdaviečių apsauga ir būtų išvengta jų praradimo ar sunaikinimo tais atvejais, kai iki daugiabučio namo atnaujinimo (modernizavimo) pastate buvo nustatytos tokių rūšių lizdavietės.</w:t>
              </w:r>
            </w:p>
            <w:p>
              <w:pPr>
                <w:shd w:val="clear" w:color="auto" w:fill="FFFFFF"/>
                <w:spacing w:line="276" w:lineRule="auto"/>
                <w:ind w:firstLine="567"/>
                <w:jc w:val="both"/>
                <w:textAlignment w:val="center"/>
                <w:rPr>
                  <w:rFonts w:eastAsia="Andale Sans UI"/>
                  <w:szCs w:val="24"/>
                  <w:lang w:bidi="en-US"/>
                </w:rPr>
              </w:pPr>
              <w:r>
                <w:rPr>
                  <w:rFonts w:eastAsia="Andale Sans UI"/>
                  <w:szCs w:val="24"/>
                  <w:lang w:bidi="en-US"/>
                </w:rPr>
                <w:t>Taip pat projektu siekiama pašalinti teisinio reguliavimo spragą, sudarant galimybę į daugiabučių namų atnaujinimo (modernizavimo) projektus įtraukti ir kitas objektyviai būtinas priemones, susijusias su pastato bendrojo naudojimo konstrukciniais elementais ar inžinerinėmis sistemomis, kurios yra reikalingos tinkamam pastato techninės būklės užtikrinimui ir efektyviam modernizavimo projektų įgyvendinimui.</w:t>
              </w:r>
            </w:p>
          </w:sdtContent>
        </w:sdt>
        <w:sdt>
          <w:sdtPr>
            <w:alias w:val="3 p."/>
            <w:tag w:val="part_d904f6ec637f479aa5a2c966127c3ec5"/>
            <w:lock w:val="sdtLocked"/>
            <w:richText/>
          </w:sdtPr>
          <w:sdtContent>
            <w:p>
              <w:pPr>
                <w:shd w:val="clear" w:color="auto" w:fill="FFFFFF"/>
                <w:spacing w:line="276" w:lineRule="auto"/>
                <w:ind w:firstLine="720"/>
                <w:jc w:val="both"/>
                <w:textAlignment w:val="center"/>
                <w:rPr>
                  <w:rFonts w:eastAsia="Andale Sans UI"/>
                  <w:b/>
                  <w:bCs/>
                  <w:szCs w:val="24"/>
                  <w:lang w:bidi="en-US"/>
                </w:rPr>
              </w:pPr>
              <w:sdt>
                <w:sdtPr>
                  <w:alias w:val="Numeris"/>
                  <w:tag w:val="nr_d904f6ec637f479aa5a2c966127c3ec5"/>
                  <w:lock w:val="sdtLocked"/>
                  <w:richText/>
                </w:sdtPr>
                <w:sdtContent>
                  <w:r>
                    <w:rPr>
                      <w:rFonts w:eastAsia="Andale Sans UI"/>
                      <w:b/>
                      <w:bCs/>
                      <w:szCs w:val="24"/>
                      <w:lang w:bidi="en-US"/>
                    </w:rPr>
                    <w:t>3</w:t>
                  </w:r>
                </w:sdtContent>
              </w:sdt>
              <w:r>
                <w:rPr>
                  <w:rFonts w:eastAsia="Andale Sans UI"/>
                  <w:b/>
                  <w:bCs/>
                  <w:szCs w:val="24"/>
                  <w:lang w:bidi="en-US"/>
                </w:rPr>
                <w:t>. Pasiūlymų įgyvendinimo mechanizmas, kaštai ir nauda</w:t>
              </w:r>
            </w:p>
            <w:p>
              <w:pPr>
                <w:spacing w:line="276" w:lineRule="auto"/>
                <w:ind w:firstLine="567"/>
                <w:jc w:val="both"/>
                <w:rPr>
                  <w:rFonts w:eastAsia="Andale Sans UI" w:cs="Tahoma"/>
                  <w:szCs w:val="24"/>
                  <w:lang w:bidi="en-US"/>
                </w:rPr>
              </w:pPr>
              <w:r>
                <w:rPr>
                  <w:rFonts w:eastAsia="Andale Sans UI" w:cs="Tahoma"/>
                  <w:szCs w:val="24"/>
                  <w:lang w:bidi="en-US"/>
                </w:rPr>
                <w:t>Valstybės parama projektui administruoti, įgyvendinant Daugiabučių namų atnaujinimo (modernizavimo) programą, teikiama 2022–2030 metų plėtros programos valdytojos Lietuvos Respublikos aplinkos ministerijos aplinkos apsaugos ir klimato kaitos valdymo plėtros programos, patvirtintos Lietuvos Respublikos Vyriausybės 2022 m. kovo 30 d. nutarimu Nr. 318 „Dėl 2022–2030 metų plėtros programos valdytojos Lietuvos Respublikos aplinkos ministerijos aplinkos apsaugos ir klimato kaitos valdymo plėtros programos patvirtinimo“, lėšomis. Papildomų lėšų skirti nereikės.</w:t>
              </w:r>
            </w:p>
          </w:sdtContent>
        </w:sdt>
        <w:sdt>
          <w:sdtPr>
            <w:alias w:val="4 p."/>
            <w:tag w:val="part_0af76e55d4d94bd6a7de0fba476b6879"/>
            <w:lock w:val="sdtLocked"/>
            <w:richText/>
          </w:sdtPr>
          <w:sdtContent>
            <w:p>
              <w:pPr>
                <w:spacing w:line="276" w:lineRule="auto"/>
                <w:ind w:firstLine="567"/>
                <w:jc w:val="both"/>
                <w:rPr>
                  <w:rFonts w:eastAsia="Andale Sans UI"/>
                  <w:b/>
                  <w:bCs/>
                  <w:szCs w:val="24"/>
                  <w:lang w:bidi="en-US"/>
                </w:rPr>
              </w:pPr>
              <w:sdt>
                <w:sdtPr>
                  <w:alias w:val="Numeris"/>
                  <w:tag w:val="nr_0af76e55d4d94bd6a7de0fba476b6879"/>
                  <w:lock w:val="sdtLocked"/>
                  <w:richText/>
                </w:sdtPr>
                <w:sdtContent>
                  <w:r>
                    <w:rPr>
                      <w:rFonts w:eastAsia="Andale Sans UI"/>
                      <w:b/>
                      <w:bCs/>
                      <w:szCs w:val="24"/>
                      <w:lang w:bidi="en-US"/>
                    </w:rPr>
                    <w:t>4</w:t>
                  </w:r>
                </w:sdtContent>
              </w:sdt>
              <w:r>
                <w:rPr>
                  <w:rFonts w:eastAsia="Andale Sans UI"/>
                  <w:b/>
                  <w:bCs/>
                  <w:szCs w:val="24"/>
                  <w:lang w:bidi="en-US"/>
                </w:rPr>
                <w:t>. Rodikliai, kurie bus stebimi</w:t>
              </w:r>
            </w:p>
            <w:p>
              <w:pPr>
                <w:spacing w:line="276" w:lineRule="auto"/>
                <w:ind w:firstLine="567"/>
                <w:jc w:val="both"/>
                <w:rPr>
                  <w:rFonts w:eastAsia="Andale Sans UI"/>
                  <w:szCs w:val="24"/>
                  <w:lang w:bidi="en-US"/>
                </w:rPr>
              </w:pPr>
              <w:r>
                <w:rPr>
                  <w:rFonts w:eastAsia="Andale Sans UI" w:cs="Tahoma"/>
                  <w:szCs w:val="24"/>
                  <w:lang w:bidi="en-US"/>
                </w:rPr>
                <w:t>Rodikliai Projektu nenustatomi.</w:t>
              </w:r>
            </w:p>
          </w:sdtContent>
        </w:sdt>
        <w:sdt>
          <w:sdtPr>
            <w:alias w:val="5 p."/>
            <w:tag w:val="part_04607f4ed677474ba89e9d9a8a379b4c"/>
            <w:lock w:val="sdtLocked"/>
            <w:richText/>
          </w:sdtPr>
          <w:sdtContent>
            <w:p>
              <w:pPr>
                <w:shd w:val="clear" w:color="auto" w:fill="FFFFFF"/>
                <w:spacing w:line="276" w:lineRule="auto"/>
                <w:ind w:firstLine="567"/>
                <w:jc w:val="both"/>
                <w:textAlignment w:val="center"/>
                <w:rPr>
                  <w:szCs w:val="24"/>
                  <w:lang w:bidi="en-US"/>
                </w:rPr>
              </w:pPr>
              <w:sdt>
                <w:sdtPr>
                  <w:alias w:val="Numeris"/>
                  <w:tag w:val="nr_04607f4ed677474ba89e9d9a8a379b4c"/>
                  <w:lock w:val="sdtLocked"/>
                  <w:richText/>
                </w:sdtPr>
                <w:sdtContent>
                  <w:r>
                    <w:rPr>
                      <w:b/>
                      <w:bCs/>
                      <w:szCs w:val="24"/>
                      <w:lang w:eastAsia="lt-LT" w:bidi="en-US"/>
                    </w:rPr>
                    <w:t>5</w:t>
                  </w:r>
                </w:sdtContent>
              </w:sdt>
              <w:r>
                <w:rPr>
                  <w:b/>
                  <w:bCs/>
                  <w:szCs w:val="24"/>
                  <w:lang w:eastAsia="lt-LT" w:bidi="en-US"/>
                </w:rPr>
                <w:t>. Lietuvos Respublikos Vyriausybės programos</w:t>
              </w:r>
              <w:r>
                <w:rPr>
                  <w:b/>
                  <w:bCs/>
                  <w:szCs w:val="24"/>
                  <w:vertAlign w:val="superscript"/>
                  <w:lang w:eastAsia="lt-LT" w:bidi="en-US"/>
                </w:rPr>
                <w:footnoteReference w:id="1"/>
              </w:r>
              <w:r>
                <w:rPr>
                  <w:b/>
                  <w:bCs/>
                  <w:szCs w:val="24"/>
                  <w:lang w:eastAsia="lt-LT" w:bidi="en-US"/>
                </w:rPr>
                <w:t xml:space="preserve"> nuostatų įgyvendinimas </w:t>
              </w:r>
              <w:r>
                <w:rPr>
                  <w:color w:val="000000"/>
                  <w:szCs w:val="24"/>
                  <w:lang w:bidi="en-US"/>
                </w:rPr>
                <w:t>(pažymimas tinkamas variantas)</w:t>
              </w:r>
            </w:p>
            <w:p>
              <w:pPr>
                <w:shd w:val="clear" w:color="auto" w:fill="FFFFFF"/>
                <w:spacing w:line="276" w:lineRule="auto"/>
                <w:ind w:firstLine="567"/>
                <w:jc w:val="both"/>
                <w:textAlignment w:val="center"/>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Projektu įgyvendinamos šios Lietuvos Respublikos Vyriausybės programos nuostatos: 605 punkte nustatytas tikslas „Nustatysime racionalius ir įgyvendinamus daugiabučių namų renovacijos reikalavimus ir suintensyvinsime valstybės finansinę paramą“.</w:t>
              </w:r>
            </w:p>
            <w:p>
              <w:pPr>
                <w:shd w:val="clear" w:color="auto" w:fill="FFFFFF"/>
                <w:spacing w:line="276" w:lineRule="auto"/>
                <w:ind w:firstLine="567"/>
                <w:jc w:val="both"/>
                <w:textAlignment w:val="center"/>
                <w:rPr>
                  <w:b/>
                  <w:bCs/>
                  <w:szCs w:val="24"/>
                  <w:lang w:eastAsia="lt-LT" w:bidi="en-US"/>
                </w:rPr>
              </w:pPr>
              <w:r>
                <w:rPr>
                  <w:rFonts w:ascii="MS Gothic" w:eastAsia="MS Gothic" w:hAnsi="MS Gothic"/>
                  <w:szCs w:val="24"/>
                  <w:lang w:bidi="en-US"/>
                </w:rPr>
                <w:t>☐</w:t>
              </w:r>
              <w:r>
                <w:rPr>
                  <w:rFonts w:eastAsia="Andale Sans UI"/>
                  <w:szCs w:val="24"/>
                  <w:lang w:bidi="en-US"/>
                </w:rPr>
                <w:t xml:space="preserve"> Projektas neprieštarauja Dvidešimtosios Lietuvos Respublikos Vyriausybės programai.</w:t>
              </w:r>
            </w:p>
          </w:sdtContent>
        </w:sdt>
        <w:sdt>
          <w:sdtPr>
            <w:alias w:val="6 p."/>
            <w:tag w:val="part_8844aa03638d45ccab4ace65b3b28633"/>
            <w:lock w:val="sdtLocked"/>
            <w:richText/>
          </w:sdtPr>
          <w:sdtContent>
            <w:p>
              <w:pPr>
                <w:spacing w:line="276" w:lineRule="auto"/>
                <w:ind w:firstLine="567"/>
                <w:jc w:val="both"/>
                <w:rPr>
                  <w:rFonts w:eastAsia="Andale Sans UI" w:cs="Tahoma"/>
                  <w:szCs w:val="24"/>
                  <w:lang w:bidi="en-US"/>
                </w:rPr>
              </w:pPr>
              <w:sdt>
                <w:sdtPr>
                  <w:alias w:val="Numeris"/>
                  <w:tag w:val="nr_8844aa03638d45ccab4ace65b3b28633"/>
                  <w:lock w:val="sdtLocked"/>
                  <w:richText/>
                </w:sdtPr>
                <w:sdtContent>
                  <w:r>
                    <w:rPr>
                      <w:b/>
                      <w:bCs/>
                      <w:szCs w:val="24"/>
                      <w:lang w:eastAsia="lt-LT" w:bidi="en-US"/>
                    </w:rPr>
                    <w:t>6</w:t>
                  </w:r>
                </w:sdtContent>
              </w:sdt>
              <w:r>
                <w:rPr>
                  <w:b/>
                  <w:bCs/>
                  <w:szCs w:val="24"/>
                  <w:lang w:eastAsia="lt-LT" w:bidi="en-US"/>
                </w:rPr>
                <w:t xml:space="preserve">. Europos Sąjungos teisės aktų perkėlimas ir (ar) įgyvendinimas </w:t>
              </w:r>
              <w:r>
                <w:rPr>
                  <w:color w:val="000000"/>
                  <w:szCs w:val="24"/>
                  <w:lang w:bidi="en-US"/>
                </w:rPr>
                <w:t>(pažymimas tinkamas variantas)</w:t>
              </w:r>
            </w:p>
            <w:p>
              <w:pPr>
                <w:spacing w:line="276" w:lineRule="auto"/>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Projektu neperkeliamos ir neįgyvendinamos Europos Sąjungos teisės aktų nuostatos.</w:t>
              </w:r>
            </w:p>
            <w:p>
              <w:pPr>
                <w:spacing w:line="276" w:lineRule="auto"/>
                <w:ind w:firstLine="567"/>
                <w:jc w:val="both"/>
                <w:rPr>
                  <w:color w:val="000000"/>
                  <w:szCs w:val="24"/>
                  <w:lang w:eastAsia="lt-LT" w:bidi="en-US"/>
                </w:rPr>
              </w:pPr>
              <w:r>
                <w:rPr>
                  <w:rFonts w:ascii="Segoe UI Symbol" w:eastAsia="MS Gothic" w:hAnsi="Segoe UI Symbol" w:cs="Segoe UI Symbol"/>
                  <w:szCs w:val="24"/>
                  <w:lang w:bidi="en-US"/>
                </w:rPr>
                <w:t>☐</w:t>
              </w:r>
              <w:r>
                <w:rPr>
                  <w:rFonts w:eastAsia="Andale Sans UI"/>
                  <w:szCs w:val="24"/>
                  <w:lang w:bidi="en-US"/>
                </w:rPr>
                <w:t xml:space="preserve"> Projektu perkeliamos (</w:t>
              </w:r>
              <w:r>
                <w:rPr>
                  <w:rFonts w:eastAsia="Andale Sans UI"/>
                  <w:i/>
                  <w:szCs w:val="24"/>
                  <w:lang w:bidi="en-US"/>
                </w:rPr>
                <w:t>dėl Direktyvų</w:t>
              </w:r>
              <w:r>
                <w:rPr>
                  <w:rFonts w:eastAsia="Andale Sans UI"/>
                  <w:szCs w:val="24"/>
                  <w:lang w:bidi="en-US"/>
                </w:rPr>
                <w:t>) ir (ar) įgyvendinamos (</w:t>
              </w:r>
              <w:r>
                <w:rPr>
                  <w:rFonts w:eastAsia="Andale Sans UI"/>
                  <w:i/>
                  <w:szCs w:val="24"/>
                  <w:lang w:bidi="en-US"/>
                </w:rPr>
                <w:t>dėl Reglamentų ir Sprendimų</w:t>
              </w:r>
              <w:r>
                <w:rPr>
                  <w:rFonts w:eastAsia="Andale Sans UI"/>
                  <w:szCs w:val="24"/>
                  <w:lang w:bidi="en-US"/>
                </w:rPr>
                <w:t>) šios Europos Sąjungos teisės aktų nuostatos: (</w:t>
              </w:r>
              <w:r>
                <w:rPr>
                  <w:rFonts w:eastAsia="Andale Sans UI"/>
                  <w:i/>
                  <w:szCs w:val="24"/>
                  <w:lang w:bidi="en-US"/>
                </w:rPr>
                <w:t>išvardijama</w:t>
              </w:r>
              <w:r>
                <w:rPr>
                  <w:rFonts w:eastAsia="Andale Sans UI"/>
                  <w:szCs w:val="24"/>
                  <w:lang w:bidi="en-US"/>
                </w:rPr>
                <w:t>).</w:t>
              </w:r>
              <w:r>
                <w:rPr>
                  <w:rFonts w:eastAsia="Andale Sans UI"/>
                  <w:i/>
                  <w:szCs w:val="24"/>
                  <w:lang w:bidi="en-US"/>
                </w:rPr>
                <w:t xml:space="preserve"> </w:t>
              </w:r>
              <w:r>
                <w:rPr>
                  <w:rFonts w:eastAsia="Andale Sans UI"/>
                  <w:szCs w:val="24"/>
                  <w:lang w:eastAsia="lt-LT" w:bidi="en-US"/>
                </w:rPr>
                <w:t>(</w:t>
              </w:r>
              <w:r>
                <w:rPr>
                  <w:rFonts w:eastAsia="Andale Sans UI"/>
                  <w:i/>
                  <w:iCs/>
                  <w:szCs w:val="24"/>
                  <w:lang w:eastAsia="lt-LT" w:bidi="en-US"/>
                </w:rPr>
                <w:t>Taip pat nurodomi kiti su Projektu susiję tiesiogiai taikomi Europos Sąjungos teisės aktai, kai jie nėra įgyvendinami.</w:t>
              </w:r>
              <w:r>
                <w:rPr>
                  <w:rFonts w:eastAsia="Andale Sans UI"/>
                  <w:szCs w:val="24"/>
                  <w:lang w:eastAsia="lt-LT" w:bidi="en-US"/>
                </w:rPr>
                <w:t xml:space="preserve">) Projektas yra įtrauktas į perkeliamo ir (ar) įgyvendinamo Europos Sąjungos teisės akto perkėlimo ir įgyvendinimo planą Lietuvos narystės Europos Sąjungoje informacinėje sistemoje (LINESIS), į kurią įkelta  atitikties lentelė</w:t>
              </w:r>
              <w:r>
                <w:rPr>
                  <w:rFonts w:eastAsia="Andale Sans UI"/>
                  <w:szCs w:val="24"/>
                  <w:vertAlign w:val="superscript"/>
                  <w:lang w:eastAsia="lt-LT" w:bidi="en-US"/>
                </w:rPr>
                <w:footnoteReference w:id="2"/>
              </w:r>
              <w:r>
                <w:rPr>
                  <w:rFonts w:eastAsia="Andale Sans UI"/>
                  <w:i/>
                  <w:szCs w:val="24"/>
                  <w:lang w:eastAsia="lt-LT" w:bidi="en-US"/>
                </w:rPr>
                <w:t xml:space="preserve">. </w:t>
              </w:r>
              <w:r>
                <w:rPr>
                  <w:rFonts w:eastAsia="Andale Sans UI"/>
                  <w:szCs w:val="24"/>
                  <w:lang w:bidi="en-US"/>
                </w:rPr>
                <w:t xml:space="preserve">Siekiant užtikrinti visišką </w:t>
              </w:r>
              <w:r>
                <w:rPr>
                  <w:color w:val="000000"/>
                  <w:szCs w:val="24"/>
                  <w:lang w:eastAsia="lt-LT" w:bidi="en-US"/>
                </w:rPr>
                <w:t>susijusių Europos Sąjungos teisės aktų perkėlimą ir (ar) įgyvendinimą, reikės priimti </w:t>
              </w:r>
              <w:r>
                <w:rPr>
                  <w:i/>
                  <w:iCs/>
                  <w:color w:val="000000"/>
                  <w:szCs w:val="24"/>
                  <w:lang w:eastAsia="lt-LT" w:bidi="en-US"/>
                </w:rPr>
                <w:t>...</w:t>
              </w:r>
              <w:r>
                <w:rPr>
                  <w:iCs/>
                  <w:color w:val="000000"/>
                  <w:szCs w:val="24"/>
                  <w:lang w:eastAsia="lt-LT" w:bidi="en-US"/>
                </w:rPr>
                <w:t>(</w:t>
              </w:r>
              <w:r>
                <w:rPr>
                  <w:i/>
                  <w:iCs/>
                  <w:color w:val="000000"/>
                  <w:szCs w:val="24"/>
                  <w:lang w:eastAsia="lt-LT" w:bidi="en-US"/>
                </w:rPr>
                <w:t>išvardijami Lietuvos Respublikos teisės aktai, kuriuos reikės priimti</w:t>
              </w:r>
              <w:r>
                <w:rPr>
                  <w:color w:val="000000"/>
                  <w:szCs w:val="24"/>
                  <w:lang w:eastAsia="lt-LT" w:bidi="en-US"/>
                </w:rPr>
                <w:t>) (</w:t>
              </w:r>
              <w:r>
                <w:rPr>
                  <w:b/>
                  <w:bCs/>
                  <w:color w:val="000000"/>
                  <w:szCs w:val="24"/>
                  <w:lang w:eastAsia="lt-LT" w:bidi="en-US"/>
                </w:rPr>
                <w:t>arba</w:t>
              </w:r>
              <w:r>
                <w:rPr>
                  <w:color w:val="000000"/>
                  <w:szCs w:val="24"/>
                  <w:lang w:eastAsia="lt-LT" w:bidi="en-US"/>
                </w:rPr>
                <w:t xml:space="preserve"> </w:t>
              </w:r>
              <w:r>
                <w:rPr>
                  <w:rFonts w:eastAsia="Andale Sans UI"/>
                  <w:szCs w:val="24"/>
                  <w:lang w:bidi="en-US"/>
                </w:rPr>
                <w:t xml:space="preserve">Siekiant užtikrinti visišką </w:t>
              </w:r>
              <w:r>
                <w:rPr>
                  <w:color w:val="000000"/>
                  <w:szCs w:val="24"/>
                  <w:lang w:eastAsia="lt-LT" w:bidi="en-US"/>
                </w:rPr>
                <w:t>susijusių Europos Sąjungos teisės aktų perkėlimą ir (ar) įgyvendinimą, kitų teisės aktų priimti nereikės).</w:t>
              </w:r>
            </w:p>
          </w:sdtContent>
        </w:sdt>
        <w:sdt>
          <w:sdtPr>
            <w:alias w:val="7 p."/>
            <w:tag w:val="part_8d12524048494997a6606c059e44181f"/>
            <w:lock w:val="sdtLocked"/>
            <w:richText/>
          </w:sdtPr>
          <w:sdtContent>
            <w:p>
              <w:pPr>
                <w:spacing w:line="276" w:lineRule="auto"/>
                <w:ind w:firstLine="567"/>
                <w:jc w:val="both"/>
                <w:rPr>
                  <w:rFonts w:eastAsia="Andale Sans UI" w:cs="Tahoma"/>
                  <w:szCs w:val="24"/>
                  <w:lang w:bidi="en-US"/>
                </w:rPr>
              </w:pPr>
              <w:sdt>
                <w:sdtPr>
                  <w:alias w:val="Numeris"/>
                  <w:tag w:val="nr_8d12524048494997a6606c059e44181f"/>
                  <w:lock w:val="sdtLocked"/>
                  <w:richText/>
                </w:sdtPr>
                <w:sdtContent>
                  <w:r>
                    <w:rPr>
                      <w:rFonts w:eastAsia="Andale Sans UI"/>
                      <w:b/>
                      <w:bCs/>
                      <w:szCs w:val="24"/>
                      <w:lang w:bidi="en-US"/>
                    </w:rPr>
                    <w:t>7</w:t>
                  </w:r>
                </w:sdtContent>
              </w:sdt>
              <w:r>
                <w:rPr>
                  <w:rFonts w:eastAsia="Andale Sans UI"/>
                  <w:b/>
                  <w:bCs/>
                  <w:szCs w:val="24"/>
                  <w:lang w:bidi="en-US"/>
                </w:rPr>
                <w:t>. Notifikavimas</w:t>
              </w:r>
              <w:r>
                <w:rPr>
                  <w:rFonts w:eastAsia="Andale Sans UI"/>
                  <w:b/>
                  <w:bCs/>
                  <w:szCs w:val="24"/>
                  <w:vertAlign w:val="superscript"/>
                  <w:lang w:bidi="en-US"/>
                </w:rPr>
                <w:footnoteReference w:id="3"/>
              </w:r>
              <w:r>
                <w:rPr>
                  <w:rFonts w:eastAsia="Andale Sans UI"/>
                  <w:b/>
                  <w:bCs/>
                  <w:szCs w:val="24"/>
                  <w:lang w:bidi="en-US"/>
                </w:rPr>
                <w:t xml:space="preserve"> Europos Komisijai </w:t>
              </w:r>
              <w:r>
                <w:rPr>
                  <w:color w:val="000000"/>
                  <w:szCs w:val="24"/>
                  <w:lang w:bidi="en-US"/>
                </w:rPr>
                <w:t>(pažymimas tinkamas variantas)</w:t>
              </w:r>
            </w:p>
            <w:p>
              <w:pPr>
                <w:spacing w:line="276" w:lineRule="auto"/>
                <w:ind w:firstLine="567"/>
                <w:jc w:val="both"/>
                <w:rPr>
                  <w:rFonts w:eastAsia="Andale Sans UI"/>
                  <w:b/>
                  <w:bCs/>
                  <w:szCs w:val="24"/>
                  <w:lang w:bidi="en-US"/>
                </w:rPr>
              </w:pPr>
              <w:r>
                <w:rPr>
                  <w:rFonts w:ascii="MS Gothic" w:eastAsia="MS Gothic" w:hAnsi="MS Gothic"/>
                  <w:szCs w:val="24"/>
                  <w:lang w:bidi="en-US"/>
                </w:rPr>
                <w:t>☒</w:t>
              </w:r>
              <w:r>
                <w:rPr>
                  <w:rFonts w:eastAsia="Andale Sans UI"/>
                  <w:szCs w:val="24"/>
                  <w:lang w:bidi="en-US"/>
                </w:rPr>
                <w:t xml:space="preserve"> Projektas nenotifikuotinas Europos Komisijai.</w:t>
              </w:r>
            </w:p>
            <w:p>
              <w:pPr>
                <w:spacing w:line="276" w:lineRule="auto"/>
                <w:ind w:firstLine="567"/>
                <w:jc w:val="both"/>
                <w:rPr>
                  <w:rFonts w:eastAsia="Andale Sans UI"/>
                  <w:szCs w:val="24"/>
                  <w:lang w:bidi="en-US"/>
                </w:rPr>
              </w:pPr>
              <w:r>
                <w:rPr>
                  <w:rFonts w:ascii="Segoe UI Symbol" w:eastAsia="MS Gothic" w:hAnsi="Segoe UI Symbol" w:cs="Segoe UI Symbol"/>
                  <w:szCs w:val="24"/>
                  <w:lang w:bidi="en-US"/>
                </w:rPr>
                <w:t>☐</w:t>
              </w:r>
              <w:r>
                <w:rPr>
                  <w:rFonts w:eastAsia="Andale Sans UI"/>
                  <w:szCs w:val="24"/>
                  <w:lang w:bidi="en-US"/>
                </w:rPr>
                <w:t xml:space="preserve"> Projektas notifikuotinas Europos Komisijai (</w:t>
              </w:r>
              <w:r>
                <w:rPr>
                  <w:rFonts w:eastAsia="Andale Sans UI"/>
                  <w:i/>
                  <w:iCs/>
                  <w:szCs w:val="24"/>
                  <w:lang w:bidi="en-US"/>
                </w:rPr>
                <w:t>nurodoma data</w:t>
              </w:r>
              <w:r>
                <w:rPr>
                  <w:rFonts w:eastAsia="Andale Sans UI"/>
                  <w:szCs w:val="24"/>
                  <w:lang w:bidi="en-US"/>
                </w:rPr>
                <w:t>).</w:t>
              </w:r>
            </w:p>
          </w:sdtContent>
        </w:sdt>
        <w:sdt>
          <w:sdtPr>
            <w:alias w:val="8 p."/>
            <w:tag w:val="part_5e955e60df22420d9047e7cf2ada4e05"/>
            <w:lock w:val="sdtLocked"/>
            <w:richText/>
          </w:sdtPr>
          <w:sdtContent>
            <w:p>
              <w:pPr>
                <w:spacing w:line="276" w:lineRule="auto"/>
                <w:ind w:firstLine="567"/>
                <w:jc w:val="both"/>
                <w:rPr>
                  <w:color w:val="000000"/>
                  <w:szCs w:val="24"/>
                  <w:lang w:eastAsia="lt-LT" w:bidi="en-US"/>
                </w:rPr>
              </w:pPr>
              <w:sdt>
                <w:sdtPr>
                  <w:alias w:val="Numeris"/>
                  <w:tag w:val="nr_5e955e60df22420d9047e7cf2ada4e05"/>
                  <w:lock w:val="sdtLocked"/>
                  <w:richText/>
                </w:sdtPr>
                <w:sdtContent>
                  <w:r>
                    <w:rPr>
                      <w:rFonts w:eastAsia="Andale Sans UI"/>
                      <w:b/>
                      <w:bCs/>
                      <w:szCs w:val="24"/>
                      <w:lang w:bidi="en-US"/>
                    </w:rPr>
                    <w:t>8</w:t>
                  </w:r>
                </w:sdtContent>
              </w:sdt>
              <w:r>
                <w:rPr>
                  <w:rFonts w:eastAsia="Andale Sans UI"/>
                  <w:b/>
                  <w:bCs/>
                  <w:szCs w:val="24"/>
                  <w:lang w:bidi="en-US"/>
                </w:rPr>
                <w:t xml:space="preserve">. </w:t>
              </w:r>
              <w:r>
                <w:rPr>
                  <w:b/>
                  <w:bCs/>
                  <w:color w:val="000000"/>
                  <w:szCs w:val="24"/>
                  <w:lang w:eastAsia="lt-LT" w:bidi="en-US"/>
                </w:rPr>
                <w:t>Pranešimo Europos Komisijai teikimas</w:t>
              </w:r>
              <w:r>
                <w:rPr>
                  <w:b/>
                  <w:bCs/>
                  <w:color w:val="000000"/>
                  <w:szCs w:val="24"/>
                  <w:vertAlign w:val="superscript"/>
                  <w:lang w:eastAsia="lt-LT" w:bidi="en-US"/>
                </w:rPr>
                <w:footnoteReference w:id="4"/>
              </w:r>
              <w:r>
                <w:rPr>
                  <w:color w:val="000000"/>
                  <w:szCs w:val="24"/>
                  <w:lang w:eastAsia="lt-LT" w:bidi="en-US"/>
                </w:rPr>
                <w:t xml:space="preserve"> (</w:t>
              </w:r>
              <w:r>
                <w:rPr>
                  <w:szCs w:val="24"/>
                  <w:lang w:eastAsia="lt-LT" w:bidi="en-US"/>
                </w:rPr>
                <w:t>pažymimas tinkamas variantas)</w:t>
              </w:r>
            </w:p>
            <w:p>
              <w:pPr>
                <w:spacing w:line="276" w:lineRule="auto"/>
                <w:ind w:firstLine="567"/>
                <w:jc w:val="both"/>
                <w:rPr>
                  <w:color w:val="000000"/>
                  <w:szCs w:val="24"/>
                  <w:lang w:eastAsia="lt-LT" w:bidi="en-US"/>
                </w:rPr>
              </w:pPr>
              <w:r>
                <w:rPr>
                  <w:rFonts w:ascii="MS Gothic" w:eastAsia="MS Gothic" w:hAnsi="MS Gothic"/>
                  <w:szCs w:val="24"/>
                  <w:lang w:bidi="en-US"/>
                </w:rPr>
                <w:t>☐</w:t>
              </w:r>
              <w:r>
                <w:rPr>
                  <w:rFonts w:eastAsia="Andale Sans UI"/>
                  <w:szCs w:val="24"/>
                  <w:lang w:bidi="en-US"/>
                </w:rPr>
                <w:t xml:space="preserve"> P</w:t>
              </w:r>
              <w:r>
                <w:rPr>
                  <w:color w:val="000000"/>
                  <w:szCs w:val="24"/>
                  <w:lang w:eastAsia="lt-LT" w:bidi="en-US"/>
                </w:rPr>
                <w:t>ranešimas Europos Komisijai teiktinas.</w:t>
              </w:r>
            </w:p>
            <w:p>
              <w:pPr>
                <w:spacing w:line="276" w:lineRule="auto"/>
                <w:ind w:firstLine="567"/>
                <w:jc w:val="both"/>
                <w:rPr>
                  <w:color w:val="000000"/>
                  <w:szCs w:val="24"/>
                  <w:lang w:eastAsia="lt-LT" w:bidi="en-US"/>
                </w:rPr>
              </w:pPr>
              <w:r>
                <w:rPr>
                  <w:rFonts w:ascii="MS Gothic" w:eastAsia="MS Gothic" w:hAnsi="MS Gothic"/>
                  <w:szCs w:val="24"/>
                  <w:lang w:bidi="en-US"/>
                </w:rPr>
                <w:t>☒</w:t>
              </w:r>
              <w:r>
                <w:rPr>
                  <w:rFonts w:eastAsia="Andale Sans UI"/>
                  <w:szCs w:val="24"/>
                  <w:lang w:bidi="en-US"/>
                </w:rPr>
                <w:t xml:space="preserve"> P</w:t>
              </w:r>
              <w:r>
                <w:rPr>
                  <w:color w:val="000000"/>
                  <w:szCs w:val="24"/>
                  <w:lang w:eastAsia="lt-LT" w:bidi="en-US"/>
                </w:rPr>
                <w:t>ranešimas Europos Komisijai neteiktinas.</w:t>
              </w:r>
            </w:p>
          </w:sdtContent>
        </w:sdt>
        <w:sdt>
          <w:sdtPr>
            <w:alias w:val="9 p."/>
            <w:tag w:val="part_7778098f913640c9a0d79b1fe7fee107"/>
            <w:lock w:val="sdtLocked"/>
            <w:richText/>
          </w:sdtPr>
          <w:sdtContent>
            <w:p>
              <w:pPr>
                <w:spacing w:line="276" w:lineRule="auto"/>
                <w:ind w:firstLine="567"/>
                <w:jc w:val="both"/>
                <w:rPr>
                  <w:rFonts w:eastAsia="Andale Sans UI" w:cs="Tahoma"/>
                  <w:szCs w:val="24"/>
                  <w:lang w:bidi="en-US"/>
                </w:rPr>
              </w:pPr>
              <w:sdt>
                <w:sdtPr>
                  <w:alias w:val="Numeris"/>
                  <w:tag w:val="nr_7778098f913640c9a0d79b1fe7fee107"/>
                  <w:lock w:val="sdtLocked"/>
                  <w:richText/>
                </w:sdtPr>
                <w:sdtContent>
                  <w:r>
                    <w:rPr>
                      <w:rFonts w:eastAsia="Andale Sans UI"/>
                      <w:b/>
                      <w:bCs/>
                      <w:szCs w:val="24"/>
                      <w:lang w:bidi="en-US"/>
                    </w:rPr>
                    <w:t>9</w:t>
                  </w:r>
                </w:sdtContent>
              </w:sdt>
              <w:r>
                <w:rPr>
                  <w:rFonts w:eastAsia="Andale Sans UI"/>
                  <w:b/>
                  <w:bCs/>
                  <w:szCs w:val="24"/>
                  <w:lang w:bidi="en-US"/>
                </w:rPr>
                <w:t>. Numatomo teisinio reguliavimo poveikio vertinimas</w:t>
              </w:r>
              <w:r>
                <w:rPr>
                  <w:rFonts w:eastAsia="Andale Sans UI"/>
                  <w:b/>
                  <w:bCs/>
                  <w:szCs w:val="24"/>
                  <w:vertAlign w:val="superscript"/>
                  <w:lang w:bidi="en-US"/>
                </w:rPr>
                <w:footnoteReference w:id="5"/>
              </w:r>
              <w:r>
                <w:rPr>
                  <w:rFonts w:eastAsia="Andale Sans UI"/>
                  <w:b/>
                  <w:bCs/>
                  <w:szCs w:val="24"/>
                  <w:lang w:bidi="en-US"/>
                </w:rPr>
                <w:t xml:space="preserve"> </w:t>
              </w:r>
              <w:r>
                <w:rPr>
                  <w:color w:val="000000"/>
                  <w:szCs w:val="24"/>
                  <w:lang w:bidi="en-US"/>
                </w:rPr>
                <w:t>(pažymimas tinkamas variantas)</w:t>
              </w:r>
            </w:p>
            <w:p>
              <w:pPr>
                <w:widowControl w:val="0"/>
                <w:spacing w:line="276" w:lineRule="auto"/>
                <w:ind w:firstLine="567"/>
                <w:jc w:val="both"/>
                <w:rPr>
                  <w:rFonts w:eastAsia="Andale Sans UI"/>
                  <w:i/>
                  <w:iCs/>
                  <w:color w:val="000000"/>
                  <w:szCs w:val="24"/>
                  <w:lang w:bidi="en-US"/>
                </w:rPr>
              </w:pPr>
              <w:r>
                <w:rPr>
                  <w:rFonts w:ascii="Segoe UI Symbol" w:eastAsia="MS Gothic" w:hAnsi="Segoe UI Symbol" w:cs="Segoe UI Symbol"/>
                  <w:szCs w:val="24"/>
                  <w:lang w:bidi="en-US"/>
                </w:rPr>
                <w:t>☐</w:t>
              </w:r>
              <w:r>
                <w:rPr>
                  <w:rFonts w:eastAsia="Andale Sans UI"/>
                  <w:szCs w:val="24"/>
                  <w:lang w:bidi="en-US"/>
                </w:rPr>
                <w:t xml:space="preserve"> Atliktas Projekto numatomo teisinio reguliavimo poveikio vertinimas (</w:t>
              </w:r>
              <w:r>
                <w:rPr>
                  <w:rFonts w:eastAsia="Andale Sans UI"/>
                  <w:i/>
                  <w:iCs/>
                  <w:color w:val="000000"/>
                  <w:szCs w:val="24"/>
                  <w:lang w:bidi="en-US"/>
                </w:rPr>
                <w:t>pateikiamos nutarimo projekto poveikio vertinimo rezultatų išvados – apibendrinta informacija, kurioje nurodomas numatomo teisinio reguliavimo tikslas, galimas teigiamas ir (ar) neigiamas Projekto poveikis kiekvienu vertinimo aspektu, kur įmanoma, pagrįstas atliktais skaičiavimais;</w:t>
              </w:r>
              <w:r>
                <w:rPr>
                  <w:rFonts w:eastAsia="Andale Sans UI"/>
                  <w:i/>
                  <w:iCs/>
                  <w:szCs w:val="24"/>
                  <w:lang w:bidi="en-US"/>
                </w:rPr>
                <w:t xml:space="preserve"> </w:t>
              </w:r>
              <w:r>
                <w:rPr>
                  <w:rFonts w:eastAsia="Andale Sans UI"/>
                  <w:i/>
                  <w:iCs/>
                  <w:color w:val="000000"/>
                  <w:szCs w:val="24"/>
                  <w:lang w:bidi="en-US"/>
                </w:rPr>
                <w:t>jeigu atliekamas Projekto poveikio aplinkai ir klimato kaitai vertinimas</w:t>
              </w:r>
              <w:r>
                <w:rPr>
                  <w:rFonts w:eastAsia="Andale Sans UI"/>
                  <w:i/>
                  <w:iCs/>
                  <w:color w:val="000000"/>
                  <w:szCs w:val="24"/>
                  <w:vertAlign w:val="superscript"/>
                  <w:lang w:bidi="en-US"/>
                </w:rPr>
                <w:footnoteReference w:id="6"/>
              </w:r>
              <w:r>
                <w:rPr>
                  <w:rFonts w:eastAsia="Andale Sans UI"/>
                  <w:i/>
                  <w:iCs/>
                  <w:color w:val="000000"/>
                  <w:szCs w:val="24"/>
                  <w:lang w:bidi="en-US"/>
                </w:rPr>
                <w:t>, kokybiškai ir (ar) kiekybiškai įvertinamas ir aprašomas galimas poveikis aplinkai ir klimato kaitai</w:t>
              </w:r>
              <w:r>
                <w:rPr>
                  <w:rFonts w:eastAsia="Andale Sans UI"/>
                  <w:i/>
                  <w:iCs/>
                  <w:color w:val="000000"/>
                  <w:szCs w:val="24"/>
                  <w:vertAlign w:val="superscript"/>
                  <w:lang w:bidi="en-US"/>
                </w:rPr>
                <w:footnoteReference w:id="7"/>
              </w:r>
              <w:r>
                <w:rPr>
                  <w:rFonts w:eastAsia="Andale Sans UI"/>
                  <w:i/>
                  <w:iCs/>
                  <w:color w:val="000000"/>
                  <w:szCs w:val="24"/>
                  <w:lang w:bidi="en-US"/>
                </w:rPr>
                <w:t>; d</w:t>
              </w:r>
              <w:r>
                <w:rPr>
                  <w:rFonts w:eastAsia="Andale Sans UI"/>
                  <w:i/>
                  <w:iCs/>
                  <w:szCs w:val="24"/>
                  <w:lang w:bidi="en-US"/>
                </w:rPr>
                <w:t>ėl poveikio aplinkai ir klimato kaitai vertinimo konsultuoja Aplinkos apsaugos agentūra</w:t>
              </w:r>
              <w:r>
                <w:rPr>
                  <w:rFonts w:eastAsia="Andale Sans UI"/>
                  <w:i/>
                  <w:iCs/>
                  <w:szCs w:val="24"/>
                  <w:vertAlign w:val="superscript"/>
                  <w:lang w:bidi="en-US"/>
                </w:rPr>
                <w:footnoteReference w:id="8"/>
              </w:r>
              <w:r>
                <w:rPr>
                  <w:rFonts w:eastAsia="Andale Sans UI"/>
                  <w:color w:val="000000"/>
                  <w:szCs w:val="24"/>
                  <w:lang w:bidi="en-US"/>
                </w:rPr>
                <w:t>)</w:t>
              </w:r>
              <w:r>
                <w:rPr>
                  <w:rFonts w:eastAsia="Andale Sans UI"/>
                  <w:i/>
                  <w:iCs/>
                  <w:color w:val="000000"/>
                  <w:szCs w:val="24"/>
                  <w:lang w:bidi="en-US"/>
                </w:rPr>
                <w:t>.</w:t>
              </w:r>
            </w:p>
            <w:p>
              <w:pPr>
                <w:widowControl w:val="0"/>
                <w:spacing w:line="276" w:lineRule="auto"/>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Projekto numatomo teisinio reguliavimo poveikio vertinimas neatliekamas.</w:t>
              </w:r>
            </w:p>
            <w:p>
              <w:pPr>
                <w:widowControl w:val="0"/>
                <w:spacing w:line="276" w:lineRule="auto"/>
                <w:ind w:firstLine="567"/>
                <w:jc w:val="both"/>
                <w:rPr>
                  <w:rFonts w:eastAsia="Andale Sans UI"/>
                  <w:color w:val="000000"/>
                  <w:szCs w:val="24"/>
                  <w:lang w:bidi="en-US"/>
                </w:rPr>
              </w:pPr>
              <w:r>
                <w:rPr>
                  <w:rFonts w:ascii="Segoe UI Symbol" w:eastAsia="MS Gothic" w:hAnsi="Segoe UI Symbol" w:cs="Segoe UI Symbol"/>
                  <w:szCs w:val="24"/>
                  <w:lang w:bidi="en-US"/>
                </w:rPr>
                <w:t>☐</w:t>
              </w:r>
              <w:r>
                <w:rPr>
                  <w:color w:val="000000"/>
                  <w:szCs w:val="24"/>
                  <w:lang w:eastAsia="lt-LT" w:bidi="en-US"/>
                </w:rPr>
                <w:t xml:space="preserve"> </w:t>
              </w:r>
              <w:r>
                <w:rPr>
                  <w:rFonts w:eastAsia="Andale Sans UI"/>
                  <w:iCs/>
                  <w:color w:val="000000"/>
                  <w:szCs w:val="24"/>
                  <w:lang w:bidi="en-US"/>
                </w:rPr>
                <w:t>Ši informacija nurodoma aiškinamajame rašte</w:t>
              </w:r>
              <w:r>
                <w:rPr>
                  <w:rFonts w:eastAsia="Andale Sans UI"/>
                  <w:i/>
                  <w:color w:val="000000"/>
                  <w:szCs w:val="24"/>
                  <w:lang w:bidi="en-US"/>
                </w:rPr>
                <w:t xml:space="preserve"> </w:t>
              </w:r>
              <w:r>
                <w:rPr>
                  <w:rFonts w:eastAsia="Andale Sans UI"/>
                  <w:iCs/>
                  <w:color w:val="000000"/>
                  <w:szCs w:val="24"/>
                  <w:lang w:bidi="en-US"/>
                </w:rPr>
                <w:t>(</w:t>
              </w:r>
              <w:r>
                <w:rPr>
                  <w:rFonts w:eastAsia="Andale Sans UI"/>
                  <w:i/>
                  <w:iCs/>
                  <w:color w:val="000000"/>
                  <w:szCs w:val="24"/>
                  <w:lang w:bidi="en-US"/>
                </w:rPr>
                <w:t>Lietuvos Respublikos Seimui teiktinų įstatymų ar kitų Lietuvos Respublikos Seimo teisės aktų projektų poveikio vertinimo rezultatai pateikiami aiškinamajame rašte vadovaujantis Lietuvos Respublikos Seimo statuto 135 straipsnyje nustatytais reikalavimais</w:t>
              </w:r>
              <w:r>
                <w:rPr>
                  <w:rFonts w:eastAsia="Andale Sans UI"/>
                  <w:color w:val="000000"/>
                  <w:szCs w:val="24"/>
                  <w:lang w:bidi="en-US"/>
                </w:rPr>
                <w:t>).</w:t>
              </w:r>
            </w:p>
          </w:sdtContent>
        </w:sdt>
        <w:sdt>
          <w:sdtPr>
            <w:alias w:val="10 p."/>
            <w:tag w:val="part_684e5321170a47e3b10ba67bcff5e84e"/>
            <w:lock w:val="sdtLocked"/>
            <w:richText/>
          </w:sdtPr>
          <w:sdtContent>
            <w:p>
              <w:pPr>
                <w:widowControl w:val="0"/>
                <w:spacing w:line="276" w:lineRule="auto"/>
                <w:ind w:firstLine="567"/>
                <w:jc w:val="both"/>
                <w:rPr>
                  <w:szCs w:val="24"/>
                  <w:lang w:bidi="en-US"/>
                </w:rPr>
              </w:pPr>
              <w:sdt>
                <w:sdtPr>
                  <w:alias w:val="Numeris"/>
                  <w:tag w:val="nr_684e5321170a47e3b10ba67bcff5e84e"/>
                  <w:lock w:val="sdtLocked"/>
                  <w:richText/>
                </w:sdtPr>
                <w:sdtContent>
                  <w:r>
                    <w:rPr>
                      <w:rFonts w:eastAsia="Andale Sans UI"/>
                      <w:b/>
                      <w:bCs/>
                      <w:szCs w:val="24"/>
                      <w:lang w:bidi="en-US"/>
                    </w:rPr>
                    <w:t>10</w:t>
                  </w:r>
                </w:sdtContent>
              </w:sdt>
              <w:r>
                <w:rPr>
                  <w:rFonts w:eastAsia="Andale Sans UI"/>
                  <w:b/>
                  <w:bCs/>
                  <w:szCs w:val="24"/>
                  <w:lang w:bidi="en-US"/>
                </w:rPr>
                <w:t xml:space="preserve">. Teisės aktai, kuriuos reikės priimti, pakeisti arba pripažinti netekusiais galios </w:t>
              </w:r>
              <w:r>
                <w:rPr>
                  <w:color w:val="000000"/>
                  <w:szCs w:val="24"/>
                  <w:lang w:bidi="en-US"/>
                </w:rPr>
                <w:t>(pažymimas tinkamas variantas)</w:t>
              </w:r>
            </w:p>
            <w:p>
              <w:pPr>
                <w:widowControl w:val="0"/>
                <w:spacing w:line="276" w:lineRule="auto"/>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Projektui įtraukti į teisės sistemą kitų teisės aktų priimti nereikės.</w:t>
              </w:r>
            </w:p>
            <w:p>
              <w:pPr>
                <w:widowControl w:val="0"/>
                <w:spacing w:line="276" w:lineRule="auto"/>
                <w:ind w:firstLine="567"/>
                <w:jc w:val="both"/>
                <w:rPr>
                  <w:rFonts w:eastAsia="Andale Sans UI"/>
                  <w:i/>
                  <w:szCs w:val="24"/>
                  <w:lang w:bidi="en-US"/>
                </w:rPr>
              </w:pPr>
              <w:r>
                <w:rPr>
                  <w:rFonts w:ascii="Segoe UI Symbol" w:eastAsia="MS Gothic" w:hAnsi="Segoe UI Symbol" w:cs="Segoe UI Symbol"/>
                  <w:szCs w:val="24"/>
                  <w:lang w:bidi="en-US"/>
                </w:rPr>
                <w:t>☐</w:t>
              </w:r>
              <w:r>
                <w:rPr>
                  <w:rFonts w:eastAsia="Andale Sans UI"/>
                  <w:szCs w:val="24"/>
                  <w:lang w:bidi="en-US"/>
                </w:rPr>
                <w:t xml:space="preserve"> Projektui įtraukti į teisės sistemą reikės priimti šiuos teisės aktus: (</w:t>
              </w:r>
              <w:r>
                <w:rPr>
                  <w:rFonts w:eastAsia="Andale Sans UI"/>
                  <w:i/>
                  <w:szCs w:val="24"/>
                  <w:lang w:bidi="en-US"/>
                </w:rPr>
                <w:t>išvardijama</w:t>
              </w:r>
              <w:r>
                <w:rPr>
                  <w:rFonts w:eastAsia="Andale Sans UI"/>
                  <w:szCs w:val="24"/>
                  <w:lang w:bidi="en-US"/>
                </w:rPr>
                <w:t>)</w:t>
              </w:r>
              <w:r>
                <w:rPr>
                  <w:rFonts w:eastAsia="Andale Sans UI"/>
                  <w:i/>
                  <w:szCs w:val="24"/>
                  <w:lang w:bidi="en-US"/>
                </w:rPr>
                <w:t>.</w:t>
              </w:r>
            </w:p>
            <w:p>
              <w:pPr>
                <w:widowControl w:val="0"/>
                <w:spacing w:line="276" w:lineRule="auto"/>
                <w:ind w:firstLine="567"/>
                <w:jc w:val="both"/>
                <w:rPr>
                  <w:rFonts w:eastAsia="Andale Sans UI"/>
                  <w:b/>
                  <w:bCs/>
                  <w:szCs w:val="24"/>
                  <w:lang w:bidi="en-US"/>
                </w:rPr>
              </w:pPr>
              <w:r>
                <w:rPr>
                  <w:rFonts w:ascii="Segoe UI Symbol" w:eastAsia="MS Gothic" w:hAnsi="Segoe UI Symbol" w:cs="Segoe UI Symbol"/>
                  <w:szCs w:val="24"/>
                  <w:lang w:bidi="en-US"/>
                </w:rPr>
                <w:t>☐</w:t>
              </w:r>
              <w:r>
                <w:rPr>
                  <w:color w:val="000000"/>
                  <w:szCs w:val="24"/>
                  <w:lang w:eastAsia="lt-LT" w:bidi="en-US"/>
                </w:rPr>
                <w:t xml:space="preserve"> </w:t>
              </w:r>
              <w:r>
                <w:rPr>
                  <w:rFonts w:eastAsia="Andale Sans UI"/>
                  <w:iCs/>
                  <w:color w:val="000000"/>
                  <w:szCs w:val="24"/>
                  <w:lang w:bidi="en-US"/>
                </w:rPr>
                <w:t>Ši informacija nurodoma aiškinamajame rašte</w:t>
              </w:r>
              <w:r>
                <w:rPr>
                  <w:rFonts w:eastAsia="Andale Sans UI"/>
                  <w:i/>
                  <w:color w:val="000000"/>
                  <w:szCs w:val="24"/>
                  <w:lang w:bidi="en-US"/>
                </w:rPr>
                <w:t xml:space="preserve"> </w:t>
              </w:r>
              <w:r>
                <w:rPr>
                  <w:rFonts w:eastAsia="Andale Sans UI"/>
                  <w:iCs/>
                  <w:color w:val="000000"/>
                  <w:szCs w:val="24"/>
                  <w:lang w:bidi="en-US"/>
                </w:rPr>
                <w:t>(</w:t>
              </w:r>
              <w:r>
                <w:rPr>
                  <w:rFonts w:eastAsia="Andale Sans UI"/>
                  <w:i/>
                  <w:color w:val="000000"/>
                  <w:szCs w:val="24"/>
                  <w:lang w:bidi="en-US"/>
                </w:rPr>
                <w:t>kai teikiamas įstatymo projektas</w:t>
              </w:r>
              <w:r>
                <w:rPr>
                  <w:rFonts w:eastAsia="Andale Sans UI"/>
                  <w:color w:val="000000"/>
                  <w:szCs w:val="24"/>
                  <w:lang w:bidi="en-US"/>
                </w:rPr>
                <w:t>).</w:t>
              </w:r>
            </w:p>
          </w:sdtContent>
        </w:sdt>
        <w:sdt>
          <w:sdtPr>
            <w:alias w:val="11 p."/>
            <w:tag w:val="part_acb4d0aea5b24ec0b845b8b6de189a74"/>
            <w:lock w:val="sdtLocked"/>
            <w:richText/>
          </w:sdtPr>
          <w:sdtContent>
            <w:p>
              <w:pPr>
                <w:spacing w:line="276" w:lineRule="auto"/>
                <w:ind w:firstLine="567"/>
                <w:jc w:val="both"/>
                <w:rPr>
                  <w:rFonts w:eastAsia="Andale Sans UI" w:cs="Tahoma"/>
                  <w:szCs w:val="24"/>
                  <w:lang w:bidi="en-US"/>
                </w:rPr>
              </w:pPr>
              <w:sdt>
                <w:sdtPr>
                  <w:alias w:val="Numeris"/>
                  <w:tag w:val="nr_acb4d0aea5b24ec0b845b8b6de189a74"/>
                  <w:lock w:val="sdtLocked"/>
                  <w:richText/>
                </w:sdtPr>
                <w:sdtContent>
                  <w:r>
                    <w:rPr>
                      <w:rFonts w:eastAsia="Andale Sans UI"/>
                      <w:b/>
                      <w:bCs/>
                      <w:szCs w:val="24"/>
                      <w:lang w:bidi="en-US"/>
                    </w:rPr>
                    <w:t>11</w:t>
                  </w:r>
                </w:sdtContent>
              </w:sdt>
              <w:r>
                <w:rPr>
                  <w:rFonts w:eastAsia="Andale Sans UI"/>
                  <w:b/>
                  <w:bCs/>
                  <w:szCs w:val="24"/>
                  <w:lang w:bidi="en-US"/>
                </w:rPr>
                <w:t xml:space="preserve">. Informacija apie sąvokų įvertinimą Lietuvos Respublikos terminų banko įstatymo ir jo įgyvendinamųjų teisės aktų nustatyta tvarka </w:t>
              </w:r>
              <w:r>
                <w:rPr>
                  <w:color w:val="000000"/>
                  <w:szCs w:val="24"/>
                  <w:lang w:bidi="en-US"/>
                </w:rPr>
                <w:t>(pažymimas tinkamas variantas)</w:t>
              </w:r>
            </w:p>
            <w:p>
              <w:pPr>
                <w:spacing w:line="276" w:lineRule="auto"/>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Projekte naujų sąvokų nėra.</w:t>
              </w:r>
            </w:p>
            <w:p>
              <w:pPr>
                <w:spacing w:line="276" w:lineRule="auto"/>
                <w:ind w:firstLine="567"/>
                <w:jc w:val="both"/>
                <w:rPr>
                  <w:rFonts w:eastAsia="Andale Sans UI"/>
                  <w:color w:val="000000"/>
                  <w:szCs w:val="24"/>
                  <w:lang w:bidi="en-US"/>
                </w:rPr>
              </w:pPr>
              <w:r>
                <w:rPr>
                  <w:rFonts w:ascii="Segoe UI Symbol" w:eastAsia="MS Gothic" w:hAnsi="Segoe UI Symbol" w:cs="Segoe UI Symbol"/>
                  <w:szCs w:val="24"/>
                  <w:lang w:bidi="en-US"/>
                </w:rPr>
                <w:t>☐</w:t>
              </w:r>
              <w:r>
                <w:rPr>
                  <w:rFonts w:eastAsia="Andale Sans UI"/>
                  <w:szCs w:val="24"/>
                  <w:lang w:bidi="en-US"/>
                </w:rPr>
                <w:t xml:space="preserve"> P</w:t>
              </w:r>
              <w:r>
                <w:rPr>
                  <w:rFonts w:eastAsia="Andale Sans UI"/>
                  <w:color w:val="000000"/>
                  <w:szCs w:val="24"/>
                  <w:lang w:bidi="en-US"/>
                </w:rPr>
                <w:t xml:space="preserve">rojekte vartojamos sąvokos aprobuotos Lietuvos Respublikos terminų banko įstatymo ir jo įgyvendinamųjų teisės aktų nustatyta tvarka. </w:t>
              </w:r>
            </w:p>
            <w:p>
              <w:pPr>
                <w:spacing w:line="276" w:lineRule="auto"/>
                <w:ind w:firstLine="567"/>
                <w:jc w:val="both"/>
                <w:rPr>
                  <w:rFonts w:eastAsia="Andale Sans UI"/>
                  <w:color w:val="000000"/>
                  <w:szCs w:val="24"/>
                  <w:lang w:bidi="en-US"/>
                </w:rPr>
              </w:pPr>
              <w:r>
                <w:rPr>
                  <w:rFonts w:ascii="Segoe UI Symbol" w:eastAsia="MS Gothic" w:hAnsi="Segoe UI Symbol" w:cs="Segoe UI Symbol"/>
                  <w:szCs w:val="24"/>
                  <w:lang w:bidi="en-US"/>
                </w:rPr>
                <w:t>☐</w:t>
              </w:r>
              <w:r>
                <w:rPr>
                  <w:color w:val="000000"/>
                  <w:szCs w:val="24"/>
                  <w:lang w:eastAsia="lt-LT" w:bidi="en-US"/>
                </w:rPr>
                <w:t xml:space="preserve"> </w:t>
              </w:r>
              <w:r>
                <w:rPr>
                  <w:rFonts w:eastAsia="Andale Sans UI"/>
                  <w:iCs/>
                  <w:color w:val="000000"/>
                  <w:szCs w:val="24"/>
                  <w:lang w:bidi="en-US"/>
                </w:rPr>
                <w:t>Ši informacija nurodoma aiškinamajame rašte</w:t>
              </w:r>
              <w:r>
                <w:rPr>
                  <w:rFonts w:eastAsia="Andale Sans UI"/>
                  <w:i/>
                  <w:color w:val="000000"/>
                  <w:szCs w:val="24"/>
                  <w:lang w:bidi="en-US"/>
                </w:rPr>
                <w:t xml:space="preserve"> </w:t>
              </w:r>
              <w:r>
                <w:rPr>
                  <w:rFonts w:eastAsia="Andale Sans UI"/>
                  <w:iCs/>
                  <w:color w:val="000000"/>
                  <w:szCs w:val="24"/>
                  <w:lang w:bidi="en-US"/>
                </w:rPr>
                <w:t>(</w:t>
              </w:r>
              <w:r>
                <w:rPr>
                  <w:rFonts w:eastAsia="Andale Sans UI"/>
                  <w:i/>
                  <w:color w:val="000000"/>
                  <w:szCs w:val="24"/>
                  <w:lang w:bidi="en-US"/>
                </w:rPr>
                <w:t>kai teikiamas įstatymo projektas</w:t>
              </w:r>
              <w:r>
                <w:rPr>
                  <w:rFonts w:eastAsia="Andale Sans UI"/>
                  <w:color w:val="000000"/>
                  <w:szCs w:val="24"/>
                  <w:lang w:bidi="en-US"/>
                </w:rPr>
                <w:t>).</w:t>
              </w:r>
            </w:p>
          </w:sdtContent>
        </w:sdt>
        <w:sdt>
          <w:sdtPr>
            <w:alias w:val="12 p."/>
            <w:tag w:val="part_abf534aabfd7449dbe1cc453c6e7201e"/>
            <w:lock w:val="sdtLocked"/>
            <w:richText/>
          </w:sdtPr>
          <w:sdtContent>
            <w:p>
              <w:pPr>
                <w:spacing w:line="276" w:lineRule="auto"/>
                <w:ind w:firstLine="567"/>
                <w:jc w:val="both"/>
                <w:rPr>
                  <w:rFonts w:eastAsia="Andale Sans UI"/>
                  <w:b/>
                  <w:bCs/>
                  <w:szCs w:val="24"/>
                  <w:lang w:bidi="en-US"/>
                </w:rPr>
              </w:pPr>
              <w:sdt>
                <w:sdtPr>
                  <w:alias w:val="Numeris"/>
                  <w:tag w:val="nr_abf534aabfd7449dbe1cc453c6e7201e"/>
                  <w:lock w:val="sdtLocked"/>
                  <w:richText/>
                </w:sdtPr>
                <w:sdtContent>
                  <w:r>
                    <w:rPr>
                      <w:rFonts w:eastAsia="Andale Sans UI"/>
                      <w:b/>
                      <w:bCs/>
                      <w:szCs w:val="24"/>
                      <w:lang w:bidi="en-US"/>
                    </w:rPr>
                    <w:t>12</w:t>
                  </w:r>
                </w:sdtContent>
              </w:sdt>
              <w:r>
                <w:rPr>
                  <w:rFonts w:eastAsia="Andale Sans UI"/>
                  <w:b/>
                  <w:bCs/>
                  <w:szCs w:val="24"/>
                  <w:lang w:bidi="en-US"/>
                </w:rPr>
                <w:t>. Kita reikalinga informacija</w:t>
              </w:r>
            </w:p>
            <w:p>
              <w:pPr>
                <w:spacing w:line="276" w:lineRule="auto"/>
                <w:ind w:firstLine="567"/>
                <w:jc w:val="both"/>
                <w:rPr>
                  <w:szCs w:val="24"/>
                  <w:lang w:eastAsia="lt-LT"/>
                </w:rPr>
              </w:pPr>
              <w:r>
                <w:rPr>
                  <w:szCs w:val="24"/>
                  <w:lang w:eastAsia="lt-LT"/>
                </w:rPr>
                <w:t>Projekte nereglamentuojamas asmens duomenų naudojimas.</w:t>
              </w:r>
            </w:p>
          </w:sdtContent>
        </w:sdt>
        <w:sdt>
          <w:sdtPr>
            <w:alias w:val="13 p."/>
            <w:tag w:val="part_cc1b10c230674cecae41636769761dc1"/>
            <w:lock w:val="sdtLocked"/>
            <w:richText/>
          </w:sdtPr>
          <w:sdtContent>
            <w:p>
              <w:pPr>
                <w:spacing w:line="276" w:lineRule="auto"/>
                <w:ind w:firstLine="567"/>
                <w:jc w:val="both"/>
                <w:rPr>
                  <w:szCs w:val="24"/>
                  <w:lang w:bidi="en-US"/>
                </w:rPr>
              </w:pPr>
              <w:sdt>
                <w:sdtPr>
                  <w:alias w:val="Numeris"/>
                  <w:tag w:val="nr_cc1b10c230674cecae41636769761dc1"/>
                  <w:lock w:val="sdtLocked"/>
                  <w:richText/>
                </w:sdtPr>
                <w:sdtContent>
                  <w:r>
                    <w:rPr>
                      <w:rFonts w:eastAsia="Andale Sans UI"/>
                      <w:b/>
                      <w:bCs/>
                      <w:szCs w:val="24"/>
                      <w:lang w:bidi="en-US"/>
                    </w:rPr>
                    <w:t>13</w:t>
                  </w:r>
                </w:sdtContent>
              </w:sdt>
              <w:r>
                <w:rPr>
                  <w:rFonts w:eastAsia="Andale Sans UI"/>
                  <w:b/>
                  <w:bCs/>
                  <w:szCs w:val="24"/>
                  <w:lang w:bidi="en-US"/>
                </w:rPr>
                <w:t>. Konsultavimasis su visuomene</w:t>
              </w:r>
              <w:r>
                <w:rPr>
                  <w:rFonts w:eastAsia="Andale Sans UI"/>
                  <w:b/>
                  <w:bCs/>
                  <w:szCs w:val="24"/>
                  <w:vertAlign w:val="superscript"/>
                  <w:lang w:bidi="en-US"/>
                </w:rPr>
                <w:footnoteReference w:id="9"/>
              </w:r>
              <w:r>
                <w:rPr>
                  <w:rFonts w:eastAsia="Andale Sans UI"/>
                  <w:b/>
                  <w:bCs/>
                  <w:szCs w:val="24"/>
                  <w:lang w:bidi="en-US"/>
                </w:rPr>
                <w:t xml:space="preserve">  </w:t>
              </w:r>
              <w:r>
                <w:rPr>
                  <w:rFonts w:eastAsia="Andale Sans UI"/>
                  <w:b/>
                  <w:bCs/>
                  <w:color w:val="000000"/>
                  <w:szCs w:val="24"/>
                  <w:lang w:bidi="en-US"/>
                </w:rPr>
                <w:t>interneto svetainėje epilietis.lrv.lt</w:t>
              </w:r>
              <w:r>
                <w:rPr>
                  <w:rFonts w:eastAsia="Andale Sans UI"/>
                  <w:color w:val="000000"/>
                  <w:szCs w:val="24"/>
                  <w:lang w:bidi="en-US"/>
                </w:rPr>
                <w:t xml:space="preserve"> </w:t>
              </w:r>
              <w:r>
                <w:rPr>
                  <w:rFonts w:eastAsia="Andale Sans UI"/>
                  <w:b/>
                  <w:bCs/>
                  <w:i/>
                  <w:iCs/>
                  <w:color w:val="000000"/>
                  <w:szCs w:val="24"/>
                  <w:lang w:bidi="en-US"/>
                </w:rPr>
                <w:t xml:space="preserve"> </w:t>
              </w:r>
              <w:r>
                <w:rPr>
                  <w:color w:val="000000"/>
                  <w:szCs w:val="24"/>
                  <w:lang w:bidi="en-US"/>
                </w:rPr>
                <w:t>(pažymimas tinkamas variantas)</w:t>
              </w:r>
            </w:p>
            <w:p>
              <w:pPr>
                <w:spacing w:line="276" w:lineRule="auto"/>
                <w:ind w:firstLine="567"/>
                <w:jc w:val="both"/>
                <w:rPr>
                  <w:i/>
                  <w:iCs/>
                  <w:color w:val="000000"/>
                  <w:szCs w:val="24"/>
                  <w:lang w:eastAsia="lt-LT" w:bidi="en-US"/>
                </w:rPr>
              </w:pPr>
              <w:r>
                <w:rPr>
                  <w:rFonts w:ascii="Segoe UI Symbol" w:eastAsia="MS Gothic" w:hAnsi="Segoe UI Symbol" w:cs="Segoe UI Symbol"/>
                  <w:szCs w:val="24"/>
                  <w:lang w:bidi="en-US"/>
                </w:rPr>
                <w:t>☐</w:t>
              </w:r>
              <w:r>
                <w:rPr>
                  <w:rFonts w:eastAsia="Andale Sans UI"/>
                  <w:szCs w:val="24"/>
                  <w:lang w:bidi="en-US"/>
                </w:rPr>
                <w:t xml:space="preserve"> P</w:t>
              </w:r>
              <w:r>
                <w:rPr>
                  <w:rFonts w:eastAsia="Andale Sans UI"/>
                  <w:color w:val="000000"/>
                  <w:szCs w:val="24"/>
                  <w:lang w:bidi="en-US"/>
                </w:rPr>
                <w:t>rojektas viešosioms konsultacijoms skelbtas interneto svetainėje epilietis.lrv.lt , kur pastabas ir pasiūlymus nuo 202.. m. ... ... d. iki 202.. m. ... ... d. galėjo teikti visi suinteresuoti asmenys (</w:t>
              </w:r>
              <w:r>
                <w:rPr>
                  <w:rFonts w:eastAsia="Andale Sans UI"/>
                  <w:i/>
                  <w:color w:val="000000"/>
                  <w:szCs w:val="24"/>
                  <w:lang w:bidi="en-US"/>
                </w:rPr>
                <w:t xml:space="preserve">nurodomas </w:t>
              </w:r>
              <w:r>
                <w:rPr>
                  <w:rFonts w:eastAsia="Andale Sans UI"/>
                  <w:i/>
                  <w:szCs w:val="24"/>
                  <w:lang w:bidi="en-US"/>
                </w:rPr>
                <w:t xml:space="preserve">konsultavimosi tikslas (tikslai), būdas (būdai), </w:t>
              </w:r>
              <w:r>
                <w:rPr>
                  <w:i/>
                  <w:iCs/>
                  <w:color w:val="000000"/>
                  <w:szCs w:val="24"/>
                  <w:lang w:eastAsia="lt-LT" w:bidi="en-US"/>
                </w:rPr>
                <w:t>suinteresuoti asmenys, su kuriais konsultuotasi, konsultavimosi trukmė</w:t>
              </w:r>
              <w:r>
                <w:rPr>
                  <w:rFonts w:eastAsia="Andale Sans UI"/>
                  <w:i/>
                  <w:szCs w:val="24"/>
                  <w:lang w:bidi="en-US"/>
                </w:rPr>
                <w:t xml:space="preserve"> ir apibendrinti konsultavimosi rezultatai </w:t>
              </w:r>
              <w:r>
                <w:rPr>
                  <w:rFonts w:eastAsia="Andale Sans UI"/>
                  <w:i/>
                  <w:color w:val="000000"/>
                  <w:szCs w:val="24"/>
                  <w:lang w:bidi="en-US"/>
                </w:rPr>
                <w:t xml:space="preserve">– </w:t>
              </w:r>
              <w:r>
                <w:rPr>
                  <w:rFonts w:eastAsia="Andale Sans UI"/>
                  <w:i/>
                  <w:szCs w:val="24"/>
                  <w:lang w:bidi="en-US"/>
                </w:rPr>
                <w:t>pateikiamos bendros (agreguotos) viešųjų konsultacijų dalyvių nuomonių tendencijos, nurodoma, kaip į konsultavimosi su visuomene rezultatus atsižvelgta Projekte</w:t>
              </w:r>
              <w:r>
                <w:rPr>
                  <w:rFonts w:eastAsia="Andale Sans UI"/>
                  <w:szCs w:val="24"/>
                  <w:lang w:bidi="en-US"/>
                </w:rPr>
                <w:t>)</w:t>
              </w:r>
              <w:r>
                <w:rPr>
                  <w:i/>
                  <w:iCs/>
                  <w:color w:val="000000"/>
                  <w:szCs w:val="24"/>
                  <w:lang w:eastAsia="lt-LT" w:bidi="en-US"/>
                </w:rPr>
                <w:t>.</w:t>
              </w:r>
            </w:p>
            <w:p>
              <w:pPr>
                <w:spacing w:line="276" w:lineRule="auto"/>
                <w:ind w:firstLine="567"/>
                <w:jc w:val="both"/>
                <w:rPr>
                  <w:color w:val="000000"/>
                  <w:szCs w:val="24"/>
                  <w:lang w:eastAsia="lt-LT" w:bidi="en-US"/>
                </w:rPr>
              </w:pPr>
              <w:r>
                <w:rPr>
                  <w:rFonts w:ascii="MS Gothic" w:eastAsia="MS Gothic" w:hAnsi="MS Gothic"/>
                  <w:szCs w:val="24"/>
                  <w:lang w:bidi="en-US"/>
                </w:rPr>
                <w:t>☒</w:t>
              </w:r>
              <w:r>
                <w:rPr>
                  <w:rFonts w:eastAsia="Andale Sans UI"/>
                  <w:szCs w:val="24"/>
                  <w:lang w:bidi="en-US"/>
                </w:rPr>
                <w:t xml:space="preserve"> P</w:t>
              </w:r>
              <w:r>
                <w:rPr>
                  <w:rFonts w:eastAsia="Andale Sans UI"/>
                  <w:color w:val="000000"/>
                  <w:szCs w:val="24"/>
                  <w:lang w:bidi="en-US"/>
                </w:rPr>
                <w:t xml:space="preserve">rojektas viešosioms konsultacijoms interneto svetainėje epilietis.lrv.lt </w:t>
              </w:r>
              <w:r>
                <w:rPr>
                  <w:rFonts w:eastAsia="Andale Sans UI"/>
                  <w:szCs w:val="24"/>
                  <w:lang w:bidi="en-US"/>
                </w:rPr>
                <w:t xml:space="preserve"> </w:t>
              </w:r>
              <w:r>
                <w:rPr>
                  <w:color w:val="000000"/>
                  <w:szCs w:val="24"/>
                  <w:lang w:eastAsia="lt-LT" w:bidi="en-US"/>
                </w:rPr>
                <w:t>neskelbtas.</w:t>
              </w:r>
            </w:p>
          </w:sdtContent>
        </w:sdt>
        <w:sdt>
          <w:sdtPr>
            <w:alias w:val="14 p."/>
            <w:tag w:val="part_0f8c3c807c7d4c74ad936b0069d36060"/>
            <w:lock w:val="sdtLocked"/>
            <w:richText/>
          </w:sdtPr>
          <w:sdtContent>
            <w:p>
              <w:pPr>
                <w:spacing w:line="276" w:lineRule="auto"/>
                <w:ind w:firstLine="567"/>
                <w:jc w:val="both"/>
                <w:rPr>
                  <w:rFonts w:eastAsia="Andale Sans UI"/>
                  <w:b/>
                  <w:bCs/>
                  <w:szCs w:val="24"/>
                  <w:lang w:bidi="en-US"/>
                </w:rPr>
              </w:pPr>
              <w:sdt>
                <w:sdtPr>
                  <w:alias w:val="Numeris"/>
                  <w:tag w:val="nr_0f8c3c807c7d4c74ad936b0069d36060"/>
                  <w:lock w:val="sdtLocked"/>
                  <w:richText/>
                </w:sdtPr>
                <w:sdtContent>
                  <w:r>
                    <w:rPr>
                      <w:rFonts w:eastAsia="Andale Sans UI"/>
                      <w:b/>
                      <w:bCs/>
                      <w:szCs w:val="24"/>
                      <w:lang w:bidi="en-US"/>
                    </w:rPr>
                    <w:t>14</w:t>
                  </w:r>
                </w:sdtContent>
              </w:sdt>
              <w:r>
                <w:rPr>
                  <w:rFonts w:eastAsia="Andale Sans UI"/>
                  <w:b/>
                  <w:bCs/>
                  <w:szCs w:val="24"/>
                  <w:lang w:bidi="en-US"/>
                </w:rPr>
                <w:t>. Derinimas su suinteresuotomis institucijomis ir suinteresuotais asmenimis</w:t>
              </w:r>
            </w:p>
            <w:p>
              <w:pPr>
                <w:spacing w:line="276" w:lineRule="auto"/>
                <w:ind w:firstLine="567"/>
                <w:jc w:val="both"/>
                <w:rPr>
                  <w:rFonts w:eastAsia="Andale Sans UI"/>
                  <w:szCs w:val="24"/>
                  <w:lang w:bidi="en-US"/>
                </w:rPr>
              </w:pPr>
              <w:r>
                <w:rPr>
                  <w:rFonts w:eastAsia="Andale Sans UI"/>
                  <w:szCs w:val="24"/>
                  <w:lang w:bidi="en-US"/>
                </w:rPr>
                <w:t>Projektas skelbiamas Lietuvos Respublikos Seimo kanceliarijos teisės aktų informacinėje sistemoje (TAIS).</w:t>
              </w:r>
            </w:p>
            <w:p>
              <w:pPr>
                <w:spacing w:line="276" w:lineRule="auto"/>
                <w:ind w:firstLine="567"/>
                <w:jc w:val="both"/>
                <w:rPr>
                  <w:rFonts w:eastAsia="Andale Sans UI"/>
                  <w:szCs w:val="24"/>
                  <w:lang w:bidi="en-US"/>
                </w:rPr>
              </w:pPr>
              <w:r>
                <w:rPr>
                  <w:rFonts w:eastAsia="Andale Sans UI"/>
                  <w:szCs w:val="24"/>
                  <w:lang w:bidi="en-US"/>
                </w:rPr>
                <w:t xml:space="preserve">Derinimo terminas </w:t>
              </w:r>
              <w:r>
                <w:rPr>
                  <w:szCs w:val="24"/>
                  <w:lang w:eastAsia="lt-LT" w:bidi="en-US"/>
                </w:rPr>
                <w:t>(pažymimas tinkamas variantas)</w:t>
              </w:r>
              <w:r>
                <w:rPr>
                  <w:rFonts w:eastAsia="Andale Sans UI"/>
                  <w:szCs w:val="24"/>
                  <w:lang w:bidi="en-US"/>
                </w:rPr>
                <w:t>:</w:t>
              </w:r>
            </w:p>
            <w:p>
              <w:pPr>
                <w:spacing w:line="276" w:lineRule="auto"/>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10 darbo dienų.</w:t>
              </w:r>
            </w:p>
            <w:p>
              <w:pPr>
                <w:spacing w:line="276" w:lineRule="auto"/>
                <w:ind w:firstLine="567"/>
                <w:jc w:val="both"/>
                <w:textAlignment w:val="baseline"/>
                <w:rPr>
                  <w:rFonts w:eastAsia="StarSymbol"/>
                  <w:szCs w:val="24"/>
                  <w:lang w:eastAsia="lt-LT"/>
                </w:rPr>
              </w:pPr>
              <w:r>
                <w:rPr>
                  <w:rFonts w:ascii="MS Gothic" w:eastAsia="MS Gothic" w:hAnsi="MS Gothic"/>
                  <w:szCs w:val="24"/>
                  <w:lang w:eastAsia="lt-LT"/>
                </w:rPr>
                <w:t>☐</w:t>
              </w:r>
              <w:r>
                <w:rPr>
                  <w:szCs w:val="24"/>
                  <w:lang w:eastAsia="lt-LT"/>
                </w:rPr>
                <w:t xml:space="preserve"> 5 darbo dienos (</w:t>
              </w:r>
              <w:r>
                <w:rPr>
                  <w:i/>
                  <w:iCs/>
                  <w:szCs w:val="24"/>
                  <w:lang w:eastAsia="lt-LT"/>
                </w:rPr>
                <w:t xml:space="preserve">dėl Vyriausybės nutarimų projektų, kuriuose teikiamos Vyriausybės išvados dėl Seime svarstomų teisės aktų projektų, arba surašomas motyvuotas prašymas </w:t>
              </w:r>
              <w:r>
                <w:rPr>
                  <w:i/>
                  <w:iCs/>
                  <w:color w:val="000000"/>
                  <w:szCs w:val="24"/>
                  <w:lang w:eastAsia="lt-LT"/>
                </w:rPr>
                <w:t xml:space="preserve">pateikti išvadas dėl Projekto skubos tvarka </w:t>
              </w:r>
              <w:r>
                <w:rPr>
                  <w:i/>
                  <w:iCs/>
                  <w:szCs w:val="24"/>
                  <w:lang w:eastAsia="lt-LT"/>
                </w:rPr>
                <w:t>Vyriausybės darbo reglamento</w:t>
              </w:r>
              <w:r>
                <w:rPr>
                  <w:i/>
                  <w:iCs/>
                  <w:szCs w:val="24"/>
                  <w:vertAlign w:val="superscript"/>
                  <w:lang w:eastAsia="lt-LT"/>
                </w:rPr>
                <w:footnoteReference w:id="10"/>
              </w:r>
              <w:r>
                <w:rPr>
                  <w:i/>
                  <w:iCs/>
                  <w:szCs w:val="24"/>
                  <w:lang w:eastAsia="lt-LT"/>
                </w:rPr>
                <w:t xml:space="preserve"> 28 punkte išvardytais išimtiniais atvejais </w:t>
              </w:r>
              <w:r>
                <w:rPr>
                  <w:szCs w:val="24"/>
                  <w:lang w:eastAsia="lt-LT"/>
                </w:rPr>
                <w:t>)</w:t>
              </w:r>
              <w:r>
                <w:rPr>
                  <w:i/>
                  <w:iCs/>
                  <w:szCs w:val="24"/>
                  <w:lang w:eastAsia="lt-LT"/>
                </w:rPr>
                <w:t>.</w:t>
              </w:r>
            </w:p>
          </w:sdtContent>
        </w:sdt>
        <w:sdt>
          <w:sdtPr>
            <w:alias w:val="15 p."/>
            <w:tag w:val="part_85f86833b8d147d1a4f0c8baf2d3fae0"/>
            <w:lock w:val="sdtLocked"/>
            <w:richText/>
          </w:sdtPr>
          <w:sdtContent>
            <w:p>
              <w:pPr>
                <w:spacing w:line="276" w:lineRule="auto"/>
                <w:ind w:firstLine="567"/>
                <w:jc w:val="both"/>
                <w:textAlignment w:val="baseline"/>
                <w:rPr>
                  <w:b/>
                  <w:bCs/>
                  <w:szCs w:val="24"/>
                  <w:lang w:eastAsia="lt-LT"/>
                </w:rPr>
              </w:pPr>
              <w:sdt>
                <w:sdtPr>
                  <w:alias w:val="Numeris"/>
                  <w:tag w:val="nr_85f86833b8d147d1a4f0c8baf2d3fae0"/>
                  <w:lock w:val="sdtLocked"/>
                  <w:richText/>
                </w:sdtPr>
                <w:sdtContent>
                  <w:r>
                    <w:rPr>
                      <w:b/>
                      <w:bCs/>
                      <w:szCs w:val="24"/>
                      <w:lang w:eastAsia="lt-LT"/>
                    </w:rPr>
                    <w:t>15</w:t>
                  </w:r>
                </w:sdtContent>
              </w:sdt>
              <w:r>
                <w:rPr>
                  <w:b/>
                  <w:bCs/>
                  <w:szCs w:val="24"/>
                  <w:lang w:eastAsia="lt-LT"/>
                </w:rPr>
                <w:t>. Projekto rengėjai</w:t>
              </w:r>
            </w:p>
            <w:p>
              <w:pPr>
                <w:spacing w:line="276" w:lineRule="auto"/>
                <w:ind w:firstLine="567"/>
                <w:jc w:val="both"/>
                <w:textAlignment w:val="baseline"/>
                <w:rPr>
                  <w:rFonts w:eastAsia="StarSymbol"/>
                  <w:color w:val="000000"/>
                  <w:szCs w:val="24"/>
                  <w:lang w:eastAsia="lt-LT"/>
                </w:rPr>
              </w:pPr>
              <w:r>
                <w:rPr>
                  <w:szCs w:val="24"/>
                  <w:lang w:eastAsia="lt-LT"/>
                </w:rPr>
                <w:t>Projektą parengė Aplinkos ministerijos Būsto politikos grupės (vadovė – Laura Lukoševičienė (tel. +370 695 48 717, el. p. laura.lukoseviciene@am.lt) vyresnysis patarėjas Martinas Nyderis (tel. +370 696 97 200, el. p. martinas.nyderis@am.lt) ir vyriausiasis specialistas Aleksandr Dolgov (tel. +370 612 62 844, el. p. aleksandr.dolgov@am.lt).</w:t>
              </w:r>
            </w:p>
            <w:p>
              <w:pPr>
                <w:spacing w:line="276" w:lineRule="auto"/>
                <w:ind w:firstLine="567"/>
                <w:jc w:val="both"/>
                <w:rPr>
                  <w:rFonts w:eastAsia="Andale Sans UI"/>
                  <w:szCs w:val="24"/>
                  <w:lang w:bidi="en-US"/>
                </w:rPr>
              </w:pPr>
              <w:r>
                <w:rPr>
                  <w:rFonts w:eastAsia="Andale Sans UI"/>
                  <w:szCs w:val="24"/>
                  <w:lang w:bidi="en-US"/>
                </w:rPr>
                <w:t>PRIDEDAMA:</w:t>
              </w:r>
            </w:p>
          </w:sdtContent>
        </w:sdt>
        <w:sdt>
          <w:sdtPr>
            <w:alias w:val="1 p."/>
            <w:tag w:val="part_7cb9a09fc0fb4340a08de0ab8aa3062b"/>
            <w:lock w:val="sdtLocked"/>
            <w:richText/>
          </w:sdtPr>
          <w:sdtContent>
            <w:p>
              <w:pPr>
                <w:spacing w:line="276" w:lineRule="auto"/>
                <w:ind w:left="927" w:hanging="360"/>
                <w:jc w:val="both"/>
                <w:rPr>
                  <w:rFonts w:eastAsia="Andale Sans UI"/>
                  <w:szCs w:val="24"/>
                  <w:lang w:bidi="en-US"/>
                </w:rPr>
              </w:pPr>
              <w:sdt>
                <w:sdtPr>
                  <w:alias w:val="Numeris"/>
                  <w:tag w:val="nr_7cb9a09fc0fb4340a08de0ab8aa3062b"/>
                  <w:lock w:val="sdtLocked"/>
                  <w:richText/>
                </w:sdtPr>
                <w:sdtContent>
                  <w:r>
                    <w:rPr>
                      <w:rFonts w:eastAsia="Andale Sans UI"/>
                      <w:szCs w:val="24"/>
                    </w:rPr>
                    <w:t>1</w:t>
                  </w:r>
                </w:sdtContent>
              </w:sdt>
              <w:r>
                <w:rPr>
                  <w:rFonts w:eastAsia="Andale Sans UI"/>
                  <w:szCs w:val="24"/>
                </w:rPr>
                <w:t>.</w:t>
                <w:tab/>
              </w:r>
              <w:r>
                <w:rPr>
                  <w:rFonts w:eastAsia="Andale Sans UI"/>
                  <w:szCs w:val="24"/>
                  <w:lang w:bidi="en-US"/>
                </w:rPr>
                <w:t>Projektas, 2 lapai.</w:t>
              </w:r>
            </w:p>
          </w:sdtContent>
        </w:sdt>
        <w:sdt>
          <w:sdtPr>
            <w:alias w:val="2 p."/>
            <w:tag w:val="part_13aaa26eabf24f0aa3328a99bedde8b9"/>
            <w:lock w:val="sdtLocked"/>
            <w:richText/>
          </w:sdtPr>
          <w:sdtContent>
            <w:p>
              <w:pPr>
                <w:spacing w:line="276" w:lineRule="auto"/>
                <w:ind w:left="927" w:hanging="360"/>
                <w:jc w:val="both"/>
                <w:rPr>
                  <w:rFonts w:eastAsia="Andale Sans UI"/>
                  <w:szCs w:val="24"/>
                  <w:lang w:bidi="en-US"/>
                </w:rPr>
              </w:pPr>
              <w:sdt>
                <w:sdtPr>
                  <w:alias w:val="Numeris"/>
                  <w:tag w:val="nr_13aaa26eabf24f0aa3328a99bedde8b9"/>
                  <w:lock w:val="sdtLocked"/>
                  <w:richText/>
                </w:sdtPr>
                <w:sdtContent>
                  <w:r>
                    <w:rPr>
                      <w:rFonts w:eastAsia="Andale Sans UI"/>
                      <w:szCs w:val="24"/>
                    </w:rPr>
                    <w:t>2</w:t>
                  </w:r>
                </w:sdtContent>
              </w:sdt>
              <w:r>
                <w:rPr>
                  <w:rFonts w:eastAsia="Andale Sans UI"/>
                  <w:szCs w:val="24"/>
                </w:rPr>
                <w:t>.</w:t>
                <w:tab/>
              </w:r>
              <w:r>
                <w:rPr>
                  <w:rFonts w:eastAsia="Andale Sans UI"/>
                  <w:szCs w:val="24"/>
                  <w:lang w:bidi="en-US"/>
                </w:rPr>
                <w:t xml:space="preserve">Projekto lyginamasis variantas, 2 lapai. </w:t>
              </w:r>
            </w:p>
          </w:sdtContent>
        </w:sdt>
        <w:sdt>
          <w:sdtPr>
            <w:alias w:val="3 p."/>
            <w:tag w:val="part_468f9f5644bd4aa2b1f28473ddaa7fb8"/>
            <w:lock w:val="sdtLocked"/>
            <w:richText/>
          </w:sdtPr>
          <w:sdtContent>
            <w:p>
              <w:pPr>
                <w:spacing w:line="276" w:lineRule="auto"/>
                <w:ind w:left="927" w:hanging="360"/>
                <w:jc w:val="both"/>
                <w:rPr>
                  <w:color w:val="000000"/>
                  <w:szCs w:val="24"/>
                  <w:lang w:eastAsia="lt-LT" w:bidi="en-US"/>
                </w:rPr>
              </w:pPr>
              <w:sdt>
                <w:sdtPr>
                  <w:alias w:val="Numeris"/>
                  <w:tag w:val="nr_468f9f5644bd4aa2b1f28473ddaa7fb8"/>
                  <w:lock w:val="sdtLocked"/>
                  <w:richText/>
                </w:sdtPr>
                <w:sdtContent>
                  <w:r>
                    <w:rPr>
                      <w:color w:val="000000"/>
                      <w:szCs w:val="24"/>
                      <w:lang w:eastAsia="lt-LT"/>
                    </w:rPr>
                    <w:t>3</w:t>
                  </w:r>
                </w:sdtContent>
              </w:sdt>
              <w:r>
                <w:rPr>
                  <w:color w:val="000000"/>
                  <w:szCs w:val="24"/>
                  <w:lang w:eastAsia="lt-LT"/>
                </w:rPr>
                <w:t>.</w:t>
                <w:tab/>
              </w:r>
              <w:r>
                <w:rPr>
                  <w:rFonts w:eastAsia="Andale Sans UI"/>
                  <w:szCs w:val="24"/>
                  <w:lang w:bidi="en-US"/>
                </w:rPr>
                <w:t>Antikorupcinio vertinimo pažyma, 6 lapai.</w:t>
              </w:r>
            </w:p>
            <w:p>
              <w:pPr>
                <w:suppressLineNumbers/>
                <w:spacing w:line="276" w:lineRule="auto"/>
                <w:jc w:val="both"/>
                <w:rPr>
                  <w:rFonts w:eastAsia="Andale Sans UI"/>
                  <w:bCs/>
                  <w:szCs w:val="24"/>
                  <w:lang w:bidi="en-US"/>
                </w:rPr>
              </w:pPr>
            </w:p>
            <w:tbl>
              <w:tblPr>
                <w:tblW w:w="9643" w:type="dxa"/>
                <w:tblInd w:w="8" w:type="dxa"/>
                <w:tblLayout w:type="fixed"/>
                <w:tblCellMar>
                  <w:left w:w="0" w:type="dxa"/>
                  <w:right w:w="0" w:type="dxa"/>
                </w:tblCellMar>
                <w:tblLook w:val="0000" w:firstRow="0" w:lastRow="0" w:firstColumn="0" w:lastColumn="0" w:noHBand="0" w:noVBand="0"/>
              </w:tblPr>
              <w:tblGrid>
                <w:gridCol w:w="4817"/>
                <w:gridCol w:w="4826"/>
              </w:tblGrid>
              <w:tr>
                <w:trPr>
                  <w:trHeight w:val="340"/>
                </w:trPr>
                <w:tc>
                  <w:tcPr>
                    <w:tcW w:w="4817" w:type="dxa"/>
                    <w:vAlign w:val="bottom"/>
                  </w:tcPr>
                  <w:p>
                    <w:pPr>
                      <w:suppressLineNumbers/>
                      <w:spacing w:line="276" w:lineRule="auto"/>
                      <w:jc w:val="both"/>
                      <w:rPr>
                        <w:rFonts w:eastAsia="Andale Sans UI"/>
                        <w:szCs w:val="24"/>
                        <w:lang w:bidi="en-US"/>
                      </w:rPr>
                    </w:pPr>
                    <w:r>
                      <w:rPr>
                        <w:rFonts w:eastAsia="Andale Sans UI"/>
                        <w:szCs w:val="24"/>
                        <w:lang w:bidi="en-US"/>
                      </w:rPr>
                      <w:t>Aplinkos viceministrė</w:t>
                    </w:r>
                  </w:p>
                </w:tc>
                <w:tc>
                  <w:tcPr>
                    <w:tcW w:w="4826" w:type="dxa"/>
                    <w:vAlign w:val="bottom"/>
                  </w:tcPr>
                  <w:p>
                    <w:pPr>
                      <w:spacing w:line="276" w:lineRule="auto"/>
                      <w:ind w:right="34"/>
                      <w:jc w:val="right"/>
                      <w:rPr>
                        <w:rFonts w:eastAsia="Andale Sans UI"/>
                        <w:szCs w:val="24"/>
                        <w:lang w:bidi="en-US"/>
                      </w:rPr>
                    </w:pPr>
                    <w:r>
                      <w:rPr>
                        <w:rFonts w:eastAsia="Andale Sans UI"/>
                        <w:szCs w:val="24"/>
                        <w:lang w:bidi="en-US"/>
                      </w:rPr>
                      <w:t xml:space="preserve">Česlava Lisovska </w:t>
                    </w:r>
                  </w:p>
                </w:tc>
              </w:tr>
              <w:tr>
                <w:trPr>
                  <w:trHeight w:val="340"/>
                </w:trPr>
                <w:tc>
                  <w:tcPr>
                    <w:tcW w:w="4817" w:type="dxa"/>
                    <w:vAlign w:val="bottom"/>
                  </w:tcPr>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tc>
                <w:tc>
                  <w:tcPr>
                    <w:tcW w:w="4826" w:type="dxa"/>
                    <w:vAlign w:val="bottom"/>
                  </w:tcPr>
                  <w:p>
                    <w:pPr>
                      <w:spacing w:line="276" w:lineRule="auto"/>
                      <w:ind w:right="34"/>
                      <w:jc w:val="right"/>
                      <w:rPr>
                        <w:rFonts w:eastAsia="Andale Sans UI"/>
                        <w:szCs w:val="24"/>
                        <w:lang w:bidi="en-US"/>
                      </w:rPr>
                    </w:pPr>
                  </w:p>
                </w:tc>
              </w:tr>
              <w:tr>
                <w:trPr>
                  <w:cantSplit/>
                  <w:trHeight w:val="340"/>
                </w:trPr>
                <w:tc>
                  <w:tcPr>
                    <w:tcW w:w="9643" w:type="dxa"/>
                    <w:gridSpan w:val="2"/>
                  </w:tcPr>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r>
                      <w:rPr>
                        <w:rFonts w:eastAsia="Andale Sans UI"/>
                        <w:szCs w:val="24"/>
                        <w:lang w:bidi="en-US"/>
                      </w:rPr>
                      <w:t>M. Nyderis, tel. +370 696 97 200, el. p. martinas.nyderis@am.lt</w:t>
                    </w:r>
                  </w:p>
                  <w:p>
                    <w:pPr>
                      <w:suppressLineNumbers/>
                      <w:jc w:val="both"/>
                      <w:rPr>
                        <w:rFonts w:eastAsia="Andale Sans UI"/>
                        <w:szCs w:val="24"/>
                        <w:lang w:bidi="en-US"/>
                      </w:rPr>
                    </w:pPr>
                    <w:r>
                      <w:rPr>
                        <w:rFonts w:eastAsia="Andale Sans UI"/>
                        <w:szCs w:val="24"/>
                        <w:lang w:bidi="en-US"/>
                      </w:rPr>
                      <w:t>A. Dolgov, tel. +370 612 62 844, el. p. aleksandr.dolgov@am.lt</w:t>
                    </w:r>
                  </w:p>
                </w:tc>
              </w:tr>
            </w:tbl>
            <w:p>
              <w:pPr>
                <w:jc w:val="center"/>
                <w:rPr>
                  <w:rFonts w:eastAsia="Andale Sans UI" w:cs="Tahoma"/>
                  <w:b/>
                  <w:bCs/>
                  <w:szCs w:val="24"/>
                  <w:lang w:bidi="en-US"/>
                </w:rPr>
              </w:pPr>
            </w:p>
            <w:p>
              <w:pPr>
                <w:jc w:val="center"/>
                <w:rPr>
                  <w:rFonts w:eastAsia="Andale Sans UI" w:cs="Tahoma"/>
                  <w:b/>
                  <w:bCs/>
                  <w:szCs w:val="24"/>
                  <w:lang w:bidi="en-US"/>
                </w:rPr>
              </w:pPr>
              <w:r>
                <w:rPr>
                  <w:rFonts w:eastAsia="Andale Sans UI" w:cs="Tahoma"/>
                  <w:b/>
                  <w:bCs/>
                  <w:szCs w:val="24"/>
                  <w:lang w:bidi="en-US"/>
                </w:rPr>
                <w:t>ADRESATŲ SĄRAŠAS</w:t>
              </w:r>
            </w:p>
            <w:p>
              <w:pPr>
                <w:jc w:val="both"/>
                <w:rPr>
                  <w:rFonts w:eastAsia="Andale Sans UI" w:cs="Tahoma"/>
                  <w:sz w:val="18"/>
                  <w:szCs w:val="18"/>
                  <w:lang w:bidi="en-US"/>
                </w:rPr>
              </w:pPr>
            </w:p>
            <w:p>
              <w:pPr>
                <w:ind w:left="357"/>
                <w:jc w:val="both"/>
                <w:rPr>
                  <w:rFonts w:eastAsia="StarSymbol"/>
                  <w:szCs w:val="24"/>
                  <w:lang w:eastAsia="lt-LT" w:bidi="en-US"/>
                </w:rPr>
              </w:pPr>
              <w:r>
                <w:rPr>
                  <w:rFonts w:eastAsia="StarSymbol"/>
                  <w:szCs w:val="24"/>
                  <w:lang w:eastAsia="lt-LT" w:bidi="en-US"/>
                </w:rPr>
                <w:t>Lietuvos Respublikos vidaus reikalų ministerija,</w:t>
              </w:r>
            </w:p>
            <w:p>
              <w:pPr>
                <w:ind w:left="357"/>
                <w:jc w:val="both"/>
                <w:rPr>
                  <w:rFonts w:eastAsia="StarSymbol"/>
                  <w:szCs w:val="24"/>
                  <w:lang w:eastAsia="lt-LT" w:bidi="en-US"/>
                </w:rPr>
              </w:pPr>
            </w:p>
            <w:p>
              <w:pPr>
                <w:ind w:left="357"/>
                <w:jc w:val="both"/>
                <w:rPr>
                  <w:rFonts w:eastAsia="StarSymbol"/>
                  <w:szCs w:val="24"/>
                  <w:lang w:eastAsia="lt-LT" w:bidi="en-US"/>
                </w:rPr>
              </w:pPr>
              <w:r>
                <w:rPr>
                  <w:rFonts w:eastAsia="StarSymbol"/>
                  <w:szCs w:val="24"/>
                  <w:lang w:eastAsia="lt-LT" w:bidi="en-US"/>
                </w:rPr>
                <w:t>Lietuvos Respublikos teisingumo ministerija,</w:t>
              </w:r>
            </w:p>
            <w:p>
              <w:pPr>
                <w:ind w:left="357"/>
                <w:jc w:val="both"/>
                <w:rPr>
                  <w:rFonts w:eastAsia="Andale Sans UI" w:cs="Tahoma"/>
                  <w:szCs w:val="24"/>
                  <w:lang w:bidi="en-US"/>
                </w:rPr>
              </w:pPr>
            </w:p>
            <w:p>
              <w:pPr>
                <w:ind w:left="360"/>
                <w:jc w:val="both"/>
                <w:rPr>
                  <w:rFonts w:eastAsia="Andale Sans UI" w:cs="Tahoma"/>
                  <w:szCs w:val="24"/>
                  <w:lang w:bidi="en-US"/>
                </w:rPr>
              </w:pPr>
              <w:r>
                <w:rPr>
                  <w:rFonts w:eastAsia="Andale Sans UI" w:cs="Tahoma"/>
                  <w:szCs w:val="24"/>
                  <w:lang w:bidi="en-US"/>
                </w:rPr>
                <w:t>Lietuvos Respublikos ekonomikos ir inovacijų ministerija,</w:t>
              </w:r>
            </w:p>
            <w:p/>
            <w:p>
              <w:pPr>
                <w:ind w:left="360"/>
                <w:jc w:val="both"/>
                <w:rPr>
                  <w:rFonts w:eastAsia="Andale Sans UI" w:cs="Tahoma"/>
                  <w:szCs w:val="24"/>
                  <w:lang w:bidi="en-US"/>
                </w:rPr>
              </w:pPr>
              <w:r>
                <w:rPr>
                  <w:rFonts w:eastAsia="Andale Sans UI" w:cs="Tahoma"/>
                  <w:szCs w:val="24"/>
                  <w:lang w:bidi="en-US"/>
                </w:rPr>
                <w:t>Lietuvos Respublikos energetikos ministerija,</w:t>
              </w:r>
            </w:p>
            <w:p/>
            <w:p>
              <w:pPr>
                <w:ind w:left="360"/>
                <w:jc w:val="both"/>
                <w:rPr>
                  <w:rFonts w:eastAsia="Andale Sans UI" w:cs="Tahoma"/>
                  <w:szCs w:val="24"/>
                  <w:lang w:bidi="en-US"/>
                </w:rPr>
              </w:pPr>
              <w:r>
                <w:rPr>
                  <w:rFonts w:eastAsia="Andale Sans UI" w:cs="Tahoma"/>
                  <w:szCs w:val="24"/>
                  <w:lang w:bidi="en-US"/>
                </w:rPr>
                <w:t>Lietuvos Respublikos finansų ministerija,</w:t>
              </w:r>
            </w:p>
            <w:p/>
            <w:p>
              <w:pPr>
                <w:ind w:left="360"/>
                <w:jc w:val="both"/>
                <w:rPr>
                  <w:rFonts w:eastAsia="Andale Sans UI" w:cs="Tahoma"/>
                  <w:szCs w:val="24"/>
                  <w:lang w:bidi="en-US"/>
                </w:rPr>
              </w:pPr>
              <w:r>
                <w:rPr>
                  <w:rFonts w:eastAsia="Andale Sans UI" w:cs="Tahoma"/>
                  <w:szCs w:val="24"/>
                  <w:lang w:bidi="en-US"/>
                </w:rPr>
                <w:t>Lietuvos Respublikos socialinės apsaugos ir darbo ministerija,</w:t>
              </w:r>
            </w:p>
            <w:p/>
            <w:p>
              <w:pPr>
                <w:ind w:left="360"/>
                <w:jc w:val="both"/>
                <w:rPr>
                  <w:rFonts w:eastAsia="Andale Sans UI" w:cs="Tahoma"/>
                  <w:szCs w:val="24"/>
                  <w:lang w:bidi="en-US"/>
                </w:rPr>
              </w:pPr>
              <w:r>
                <w:rPr>
                  <w:rFonts w:eastAsia="Andale Sans UI" w:cs="Tahoma"/>
                  <w:szCs w:val="24"/>
                  <w:lang w:bidi="en-US"/>
                </w:rPr>
                <w:t>Lietuvos Respublikos specialiųjų tyrimų tarnyba,</w:t>
              </w:r>
            </w:p>
            <w:p>
              <w:pPr>
                <w:ind w:left="360"/>
                <w:jc w:val="both"/>
                <w:rPr>
                  <w:rFonts w:eastAsia="Andale Sans UI" w:cs="Tahoma"/>
                  <w:szCs w:val="24"/>
                  <w:lang w:bidi="en-US"/>
                </w:rPr>
              </w:pPr>
            </w:p>
            <w:p>
              <w:pPr>
                <w:ind w:left="360"/>
                <w:jc w:val="both"/>
                <w:rPr>
                  <w:rFonts w:eastAsia="Andale Sans UI" w:cs="Tahoma"/>
                  <w:szCs w:val="24"/>
                  <w:lang w:bidi="en-US"/>
                </w:rPr>
              </w:pPr>
              <w:r>
                <w:rPr>
                  <w:rFonts w:eastAsia="Andale Sans UI" w:cs="Tahoma"/>
                  <w:szCs w:val="24"/>
                  <w:lang w:bidi="en-US"/>
                </w:rPr>
                <w:t>Lietuvos ornitologų draugija,</w:t>
              </w:r>
            </w:p>
            <w:p>
              <w:pPr>
                <w:ind w:left="360"/>
                <w:jc w:val="both"/>
                <w:rPr>
                  <w:rFonts w:eastAsia="Andale Sans UI" w:cs="Tahoma"/>
                  <w:szCs w:val="24"/>
                  <w:lang w:bidi="en-US"/>
                </w:rPr>
              </w:pPr>
            </w:p>
            <w:p>
              <w:pPr>
                <w:ind w:left="360"/>
                <w:jc w:val="both"/>
                <w:rPr>
                  <w:rFonts w:eastAsia="Andale Sans UI" w:cs="Tahoma"/>
                  <w:szCs w:val="24"/>
                  <w:lang w:bidi="en-US"/>
                </w:rPr>
              </w:pPr>
              <w:r>
                <w:rPr>
                  <w:rFonts w:eastAsia="Andale Sans UI" w:cs="Tahoma"/>
                  <w:szCs w:val="24"/>
                  <w:lang w:bidi="en-US"/>
                </w:rPr>
                <w:t>Valstybinė saugomų teritorijų tarnyba prie Aplinkos ministerijos,</w:t>
              </w:r>
            </w:p>
            <w:p>
              <w:pPr>
                <w:rPr>
                  <w:rFonts w:ascii="Arial" w:hAnsi="Arial" w:cs="Arial"/>
                  <w:szCs w:val="24"/>
                  <w:u w:val="single"/>
                  <w:shd w:val="clear" w:color="auto" w:fill="FFFFFF"/>
                  <w:lang w:eastAsia="lt-LT"/>
                </w:rPr>
              </w:pPr>
            </w:p>
            <w:p>
              <w:pPr>
                <w:ind w:left="360"/>
                <w:jc w:val="both"/>
                <w:rPr>
                  <w:rFonts w:eastAsia="Andale Sans UI" w:cs="Tahoma"/>
                  <w:szCs w:val="24"/>
                  <w:lang w:bidi="en-US"/>
                </w:rPr>
              </w:pPr>
              <w:r>
                <w:rPr>
                  <w:rFonts w:eastAsia="Andale Sans UI" w:cs="Tahoma"/>
                  <w:szCs w:val="24"/>
                  <w:lang w:bidi="en-US"/>
                </w:rPr>
                <w:t>Lietuvos Respublikos aplinkos ministerijos Aplinkos projektų valdymo agentūra,</w:t>
              </w:r>
            </w:p>
            <w:p>
              <w:pPr>
                <w:ind w:left="360"/>
                <w:jc w:val="both"/>
                <w:rPr>
                  <w:rFonts w:eastAsia="Andale Sans UI" w:cs="Tahoma"/>
                  <w:szCs w:val="24"/>
                  <w:lang w:bidi="en-US"/>
                </w:rPr>
              </w:pPr>
            </w:p>
            <w:p>
              <w:pPr>
                <w:ind w:left="360"/>
                <w:jc w:val="both"/>
                <w:rPr>
                  <w:rFonts w:eastAsia="Andale Sans UI" w:cs="Tahoma"/>
                  <w:szCs w:val="24"/>
                  <w:lang w:bidi="en-US"/>
                </w:rPr>
              </w:pPr>
              <w:r>
                <w:rPr>
                  <w:rFonts w:eastAsia="Andale Sans UI" w:cs="Tahoma"/>
                  <w:szCs w:val="24"/>
                  <w:lang w:bidi="en-US"/>
                </w:rPr>
                <w:t>Viešoji įstaiga Centrinė projektų valdymo agentūra,</w:t>
              </w:r>
            </w:p>
            <w:p/>
            <w:p>
              <w:pPr>
                <w:ind w:left="360"/>
                <w:jc w:val="both"/>
                <w:rPr>
                  <w:rFonts w:eastAsia="Andale Sans UI" w:cs="Tahoma"/>
                  <w:szCs w:val="24"/>
                  <w:lang w:bidi="en-US"/>
                </w:rPr>
              </w:pPr>
              <w:r>
                <w:rPr>
                  <w:rFonts w:eastAsia="Andale Sans UI" w:cs="Tahoma"/>
                  <w:szCs w:val="24"/>
                  <w:lang w:bidi="en-US"/>
                </w:rPr>
                <w:t>Viešoji įstaiga CPO LT,</w:t>
              </w:r>
            </w:p>
            <w:p/>
            <w:p>
              <w:pPr>
                <w:ind w:left="360"/>
                <w:jc w:val="both"/>
                <w:rPr>
                  <w:rFonts w:eastAsia="Andale Sans UI" w:cs="Tahoma"/>
                  <w:szCs w:val="24"/>
                  <w:lang w:bidi="en-US"/>
                </w:rPr>
              </w:pPr>
              <w:r>
                <w:rPr>
                  <w:rFonts w:eastAsia="Andale Sans UI" w:cs="Tahoma"/>
                  <w:szCs w:val="24"/>
                  <w:lang w:bidi="en-US"/>
                </w:rPr>
                <w:t>Valstybinė teritorijų planavimo ir statybos inspekcija prie Aplinkos ministerijos,</w:t>
              </w:r>
            </w:p>
            <w:p/>
            <w:p>
              <w:pPr>
                <w:ind w:left="360"/>
                <w:jc w:val="both"/>
                <w:rPr>
                  <w:rFonts w:eastAsia="Andale Sans UI" w:cs="Tahoma"/>
                  <w:szCs w:val="24"/>
                  <w:lang w:bidi="en-US"/>
                </w:rPr>
              </w:pPr>
              <w:r>
                <w:rPr>
                  <w:rFonts w:eastAsia="Andale Sans UI" w:cs="Tahoma"/>
                  <w:szCs w:val="24"/>
                  <w:lang w:bidi="en-US"/>
                </w:rPr>
                <w:t>Lietuvos savivaldybių asociacija,</w:t>
              </w:r>
            </w:p>
            <w:p/>
            <w:p>
              <w:pPr>
                <w:ind w:left="360"/>
                <w:jc w:val="both"/>
                <w:rPr>
                  <w:rFonts w:eastAsia="Andale Sans UI" w:cs="Tahoma"/>
                  <w:szCs w:val="24"/>
                  <w:lang w:bidi="en-US"/>
                </w:rPr>
              </w:pPr>
              <w:r>
                <w:rPr>
                  <w:rFonts w:eastAsia="Andale Sans UI" w:cs="Tahoma"/>
                  <w:szCs w:val="24"/>
                  <w:lang w:bidi="en-US"/>
                </w:rPr>
                <w:t>Lietuvos statybininkų asociacija,</w:t>
              </w:r>
            </w:p>
            <w:p/>
            <w:p>
              <w:pPr>
                <w:ind w:left="360"/>
                <w:jc w:val="both"/>
                <w:rPr>
                  <w:rFonts w:eastAsia="Andale Sans UI" w:cs="Tahoma"/>
                  <w:szCs w:val="24"/>
                  <w:lang w:bidi="en-US"/>
                </w:rPr>
              </w:pPr>
              <w:r>
                <w:rPr>
                  <w:rFonts w:eastAsia="Andale Sans UI" w:cs="Tahoma"/>
                  <w:szCs w:val="24"/>
                  <w:lang w:bidi="en-US"/>
                </w:rPr>
                <w:t>UAB ILTE,</w:t>
              </w:r>
            </w:p>
            <w:p/>
            <w:p>
              <w:pPr>
                <w:ind w:left="360"/>
                <w:jc w:val="both"/>
                <w:rPr>
                  <w:rFonts w:eastAsia="Andale Sans UI" w:cs="Tahoma"/>
                  <w:szCs w:val="24"/>
                  <w:lang w:bidi="en-US"/>
                </w:rPr>
              </w:pPr>
              <w:r>
                <w:rPr>
                  <w:rFonts w:eastAsia="Andale Sans UI" w:cs="Tahoma"/>
                  <w:szCs w:val="24"/>
                  <w:lang w:bidi="en-US"/>
                </w:rPr>
                <w:t>AB ARTEA,</w:t>
              </w:r>
            </w:p>
            <w:p/>
            <w:p>
              <w:pPr>
                <w:ind w:left="360"/>
                <w:jc w:val="both"/>
                <w:rPr>
                  <w:rFonts w:eastAsia="Andale Sans UI" w:cs="Tahoma"/>
                  <w:szCs w:val="24"/>
                  <w:lang w:bidi="en-US"/>
                </w:rPr>
              </w:pPr>
              <w:r>
                <w:rPr>
                  <w:rFonts w:eastAsia="Andale Sans UI" w:cs="Tahoma"/>
                  <w:szCs w:val="24"/>
                  <w:lang w:bidi="en-US"/>
                </w:rPr>
                <w:t>Europos investicijų banko atstovybė Lietuvoje,</w:t>
              </w:r>
            </w:p>
            <w:p/>
            <w:p>
              <w:pPr>
                <w:ind w:left="360"/>
                <w:jc w:val="both"/>
                <w:rPr>
                  <w:rFonts w:eastAsia="Andale Sans UI" w:cs="Tahoma"/>
                  <w:szCs w:val="24"/>
                  <w:lang w:bidi="en-US"/>
                </w:rPr>
              </w:pPr>
              <w:r>
                <w:rPr>
                  <w:rFonts w:eastAsia="Andale Sans UI" w:cs="Tahoma"/>
                  <w:szCs w:val="24"/>
                  <w:lang w:bidi="en-US"/>
                </w:rPr>
                <w:t>Savivaldybių komunalinių įmonių asociacija,</w:t>
              </w:r>
            </w:p>
            <w:p/>
            <w:p>
              <w:pPr>
                <w:ind w:left="360"/>
                <w:jc w:val="both"/>
                <w:rPr>
                  <w:rFonts w:eastAsia="Andale Sans UI" w:cs="Tahoma"/>
                  <w:szCs w:val="24"/>
                  <w:lang w:bidi="en-US"/>
                </w:rPr>
              </w:pPr>
              <w:r>
                <w:rPr>
                  <w:rFonts w:eastAsia="Andale Sans UI" w:cs="Tahoma"/>
                  <w:szCs w:val="24"/>
                  <w:lang w:bidi="en-US"/>
                </w:rPr>
                <w:t>Lietuvos respublikiniai būsto valdymo ir priežiūros rūmai,</w:t>
              </w:r>
            </w:p>
            <w:p/>
            <w:p>
              <w:pPr>
                <w:ind w:left="360"/>
                <w:jc w:val="both"/>
                <w:rPr>
                  <w:rFonts w:eastAsia="Andale Sans UI" w:cs="Tahoma"/>
                  <w:szCs w:val="24"/>
                  <w:lang w:bidi="en-US"/>
                </w:rPr>
              </w:pPr>
              <w:r>
                <w:rPr>
                  <w:rFonts w:eastAsia="Andale Sans UI" w:cs="Tahoma"/>
                  <w:szCs w:val="24"/>
                  <w:lang w:bidi="en-US"/>
                </w:rPr>
                <w:t>Nacionalinė pastatų priežiūros asociacija PREMA,</w:t>
              </w:r>
            </w:p>
            <w:p/>
            <w:p>
              <w:pPr>
                <w:ind w:left="360"/>
                <w:jc w:val="both"/>
                <w:rPr>
                  <w:rFonts w:eastAsia="Andale Sans UI" w:cs="Tahoma"/>
                  <w:szCs w:val="24"/>
                  <w:lang w:bidi="en-US"/>
                </w:rPr>
              </w:pPr>
              <w:r>
                <w:rPr>
                  <w:rFonts w:eastAsia="Andale Sans UI" w:cs="Tahoma"/>
                  <w:szCs w:val="24"/>
                  <w:lang w:bidi="en-US"/>
                </w:rPr>
                <w:t>Asociacija „Lietuvos butų ūkis“.</w:t>
              </w:r>
            </w:p>
            <w:p>
              <w:pPr>
                <w:ind w:left="360"/>
                <w:jc w:val="both"/>
                <w:rPr>
                  <w:rFonts w:eastAsia="Andale Sans UI" w:cs="Tahoma"/>
                  <w:szCs w:val="24"/>
                  <w:lang w:bidi="en-US"/>
                </w:rPr>
              </w:pPr>
            </w:p>
            <w:p>
              <w:pPr>
                <w:jc w:val="both"/>
                <w:rPr>
                  <w:rFonts w:eastAsia="Andale Sans UI"/>
                  <w:szCs w:val="24"/>
                  <w:lang w:bidi="en-US"/>
                </w:rPr>
              </w:pPr>
            </w:p>
          </w:sdtContent>
        </w:sdt>
      </w:sdtContent>
    </w:sdt>
    <w:sectPr>
      <w:headerReference w:type="even" r:id="rId11"/>
      <w:headerReference w:type="default" r:id="rId12"/>
      <w:footerReference w:type="even" r:id="rId13"/>
      <w:footerReference w:type="default" r:id="rId14"/>
      <w:headerReference w:type="first" r:id="rId15"/>
      <w:footerReference w:type="first" r:id="rId16"/>
      <w:footnotePr>
        <w:pos w:val="beneathText"/>
        <w:numRestart w:val="eachPage"/>
      </w:footnotePr>
      <w:endnotePr>
        <w:numFmt w:val="decimal"/>
      </w:endnotePr>
      <w:pgSz w:w="11905" w:h="16837"/>
      <w:pgMar w:top="1021" w:right="567" w:bottom="1021" w:left="1588" w:header="567" w:footer="232" w:gutter="0"/>
      <w:pgNumType w:start="1"/>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jc w:val="both"/>
        <w:rPr>
          <w:rFonts w:eastAsia="Andale Sans UI" w:cs="Tahoma"/>
          <w:szCs w:val="24"/>
          <w:lang w:bidi="en-US"/>
        </w:rPr>
      </w:pPr>
      <w:r>
        <w:rPr>
          <w:rFonts w:eastAsia="Andale Sans UI" w:cs="Tahoma"/>
          <w:szCs w:val="24"/>
          <w:lang w:bidi="en-US"/>
        </w:rPr>
        <w:separator/>
      </w:r>
    </w:p>
  </w:endnote>
  <w:endnote w:type="continuationSeparator" w:id="0">
    <w:p>
      <w:pPr>
        <w:jc w:val="both"/>
        <w:rPr>
          <w:rFonts w:eastAsia="Andale Sans UI" w:cs="Tahoma"/>
          <w:szCs w:val="24"/>
          <w:lang w:bidi="en-US"/>
        </w:rPr>
      </w:pPr>
      <w:r>
        <w:rPr>
          <w:rFonts w:eastAsia="Andale Sans UI" w:cs="Tahoma"/>
          <w:szCs w:val="24"/>
          <w:lang w:bidi="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ndale Sans UI">
    <w:altName w:val="Times New Roman"/>
    <w:charset w:val="BA"/>
    <w:family w:val="swiss"/>
    <w:pitch w:val="variable"/>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Segoe UI Symbol">
    <w:panose1 w:val="020B0502040204020203"/>
    <w:charset w:val="00"/>
    <w:family w:val="swiss"/>
    <w:pitch w:val="variable"/>
    <w:sig w:usb0="8000006F" w:usb1="1200FBEF" w:usb2="0064C000" w:usb3="00000000" w:csb0="00000001" w:csb1="00000000"/>
  </w:font>
  <w:font w:name="StarSymbol">
    <w:altName w:val="Courier New"/>
    <w:charset w:val="00"/>
    <w:family w:val="auto"/>
    <w:pitch w:val="variable"/>
    <w:sig w:usb0="00000003" w:usb1="10008000" w:usb2="00000000" w:usb3="00000000" w:csb0="0000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both"/>
      <w:rPr>
        <w:rFonts w:eastAsia="Andale Sans UI" w:cs="Tahoma"/>
        <w:szCs w:val="24"/>
        <w:lang w:bidi="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right"/>
      <w:rPr>
        <w:rFonts w:ascii="Arial" w:eastAsia="Andale Sans UI" w:hAnsi="Arial" w:cs="Tahoma"/>
        <w:sz w:val="10"/>
        <w:szCs w:val="24"/>
        <w:lang w:val="en-US" w:bidi="en-US"/>
      </w:rPr>
    </w:pPr>
  </w:p>
  <w:p>
    <w:pPr>
      <w:suppressLineNumbers/>
      <w:tabs>
        <w:tab w:val="center" w:pos="4800"/>
        <w:tab w:val="right" w:pos="9601"/>
      </w:tabs>
      <w:jc w:val="right"/>
      <w:rPr>
        <w:rFonts w:ascii="Arial" w:eastAsia="Andale Sans UI" w:hAnsi="Arial" w:cs="Tahoma"/>
        <w:sz w:val="10"/>
        <w:szCs w:val="24"/>
        <w:lang w:val="en-US" w:bidi="en-US"/>
      </w:rPr>
    </w:pPr>
  </w:p>
  <w:p>
    <w:pPr>
      <w:suppressLineNumbers/>
      <w:tabs>
        <w:tab w:val="center" w:pos="4800"/>
        <w:tab w:val="right" w:pos="9601"/>
      </w:tabs>
      <w:jc w:val="right"/>
      <w:rPr>
        <w:rFonts w:ascii="Arial" w:eastAsia="Andale Sans UI" w:hAnsi="Arial" w:cs="Tahoma"/>
        <w:sz w:val="10"/>
        <w:szCs w:val="24"/>
        <w:lang w:val="en-US" w:bidi="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right"/>
      <w:rPr>
        <w:rFonts w:eastAsia="Andale Sans UI" w:cs="Tahoma"/>
        <w:szCs w:val="24"/>
        <w:lang w:bidi="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jc w:val="both"/>
        <w:rPr>
          <w:rFonts w:eastAsia="Andale Sans UI" w:cs="Tahoma"/>
          <w:szCs w:val="24"/>
          <w:lang w:bidi="en-US"/>
        </w:rPr>
      </w:pPr>
      <w:r>
        <w:rPr>
          <w:rFonts w:eastAsia="Andale Sans UI" w:cs="Tahoma"/>
          <w:szCs w:val="24"/>
          <w:lang w:bidi="en-US"/>
        </w:rPr>
        <w:separator/>
      </w:r>
    </w:p>
  </w:footnote>
  <w:footnote w:type="continuationSeparator" w:id="0">
    <w:p>
      <w:pPr>
        <w:jc w:val="both"/>
        <w:rPr>
          <w:rFonts w:eastAsia="Andale Sans UI" w:cs="Tahoma"/>
          <w:szCs w:val="24"/>
          <w:lang w:bidi="en-US"/>
        </w:rPr>
      </w:pPr>
      <w:r>
        <w:rPr>
          <w:rFonts w:eastAsia="Andale Sans UI" w:cs="Tahoma"/>
          <w:szCs w:val="24"/>
          <w:lang w:bidi="en-US"/>
        </w:rPr>
        <w:continuationSeparator/>
      </w:r>
    </w:p>
  </w:footnote>
  <w:footnote w:id="1">
    <w:p>
      <w:pPr>
        <w:tabs>
          <w:tab w:val="left" w:pos="2127"/>
        </w:tabs>
        <w:jc w:val="both"/>
        <w:rPr>
          <w:rFonts w:eastAsia="Andale Sans UI"/>
          <w:sz w:val="20"/>
        </w:rPr>
      </w:pPr>
      <w:r>
        <w:rPr>
          <w:rFonts w:eastAsia="Andale Sans UI"/>
          <w:sz w:val="20"/>
          <w:vertAlign w:val="superscript"/>
        </w:rPr>
        <w:footnoteRef/>
      </w:r>
      <w:r>
        <w:rPr>
          <w:rFonts w:eastAsia="Andale Sans UI"/>
          <w:sz w:val="20"/>
        </w:rPr>
        <w:t xml:space="preserve"> </w:t>
      </w:r>
      <w:hyperlink r:id="rId1" w:history="1">
        <w:r>
          <w:rPr>
            <w:rFonts w:eastAsia="Andale Sans UI"/>
            <w:color w:val="000080"/>
            <w:sz w:val="20"/>
            <w:u w:val="single"/>
          </w:rPr>
          <w:t>Dvidešimtosios Lietuvos Respublikos Vyriausybės programa</w:t>
        </w:r>
      </w:hyperlink>
      <w:r>
        <w:rPr>
          <w:rFonts w:eastAsia="Andale Sans UI"/>
          <w:sz w:val="20"/>
        </w:rPr>
        <w:t>, kuriai pritarta Lietuvos Respublikos Seimo 2025 m. rugsėjo 25 d. nutarimu Nr. XV-439 „Dėl Dvidešimtosios Lietuvos Respublikos Vyriausybės programos“.</w:t>
      </w:r>
    </w:p>
  </w:footnote>
  <w:footnote w:id="2">
    <w:p>
      <w:pPr>
        <w:jc w:val="both"/>
        <w:rPr>
          <w:color w:val="000000"/>
          <w:sz w:val="20"/>
          <w:lang w:eastAsia="lt-LT" w:bidi="en-US"/>
        </w:rPr>
      </w:pPr>
      <w:r>
        <w:rPr>
          <w:rFonts w:eastAsia="Andale Sans UI"/>
          <w:sz w:val="20"/>
          <w:vertAlign w:val="superscript"/>
          <w:lang w:bidi="en-US"/>
        </w:rPr>
        <w:footnoteRef/>
      </w:r>
      <w:r>
        <w:rPr>
          <w:rFonts w:eastAsia="Andale Sans UI"/>
          <w:sz w:val="20"/>
          <w:lang w:bidi="en-US"/>
        </w:rPr>
        <w:t xml:space="preserve"> </w:t>
      </w:r>
      <w:hyperlink r:id="rId2" w:history="1">
        <w:r>
          <w:rPr>
            <w:rFonts w:eastAsia="Andale Sans UI"/>
            <w:color w:val="000080"/>
            <w:sz w:val="20"/>
            <w:u w:val="single"/>
            <w:lang w:bidi="en-US"/>
          </w:rPr>
          <w:t>Europos Sąjungos reikalų koordinavimo taisyklių</w:t>
        </w:r>
      </w:hyperlink>
      <w:r>
        <w:rPr>
          <w:rFonts w:eastAsia="Andale Sans UI"/>
          <w:sz w:val="20"/>
          <w:lang w:bidi="en-US"/>
        </w:rPr>
        <w:t>, patvirtintų Lietuvos Respublikos Vyriausybės 2004 m. sausio 9 d. nutarimu Nr. 21 „Dėl Europos Sąjungos reikalų koordinavimo“, 7 priedas.</w:t>
      </w:r>
    </w:p>
  </w:footnote>
  <w:footnote w:id="3">
    <w:p>
      <w:pPr>
        <w:jc w:val="both"/>
        <w:rPr>
          <w:rFonts w:eastAsia="Andale Sans UI"/>
          <w:sz w:val="20"/>
        </w:rPr>
      </w:pPr>
      <w:r>
        <w:rPr>
          <w:rFonts w:eastAsia="Andale Sans UI"/>
          <w:sz w:val="20"/>
          <w:vertAlign w:val="superscript"/>
        </w:rPr>
        <w:footnoteRef/>
      </w:r>
      <w:r>
        <w:rPr>
          <w:rFonts w:eastAsia="Andale Sans UI"/>
          <w:sz w:val="20"/>
        </w:rPr>
        <w:t xml:space="preserve"> </w:t>
      </w:r>
      <w:hyperlink r:id="rId3" w:history="1">
        <w:r>
          <w:rPr>
            <w:color w:val="000080"/>
            <w:sz w:val="20"/>
            <w:u w:val="single"/>
            <w:lang w:eastAsia="lt-LT"/>
          </w:rPr>
          <w:t>Informacijos apie techninius reglamentus ir atitikties įvertinimo procedūras teikimo taisyklės</w:t>
        </w:r>
      </w:hyperlink>
      <w:r>
        <w:rPr>
          <w:sz w:val="20"/>
          <w:lang w:eastAsia="lt-LT"/>
        </w:rPr>
        <w:t>, patvirtintos Lietuvos Respublikos Vyriausybės 1999 m. gegužės 20 d. nutarimu Nr. 617 „Dėl Informacijos apie techninius reglamentus ir atitikties įvertinimo procedūras teikimo taisyklių patvirtinimo“.</w:t>
      </w:r>
    </w:p>
  </w:footnote>
  <w:footnote w:id="4">
    <w:p>
      <w:pPr>
        <w:jc w:val="both"/>
        <w:rPr>
          <w:szCs w:val="24"/>
          <w:lang w:eastAsia="lt-LT" w:bidi="en-US"/>
        </w:rPr>
      </w:pPr>
      <w:r>
        <w:rPr>
          <w:rFonts w:eastAsia="Andale Sans UI"/>
          <w:szCs w:val="24"/>
          <w:vertAlign w:val="superscript"/>
          <w:lang w:bidi="en-US"/>
        </w:rPr>
        <w:footnoteRef/>
      </w:r>
      <w:hyperlink r:id="rId4">
        <w:r>
          <w:rPr>
            <w:color w:val="000080"/>
            <w:sz w:val="20"/>
            <w:u w:val="single"/>
            <w:lang w:bidi="en-US"/>
          </w:rPr>
          <w:t>Pranešimų ir informacijos apie nustatomus įsisteigimo arba nustatomus ar panaikinamus paslaugų teikimo laisvei taikomus reikalavimus teikimo tvarkos aprašas</w:t>
        </w:r>
      </w:hyperlink>
      <w:r>
        <w:rPr>
          <w:color w:val="000000"/>
          <w:sz w:val="20"/>
          <w:lang w:bidi="en-US"/>
        </w:rPr>
        <w:t>, patvirtintas Lietuvos Respublikos Vyriausybės 2011 m. lapkričio 30 d. nutarimu Nr. 1389 „Dėl pranešimų ir informacijos apie nustatomus įsisteigimo arba nustatomus ar panaikinamus paslaugų teikimo laisvei taikomus reikalavimus teikimo“</w:t>
      </w:r>
      <w:r>
        <w:rPr>
          <w:szCs w:val="24"/>
          <w:lang w:eastAsia="lt-LT" w:bidi="en-US"/>
        </w:rPr>
        <w:t>.</w:t>
      </w:r>
    </w:p>
  </w:footnote>
  <w:footnote w:id="5">
    <w:p>
      <w:pPr>
        <w:jc w:val="both"/>
        <w:rPr>
          <w:rFonts w:eastAsia="Andale Sans UI"/>
          <w:sz w:val="20"/>
        </w:rPr>
      </w:pPr>
      <w:r>
        <w:rPr>
          <w:rFonts w:eastAsia="Andale Sans UI"/>
          <w:sz w:val="20"/>
          <w:vertAlign w:val="superscript"/>
        </w:rPr>
        <w:footnoteRef/>
      </w:r>
      <w:r>
        <w:rPr>
          <w:rFonts w:eastAsia="Andale Sans UI"/>
          <w:sz w:val="20"/>
        </w:rPr>
        <w:t xml:space="preserve"> </w:t>
      </w:r>
      <w:hyperlink r:id="rId5" w:history="1">
        <w:r>
          <w:rPr>
            <w:color w:val="000080"/>
            <w:sz w:val="20"/>
            <w:u w:val="single"/>
            <w:lang w:eastAsia="lt-LT"/>
          </w:rPr>
          <w:t>Numatomo teisinio reguliavimo poveikio vertinimo metodikos</w:t>
        </w:r>
      </w:hyperlink>
      <w:r>
        <w:rPr>
          <w:sz w:val="20"/>
          <w:lang w:eastAsia="lt-LT"/>
        </w:rPr>
        <w:t>, patvirtintos Lietuvos Respublikos Vyriausybės 2003 m. vasario 26 d. nutarimu Nr. 276 „Dėl Numatomo teisinio reguliavimo poveikio vertinimo metodikos patvirtinimo“, 4 punktas.</w:t>
      </w:r>
    </w:p>
  </w:footnote>
  <w:footnote w:id="6">
    <w:p>
      <w:pPr>
        <w:jc w:val="both"/>
        <w:rPr>
          <w:rFonts w:eastAsia="Andale Sans UI"/>
          <w:sz w:val="20"/>
        </w:rPr>
      </w:pPr>
      <w:r>
        <w:rPr>
          <w:rFonts w:eastAsia="Andale Sans UI"/>
          <w:sz w:val="20"/>
          <w:vertAlign w:val="superscript"/>
        </w:rPr>
        <w:footnoteRef/>
      </w:r>
      <w:r>
        <w:rPr>
          <w:rFonts w:eastAsia="Andale Sans UI"/>
          <w:sz w:val="20"/>
        </w:rPr>
        <w:t xml:space="preserve"> </w:t>
      </w:r>
      <w:hyperlink r:id="rId6" w:history="1">
        <w:r>
          <w:rPr>
            <w:color w:val="000080"/>
            <w:sz w:val="20"/>
            <w:u w:val="single"/>
            <w:lang w:eastAsia="lt-LT"/>
          </w:rPr>
          <w:t>Numatomo teisinio reguliavimo poveikio vertinimo metodikos</w:t>
        </w:r>
      </w:hyperlink>
      <w:r>
        <w:rPr>
          <w:sz w:val="20"/>
          <w:lang w:eastAsia="lt-LT"/>
        </w:rPr>
        <w:t>, patvirtintos Lietuvos Respublikos Vyriausybės 2003 m. vasario 26 d. nutarimu Nr. 276 „Dėl Numatomo teisinio reguliavimo poveikio vertinimo metodikos patvirtinimo“, 17</w:t>
      </w:r>
      <w:r>
        <w:rPr>
          <w:sz w:val="20"/>
          <w:vertAlign w:val="superscript"/>
          <w:lang w:eastAsia="lt-LT"/>
        </w:rPr>
        <w:t>1</w:t>
      </w:r>
      <w:r>
        <w:rPr>
          <w:sz w:val="20"/>
          <w:lang w:eastAsia="lt-LT"/>
        </w:rPr>
        <w:t xml:space="preserve"> ir 35 punktai.</w:t>
      </w:r>
    </w:p>
  </w:footnote>
  <w:footnote w:id="7">
    <w:p>
      <w:pPr>
        <w:jc w:val="both"/>
        <w:rPr>
          <w:rFonts w:eastAsia="Andale Sans UI"/>
          <w:sz w:val="20"/>
        </w:rPr>
      </w:pPr>
      <w:r>
        <w:rPr>
          <w:rFonts w:eastAsia="Andale Sans UI"/>
          <w:sz w:val="20"/>
          <w:vertAlign w:val="superscript"/>
        </w:rPr>
        <w:footnoteRef/>
      </w:r>
      <w:r>
        <w:rPr>
          <w:rFonts w:eastAsia="Andale Sans UI"/>
          <w:sz w:val="20"/>
        </w:rPr>
        <w:t xml:space="preserve"> </w:t>
      </w:r>
      <w:hyperlink r:id="rId7" w:history="1">
        <w:r>
          <w:rPr>
            <w:rFonts w:eastAsia="Andale Sans UI"/>
            <w:color w:val="000080"/>
            <w:sz w:val="20"/>
            <w:u w:val="single"/>
          </w:rPr>
          <w:t>Teisėkūros poveikio aplinkai ir klimato kaitai (</w:t>
        </w:r>
        <w:r>
          <w:rPr>
            <w:rFonts w:eastAsia="Andale Sans UI"/>
            <w:i/>
            <w:iCs/>
            <w:color w:val="000080"/>
            <w:sz w:val="20"/>
            <w:u w:val="single"/>
          </w:rPr>
          <w:t>ex ante</w:t>
        </w:r>
        <w:r>
          <w:rPr>
            <w:rFonts w:eastAsia="Andale Sans UI"/>
            <w:color w:val="000080"/>
            <w:sz w:val="20"/>
            <w:u w:val="single"/>
          </w:rPr>
          <w:t>) vertinimo tvarkos aprašas</w:t>
        </w:r>
      </w:hyperlink>
      <w:r>
        <w:rPr>
          <w:rFonts w:eastAsia="Andale Sans UI"/>
          <w:sz w:val="20"/>
        </w:rPr>
        <w:t>, patvirtintas Lietuvos Respublikos aplinkos ministro 2024 m. vasario 27 d. įsakymu Nr. D1-57 „Dėl Teisėkūros poveikio aplinkai ir klimato kaitai (</w:t>
      </w:r>
      <w:r>
        <w:rPr>
          <w:rFonts w:eastAsia="Andale Sans UI"/>
          <w:i/>
          <w:iCs/>
          <w:sz w:val="20"/>
        </w:rPr>
        <w:t>ex ante</w:t>
      </w:r>
      <w:r>
        <w:rPr>
          <w:rFonts w:eastAsia="Andale Sans UI"/>
          <w:sz w:val="20"/>
        </w:rPr>
        <w:t>) vertinimo tvarkos aprašo patvirtinimo“.</w:t>
      </w:r>
    </w:p>
  </w:footnote>
  <w:footnote w:id="8">
    <w:p>
      <w:pPr>
        <w:jc w:val="both"/>
        <w:rPr>
          <w:rFonts w:eastAsia="Andale Sans UI"/>
          <w:sz w:val="20"/>
        </w:rPr>
      </w:pPr>
      <w:r>
        <w:rPr>
          <w:rFonts w:eastAsia="Andale Sans UI"/>
          <w:sz w:val="20"/>
          <w:vertAlign w:val="superscript"/>
        </w:rPr>
        <w:footnoteRef/>
      </w:r>
      <w:r>
        <w:rPr>
          <w:rFonts w:eastAsia="Andale Sans UI"/>
          <w:sz w:val="20"/>
        </w:rPr>
        <w:t xml:space="preserve"> </w:t>
      </w:r>
      <w:r>
        <w:rPr>
          <w:rFonts w:eastAsia="Andale Sans UI"/>
          <w:color w:val="000080"/>
          <w:sz w:val="20"/>
          <w:u w:val="single"/>
        </w:rPr>
        <w:t>https://aaa.lrv.lt/lt/veiklos-sritys/teisekuros-poveikio-vertinimas/</w:t>
      </w:r>
      <w:r>
        <w:rPr>
          <w:rFonts w:eastAsia="Andale Sans UI"/>
          <w:sz w:val="20"/>
        </w:rPr>
        <w:t xml:space="preserve"> </w:t>
      </w:r>
    </w:p>
  </w:footnote>
  <w:footnote w:id="9">
    <w:p>
      <w:pPr>
        <w:rPr>
          <w:rFonts w:eastAsia="Andale Sans UI"/>
          <w:sz w:val="20"/>
        </w:rPr>
      </w:pPr>
      <w:r>
        <w:rPr>
          <w:rFonts w:eastAsia="Andale Sans UI"/>
          <w:sz w:val="20"/>
          <w:vertAlign w:val="superscript"/>
        </w:rPr>
        <w:footnoteRef/>
      </w:r>
      <w:r>
        <w:rPr>
          <w:rFonts w:eastAsia="Andale Sans UI"/>
          <w:sz w:val="20"/>
        </w:rPr>
        <w:t xml:space="preserve"> </w:t>
      </w:r>
      <w:r>
        <w:rPr>
          <w:rFonts w:eastAsia="Andale Sans UI"/>
          <w:color w:val="000080"/>
          <w:sz w:val="20"/>
          <w:u w:val="single"/>
        </w:rPr>
        <w:t>https://epilietis.lrv.lt/lt/</w:t>
      </w:r>
      <w:r>
        <w:rPr>
          <w:rFonts w:eastAsia="Andale Sans UI"/>
          <w:sz w:val="20"/>
        </w:rPr>
        <w:t>.</w:t>
      </w:r>
    </w:p>
  </w:footnote>
  <w:footnote w:id="10">
    <w:p>
      <w:pPr>
        <w:tabs>
          <w:tab w:val="left" w:pos="2127"/>
        </w:tabs>
        <w:jc w:val="both"/>
        <w:rPr>
          <w:rFonts w:eastAsia="Andale Sans UI"/>
          <w:sz w:val="20"/>
        </w:rPr>
      </w:pPr>
      <w:r>
        <w:rPr>
          <w:rFonts w:eastAsia="Andale Sans UI"/>
          <w:sz w:val="20"/>
          <w:vertAlign w:val="superscript"/>
        </w:rPr>
        <w:footnoteRef/>
      </w:r>
      <w:r>
        <w:rPr>
          <w:rFonts w:eastAsia="Andale Sans UI"/>
          <w:sz w:val="20"/>
        </w:rPr>
        <w:t xml:space="preserve"> </w:t>
      </w:r>
      <w:r>
        <w:rPr>
          <w:rFonts w:eastAsia="Andale Sans UI"/>
          <w:color w:val="000080"/>
          <w:sz w:val="20"/>
          <w:u w:val="single"/>
        </w:rPr>
        <w:t>Lietuvos Respublikos Vyriausybės darbo reglamentas</w:t>
      </w:r>
      <w:r>
        <w:rPr>
          <w:rFonts w:eastAsia="Andale Sans UI"/>
          <w:sz w:val="20"/>
        </w:rPr>
        <w:t>, patvirtintas Lietuvos Respublikos Vyriausybės 1994 m. rugpjūčio 11 d. nutarimu Nr. 728 „Dėl Lietuvos Respublikos Vyriausybės darbo reglamento ir Ministrų, Vyriausybės įstaigų, įstaigų prie ministerijų ir kitų Vyriausybei pavaldžių ir atskaitingų viešojo administravimo subjektų norminių teisės aktų projektų rengimo taisyklių</w:t>
      </w:r>
      <w:r>
        <w:rPr>
          <w:rFonts w:eastAsia="Andale Sans UI" w:cs="Tahoma"/>
          <w:sz w:val="20"/>
        </w:rPr>
        <w:t xml:space="preserve"> </w:t>
      </w:r>
      <w:r>
        <w:rPr>
          <w:rFonts w:eastAsia="Andale Sans UI"/>
          <w:sz w:val="20"/>
        </w:rPr>
        <w:t>patvirtinimo“.</w:t>
      </w:r>
    </w:p>
    <w:p>
      <w:pPr>
        <w:tabs>
          <w:tab w:val="left" w:pos="2127"/>
        </w:tabs>
        <w:jc w:val="both"/>
        <w:rPr>
          <w:rFonts w:eastAsia="Andale Sans UI"/>
          <w:szCs w:val="24"/>
        </w:rPr>
      </w:pPr>
    </w:p>
    <w:p>
      <w:pPr>
        <w:tabs>
          <w:tab w:val="left" w:pos="2127"/>
        </w:tabs>
        <w:jc w:val="both"/>
        <w:rPr>
          <w:rFonts w:eastAsia="Andale Sans UI"/>
          <w:szCs w:val="24"/>
        </w:rPr>
      </w:pPr>
    </w:p>
    <w:p>
      <w:pPr>
        <w:tabs>
          <w:tab w:val="left" w:pos="2127"/>
        </w:tabs>
        <w:jc w:val="both"/>
        <w:rPr>
          <w:rFonts w:eastAsia="Andale Sans UI"/>
          <w:szCs w:val="24"/>
        </w:rPr>
      </w:pP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suppressLineNumbers/>
      <w:tabs>
        <w:tab w:val="center" w:pos="4800"/>
        <w:tab w:val="right" w:pos="9601"/>
      </w:tabs>
      <w:jc w:val="both"/>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 xml:space="preserve">PAGE  </w:instrText>
    </w:r>
    <w:r>
      <w:rPr>
        <w:rFonts w:eastAsia="Andale Sans UI" w:cs="Tahoma"/>
        <w:szCs w:val="24"/>
        <w:lang w:bidi="en-US"/>
      </w:rPr>
      <w:fldChar w:fldCharType="separate"/>
    </w:r>
    <w:r>
      <w:rPr>
        <w:rFonts w:eastAsia="Andale Sans UI" w:cs="Tahoma"/>
        <w:szCs w:val="24"/>
        <w:lang w:bidi="en-US"/>
      </w:rPr>
      <w:t>4</w:t>
    </w:r>
    <w:r>
      <w:rPr>
        <w:rFonts w:eastAsia="Andale Sans UI" w:cs="Tahoma"/>
        <w:szCs w:val="24"/>
        <w:lang w:bidi="en-US"/>
      </w:rPr>
      <w:fldChar w:fldCharType="end"/>
    </w:r>
  </w:p>
  <w:p>
    <w:pPr>
      <w:suppressLineNumbers/>
      <w:tabs>
        <w:tab w:val="center" w:pos="4800"/>
        <w:tab w:val="right" w:pos="9601"/>
      </w:tabs>
      <w:jc w:val="both"/>
      <w:rPr>
        <w:rFonts w:eastAsia="Andale Sans UI" w:cs="Tahoma"/>
        <w:szCs w:val="24"/>
        <w:lang w:bidi="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center"/>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PAGE   \* MERGEFORMAT</w:instrText>
    </w:r>
    <w:r>
      <w:rPr>
        <w:rFonts w:eastAsia="Andale Sans UI" w:cs="Tahoma"/>
        <w:szCs w:val="24"/>
        <w:lang w:bidi="en-US"/>
      </w:rPr>
      <w:fldChar w:fldCharType="separate"/>
    </w:r>
    <w:r>
      <w:rPr>
        <w:rFonts w:eastAsia="Andale Sans UI" w:cs="Tahoma"/>
        <w:szCs w:val="24"/>
        <w:lang w:val="en-GB" w:bidi="en-US"/>
      </w:rPr>
      <w:t>4</w:t>
    </w:r>
    <w:r>
      <w:rPr>
        <w:rFonts w:eastAsia="Andale Sans UI" w:cs="Tahoma"/>
        <w:szCs w:val="24"/>
        <w:lang w:bidi="en-US"/>
      </w:rPr>
      <w:fldChar w:fldCharType="end"/>
    </w:r>
  </w:p>
  <w:p>
    <w:pPr>
      <w:suppressLineNumbers/>
      <w:tabs>
        <w:tab w:val="center" w:pos="4800"/>
        <w:tab w:val="right" w:pos="9601"/>
      </w:tabs>
      <w:jc w:val="both"/>
      <w:rPr>
        <w:rFonts w:eastAsia="Andale Sans UI" w:cs="Tahoma"/>
        <w:szCs w:val="24"/>
        <w:lang w:bidi="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both"/>
      <w:rPr>
        <w:rFonts w:eastAsia="Andale Sans UI" w:cs="Tahoma"/>
        <w:szCs w:val="24"/>
        <w:lang w:bidi="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567"/>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2050"/>
  </w:hdrShapeDefaults>
  <w:footnotePr>
    <w:pos w:val="beneathText"/>
    <w:numRestart w:val="eachPage"/>
    <w:footnote w:id="-1"/>
    <w:footnote w:id="0"/>
  </w:footnotePr>
  <w:endnotePr>
    <w:numFmt w:val="decimal"/>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17D5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CAB79EDE-51D9-4515-A559-0D8B6B242BA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12549772">
      <w:bodyDiv w:val="1"/>
      <w:marLeft w:val="0"/>
      <w:marRight w:val="0"/>
      <w:marTop w:val="0"/>
      <w:marBottom w:val="0"/>
      <w:divBdr>
        <w:top w:val="none" w:sz="0" w:space="0" w:color="auto"/>
        <w:left w:val="none" w:sz="0" w:space="0" w:color="auto"/>
        <w:bottom w:val="none" w:sz="0" w:space="0" w:color="auto"/>
        <w:right w:val="none" w:sz="0" w:space="0" w:color="auto"/>
      </w:divBdr>
      <w:divsChild>
        <w:div w:id="626274624">
          <w:marLeft w:val="0"/>
          <w:marRight w:val="0"/>
          <w:marTop w:val="0"/>
          <w:marBottom w:val="0"/>
          <w:divBdr>
            <w:top w:val="none" w:sz="0" w:space="0" w:color="auto"/>
            <w:left w:val="none" w:sz="0" w:space="0" w:color="auto"/>
            <w:bottom w:val="none" w:sz="0" w:space="0" w:color="auto"/>
            <w:right w:val="none" w:sz="0" w:space="0" w:color="auto"/>
          </w:divBdr>
        </w:div>
        <w:div w:id="2064988414">
          <w:marLeft w:val="0"/>
          <w:marRight w:val="0"/>
          <w:marTop w:val="0"/>
          <w:marBottom w:val="0"/>
          <w:divBdr>
            <w:top w:val="none" w:sz="0" w:space="0" w:color="auto"/>
            <w:left w:val="none" w:sz="0" w:space="0" w:color="auto"/>
            <w:bottom w:val="none" w:sz="0" w:space="0" w:color="auto"/>
            <w:right w:val="none" w:sz="0" w:space="0" w:color="auto"/>
          </w:divBdr>
        </w:div>
        <w:div w:id="1971131903">
          <w:marLeft w:val="0"/>
          <w:marRight w:val="0"/>
          <w:marTop w:val="0"/>
          <w:marBottom w:val="0"/>
          <w:divBdr>
            <w:top w:val="none" w:sz="0" w:space="0" w:color="auto"/>
            <w:left w:val="none" w:sz="0" w:space="0" w:color="auto"/>
            <w:bottom w:val="none" w:sz="0" w:space="0" w:color="auto"/>
            <w:right w:val="none" w:sz="0" w:space="0" w:color="auto"/>
          </w:divBdr>
        </w:div>
        <w:div w:id="1457407296">
          <w:marLeft w:val="0"/>
          <w:marRight w:val="0"/>
          <w:marTop w:val="0"/>
          <w:marBottom w:val="0"/>
          <w:divBdr>
            <w:top w:val="none" w:sz="0" w:space="0" w:color="auto"/>
            <w:left w:val="none" w:sz="0" w:space="0" w:color="auto"/>
            <w:bottom w:val="none" w:sz="0" w:space="0" w:color="auto"/>
            <w:right w:val="none" w:sz="0" w:space="0" w:color="auto"/>
          </w:divBdr>
        </w:div>
        <w:div w:id="1046760848">
          <w:marLeft w:val="0"/>
          <w:marRight w:val="0"/>
          <w:marTop w:val="0"/>
          <w:marBottom w:val="0"/>
          <w:divBdr>
            <w:top w:val="none" w:sz="0" w:space="0" w:color="auto"/>
            <w:left w:val="none" w:sz="0" w:space="0" w:color="auto"/>
            <w:bottom w:val="none" w:sz="0" w:space="0" w:color="auto"/>
            <w:right w:val="none" w:sz="0" w:space="0" w:color="auto"/>
          </w:divBdr>
        </w:div>
        <w:div w:id="851648302">
          <w:marLeft w:val="0"/>
          <w:marRight w:val="0"/>
          <w:marTop w:val="0"/>
          <w:marBottom w:val="0"/>
          <w:divBdr>
            <w:top w:val="none" w:sz="0" w:space="0" w:color="auto"/>
            <w:left w:val="none" w:sz="0" w:space="0" w:color="auto"/>
            <w:bottom w:val="none" w:sz="0" w:space="0" w:color="auto"/>
            <w:right w:val="none" w:sz="0" w:space="0" w:color="auto"/>
          </w:divBdr>
        </w:div>
        <w:div w:id="808328079">
          <w:marLeft w:val="0"/>
          <w:marRight w:val="0"/>
          <w:marTop w:val="0"/>
          <w:marBottom w:val="0"/>
          <w:divBdr>
            <w:top w:val="none" w:sz="0" w:space="0" w:color="auto"/>
            <w:left w:val="none" w:sz="0" w:space="0" w:color="auto"/>
            <w:bottom w:val="none" w:sz="0" w:space="0" w:color="auto"/>
            <w:right w:val="none" w:sz="0" w:space="0" w:color="auto"/>
          </w:divBdr>
        </w:div>
        <w:div w:id="1445538919">
          <w:marLeft w:val="0"/>
          <w:marRight w:val="0"/>
          <w:marTop w:val="0"/>
          <w:marBottom w:val="0"/>
          <w:divBdr>
            <w:top w:val="none" w:sz="0" w:space="0" w:color="auto"/>
            <w:left w:val="none" w:sz="0" w:space="0" w:color="auto"/>
            <w:bottom w:val="none" w:sz="0" w:space="0" w:color="auto"/>
            <w:right w:val="none" w:sz="0" w:space="0" w:color="auto"/>
          </w:divBdr>
        </w:div>
        <w:div w:id="86969238">
          <w:marLeft w:val="0"/>
          <w:marRight w:val="0"/>
          <w:marTop w:val="0"/>
          <w:marBottom w:val="0"/>
          <w:divBdr>
            <w:top w:val="none" w:sz="0" w:space="0" w:color="auto"/>
            <w:left w:val="none" w:sz="0" w:space="0" w:color="auto"/>
            <w:bottom w:val="none" w:sz="0" w:space="0" w:color="auto"/>
            <w:right w:val="none" w:sz="0" w:space="0" w:color="auto"/>
          </w:divBdr>
        </w:div>
      </w:divsChild>
    </w:div>
    <w:div w:id="480274677">
      <w:bodyDiv w:val="1"/>
      <w:marLeft w:val="0"/>
      <w:marRight w:val="0"/>
      <w:marTop w:val="0"/>
      <w:marBottom w:val="0"/>
      <w:divBdr>
        <w:top w:val="none" w:sz="0" w:space="0" w:color="auto"/>
        <w:left w:val="none" w:sz="0" w:space="0" w:color="auto"/>
        <w:bottom w:val="none" w:sz="0" w:space="0" w:color="auto"/>
        <w:right w:val="none" w:sz="0" w:space="0" w:color="auto"/>
      </w:divBdr>
    </w:div>
    <w:div w:id="493882544">
      <w:bodyDiv w:val="1"/>
      <w:marLeft w:val="0"/>
      <w:marRight w:val="0"/>
      <w:marTop w:val="0"/>
      <w:marBottom w:val="0"/>
      <w:divBdr>
        <w:top w:val="none" w:sz="0" w:space="0" w:color="auto"/>
        <w:left w:val="none" w:sz="0" w:space="0" w:color="auto"/>
        <w:bottom w:val="none" w:sz="0" w:space="0" w:color="auto"/>
        <w:right w:val="none" w:sz="0" w:space="0" w:color="auto"/>
      </w:divBdr>
      <w:divsChild>
        <w:div w:id="598099785">
          <w:marLeft w:val="0"/>
          <w:marRight w:val="0"/>
          <w:marTop w:val="0"/>
          <w:marBottom w:val="0"/>
          <w:divBdr>
            <w:top w:val="none" w:sz="0" w:space="0" w:color="auto"/>
            <w:left w:val="none" w:sz="0" w:space="0" w:color="auto"/>
            <w:bottom w:val="none" w:sz="0" w:space="0" w:color="auto"/>
            <w:right w:val="none" w:sz="0" w:space="0" w:color="auto"/>
          </w:divBdr>
        </w:div>
        <w:div w:id="1297907655">
          <w:marLeft w:val="0"/>
          <w:marRight w:val="0"/>
          <w:marTop w:val="0"/>
          <w:marBottom w:val="0"/>
          <w:divBdr>
            <w:top w:val="none" w:sz="0" w:space="0" w:color="auto"/>
            <w:left w:val="none" w:sz="0" w:space="0" w:color="auto"/>
            <w:bottom w:val="none" w:sz="0" w:space="0" w:color="auto"/>
            <w:right w:val="none" w:sz="0" w:space="0" w:color="auto"/>
          </w:divBdr>
        </w:div>
      </w:divsChild>
    </w:div>
    <w:div w:id="782111478">
      <w:bodyDiv w:val="1"/>
      <w:marLeft w:val="0"/>
      <w:marRight w:val="0"/>
      <w:marTop w:val="0"/>
      <w:marBottom w:val="0"/>
      <w:divBdr>
        <w:top w:val="none" w:sz="0" w:space="0" w:color="auto"/>
        <w:left w:val="none" w:sz="0" w:space="0" w:color="auto"/>
        <w:bottom w:val="none" w:sz="0" w:space="0" w:color="auto"/>
        <w:right w:val="none" w:sz="0" w:space="0" w:color="auto"/>
      </w:divBdr>
    </w:div>
    <w:div w:id="916746596">
      <w:bodyDiv w:val="1"/>
      <w:marLeft w:val="0"/>
      <w:marRight w:val="0"/>
      <w:marTop w:val="0"/>
      <w:marBottom w:val="0"/>
      <w:divBdr>
        <w:top w:val="none" w:sz="0" w:space="0" w:color="auto"/>
        <w:left w:val="none" w:sz="0" w:space="0" w:color="auto"/>
        <w:bottom w:val="none" w:sz="0" w:space="0" w:color="auto"/>
        <w:right w:val="none" w:sz="0" w:space="0" w:color="auto"/>
      </w:divBdr>
      <w:divsChild>
        <w:div w:id="1093864504">
          <w:marLeft w:val="0"/>
          <w:marRight w:val="0"/>
          <w:marTop w:val="0"/>
          <w:marBottom w:val="0"/>
          <w:divBdr>
            <w:top w:val="none" w:sz="0" w:space="0" w:color="auto"/>
            <w:left w:val="none" w:sz="0" w:space="0" w:color="auto"/>
            <w:bottom w:val="none" w:sz="0" w:space="0" w:color="auto"/>
            <w:right w:val="none" w:sz="0" w:space="0" w:color="auto"/>
          </w:divBdr>
        </w:div>
        <w:div w:id="1060790193">
          <w:marLeft w:val="0"/>
          <w:marRight w:val="0"/>
          <w:marTop w:val="0"/>
          <w:marBottom w:val="0"/>
          <w:divBdr>
            <w:top w:val="none" w:sz="0" w:space="0" w:color="auto"/>
            <w:left w:val="none" w:sz="0" w:space="0" w:color="auto"/>
            <w:bottom w:val="none" w:sz="0" w:space="0" w:color="auto"/>
            <w:right w:val="none" w:sz="0" w:space="0" w:color="auto"/>
          </w:divBdr>
        </w:div>
        <w:div w:id="822156668">
          <w:marLeft w:val="0"/>
          <w:marRight w:val="0"/>
          <w:marTop w:val="0"/>
          <w:marBottom w:val="0"/>
          <w:divBdr>
            <w:top w:val="none" w:sz="0" w:space="0" w:color="auto"/>
            <w:left w:val="none" w:sz="0" w:space="0" w:color="auto"/>
            <w:bottom w:val="none" w:sz="0" w:space="0" w:color="auto"/>
            <w:right w:val="none" w:sz="0" w:space="0" w:color="auto"/>
          </w:divBdr>
        </w:div>
      </w:divsChild>
    </w:div>
    <w:div w:id="1184318278">
      <w:bodyDiv w:val="1"/>
      <w:marLeft w:val="0"/>
      <w:marRight w:val="0"/>
      <w:marTop w:val="0"/>
      <w:marBottom w:val="0"/>
      <w:divBdr>
        <w:top w:val="none" w:sz="0" w:space="0" w:color="auto"/>
        <w:left w:val="none" w:sz="0" w:space="0" w:color="auto"/>
        <w:bottom w:val="none" w:sz="0" w:space="0" w:color="auto"/>
        <w:right w:val="none" w:sz="0" w:space="0" w:color="auto"/>
      </w:divBdr>
      <w:divsChild>
        <w:div w:id="1336346376">
          <w:marLeft w:val="0"/>
          <w:marRight w:val="0"/>
          <w:marTop w:val="0"/>
          <w:marBottom w:val="0"/>
          <w:divBdr>
            <w:top w:val="none" w:sz="0" w:space="0" w:color="auto"/>
            <w:left w:val="none" w:sz="0" w:space="0" w:color="auto"/>
            <w:bottom w:val="none" w:sz="0" w:space="0" w:color="auto"/>
            <w:right w:val="none" w:sz="0" w:space="0" w:color="auto"/>
          </w:divBdr>
        </w:div>
        <w:div w:id="1058750904">
          <w:marLeft w:val="0"/>
          <w:marRight w:val="0"/>
          <w:marTop w:val="0"/>
          <w:marBottom w:val="0"/>
          <w:divBdr>
            <w:top w:val="none" w:sz="0" w:space="0" w:color="auto"/>
            <w:left w:val="none" w:sz="0" w:space="0" w:color="auto"/>
            <w:bottom w:val="none" w:sz="0" w:space="0" w:color="auto"/>
            <w:right w:val="none" w:sz="0" w:space="0" w:color="auto"/>
          </w:divBdr>
        </w:div>
        <w:div w:id="116748161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image" Target="media/image1.png"/>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fontTable" Target="fontTable.xml"/>
  <Relationship Id="rId18" Type="http://schemas.openxmlformats.org/officeDocument/2006/relationships/theme" Target="theme/theme1.xml"/>
  <Relationship Id="rId19"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_rels/footnotes.xml.rels><?xml version="1.0" encoding="UTF-8"?>

<Relationships xmlns="http://schemas.openxmlformats.org/package/2006/relationships">
  <Relationship Id="rId1" Type="http://schemas.openxmlformats.org/officeDocument/2006/relationships/hyperlink" TargetMode="External" Target="https://www.e-tar.lt/portal/lt/legalAct/568b271299f611f0a8bbd1e98310677d"/>
  <Relationship Id="rId2" Type="http://schemas.openxmlformats.org/officeDocument/2006/relationships/hyperlink" TargetMode="External" Target="https://www.e-tar.lt/portal/lt/legalAct/TAR.DB68BCA9E3A0/asr"/>
  <Relationship Id="rId3" Type="http://schemas.openxmlformats.org/officeDocument/2006/relationships/hyperlink" TargetMode="External" Target="https://www.e-tar.lt/portal/lt/legalAct/TAR.EDD5FD371B32/asr"/>
  <Relationship Id="rId4" Type="http://schemas.openxmlformats.org/officeDocument/2006/relationships/hyperlink" TargetMode="External" Target="https://www.e-tar.lt/portal/lt/legalAct/TAR.DCD24028BD0E"/>
  <Relationship Id="rId5" Type="http://schemas.openxmlformats.org/officeDocument/2006/relationships/hyperlink" TargetMode="External" Target="https://www.e-tar.lt/portal/lt/legalAct/TAR.814F485EB18B/asr"/>
  <Relationship Id="rId6" Type="http://schemas.openxmlformats.org/officeDocument/2006/relationships/hyperlink" TargetMode="External" Target="https://www.e-tar.lt/portal/lt/legalAct/TAR.814F485EB18B/asr"/>
  <Relationship Id="rId7" Type="http://schemas.openxmlformats.org/officeDocument/2006/relationships/hyperlink" TargetMode="External" Target="https://www.e-tar.lt/portal/lt/legalAct/0635c170d54511eead77e967e3995264"/>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50164633ED94994D9773E53D567FF5BF" ma:contentTypeVersion="14" ma:contentTypeDescription="Create a new document." ma:contentTypeScope="" ma:versionID="6e4420773c8a227daef6c045b72bc81e">
  <xsd:schema xmlns:xsd="http://www.w3.org/2001/XMLSchema" xmlns:xs="http://www.w3.org/2001/XMLSchema" xmlns:p="http://schemas.microsoft.com/office/2006/metadata/properties" xmlns:ns2="47c1ea38-b788-4873-88f4-3b1f34597b9a" xmlns:ns3="0379a545-9986-45d7-9e6d-3845025712a0" targetNamespace="http://schemas.microsoft.com/office/2006/metadata/properties" ma:root="true" ma:fieldsID="922eb6792ea364f94f21b5ea25fa34e9" ns2:_="" ns3:_="">
    <xsd:import namespace="47c1ea38-b788-4873-88f4-3b1f34597b9a"/>
    <xsd:import namespace="0379a545-9986-45d7-9e6d-3845025712a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7c1ea38-b788-4873-88f4-3b1f34597b9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0379a545-9986-45d7-9e6d-3845025712a0"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3f5c7397-6a17-43fd-b0d0-62600e53cad0}" ma:internalName="TaxCatchAll" ma:showField="CatchAllData" ma:web="0379a545-9986-45d7-9e6d-3845025712a0">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haredWithUsers xmlns="0379a545-9986-45d7-9e6d-3845025712a0">
      <UserInfo>
        <DisplayName>Jurgita Užkurnienė</DisplayName>
        <AccountId>118</AccountId>
        <AccountType/>
      </UserInfo>
    </SharedWithUsers>
    <lcf76f155ced4ddcb4097134ff3c332f xmlns="47c1ea38-b788-4873-88f4-3b1f34597b9a">
      <Terms xmlns="http://schemas.microsoft.com/office/infopath/2007/PartnerControls"/>
    </lcf76f155ced4ddcb4097134ff3c332f>
    <TaxCatchAll xmlns="0379a545-9986-45d7-9e6d-3845025712a0"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lentele" DocPartId="8740f3534cf54ff78578d5bc834d46f5" PartId="17d10066cc784fa28a8f2f2713ae67d7"/>
  <Part Type="pastraipa" DocPartId="5130ca89d1e1402c8f65ed19658192c2" PartId="1145bf8829874bf680f8a8a0fb4ca621">
    <Part Type="punktas" Nr="1" Abbr="1 p." DocPartId="33ec51dccd5f4ab187c99405346962fe" PartId="8124c9ea201e4281a9fcb85c10659346"/>
    <Part Type="punktas" Nr="2" Abbr="2 p." DocPartId="b68b92a67fab40f481ee1cc7d516fe6d" PartId="aa21a9b97c5c4cf28122d3e0c2dfc8ad"/>
    <Part Type="punktas" Nr="3" Abbr="3 p." DocPartId="ae3886cfb7c14d189f1335817a5ffbd4" PartId="d904f6ec637f479aa5a2c966127c3ec5"/>
    <Part Type="punktas" Nr="4" Abbr="4 p." DocPartId="45bd1de48cfe4c88a94b2f0ef21ec64c" PartId="0af76e55d4d94bd6a7de0fba476b6879"/>
    <Part Type="punktas" Nr="5" Abbr="5 p." DocPartId="a9f502201b1e48c38b0f9583a2ec1b82" PartId="04607f4ed677474ba89e9d9a8a379b4c"/>
    <Part Type="punktas" Nr="6" Abbr="6 p." DocPartId="6dea1538842a4eb89079fe3829b867f6" PartId="8844aa03638d45ccab4ace65b3b28633"/>
    <Part Type="punktas" Nr="7" Abbr="7 p." DocPartId="162e20a90c3349f0b317aefa8f4bc529" PartId="8d12524048494997a6606c059e44181f"/>
    <Part Type="punktas" Nr="8" Abbr="8 p." DocPartId="236ea3b2376948b79601448d752fa366" PartId="5e955e60df22420d9047e7cf2ada4e05"/>
    <Part Type="punktas" Nr="9" Abbr="9 p." DocPartId="aa3a0f1b58124e6689c0ffe3c39ade8b" PartId="7778098f913640c9a0d79b1fe7fee107"/>
    <Part Type="punktas" Nr="10" Abbr="10 p." DocPartId="31f55a59ec5f427384d731bd57d94413" PartId="684e5321170a47e3b10ba67bcff5e84e"/>
    <Part Type="punktas" Nr="11" Abbr="11 p." DocPartId="ad84f976d3334a66bf7ea16379fdd6fb" PartId="acb4d0aea5b24ec0b845b8b6de189a74"/>
    <Part Type="punktas" Nr="12" Abbr="12 p." DocPartId="bf44b0d1d8634a55807c087ed6fa1cb4" PartId="abf534aabfd7449dbe1cc453c6e7201e"/>
    <Part Type="punktas" Nr="13" Abbr="13 p." DocPartId="ee59e93396254147a13f145ea4aa961b" PartId="cc1b10c230674cecae41636769761dc1"/>
    <Part Type="punktas" Nr="14" Abbr="14 p." DocPartId="d869004abb1c4f1998aea56f78bb3498" PartId="0f8c3c807c7d4c74ad936b0069d36060"/>
    <Part Type="punktas" Nr="15" Abbr="15 p." DocPartId="26e1ffcf7baf40858fdce1d2f71aacbb" PartId="85f86833b8d147d1a4f0c8baf2d3fae0"/>
    <Part Type="punktas" Nr="1" Abbr="1 p." Notes="Numeris ne iš eilės. Trūksta dalių? [DocDalys]" DocPartId="f21b1745dca24daa92ee339a088c4c8b" PartId="7cb9a09fc0fb4340a08de0ab8aa3062b"/>
    <Part Type="punktas" Nr="2" Abbr="2 p." DocPartId="4c6a4d1fb6fa4cc48b0fb247609062ca" PartId="13aaa26eabf24f0aa3328a99bedde8b9"/>
    <Part Type="punktas" Nr="3" Abbr="3 p." DocPartId="282333a233f84cacae1be2b91d3d7788" PartId="468f9f5644bd4aa2b1f28473ddaa7fb8"/>
  </Part>
</Parts>
</file>

<file path=customXml/itemProps1.xml><?xml version="1.0" encoding="utf-8"?>
<ds:datastoreItem xmlns:ds="http://schemas.openxmlformats.org/officeDocument/2006/customXml" ds:itemID="{4DEE301B-E495-4750-B0E8-CBFC8E239BAA}">
  <ds:schemaRefs>
    <ds:schemaRef ds:uri="http://schemas.microsoft.com/sharepoint/v3/contenttype/forms"/>
  </ds:schemaRefs>
</ds:datastoreItem>
</file>

<file path=customXml/itemProps2.xml><?xml version="1.0" encoding="utf-8"?>
<ds:datastoreItem xmlns:ds="http://schemas.openxmlformats.org/officeDocument/2006/customXml" ds:itemID="{83A1D29C-7AFC-457D-8FC3-2C0733F0A25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7c1ea38-b788-4873-88f4-3b1f34597b9a"/>
    <ds:schemaRef ds:uri="0379a545-9986-45d7-9e6d-3845025712a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ECC1323-9F72-4681-9895-5BB6B34E3FBB}">
  <ds:schemaRefs>
    <ds:schemaRef ds:uri="http://schemas.microsoft.com/office/2006/metadata/properties"/>
    <ds:schemaRef ds:uri="http://schemas.microsoft.com/office/infopath/2007/PartnerControls"/>
    <ds:schemaRef ds:uri="0379a545-9986-45d7-9e6d-3845025712a0"/>
    <ds:schemaRef ds:uri="47c1ea38-b788-4873-88f4-3b1f34597b9a"/>
  </ds:schemaRefs>
</ds:datastoreItem>
</file>

<file path=customXml/itemProps4.xml><?xml version="1.0" encoding="utf-8"?>
<ds:datastoreItem xmlns:ds="http://schemas.openxmlformats.org/officeDocument/2006/customXml" ds:itemID="{7A1C20A8-622D-411D-9750-9B7CBD59F408}">
  <ds:schemaRefs>
    <ds:schemaRef ds:uri="http://schemas.openxmlformats.org/officeDocument/2006/bibliography"/>
  </ds:schemaRefs>
</ds:datastoreItem>
</file>

<file path=customXml/itemProps5.xml><?xml version="1.0" encoding="utf-8"?>
<ds:datastoreItem xmlns:ds="http://schemas.openxmlformats.org/officeDocument/2006/customXml" ds:itemID="{4BFD8608-3F7F-4518-9B55-4A2378722D3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1217</Words>
  <Characters>9135</Characters>
  <Application>Microsoft Office Word</Application>
  <DocSecurity>4</DocSecurity>
  <Lines>217</Lines>
  <Paragraphs>100</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10252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2026-03-24T06:56:00Z</dcterms:created>
  <dc:creator>Aleksandr Dolgov</dc:creator>
  <lastModifiedBy>adlibuser</lastModifiedBy>
  <dcterms:modified xsi:type="dcterms:W3CDTF">2026-03-24T06:56:00Z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0x01010050164633ED94994D9773E53D567FF5BF</vt:lpwstr>
  </property>
  <property fmtid="{D5CDD505-2E9C-101B-9397-08002B2CF9AE}" pid="3" name="MediaServiceImageTags">
    <vt:lpwstr/>
  </property>
</Properties>
</file>