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986"/>
          <w:tab w:val="right" w:pos="9972"/>
        </w:tabs>
        <w:rPr>
          <w:rFonts w:ascii="Calibri" w:eastAsia="Calibri" w:hAnsi="Calibri"/>
          <w:sz w:val="22"/>
          <w:szCs w:val="22"/>
        </w:rPr>
      </w:pPr>
    </w:p>
    <w:p>
      <w:pPr>
        <w:tabs>
          <w:tab w:val="left" w:pos="0"/>
        </w:tabs>
        <w:spacing w:line="360" w:lineRule="auto"/>
        <w:jc w:val="center"/>
        <w:rPr>
          <w:b/>
          <w:iCs/>
          <w:caps/>
          <w:szCs w:val="24"/>
        </w:rPr>
      </w:pPr>
      <w:r>
        <w:rPr>
          <w:b/>
          <w:iCs/>
          <w:szCs w:val="24"/>
        </w:rPr>
        <w:t>VIETINIO ŪKIO IR TURTO VALDYMO SKYRIUS</w:t>
      </w:r>
    </w:p>
    <w:p>
      <w:pPr>
        <w:rPr>
          <w:sz w:val="20"/>
        </w:rPr>
      </w:pPr>
    </w:p>
    <w:p>
      <w:pPr>
        <w:tabs>
          <w:tab w:val="left" w:pos="567"/>
        </w:tabs>
        <w:spacing w:line="360" w:lineRule="auto"/>
        <w:jc w:val="center"/>
        <w:rPr>
          <w:b/>
          <w:bCs/>
          <w:szCs w:val="24"/>
        </w:rPr>
      </w:pPr>
      <w:r>
        <w:rPr>
          <w:b/>
          <w:bCs/>
          <w:szCs w:val="24"/>
        </w:rPr>
        <w:t>AIŠKINAMASIS RAŠTAS</w:t>
      </w:r>
    </w:p>
    <w:p>
      <w:pPr>
        <w:rPr>
          <w:sz w:val="20"/>
        </w:rPr>
      </w:pPr>
    </w:p>
    <w:p>
      <w:pPr>
        <w:spacing w:line="276" w:lineRule="auto"/>
        <w:jc w:val="center"/>
        <w:rPr>
          <w:b/>
          <w:bCs/>
          <w:caps/>
          <w:szCs w:val="24"/>
          <w:lang w:eastAsia="lt-LT"/>
        </w:rPr>
      </w:pPr>
      <w:r>
        <w:rPr>
          <w:b/>
          <w:bCs/>
          <w:caps/>
          <w:szCs w:val="24"/>
          <w:lang w:eastAsia="lt-LT"/>
        </w:rPr>
        <w:t>Dėl TARYBOS sprendimo „</w:t>
      </w:r>
      <w:r>
        <w:rPr>
          <w:rFonts w:eastAsia="Calibri"/>
          <w:b/>
          <w:bCs/>
          <w:caps/>
          <w:szCs w:val="24"/>
        </w:rPr>
        <w:t xml:space="preserve">DĖL TURTO PERDAVIMO PAGAL PANAUDOS SUTARTĮ VISUOMENINEI ORGANIZACIJAI „KAULAKIŲ KAIMO BENDRUOMENĖ“ </w:t>
      </w:r>
      <w:r>
        <w:rPr>
          <w:b/>
          <w:bCs/>
          <w:caps/>
          <w:szCs w:val="24"/>
          <w:lang w:eastAsia="lt-LT"/>
        </w:rPr>
        <w:t>projekto</w:t>
      </w:r>
    </w:p>
    <w:p>
      <w:pPr>
        <w:rPr>
          <w:sz w:val="20"/>
        </w:rPr>
      </w:pPr>
    </w:p>
    <w:p>
      <w:pPr>
        <w:tabs>
          <w:tab w:val="left" w:pos="567"/>
        </w:tabs>
        <w:jc w:val="center"/>
        <w:rPr>
          <w:szCs w:val="24"/>
          <w:lang w:eastAsia="lt-LT"/>
        </w:rPr>
      </w:pPr>
      <w:r>
        <w:rPr>
          <w:szCs w:val="24"/>
          <w:lang w:eastAsia="lt-LT"/>
        </w:rPr>
        <w:t>2022 m. sausio 10 d.</w:t>
      </w:r>
    </w:p>
    <w:p>
      <w:pPr>
        <w:tabs>
          <w:tab w:val="left" w:pos="0"/>
        </w:tabs>
        <w:jc w:val="center"/>
        <w:rPr>
          <w:szCs w:val="24"/>
          <w:lang w:eastAsia="lt-LT"/>
        </w:rPr>
      </w:pPr>
      <w:r>
        <w:rPr>
          <w:szCs w:val="24"/>
          <w:lang w:eastAsia="lt-LT"/>
        </w:rPr>
        <w:t>Raseiniai</w:t>
      </w:r>
    </w:p>
    <w:p>
      <w:pPr>
        <w:tabs>
          <w:tab w:val="left" w:pos="0"/>
        </w:tabs>
        <w:jc w:val="cente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0"/>
      </w:tblGrid>
      <w:tr>
        <w:trPr>
          <w:trHeight w:hRule="exact" w:val="397"/>
        </w:trPr>
        <w:tc>
          <w:tcPr>
            <w:tcW w:w="9740" w:type="dxa"/>
            <w:vAlign w:val="center"/>
          </w:tcPr>
          <w:p>
            <w:pPr>
              <w:spacing w:line="360" w:lineRule="auto"/>
              <w:ind w:firstLine="540"/>
              <w:jc w:val="both"/>
              <w:rPr>
                <w:b/>
                <w:bCs/>
                <w:szCs w:val="24"/>
                <w:lang w:eastAsia="lt-LT"/>
              </w:rPr>
            </w:pPr>
            <w:r>
              <w:rPr>
                <w:b/>
                <w:bCs/>
                <w:iCs/>
                <w:szCs w:val="24"/>
                <w:lang w:eastAsia="lt-LT"/>
              </w:rPr>
              <w:t>1. Parengto projekto tikslai ir uždaviniai.</w:t>
            </w:r>
          </w:p>
        </w:tc>
      </w:tr>
      <w:tr>
        <w:tc>
          <w:tcPr>
            <w:tcW w:w="9740" w:type="dxa"/>
          </w:tcPr>
          <w:p>
            <w:pPr>
              <w:shd w:val="clear" w:color="auto" w:fill="FFFFFF"/>
              <w:ind w:firstLine="720"/>
              <w:jc w:val="both"/>
              <w:rPr>
                <w:rFonts w:eastAsia="Calibri"/>
                <w:szCs w:val="24"/>
              </w:rPr>
            </w:pPr>
            <w:r>
              <w:rPr>
                <w:rFonts w:eastAsia="Calibri"/>
                <w:b/>
                <w:bCs/>
                <w:szCs w:val="24"/>
              </w:rPr>
              <w:t xml:space="preserve">Tikslas </w:t>
            </w:r>
            <w:r>
              <w:rPr>
                <w:rFonts w:eastAsia="Calibri"/>
                <w:szCs w:val="24"/>
              </w:rPr>
              <w:t xml:space="preserve">yra perduoti pagal panaudos sutartį </w:t>
            </w:r>
            <w:r>
              <w:rPr>
                <w:rFonts w:eastAsia="Calibri"/>
                <w:szCs w:val="24"/>
                <w:lang w:eastAsia="lt-LT"/>
              </w:rPr>
              <w:t>Visuomeninei organizacijai „Kaulakių kaimo bendruomenė“</w:t>
            </w:r>
            <w:r>
              <w:rPr>
                <w:rFonts w:eastAsia="Calibri"/>
                <w:bCs/>
                <w:caps/>
                <w:szCs w:val="24"/>
              </w:rPr>
              <w:t xml:space="preserve"> </w:t>
            </w:r>
            <w:r>
              <w:rPr>
                <w:rFonts w:eastAsia="Calibri"/>
                <w:szCs w:val="24"/>
                <w:lang w:eastAsia="lt-LT"/>
              </w:rPr>
              <w:t xml:space="preserve">(kodas </w:t>
            </w:r>
            <w:r>
              <w:rPr>
                <w:rFonts w:eastAsia="Calibri"/>
                <w:color w:val="000000"/>
                <w:szCs w:val="24"/>
                <w:shd w:val="clear" w:color="auto" w:fill="FAFAFA"/>
              </w:rPr>
              <w:t>172773366</w:t>
            </w:r>
            <w:r>
              <w:rPr>
                <w:rFonts w:eastAsia="Calibri"/>
                <w:szCs w:val="24"/>
                <w:lang w:eastAsia="lt-LT"/>
              </w:rPr>
              <w:t>) Raseinių rajono savivaldybei nuosavybės teise priklausantį, </w:t>
            </w:r>
            <w:r>
              <w:rPr>
                <w:rFonts w:eastAsia="Calibri"/>
                <w:szCs w:val="24"/>
                <w:shd w:val="clear" w:color="auto" w:fill="FFFFFF"/>
                <w:lang w:eastAsia="lt-LT"/>
              </w:rPr>
              <w:t xml:space="preserve">šiuo metu Raseinių rajono savivaldybės administracijos patikėjimo teise valdomą turtą, </w:t>
            </w:r>
            <w:r>
              <w:rPr>
                <w:rFonts w:eastAsia="Calibri"/>
                <w:szCs w:val="24"/>
              </w:rPr>
              <w:t xml:space="preserve">nurodytą sprendimo projekte, dešimties metų bendruomenės įstatuose numatytai veiklai vykdyti. </w:t>
            </w:r>
          </w:p>
          <w:p>
            <w:pPr>
              <w:shd w:val="clear" w:color="auto" w:fill="FFFFFF"/>
              <w:ind w:firstLine="720"/>
              <w:jc w:val="both"/>
              <w:rPr>
                <w:rFonts w:eastAsia="Calibri"/>
                <w:szCs w:val="24"/>
              </w:rPr>
            </w:pPr>
            <w:r>
              <w:rPr>
                <w:rFonts w:eastAsia="Calibri"/>
                <w:szCs w:val="24"/>
              </w:rPr>
              <w:t xml:space="preserve">Bendruomenė vykdydama įstatuose numatytą veiklą prisideda prie gyvenamosios vietovės bendruomenės viešųjų poreikių tenkinimo, kūno kultūros ir sporto veiklos skatinimo, kultūros, meno puoselėjimo. </w:t>
            </w:r>
          </w:p>
          <w:p>
            <w:pPr>
              <w:shd w:val="clear" w:color="auto" w:fill="FFFFFF"/>
              <w:ind w:firstLine="720"/>
              <w:jc w:val="both"/>
              <w:rPr>
                <w:rFonts w:eastAsia="Calibri"/>
                <w:szCs w:val="24"/>
              </w:rPr>
            </w:pPr>
            <w:r>
              <w:rPr>
                <w:rFonts w:eastAsia="Calibri"/>
                <w:szCs w:val="24"/>
              </w:rPr>
              <w:t>Bendruomenė pagal panaudos sutartį šį turtą valdo nuo 2013 m. Panaudos sutartis su bendruomene baigiasi 2023 m. Bendruomenė prašo perduoti turtą dešimčiai metų, kadangi planuoja dalyvauti LR Žemės ūkio ministerijos nacionalinės paramos kaimo bendruomenių veiklai konkurse. Pagal nacionalinės paramos kaimo bendruomenių veiklai teikimo taisykles, kai investuojama į nekilnojamąjį turtą, pareiškėjas turtą turi valdyti ne trumpesnį kaip 5 metų laikotarpį nuo paramos paraiškos pateikimo dienos. Atsižvelgiant į tai, su bendruomene nutraukiama panaudos sutartis ir priėmus tarybos sprendimą perduoti turtą bus pasirašoma nauja sutartis.</w:t>
            </w:r>
            <w:r>
              <w:rPr>
                <w:rFonts w:eastAsia="Calibri"/>
                <w:b/>
                <w:bCs/>
                <w:szCs w:val="24"/>
              </w:rPr>
              <w:t xml:space="preserve"> </w:t>
            </w:r>
            <w:r>
              <w:rPr>
                <w:rFonts w:eastAsia="Calibri"/>
                <w:szCs w:val="24"/>
                <w:lang w:eastAsia="lt-LT"/>
              </w:rPr>
              <w:t xml:space="preserve"> </w:t>
            </w:r>
          </w:p>
        </w:tc>
      </w:tr>
      <w:tr>
        <w:trPr>
          <w:trHeight w:hRule="exact" w:val="397"/>
        </w:trPr>
        <w:tc>
          <w:tcPr>
            <w:tcW w:w="9740" w:type="dxa"/>
            <w:vAlign w:val="center"/>
          </w:tcPr>
          <w:p>
            <w:pPr>
              <w:spacing w:line="360" w:lineRule="auto"/>
              <w:ind w:firstLine="540"/>
              <w:jc w:val="both"/>
              <w:rPr>
                <w:b/>
                <w:bCs/>
                <w:iCs/>
                <w:szCs w:val="24"/>
                <w:lang w:eastAsia="lt-LT"/>
              </w:rPr>
            </w:pPr>
            <w:r>
              <w:rPr>
                <w:b/>
                <w:bCs/>
                <w:iCs/>
                <w:szCs w:val="24"/>
                <w:lang w:eastAsia="lt-LT"/>
              </w:rPr>
              <w:t>2. Kokių pozityvių rezultatų laukiama.</w:t>
            </w:r>
          </w:p>
        </w:tc>
      </w:tr>
      <w:tr>
        <w:tc>
          <w:tcPr>
            <w:tcW w:w="9740" w:type="dxa"/>
          </w:tcPr>
          <w:p>
            <w:pPr>
              <w:jc w:val="both"/>
              <w:rPr>
                <w:rFonts w:eastAsia="Calibri"/>
                <w:szCs w:val="24"/>
                <w:lang w:eastAsia="lt-LT"/>
              </w:rPr>
            </w:pPr>
            <w:r>
              <w:rPr>
                <w:rFonts w:eastAsia="Calibri"/>
                <w:szCs w:val="24"/>
                <w:lang w:eastAsia="lt-LT"/>
              </w:rPr>
              <w:t xml:space="preserve">Bus naujai pasirašyta panaudos sutartis, bendruomenė galės dalyvauti </w:t>
            </w:r>
            <w:r>
              <w:rPr>
                <w:rFonts w:eastAsia="Calibri"/>
                <w:szCs w:val="24"/>
              </w:rPr>
              <w:t>LR Žemės ūkio ministerijos nacionalinės paramos kaimo bendruomenių veiklai konkurse.</w:t>
            </w:r>
          </w:p>
        </w:tc>
      </w:tr>
      <w:tr>
        <w:trPr>
          <w:trHeight w:hRule="exact" w:val="567"/>
        </w:trPr>
        <w:tc>
          <w:tcPr>
            <w:tcW w:w="9740" w:type="dxa"/>
            <w:vAlign w:val="center"/>
          </w:tcPr>
          <w:p>
            <w:pPr>
              <w:ind w:firstLine="539"/>
              <w:jc w:val="both"/>
              <w:rPr>
                <w:b/>
                <w:bCs/>
                <w:iCs/>
                <w:szCs w:val="24"/>
                <w:lang w:eastAsia="lt-LT"/>
              </w:rPr>
            </w:pPr>
            <w:r>
              <w:rPr>
                <w:b/>
                <w:bCs/>
                <w:iCs/>
                <w:szCs w:val="24"/>
                <w:lang w:eastAsia="lt-LT"/>
              </w:rPr>
              <w:t>3. Galimos neigiamos priimto projekto pasekmės ir kokių priemonių reikėtų imtis, kad tokių pasekmių būtų išvengta.</w:t>
            </w:r>
          </w:p>
        </w:tc>
      </w:tr>
      <w:tr>
        <w:tc>
          <w:tcPr>
            <w:tcW w:w="9740" w:type="dxa"/>
          </w:tcPr>
          <w:p>
            <w:pPr>
              <w:rPr>
                <w:szCs w:val="24"/>
                <w:lang w:eastAsia="lt-LT"/>
              </w:rPr>
            </w:pPr>
            <w:r>
              <w:rPr>
                <w:rFonts w:eastAsia="Calibri"/>
                <w:szCs w:val="24"/>
              </w:rPr>
              <w:t>Nėra.</w:t>
            </w:r>
          </w:p>
        </w:tc>
      </w:tr>
      <w:tr>
        <w:trPr>
          <w:trHeight w:hRule="exact" w:val="567"/>
        </w:trPr>
        <w:tc>
          <w:tcPr>
            <w:tcW w:w="9740" w:type="dxa"/>
            <w:vAlign w:val="center"/>
          </w:tcPr>
          <w:p>
            <w:pPr>
              <w:ind w:firstLine="539"/>
              <w:jc w:val="both"/>
              <w:rPr>
                <w:b/>
                <w:bCs/>
                <w:iCs/>
                <w:szCs w:val="24"/>
                <w:lang w:eastAsia="lt-LT"/>
              </w:rPr>
            </w:pPr>
            <w:r>
              <w:rPr>
                <w:b/>
                <w:bCs/>
                <w:iCs/>
                <w:szCs w:val="24"/>
                <w:lang w:eastAsia="lt-LT"/>
              </w:rPr>
              <w:t>4. Jeigu reikia atlikti sprendimo projekto antikorupcinį vertinimą, sprendžia projekto rengėjas, atsižvelgdamas į Teisės aktų projektų antikorupcinio vertinimo taisykles.</w:t>
            </w:r>
          </w:p>
        </w:tc>
      </w:tr>
      <w:tr>
        <w:tc>
          <w:tcPr>
            <w:tcW w:w="9740" w:type="dxa"/>
          </w:tcPr>
          <w:p>
            <w:pPr>
              <w:rPr>
                <w:szCs w:val="24"/>
                <w:lang w:eastAsia="lt-LT"/>
              </w:rPr>
            </w:pPr>
            <w:r>
              <w:rPr>
                <w:rFonts w:eastAsia="Calibri"/>
                <w:szCs w:val="24"/>
              </w:rPr>
              <w:t xml:space="preserve">Netaikoma. </w:t>
            </w:r>
          </w:p>
        </w:tc>
      </w:tr>
      <w:tr>
        <w:trPr>
          <w:trHeight w:hRule="exact" w:val="567"/>
        </w:trPr>
        <w:tc>
          <w:tcPr>
            <w:tcW w:w="9740" w:type="dxa"/>
          </w:tcPr>
          <w:p>
            <w:pPr>
              <w:ind w:firstLine="539"/>
              <w:jc w:val="both"/>
              <w:rPr>
                <w:b/>
                <w:bCs/>
                <w:iCs/>
                <w:szCs w:val="24"/>
                <w:lang w:eastAsia="lt-LT"/>
              </w:rPr>
            </w:pPr>
            <w:r>
              <w:rPr>
                <w:b/>
                <w:bCs/>
                <w:iCs/>
                <w:szCs w:val="24"/>
                <w:lang w:eastAsia="lt-LT"/>
              </w:rPr>
              <w:t>5. Projekto rengimo metu gauti specialistų vertinimai ir išvados, ekonominiai apskaičiavimai (sąmatos) ir konkretūs finansavimo šaltiniai.</w:t>
            </w:r>
          </w:p>
        </w:tc>
      </w:tr>
      <w:tr>
        <w:tc>
          <w:tcPr>
            <w:tcW w:w="9740" w:type="dxa"/>
          </w:tcPr>
          <w:p>
            <w:pPr>
              <w:jc w:val="both"/>
              <w:rPr>
                <w:rFonts w:eastAsia="Calibri"/>
                <w:szCs w:val="24"/>
              </w:rPr>
            </w:pPr>
            <w:r>
              <w:rPr>
                <w:rFonts w:eastAsia="Calibri"/>
                <w:szCs w:val="24"/>
              </w:rPr>
              <w:t>Sprendimo projektas suderintas Raseinių rajono savivaldybės tarybos veiklos reglamento, patvirtinto Raseinių rajono savivaldybės tarybos 2019 m. rugpjūčio 28 d. sprendimu Nr. TS-257, 35.1 papunktyje nustatyta tvarka.</w:t>
            </w:r>
          </w:p>
        </w:tc>
      </w:tr>
      <w:tr>
        <w:trPr>
          <w:trHeight w:hRule="exact" w:val="717"/>
        </w:trPr>
        <w:tc>
          <w:tcPr>
            <w:tcW w:w="9740" w:type="dxa"/>
            <w:vAlign w:val="center"/>
          </w:tcPr>
          <w:p>
            <w:pPr>
              <w:ind w:firstLine="540"/>
              <w:jc w:val="both"/>
              <w:rPr>
                <w:b/>
                <w:szCs w:val="24"/>
                <w:lang w:eastAsia="lt-LT"/>
              </w:rPr>
            </w:pPr>
            <w:r>
              <w:rPr>
                <w:b/>
                <w:szCs w:val="24"/>
                <w:lang w:eastAsia="lt-LT"/>
              </w:rPr>
              <w:t>6. Numatomo teisinio reguliavimo poveikio vertinimas (norminio pobūdžio teisės aktams).</w:t>
            </w:r>
          </w:p>
        </w:tc>
      </w:tr>
      <w:tr>
        <w:trPr>
          <w:trHeight w:hRule="exact" w:val="397"/>
        </w:trPr>
        <w:tc>
          <w:tcPr>
            <w:tcW w:w="9740" w:type="dxa"/>
            <w:vAlign w:val="center"/>
          </w:tcPr>
          <w:p>
            <w:pPr>
              <w:spacing w:line="360" w:lineRule="auto"/>
              <w:rPr>
                <w:rFonts w:eastAsia="Calibri"/>
                <w:szCs w:val="24"/>
              </w:rPr>
            </w:pPr>
            <w:r>
              <w:rPr>
                <w:rFonts w:eastAsia="Calibri"/>
                <w:szCs w:val="24"/>
              </w:rPr>
              <w:t>Parengtas teisinio akto projektas neprieštarauja norminio pobūdžio teisės aktams.</w:t>
            </w:r>
          </w:p>
          <w:p>
            <w:pPr>
              <w:rPr>
                <w:sz w:val="20"/>
              </w:rPr>
            </w:pPr>
          </w:p>
          <w:p>
            <w:pPr>
              <w:spacing w:line="360" w:lineRule="auto"/>
              <w:ind w:firstLine="540"/>
              <w:rPr>
                <w:b/>
                <w:szCs w:val="24"/>
                <w:lang w:eastAsia="lt-LT"/>
              </w:rPr>
            </w:pPr>
          </w:p>
        </w:tc>
      </w:tr>
      <w:tr>
        <w:trPr>
          <w:trHeight w:hRule="exact" w:val="397"/>
        </w:trPr>
        <w:tc>
          <w:tcPr>
            <w:tcW w:w="9740" w:type="dxa"/>
            <w:vAlign w:val="center"/>
          </w:tcPr>
          <w:p>
            <w:pPr>
              <w:spacing w:line="360" w:lineRule="auto"/>
              <w:ind w:firstLine="540"/>
              <w:jc w:val="both"/>
              <w:rPr>
                <w:b/>
                <w:szCs w:val="24"/>
                <w:lang w:eastAsia="lt-LT"/>
              </w:rPr>
            </w:pPr>
            <w:r>
              <w:rPr>
                <w:b/>
                <w:bCs/>
                <w:iCs/>
                <w:szCs w:val="24"/>
                <w:lang w:eastAsia="lt-LT"/>
              </w:rPr>
              <w:t>7. Projekto autorius ar autorių grupė.</w:t>
            </w:r>
          </w:p>
        </w:tc>
      </w:tr>
      <w:tr>
        <w:tc>
          <w:tcPr>
            <w:tcW w:w="9740" w:type="dxa"/>
          </w:tcPr>
          <w:p>
            <w:pPr>
              <w:jc w:val="both"/>
              <w:rPr>
                <w:rFonts w:eastAsia="Calibri"/>
                <w:szCs w:val="24"/>
                <w:lang w:eastAsia="lt-LT"/>
              </w:rPr>
            </w:pPr>
            <w:r>
              <w:rPr>
                <w:rFonts w:eastAsia="Calibri"/>
                <w:szCs w:val="24"/>
                <w:lang w:eastAsia="lt-LT"/>
              </w:rPr>
              <w:t>Vietinio ūkio ir turto valdymo skyriaus vyr. specialistė Rūtenė Žemkauskienė</w:t>
            </w:r>
          </w:p>
        </w:tc>
      </w:tr>
    </w:tbl>
    <w:p>
      <w:pPr>
        <w:spacing w:line="360" w:lineRule="auto"/>
        <w:rPr>
          <w:bCs/>
          <w:szCs w:val="24"/>
        </w:rPr>
      </w:pPr>
    </w:p>
    <w:p>
      <w:pPr>
        <w:rPr>
          <w:sz w:val="20"/>
        </w:rPr>
      </w:pPr>
    </w:p>
    <w:p>
      <w:pPr>
        <w:spacing w:line="360" w:lineRule="auto"/>
        <w:rPr>
          <w:bCs/>
          <w:szCs w:val="24"/>
        </w:rPr>
      </w:pPr>
      <w:r>
        <w:rPr>
          <w:bCs/>
          <w:szCs w:val="24"/>
        </w:rPr>
        <w:t xml:space="preserve">Vyr. specialistė </w:t>
        <w:tab/>
        <w:tab/>
        <w:tab/>
        <w:tab/>
        <w:t>Rūtenė Žemkauskienė</w:t>
      </w:r>
    </w:p>
    <w:sectPr>
      <w:headerReference w:type="even" r:id="rId6"/>
      <w:headerReference w:type="default" r:id="rId7"/>
      <w:footerReference w:type="even" r:id="rId8"/>
      <w:footerReference w:type="default" r:id="rId9"/>
      <w:headerReference w:type="first" r:id="rId10"/>
      <w:footerReference w:type="first" r:id="rId11"/>
      <w:pgSz w:w="11906" w:h="16838" w:code="9"/>
      <w:pgMar w:top="1134" w:right="567" w:bottom="426" w:left="1701" w:header="567" w:footer="0" w:gutter="0"/>
      <w:cols w:space="1296"/>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ascii="Calibri" w:eastAsia="Calibri" w:hAnsi="Calibri"/>
          <w:sz w:val="22"/>
          <w:szCs w:val="22"/>
        </w:rPr>
      </w:pPr>
      <w:r>
        <w:rPr>
          <w:rFonts w:ascii="Calibri" w:eastAsia="Calibri" w:hAnsi="Calibri"/>
          <w:sz w:val="22"/>
          <w:szCs w:val="22"/>
        </w:rPr>
        <w:separator/>
      </w:r>
    </w:p>
  </w:endnote>
  <w:endnote w:type="continuationSeparator" w:id="0">
    <w:p>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rPr>
        <w:rFonts w:ascii="Calibri" w:eastAsia="Calibri" w:hAnsi="Calibri"/>
        <w:sz w:val="22"/>
        <w:szCs w:val="22"/>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rPr>
        <w:rFonts w:ascii="Calibri" w:eastAsia="Calibri" w:hAnsi="Calibri"/>
        <w:sz w:val="22"/>
        <w:szCs w:val="22"/>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rPr>
        <w:rFonts w:ascii="Calibri" w:eastAsia="Calibri" w:hAnsi="Calibri"/>
        <w:sz w:val="22"/>
        <w:szCs w:val="22"/>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ascii="Calibri" w:eastAsia="Calibri" w:hAnsi="Calibri"/>
          <w:sz w:val="22"/>
          <w:szCs w:val="22"/>
        </w:rPr>
      </w:pPr>
      <w:r>
        <w:rPr>
          <w:rFonts w:ascii="Calibri" w:eastAsia="Calibri" w:hAnsi="Calibri"/>
          <w:sz w:val="22"/>
          <w:szCs w:val="22"/>
        </w:rPr>
        <w:separator/>
      </w:r>
    </w:p>
  </w:footnote>
  <w:footnote w:type="continuationSeparator" w:id="0">
    <w:p>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rPr>
        <w:rFonts w:ascii="Calibri" w:eastAsia="Calibri" w:hAnsi="Calibri"/>
        <w:sz w:val="22"/>
        <w:szCs w:val="22"/>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rPr>
        <w:rFonts w:ascii="Calibri" w:eastAsia="Calibri" w:hAnsi="Calibri"/>
        <w:sz w:val="22"/>
        <w:szCs w:val="22"/>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rPr>
        <w:rFonts w:ascii="Calibri" w:eastAsia="Calibri" w:hAnsi="Calibri"/>
        <w:sz w:val="22"/>
        <w:szCs w:val="22"/>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D5A37-B0C6-447D-828B-7EE12B387297}"/>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2339</Characters>
  <Application>Microsoft Office Word</Application>
  <DocSecurity>4</DocSecurity>
  <Lines>45</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2637</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2022-01-11T09:44:00Z</dcterms:created>
  <dc:creator>Vilma Urbonienė</dc:creator>
  <lastModifiedBy>adlibuser</lastModifiedBy>
  <dcterms:modified xsi:type="dcterms:W3CDTF">2022-01-11T09:44:00Z</dcterms:modified>
  <revision>2</revision>
</coreProperties>
</file>