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3394674d0ad44f988eec852e75cb1bd"/>
        <w:lock w:val="sdtLocked"/>
        <w:richText/>
      </w:sdtPr>
      <w:sdtContent>
        <w:p>
          <w:pPr>
            <w:tabs>
              <w:tab w:val="center" w:pos="4819"/>
              <w:tab w:val="right" w:pos="9638"/>
            </w:tabs>
            <w:spacing w:line="259" w:lineRule="auto"/>
            <w:jc w:val="center"/>
            <w:rPr>
              <w:szCs w:val="24"/>
              <w:lang w:val="en-GB" w:eastAsia="en-GB"/>
            </w:rPr>
          </w:pPr>
        </w:p>
        <w:p>
          <w:pPr>
            <w:rPr>
              <w:sz w:val="14"/>
              <w:szCs w:val="14"/>
            </w:rPr>
          </w:pPr>
        </w:p>
        <w:p>
          <w:pPr>
            <w:tabs>
              <w:tab w:val="center" w:pos="4819"/>
              <w:tab w:val="right" w:pos="9638"/>
            </w:tabs>
            <w:spacing w:line="259" w:lineRule="auto"/>
            <w:rPr>
              <w:szCs w:val="24"/>
              <w:lang w:val="en-GB" w:eastAsia="en-GB"/>
            </w:rPr>
          </w:pPr>
        </w:p>
        <w:p>
          <w:pPr>
            <w:rPr>
              <w:sz w:val="14"/>
              <w:szCs w:val="14"/>
            </w:rPr>
          </w:pPr>
        </w:p>
        <w:p>
          <w:pPr>
            <w:jc w:val="center"/>
            <w:rPr>
              <w:b/>
              <w:bCs/>
              <w:szCs w:val="24"/>
              <w:lang w:eastAsia="en-GB"/>
            </w:rPr>
          </w:pPr>
          <w:r>
            <w:rPr>
              <w:b/>
              <w:bCs/>
              <w:szCs w:val="24"/>
              <w:lang w:eastAsia="en-GB"/>
            </w:rPr>
            <w:t>DIREKTYVOS 2011/92/ES (IŠ DALIES PAKEISTOS DIREKTYVOS 2014/52/ES) IR LIETUVOS RESPUBLIKOS PLANUOJAMOS ŪKINĖS VEIKLOS POVEIKIO APLINKAI VERTINIMO ĮSTATYMO NR. I-1495 PAKEITIMO ĮSTATYMO PROJEKTO ATITIKTIES LENTELĖ</w:t>
          </w:r>
        </w:p>
        <w:p>
          <w:pPr>
            <w:jc w:val="center"/>
            <w:rPr>
              <w:b/>
              <w:bCs/>
              <w:caps/>
              <w:sz w:val="22"/>
              <w:szCs w:val="22"/>
            </w:rPr>
          </w:pPr>
        </w:p>
        <w:tbl>
          <w:tblPr>
            <w:tblW w:w="14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9639"/>
            <w:gridCol w:w="1421"/>
          </w:tblGrid>
          <w:tr>
            <w:tc>
              <w:tcPr>
                <w:tcW w:w="3652" w:type="dxa"/>
              </w:tcPr>
              <w:p>
                <w:pPr>
                  <w:jc w:val="both"/>
                  <w:rPr>
                    <w:rFonts w:ascii="TimesLT" w:hAnsi="TimesLT"/>
                    <w:b/>
                    <w:bCs/>
                    <w:sz w:val="20"/>
                  </w:rPr>
                </w:pPr>
                <w:r>
                  <w:rPr>
                    <w:rFonts w:ascii="TimesLT" w:hAnsi="TimesLT"/>
                    <w:b/>
                    <w:bCs/>
                    <w:sz w:val="20"/>
                  </w:rPr>
                  <w:t xml:space="preserve">B – 2011 m. gruodžio 13 d. Europos Parlamento ir Tarybos direktyva </w:t>
                </w:r>
                <w:fldSimple w:instr="HYPERLINK http://eur-lex.europa.eu/legal-content/LIT/TXT/?uri=CELEX:32011L0092&amp;locale=lt \t _blank">
                  <w:r>
                    <w:rPr>
                      <w:rFonts w:ascii="TimesLT" w:hAnsi="TimesLT"/>
                      <w:b/>
                      <w:bCs/>
                      <w:sz w:val="20"/>
                      <w:u w:val="single"/>
                      <w:color w:val="0000FF" w:themeColor="hyperlink"/>
                    </w:rPr>
                    <w:t>2011/92/ES</w:t>
                  </w:r>
                </w:fldSimple>
                <w:r>
                  <w:rPr>
                    <w:rFonts w:ascii="TimesLT" w:hAnsi="TimesLT"/>
                    <w:b/>
                    <w:bCs/>
                    <w:sz w:val="20"/>
                  </w:rPr>
                  <w:t xml:space="preserve"> dėl tam tikrų valstybės privačių projektų poveikio aplinkai vertinimo </w:t>
                </w:r>
              </w:p>
              <w:p>
                <w:pPr>
                  <w:jc w:val="both"/>
                  <w:rPr>
                    <w:rFonts w:ascii="TimesLT" w:hAnsi="TimesLT"/>
                    <w:b/>
                    <w:bCs/>
                    <w:sz w:val="20"/>
                  </w:rPr>
                </w:pPr>
                <w:r>
                  <w:rPr>
                    <w:rFonts w:ascii="TimesLT" w:hAnsi="TimesLT"/>
                    <w:b/>
                    <w:bCs/>
                    <w:sz w:val="20"/>
                  </w:rPr>
                  <w:t>iš dalies keičiama:</w:t>
                </w:r>
              </w:p>
              <w:p>
                <w:pPr>
                  <w:jc w:val="both"/>
                  <w:rPr>
                    <w:b/>
                    <w:bCs/>
                    <w:sz w:val="20"/>
                  </w:rPr>
                </w:pPr>
                <w:r>
                  <w:rPr>
                    <w:rFonts w:ascii="TimesLT" w:hAnsi="TimesLT"/>
                    <w:b/>
                    <w:bCs/>
                    <w:sz w:val="20"/>
                  </w:rPr>
                  <w:t xml:space="preserve">M1 – </w:t>
                </w:r>
                <w:r>
                  <w:rPr>
                    <w:b/>
                    <w:bCs/>
                    <w:sz w:val="20"/>
                  </w:rPr>
                  <w:t xml:space="preserve">Europos Parlamento ir Tarybos direktyva </w:t>
                </w:r>
                <w:fldSimple w:instr="HYPERLINK http://eur-lex.europa.eu/legal-content/LIT/TXT/?uri=CELEX:32014L0052&amp;locale=lt \t _blank">
                  <w:r>
                    <w:rPr>
                      <w:b/>
                      <w:bCs/>
                      <w:sz w:val="20"/>
                      <w:u w:val="single"/>
                      <w:color w:val="0000FF" w:themeColor="hyperlink"/>
                    </w:rPr>
                    <w:t>2014/52/ES</w:t>
                  </w:r>
                </w:fldSimple>
                <w:r>
                  <w:rPr>
                    <w:b/>
                    <w:bCs/>
                    <w:sz w:val="20"/>
                  </w:rPr>
                  <w:t xml:space="preserve"> Tekstas svarbus EEE 2014 m. balandžio 16 d.</w:t>
                </w:r>
              </w:p>
            </w:tc>
            <w:tc>
              <w:tcPr>
                <w:tcW w:w="9639" w:type="dxa"/>
              </w:tcPr>
              <w:p>
                <w:pPr>
                  <w:jc w:val="both"/>
                  <w:rPr>
                    <w:b/>
                    <w:sz w:val="20"/>
                  </w:rPr>
                </w:pPr>
                <w:r>
                  <w:rPr>
                    <w:b/>
                    <w:sz w:val="20"/>
                  </w:rPr>
                  <w:t>Lietuvos Respublikos planuojamos ūkinės veiklos poveikio aplinkai vertinimo įstatymo Nr. I-1495 pakeitimo įstatymo projektas (toliau – Projektas)</w:t>
                </w:r>
              </w:p>
              <w:p>
                <w:pPr>
                  <w:jc w:val="both"/>
                  <w:rPr>
                    <w:b/>
                    <w:sz w:val="20"/>
                    <w:lang w:eastAsia="lt-LT"/>
                  </w:rPr>
                </w:pPr>
              </w:p>
            </w:tc>
            <w:tc>
              <w:tcPr>
                <w:tcW w:w="1421" w:type="dxa"/>
              </w:tcPr>
              <w:p>
                <w:pPr>
                  <w:jc w:val="center"/>
                  <w:rPr>
                    <w:sz w:val="20"/>
                  </w:rPr>
                </w:pPr>
                <w:r>
                  <w:rPr>
                    <w:sz w:val="20"/>
                  </w:rPr>
                  <w:t>Direktyvos perkėlimo įgyvendinimo lygis</w:t>
                </w:r>
              </w:p>
            </w:tc>
          </w:tr>
          <w:tr>
            <w:tc>
              <w:tcPr>
                <w:tcW w:w="3652" w:type="dxa"/>
              </w:tcPr>
              <w:p>
                <w:pPr>
                  <w:rPr>
                    <w:b/>
                    <w:iCs/>
                    <w:sz w:val="20"/>
                    <w:lang w:eastAsia="en-GB"/>
                  </w:rPr>
                </w:pPr>
                <w:r>
                  <w:rPr>
                    <w:b/>
                    <w:iCs/>
                    <w:sz w:val="20"/>
                    <w:lang w:eastAsia="en-GB"/>
                  </w:rPr>
                  <w:t>B</w:t>
                </w:r>
              </w:p>
              <w:p>
                <w:pPr>
                  <w:rPr>
                    <w:b/>
                    <w:i/>
                    <w:iCs/>
                    <w:sz w:val="20"/>
                    <w:lang w:eastAsia="en-GB"/>
                  </w:rPr>
                </w:pPr>
                <w:r>
                  <w:rPr>
                    <w:b/>
                    <w:i/>
                    <w:iCs/>
                    <w:sz w:val="20"/>
                    <w:lang w:eastAsia="en-GB"/>
                  </w:rPr>
                  <w:t xml:space="preserve">1 straipsnis </w:t>
                </w:r>
              </w:p>
              <w:p>
                <w:pPr>
                  <w:rPr>
                    <w:i/>
                    <w:iCs/>
                    <w:sz w:val="20"/>
                    <w:lang w:eastAsia="en-GB"/>
                  </w:rPr>
                </w:pPr>
                <w:r>
                  <w:rPr>
                    <w:iCs/>
                    <w:sz w:val="20"/>
                    <w:lang w:eastAsia="en-GB"/>
                  </w:rPr>
                  <w:t>1. Ši direktyva taikoma valstybės ir privačių projektų, kurie gali daryti reikšmingą poveikį aplinkai, poveikio aplinkai vertinimui.</w:t>
                </w:r>
              </w:p>
            </w:tc>
            <w:tc>
              <w:tcPr>
                <w:tcW w:w="9639" w:type="dxa"/>
              </w:tcPr>
              <w:p>
                <w:pPr>
                  <w:jc w:val="both"/>
                  <w:rPr>
                    <w:b/>
                    <w:sz w:val="20"/>
                    <w:lang w:eastAsia="en-GB"/>
                  </w:rPr>
                </w:pPr>
                <w:r>
                  <w:rPr>
                    <w:b/>
                    <w:sz w:val="20"/>
                    <w:lang w:eastAsia="en-GB"/>
                  </w:rPr>
                  <w:t>Projektas</w:t>
                </w:r>
              </w:p>
              <w:p>
                <w:pPr>
                  <w:jc w:val="both"/>
                  <w:rPr>
                    <w:b/>
                    <w:sz w:val="20"/>
                  </w:rPr>
                </w:pPr>
                <w:r>
                  <w:rPr>
                    <w:b/>
                    <w:sz w:val="20"/>
                  </w:rPr>
                  <w:t>1 straipsnio 1 dalis</w:t>
                </w:r>
              </w:p>
              <w:p>
                <w:pPr>
                  <w:jc w:val="both"/>
                  <w:rPr>
                    <w:b/>
                    <w:sz w:val="20"/>
                  </w:rPr>
                </w:pPr>
                <w:r>
                  <w:rPr>
                    <w:b/>
                    <w:color w:val="000000"/>
                    <w:sz w:val="20"/>
                    <w:lang w:eastAsia="en-GB"/>
                  </w:rPr>
                  <w:t>1. Šis įstatymas reglamentuoja planuojamos ūkinės veiklos atrankos dėl poveikio aplinkai vertinimo ir planuojamos ūkinės veiklos poveikio aplinkai vertinimo procesus ir šių procesų dalyvių tarpusavio santykius.</w:t>
                </w:r>
                <w:r>
                  <w:rPr>
                    <w:b/>
                    <w:sz w:val="20"/>
                  </w:rPr>
                  <w:t xml:space="preserve"> </w:t>
                </w:r>
              </w:p>
              <w:p>
                <w:pPr>
                  <w:jc w:val="both"/>
                  <w:rPr>
                    <w:b/>
                    <w:sz w:val="20"/>
                  </w:rPr>
                </w:pPr>
              </w:p>
              <w:p>
                <w:pPr>
                  <w:jc w:val="both"/>
                  <w:rPr>
                    <w:b/>
                    <w:bCs/>
                    <w:color w:val="000000"/>
                    <w:sz w:val="20"/>
                    <w:lang w:eastAsia="lt-LT"/>
                  </w:rPr>
                </w:pPr>
                <w:r>
                  <w:rPr>
                    <w:b/>
                    <w:bCs/>
                    <w:color w:val="000000"/>
                    <w:sz w:val="20"/>
                    <w:lang w:eastAsia="lt-LT"/>
                  </w:rPr>
                  <w:t>3 straipsnio 1 dalis</w:t>
                </w:r>
              </w:p>
              <w:p>
                <w:pPr>
                  <w:jc w:val="both"/>
                  <w:textAlignment w:val="baseline"/>
                  <w:rPr>
                    <w:rFonts w:ascii="Segoe UI" w:hAnsi="Segoe UI" w:cs="Segoe UI"/>
                    <w:b/>
                    <w:sz w:val="20"/>
                    <w:lang w:eastAsia="lt-LT"/>
                  </w:rPr>
                </w:pPr>
                <w:r>
                  <w:rPr>
                    <w:b/>
                    <w:sz w:val="20"/>
                    <w:lang w:eastAsia="lt-LT"/>
                  </w:rPr>
                  <w:t>„1. Planuojamos ūkinės veiklos, kuri dėl savo pobūdžio, masto ar numatomos vietos ypatumų gali daryti reikšmingą poveikį aplinkai, poveikio aplinkai vertinimas atliekamas, kai: </w:t>
                </w:r>
              </w:p>
              <w:p>
                <w:pPr>
                  <w:jc w:val="both"/>
                  <w:textAlignment w:val="baseline"/>
                  <w:rPr>
                    <w:rFonts w:ascii="Segoe UI" w:hAnsi="Segoe UI" w:cs="Segoe UI"/>
                    <w:b/>
                    <w:sz w:val="20"/>
                    <w:lang w:eastAsia="lt-LT"/>
                  </w:rPr>
                </w:pPr>
                <w:r>
                  <w:rPr>
                    <w:b/>
                    <w:sz w:val="20"/>
                    <w:lang w:eastAsia="lt-LT"/>
                  </w:rPr>
                  <w:t>1) planuojama ūkinė veikla įrašyta į Planuojamos ūkinės veiklos, kurios poveikis aplinkai privalo būti vertinamas, rūšių sąrašą (šio įstatymo 1 priedas); </w:t>
                </w:r>
              </w:p>
              <w:p>
                <w:pPr>
                  <w:jc w:val="both"/>
                  <w:textAlignment w:val="baseline"/>
                  <w:rPr>
                    <w:rFonts w:ascii="Segoe UI" w:hAnsi="Segoe UI" w:cs="Segoe UI"/>
                    <w:b/>
                    <w:sz w:val="20"/>
                    <w:lang w:eastAsia="lt-LT"/>
                  </w:rPr>
                </w:pPr>
                <w:r>
                  <w:rPr>
                    <w:b/>
                    <w:sz w:val="20"/>
                    <w:lang w:eastAsia="lt-LT"/>
                  </w:rPr>
                  <w:t>2) planuojamos ūkinės veiklos atrankos dėl poveikio aplinkai vertinimo (toliau – atranka dėl poveikio aplinkai vertinimo) metu nustatoma, kad planuojamai ūkinei veiklai privaloma atlikti poveikio aplinkai vertinimą; </w:t>
                </w:r>
              </w:p>
              <w:p>
                <w:pPr>
                  <w:jc w:val="both"/>
                  <w:textAlignment w:val="baseline"/>
                  <w:rPr>
                    <w:rFonts w:ascii="Segoe UI" w:hAnsi="Segoe UI" w:cs="Segoe UI"/>
                    <w:b/>
                    <w:sz w:val="20"/>
                    <w:lang w:eastAsia="lt-LT"/>
                  </w:rPr>
                </w:pPr>
                <w:r>
                  <w:rPr>
                    <w:b/>
                    <w:sz w:val="20"/>
                    <w:lang w:eastAsia="lt-LT"/>
                  </w:rPr>
                  <w:t>3) planuojamos ūkinės veiklos įgyvendinimas gali daryti poveikį Europos ekologinio tinklo „Natura 2000“ teritorijoms ir kai saugomų teritorijų institucija, nurodyta Lietuvos Respublikos saugomų teritorijų įstatyme (toliau – saugomų teritorijų institucija), aplinkos ministro nustatyta tvarka nustato, kad šis poveikis gali būti reikšmingas; </w:t>
                </w:r>
              </w:p>
              <w:p>
                <w:pPr>
                  <w:jc w:val="both"/>
                  <w:textAlignment w:val="baseline"/>
                  <w:rPr>
                    <w:rFonts w:ascii="Segoe UI" w:hAnsi="Segoe UI" w:cs="Segoe UI"/>
                    <w:b/>
                    <w:sz w:val="20"/>
                    <w:lang w:eastAsia="lt-LT"/>
                  </w:rPr>
                </w:pPr>
                <w:r>
                  <w:rPr>
                    <w:b/>
                    <w:sz w:val="20"/>
                    <w:lang w:eastAsia="lt-LT"/>
                  </w:rPr>
                  <w:t>4) planuojamos ūkinės veiklos, įrašytos į Planuojamos ūkinės veiklos, kuriai turi būti atliekama atranka dėl poveikio aplinkai vertinimo, rūšių sąrašą, nurodytą šio įstatymo 2 priede, organizatorius (užsakovas) nusprendžia pradėti poveikio aplinkai vertinimą neatliekant atrankos dėl poveikio aplinkai vertinimo.“</w:t>
                </w:r>
              </w:p>
              <w:p>
                <w:pPr>
                  <w:ind w:firstLine="53"/>
                  <w:jc w:val="both"/>
                  <w:rPr>
                    <w:b/>
                    <w:sz w:val="20"/>
                    <w:lang w:eastAsia="en-GB"/>
                  </w:rPr>
                </w:pPr>
              </w:p>
            </w:tc>
            <w:tc>
              <w:tcPr>
                <w:tcW w:w="1421" w:type="dxa"/>
              </w:tcPr>
              <w:p>
                <w:pPr>
                  <w:jc w:val="center"/>
                  <w:rPr>
                    <w:b/>
                    <w:sz w:val="20"/>
                    <w:lang w:eastAsia="en-GB"/>
                  </w:rPr>
                </w:pPr>
                <w:r>
                  <w:rPr>
                    <w:b/>
                    <w:sz w:val="20"/>
                    <w:lang w:eastAsia="en-GB"/>
                  </w:rPr>
                  <w:t>Visiškas.</w:t>
                </w:r>
              </w:p>
            </w:tc>
          </w:tr>
          <w:tr>
            <w:tc>
              <w:tcPr>
                <w:tcW w:w="3652" w:type="dxa"/>
              </w:tcPr>
              <w:p>
                <w:pPr>
                  <w:rPr>
                    <w:b/>
                    <w:iCs/>
                    <w:sz w:val="20"/>
                    <w:lang w:eastAsia="en-GB"/>
                  </w:rPr>
                </w:pPr>
                <w:r>
                  <w:rPr>
                    <w:b/>
                    <w:iCs/>
                    <w:sz w:val="20"/>
                    <w:lang w:eastAsia="en-GB"/>
                  </w:rPr>
                  <w:t>B</w:t>
                </w:r>
              </w:p>
              <w:p>
                <w:pPr>
                  <w:jc w:val="both"/>
                  <w:rPr>
                    <w:color w:val="000000"/>
                    <w:sz w:val="20"/>
                    <w:lang w:eastAsia="lt-LT"/>
                  </w:rPr>
                </w:pPr>
                <w:r>
                  <w:rPr>
                    <w:color w:val="000000"/>
                    <w:sz w:val="20"/>
                    <w:lang w:eastAsia="lt-LT"/>
                  </w:rPr>
                  <w:t>2. Šioje direktyvoje vartojamų sąvokų apibrėžtys:</w:t>
                </w:r>
              </w:p>
              <w:p>
                <w:pPr>
                  <w:ind w:hanging="360"/>
                  <w:jc w:val="both"/>
                  <w:rPr>
                    <w:color w:val="000000"/>
                    <w:sz w:val="20"/>
                    <w:lang w:val="en-GB" w:eastAsia="en-GB"/>
                  </w:rPr>
                </w:pPr>
                <w:r>
                  <w:rPr>
                    <w:rFonts w:eastAsia="Lucida Sans Unicode"/>
                    <w:color w:val="000000"/>
                    <w:sz w:val="20"/>
                    <w:lang w:eastAsia="lt-LT"/>
                  </w:rPr>
                  <w:t>a)</w:t>
                  <w:tab/>
                </w:r>
                <w:r>
                  <w:rPr>
                    <w:color w:val="000000"/>
                    <w:sz w:val="20"/>
                    <w:lang w:val="en-GB" w:eastAsia="en-GB"/>
                  </w:rPr>
                  <w:t xml:space="preserve">a) projektas: </w:t>
                </w:r>
              </w:p>
              <w:p>
                <w:pPr>
                  <w:jc w:val="both"/>
                  <w:rPr>
                    <w:color w:val="000000"/>
                    <w:sz w:val="20"/>
                    <w:lang w:eastAsia="lt-LT"/>
                  </w:rPr>
                </w:pPr>
                <w:r>
                  <w:rPr>
                    <w:color w:val="000000"/>
                    <w:sz w:val="20"/>
                    <w:lang w:eastAsia="lt-LT"/>
                  </w:rPr>
                  <w:t>– statybos darbai bei kitų objektų ar veiklos planų įgyvendinimas,</w:t>
                </w:r>
              </w:p>
              <w:p>
                <w:pPr>
                  <w:jc w:val="both"/>
                  <w:rPr>
                    <w:color w:val="000000"/>
                    <w:sz w:val="20"/>
                    <w:lang w:eastAsia="lt-LT"/>
                  </w:rPr>
                </w:pPr>
                <w:r>
                  <w:rPr>
                    <w:color w:val="000000"/>
                    <w:sz w:val="20"/>
                    <w:lang w:eastAsia="lt-LT"/>
                  </w:rPr>
                  <w:t>– kitokie įsikišimai į natūralią aplinką ir gamtovaizdį, įskaitant mineralinių išteklių gavybą;</w:t>
                </w:r>
              </w:p>
              <w:p>
                <w:pPr>
                  <w:jc w:val="both"/>
                  <w:rPr>
                    <w:i/>
                    <w:iCs/>
                    <w:sz w:val="20"/>
                    <w:lang w:eastAsia="en-GB"/>
                  </w:rPr>
                </w:pP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2 straipsnio 4 dalis</w:t>
                </w:r>
              </w:p>
              <w:p>
                <w:pPr>
                  <w:jc w:val="both"/>
                  <w:rPr>
                    <w:b/>
                    <w:color w:val="000000"/>
                    <w:sz w:val="20"/>
                    <w:lang w:eastAsia="en-GB"/>
                  </w:rPr>
                </w:pPr>
                <w:r>
                  <w:rPr>
                    <w:b/>
                    <w:bCs/>
                    <w:color w:val="000000"/>
                    <w:sz w:val="20"/>
                    <w:shd w:val="clear" w:color="auto" w:fill="FFFFFF"/>
                    <w:lang w:eastAsia="en-GB"/>
                  </w:rPr>
                  <w:t>„</w:t>
                </w:r>
                <w:r>
                  <w:rPr>
                    <w:b/>
                    <w:color w:val="000000"/>
                    <w:sz w:val="20"/>
                    <w:shd w:val="clear" w:color="auto" w:fill="FFFFFF"/>
                    <w:lang w:eastAsia="en-GB"/>
                  </w:rPr>
                  <w:t xml:space="preserve">4. </w:t>
                </w:r>
                <w:r>
                  <w:rPr>
                    <w:b/>
                    <w:bCs/>
                    <w:color w:val="000000"/>
                    <w:sz w:val="20"/>
                    <w:shd w:val="clear" w:color="auto" w:fill="FFFFFF"/>
                    <w:lang w:eastAsia="en-GB"/>
                  </w:rPr>
                  <w:t>Planuojama ūkinė veikla</w:t>
                </w:r>
                <w:r>
                  <w:rPr>
                    <w:b/>
                    <w:color w:val="000000"/>
                    <w:sz w:val="20"/>
                    <w:shd w:val="clear" w:color="auto" w:fill="FFFFFF"/>
                    <w:lang w:eastAsia="en-GB"/>
                  </w:rPr>
                  <w:t xml:space="preserve">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w:t>
                </w:r>
                <w:r>
                  <w:rPr>
                    <w:b/>
                    <w:sz w:val="20"/>
                    <w:lang w:eastAsia="en-GB"/>
                  </w:rPr>
                  <w:t>”</w:t>
                </w:r>
              </w:p>
              <w:p>
                <w:pPr>
                  <w:jc w:val="both"/>
                  <w:rPr>
                    <w:b/>
                    <w:sz w:val="20"/>
                    <w:lang w:eastAsia="en-GB"/>
                  </w:rPr>
                </w:pPr>
              </w:p>
            </w:tc>
            <w:tc>
              <w:tcPr>
                <w:tcW w:w="1421" w:type="dxa"/>
              </w:tcPr>
              <w:p>
                <w:pPr>
                  <w:jc w:val="center"/>
                  <w:rPr>
                    <w:b/>
                    <w:sz w:val="20"/>
                    <w:lang w:eastAsia="en-GB"/>
                  </w:rPr>
                </w:pPr>
                <w:r>
                  <w:rPr>
                    <w:b/>
                    <w:sz w:val="20"/>
                    <w:lang w:eastAsia="en-GB"/>
                  </w:rPr>
                  <w:t>Visiškas.</w:t>
                </w:r>
              </w:p>
            </w:tc>
          </w:tr>
          <w:tr>
            <w:tc>
              <w:tcPr>
                <w:tcW w:w="3652" w:type="dxa"/>
              </w:tcPr>
              <w:p>
                <w:pPr>
                  <w:jc w:val="both"/>
                  <w:rPr>
                    <w:i/>
                    <w:iCs/>
                    <w:sz w:val="20"/>
                    <w:lang w:eastAsia="en-GB"/>
                  </w:rPr>
                </w:pPr>
                <w:r>
                  <w:rPr>
                    <w:color w:val="000000"/>
                    <w:sz w:val="20"/>
                    <w:lang w:eastAsia="lt-LT"/>
                  </w:rPr>
                  <w:t>b) užsakovas – pareiškėjas, prašantis leidimo vykdyti privatų projektą, arba valstybės institucija, kuri projektą inicijuoja;</w:t>
                </w:r>
              </w:p>
            </w:tc>
            <w:tc>
              <w:tcPr>
                <w:tcW w:w="9639" w:type="dxa"/>
              </w:tcPr>
              <w:p>
                <w:pPr>
                  <w:jc w:val="both"/>
                  <w:rPr>
                    <w:b/>
                    <w:sz w:val="20"/>
                    <w:lang w:eastAsia="en-GB"/>
                  </w:rPr>
                </w:pPr>
                <w:r>
                  <w:rPr>
                    <w:b/>
                    <w:sz w:val="20"/>
                    <w:lang w:eastAsia="en-GB"/>
                  </w:rPr>
                  <w:t>Projektas</w:t>
                </w:r>
              </w:p>
              <w:p>
                <w:pPr>
                  <w:jc w:val="both"/>
                  <w:rPr>
                    <w:b/>
                    <w:bCs/>
                    <w:color w:val="000000"/>
                    <w:sz w:val="20"/>
                    <w:lang w:eastAsia="en-GB"/>
                  </w:rPr>
                </w:pPr>
                <w:r>
                  <w:rPr>
                    <w:b/>
                    <w:sz w:val="20"/>
                    <w:lang w:eastAsia="en-GB"/>
                  </w:rPr>
                  <w:t>2 straipsnio 7 dalis</w:t>
                </w:r>
              </w:p>
              <w:p>
                <w:pPr>
                  <w:jc w:val="both"/>
                  <w:rPr>
                    <w:b/>
                    <w:sz w:val="20"/>
                    <w:lang w:eastAsia="en-GB"/>
                  </w:rPr>
                </w:pPr>
                <w:r>
                  <w:rPr>
                    <w:bCs/>
                    <w:color w:val="000000"/>
                    <w:sz w:val="20"/>
                    <w:shd w:val="clear" w:color="auto" w:fill="FFFFFF"/>
                    <w:lang w:eastAsia="en-GB"/>
                  </w:rPr>
                  <w:t>„</w:t>
                </w:r>
                <w:r>
                  <w:rPr>
                    <w:b/>
                    <w:color w:val="000000"/>
                    <w:sz w:val="20"/>
                    <w:shd w:val="clear" w:color="auto" w:fill="FFFFFF"/>
                    <w:lang w:eastAsia="en-GB"/>
                  </w:rPr>
                  <w:t xml:space="preserve">7. </w:t>
                </w:r>
                <w:r>
                  <w:rPr>
                    <w:b/>
                    <w:bCs/>
                    <w:color w:val="000000"/>
                    <w:sz w:val="20"/>
                    <w:shd w:val="clear" w:color="auto" w:fill="FFFFFF"/>
                    <w:lang w:eastAsia="en-GB"/>
                  </w:rPr>
                  <w:t>Planuojamos ūkinės veiklos organizatorius (užsakovas)</w:t>
                </w:r>
                <w:r>
                  <w:rPr>
                    <w:b/>
                    <w:color w:val="000000"/>
                    <w:sz w:val="20"/>
                    <w:shd w:val="clear" w:color="auto" w:fill="FFFFFF"/>
                    <w:lang w:eastAsia="en-GB"/>
                  </w:rPr>
                  <w:t xml:space="preserve"> – fizinis asmuo, juridinis asmuo ar jo padalinys (įskaitant užsienio valstybės juridinį asmenį ir kitą organizaciją, taip pat jų padalinį), planuojantys ūkinę veiklą, kurios poveikis aplinkai privalo būti vertinamas arba kuri įtraukiama į planuojamos ūkinės veiklos atrankos dėl poveikio aplinkai vertinimo procesą, kaip nustatyta šiame įstatyme.“</w:t>
                </w:r>
              </w:p>
            </w:tc>
            <w:tc>
              <w:tcPr>
                <w:tcW w:w="1421" w:type="dxa"/>
              </w:tcPr>
              <w:p>
                <w:pPr>
                  <w:jc w:val="center"/>
                  <w:rPr>
                    <w:b/>
                    <w:sz w:val="20"/>
                    <w:lang w:eastAsia="en-GB"/>
                  </w:rPr>
                </w:pPr>
                <w:r>
                  <w:rPr>
                    <w:b/>
                    <w:sz w:val="20"/>
                    <w:lang w:eastAsia="en-GB"/>
                  </w:rPr>
                  <w:t>Visiškas.</w:t>
                </w:r>
              </w:p>
            </w:tc>
          </w:tr>
          <w:tr>
            <w:tc>
              <w:tcPr>
                <w:tcW w:w="3652" w:type="dxa"/>
              </w:tcPr>
              <w:p>
                <w:pPr>
                  <w:jc w:val="both"/>
                  <w:rPr>
                    <w:color w:val="000000"/>
                    <w:sz w:val="20"/>
                    <w:lang w:eastAsia="lt-LT"/>
                  </w:rPr>
                </w:pPr>
                <w:r>
                  <w:rPr>
                    <w:color w:val="000000"/>
                    <w:sz w:val="20"/>
                    <w:lang w:eastAsia="lt-LT"/>
                  </w:rPr>
                  <w:t>c) sutikimas dėl planuojamos veiklos – kompetentingos institucijos sprendimas, kuris suteikia užsakovui teisę įgyvendinti projektą;</w:t>
                </w:r>
              </w:p>
            </w:tc>
            <w:tc>
              <w:tcPr>
                <w:tcW w:w="9639" w:type="dxa"/>
              </w:tcPr>
              <w:p>
                <w:pPr>
                  <w:jc w:val="both"/>
                  <w:rPr>
                    <w:b/>
                    <w:sz w:val="20"/>
                    <w:lang w:eastAsia="en-GB"/>
                  </w:rPr>
                </w:pPr>
                <w:r>
                  <w:rPr>
                    <w:b/>
                    <w:sz w:val="20"/>
                    <w:lang w:eastAsia="en-GB"/>
                  </w:rPr>
                  <w:t>Projektas</w:t>
                </w:r>
              </w:p>
              <w:p>
                <w:pPr>
                  <w:jc w:val="both"/>
                  <w:rPr>
                    <w:b/>
                    <w:bCs/>
                    <w:color w:val="000000"/>
                    <w:sz w:val="20"/>
                    <w:lang w:eastAsia="en-GB"/>
                  </w:rPr>
                </w:pPr>
                <w:r>
                  <w:rPr>
                    <w:b/>
                    <w:sz w:val="20"/>
                    <w:lang w:eastAsia="en-GB"/>
                  </w:rPr>
                  <w:t>2 straipsnio 14 dalis</w:t>
                </w:r>
                <w:r>
                  <w:rPr>
                    <w:b/>
                    <w:bCs/>
                    <w:color w:val="000000"/>
                    <w:sz w:val="20"/>
                    <w:lang w:eastAsia="en-GB"/>
                  </w:rPr>
                  <w:t xml:space="preserve"> </w:t>
                </w:r>
              </w:p>
              <w:p>
                <w:pPr>
                  <w:jc w:val="both"/>
                  <w:rPr>
                    <w:b/>
                    <w:bCs/>
                    <w:sz w:val="20"/>
                    <w:lang w:eastAsia="en-GB"/>
                  </w:rPr>
                </w:pPr>
                <w:r>
                  <w:rPr>
                    <w:b/>
                    <w:sz w:val="20"/>
                    <w:lang w:eastAsia="en-GB"/>
                  </w:rPr>
                  <w:t>„</w:t>
                </w:r>
                <w:r>
                  <w:rPr>
                    <w:b/>
                    <w:color w:val="000000"/>
                    <w:sz w:val="20"/>
                    <w:shd w:val="clear" w:color="auto" w:fill="FFFFFF"/>
                    <w:lang w:eastAsia="en-GB"/>
                  </w:rPr>
                  <w:t xml:space="preserve">14. </w:t>
                </w:r>
                <w:r>
                  <w:rPr>
                    <w:b/>
                    <w:bCs/>
                    <w:color w:val="000000"/>
                    <w:sz w:val="20"/>
                    <w:shd w:val="clear" w:color="auto" w:fill="FFFFFF"/>
                    <w:lang w:eastAsia="en-GB"/>
                  </w:rPr>
                  <w:t>Sprendimas</w:t>
                </w:r>
                <w:r>
                  <w:rPr>
                    <w:b/>
                    <w:color w:val="000000"/>
                    <w:sz w:val="20"/>
                    <w:shd w:val="clear" w:color="auto" w:fill="FFFFFF"/>
                    <w:lang w:eastAsia="en-GB"/>
                  </w:rPr>
                  <w:t xml:space="preserve"> </w:t>
                </w:r>
                <w:r>
                  <w:rPr>
                    <w:b/>
                    <w:bCs/>
                    <w:color w:val="000000"/>
                    <w:sz w:val="20"/>
                    <w:shd w:val="clear" w:color="auto" w:fill="FFFFFF"/>
                    <w:lang w:eastAsia="en-GB"/>
                  </w:rPr>
                  <w:t>dėl planuojamos ūkinės veiklos poveikio aplinkai</w:t>
                </w:r>
                <w:r>
                  <w:rPr>
                    <w:b/>
                    <w:color w:val="000000"/>
                    <w:sz w:val="20"/>
                    <w:shd w:val="clear" w:color="auto" w:fill="FFFFFF"/>
                    <w:lang w:eastAsia="en-GB"/>
                  </w:rPr>
                  <w:t xml:space="preserve"> – atsakingosios institucijos motyvuotas nustatyta tvarka priimtas dokumentas, kuriame nurodoma, ar planuojama ūkinė veikla, atsižvelgiant į jos pobūdį, mastą, vietą ir (ar) poveikį aplinkai, planuojamas įgyvendinti numatomo reikšmingo neigiamo poveikio aplinkai mažinimo ir (ar) kompensavimo priemones, atitinka teisės aktų reikalavimus, ar ji nedarys reikšmingo neigiamo poveikio aplinkai, ir kuriame nustatomos planuojamos ūkinės veiklos įgyvendinimo sąlygos, susijusios su atliktu poveikio aplinkai vertinimu. </w:t>
                </w:r>
                <w:r>
                  <w:rPr>
                    <w:b/>
                    <w:sz w:val="20"/>
                    <w:lang w:eastAsia="en-GB"/>
                  </w:rPr>
                  <w:t>“</w:t>
                </w:r>
                <w:r>
                  <w:rPr>
                    <w:b/>
                    <w:bCs/>
                    <w:sz w:val="20"/>
                    <w:lang w:eastAsia="en-GB"/>
                  </w:rPr>
                  <w:t> </w:t>
                </w:r>
              </w:p>
              <w:p>
                <w:pPr>
                  <w:jc w:val="both"/>
                  <w:textAlignment w:val="baseline"/>
                  <w:rPr>
                    <w:b/>
                    <w:sz w:val="20"/>
                    <w:lang w:eastAsia="lt-LT"/>
                  </w:rPr>
                </w:pPr>
              </w:p>
            </w:tc>
            <w:tc>
              <w:tcPr>
                <w:tcW w:w="1421" w:type="dxa"/>
              </w:tcPr>
              <w:p>
                <w:pPr>
                  <w:jc w:val="center"/>
                  <w:rPr>
                    <w:b/>
                    <w:sz w:val="20"/>
                    <w:lang w:eastAsia="en-GB"/>
                  </w:rPr>
                </w:pPr>
                <w:r>
                  <w:rPr>
                    <w:b/>
                    <w:sz w:val="20"/>
                    <w:lang w:eastAsia="en-GB"/>
                  </w:rPr>
                  <w:t>Visiškas.</w:t>
                </w:r>
              </w:p>
            </w:tc>
          </w:tr>
          <w:tr>
            <w:tc>
              <w:tcPr>
                <w:tcW w:w="3652" w:type="dxa"/>
              </w:tcPr>
              <w:p>
                <w:pPr>
                  <w:jc w:val="both"/>
                  <w:rPr>
                    <w:color w:val="000000"/>
                    <w:sz w:val="20"/>
                    <w:lang w:eastAsia="lt-LT"/>
                  </w:rPr>
                </w:pPr>
                <w:r>
                  <w:rPr>
                    <w:color w:val="000000"/>
                    <w:sz w:val="20"/>
                    <w:lang w:eastAsia="lt-LT"/>
                  </w:rPr>
                  <w:t>d) visuomenė – vienas arba daugiau fizinių ar juridinių asmenų ir pagal nacionalinės teisės aktus ar praktiką jų asociacijos, organizacijos ar grupės;</w:t>
                </w: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2 straipsnio 17 dalis</w:t>
                </w:r>
              </w:p>
              <w:p>
                <w:pPr>
                  <w:jc w:val="both"/>
                  <w:rPr>
                    <w:b/>
                    <w:sz w:val="20"/>
                    <w:lang w:eastAsia="en-GB"/>
                  </w:rPr>
                </w:pPr>
                <w:r>
                  <w:rPr>
                    <w:b/>
                    <w:sz w:val="20"/>
                    <w:lang w:eastAsia="en-GB"/>
                  </w:rPr>
                  <w:t>„</w:t>
                </w:r>
                <w:r>
                  <w:rPr>
                    <w:b/>
                    <w:color w:val="000000"/>
                    <w:sz w:val="20"/>
                    <w:shd w:val="clear" w:color="auto" w:fill="FFFFFF"/>
                    <w:lang w:eastAsia="en-GB"/>
                  </w:rPr>
                  <w:t xml:space="preserve">17. </w:t>
                </w:r>
                <w:r>
                  <w:rPr>
                    <w:b/>
                    <w:bCs/>
                    <w:color w:val="000000"/>
                    <w:sz w:val="20"/>
                    <w:shd w:val="clear" w:color="auto" w:fill="FFFFFF"/>
                    <w:lang w:eastAsia="en-GB"/>
                  </w:rPr>
                  <w:t>Visuomenė</w:t>
                </w:r>
                <w:r>
                  <w:rPr>
                    <w:b/>
                    <w:color w:val="000000"/>
                    <w:sz w:val="20"/>
                    <w:shd w:val="clear" w:color="auto" w:fill="FFFFFF"/>
                    <w:lang w:eastAsia="en-GB"/>
                  </w:rPr>
                  <w:t xml:space="preserve"> – vienas arba daugiau fizinių ir (ar) juridinių asmenų, jų asociacijos, organizacijos arba grupės.“</w:t>
                </w:r>
              </w:p>
            </w:tc>
            <w:tc>
              <w:tcPr>
                <w:tcW w:w="1421" w:type="dxa"/>
              </w:tcPr>
              <w:p>
                <w:pPr>
                  <w:jc w:val="center"/>
                  <w:rPr>
                    <w:b/>
                    <w:sz w:val="20"/>
                    <w:lang w:eastAsia="en-GB"/>
                  </w:rPr>
                </w:pPr>
                <w:r>
                  <w:rPr>
                    <w:b/>
                    <w:sz w:val="20"/>
                    <w:lang w:eastAsia="en-GB"/>
                  </w:rPr>
                  <w:t>Visiškas.</w:t>
                </w:r>
              </w:p>
            </w:tc>
          </w:tr>
          <w:tr>
            <w:tc>
              <w:tcPr>
                <w:tcW w:w="3652" w:type="dxa"/>
              </w:tcPr>
              <w:p>
                <w:pPr>
                  <w:jc w:val="both"/>
                  <w:rPr>
                    <w:color w:val="000000"/>
                    <w:sz w:val="20"/>
                    <w:lang w:eastAsia="lt-LT"/>
                  </w:rPr>
                </w:pPr>
                <w:r>
                  <w:rPr>
                    <w:color w:val="000000"/>
                    <w:sz w:val="20"/>
                    <w:lang w:eastAsia="lt-LT"/>
                  </w:rPr>
                  <w:t xml:space="preserve">e) suinteresuota visuomenė – visuomenė, kuriai turėjo ar gali turėti poveikio 2 straipsnio 2 dalyje nurodyta sprendimų aplinkos klausimais priėmimo tvarka arba kuri yra suinteresuota ta tvarka. </w:t>
                </w:r>
              </w:p>
              <w:p>
                <w:pPr>
                  <w:jc w:val="both"/>
                  <w:rPr>
                    <w:color w:val="000000"/>
                    <w:sz w:val="20"/>
                    <w:lang w:eastAsia="lt-LT"/>
                  </w:rPr>
                </w:pPr>
                <w:r>
                  <w:rPr>
                    <w:color w:val="000000"/>
                    <w:sz w:val="20"/>
                    <w:lang w:eastAsia="lt-LT"/>
                  </w:rPr>
                  <w:t>Šioje apibrėžtyje nevyriausybinės organizacijos, skatinančios aplinkos apsaugą ir atitinkančios reikalavimus pagal nacionalinę teisę, yra laikomos suinteresuotomis;</w:t>
                </w:r>
              </w:p>
              <w:p>
                <w:pPr>
                  <w:jc w:val="both"/>
                  <w:rPr>
                    <w:color w:val="000000"/>
                    <w:sz w:val="20"/>
                    <w:lang w:eastAsia="lt-LT"/>
                  </w:rPr>
                </w:pP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2 straipsnio 16 dalis</w:t>
                </w:r>
              </w:p>
              <w:p>
                <w:pPr>
                  <w:jc w:val="both"/>
                  <w:rPr>
                    <w:b/>
                    <w:sz w:val="20"/>
                  </w:rPr>
                </w:pPr>
                <w:r>
                  <w:rPr>
                    <w:b/>
                    <w:sz w:val="20"/>
                  </w:rPr>
                  <w:t>„</w:t>
                </w:r>
                <w:r>
                  <w:rPr>
                    <w:b/>
                    <w:color w:val="000000"/>
                    <w:sz w:val="20"/>
                    <w:shd w:val="clear" w:color="auto" w:fill="FFFFFF"/>
                    <w:lang w:eastAsia="en-GB"/>
                  </w:rPr>
                  <w:t xml:space="preserve">16. </w:t>
                </w:r>
                <w:r>
                  <w:rPr>
                    <w:b/>
                    <w:bCs/>
                    <w:color w:val="000000"/>
                    <w:sz w:val="20"/>
                    <w:shd w:val="clear" w:color="auto" w:fill="FFFFFF"/>
                    <w:lang w:eastAsia="en-GB"/>
                  </w:rPr>
                  <w:t>Suinteresuota visuomenė</w:t>
                </w:r>
                <w:r>
                  <w:rPr>
                    <w:b/>
                    <w:color w:val="000000"/>
                    <w:sz w:val="20"/>
                    <w:shd w:val="clear" w:color="auto" w:fill="FFFFFF"/>
                    <w:lang w:eastAsia="en-GB"/>
                  </w:rPr>
                  <w:t xml:space="preserve"> – visuomenė, kuriai daro arba gali daryti poveikį sprendimai, veiksmai ar neveikimas poveikio aplinkai vertinimo srityje arba kuri yra suinteresuota atrankos dėl poveikio aplinkai vertinimo ir (ar) poveikio aplinkai vertinimo procesu. Pagal šią apibrėžtį viešieji juridiniai asmenys (išskyrus valstybės ar savivaldybės, jų institucijų įsteigtus juridinius asmenis), kurie skatina aplinkos apsaugą, visais atvejais laikomi suinteresuotais asmenimis.</w:t>
                </w:r>
                <w:r>
                  <w:rPr>
                    <w:b/>
                    <w:sz w:val="20"/>
                  </w:rPr>
                  <w:t>“</w:t>
                </w:r>
              </w:p>
              <w:p>
                <w:pPr>
                  <w:jc w:val="both"/>
                  <w:rPr>
                    <w:b/>
                    <w:sz w:val="20"/>
                    <w:lang w:eastAsia="en-GB"/>
                  </w:rPr>
                </w:pPr>
              </w:p>
            </w:tc>
            <w:tc>
              <w:tcPr>
                <w:tcW w:w="1421" w:type="dxa"/>
              </w:tcPr>
              <w:p>
                <w:pPr>
                  <w:jc w:val="center"/>
                  <w:rPr>
                    <w:b/>
                    <w:sz w:val="20"/>
                    <w:lang w:eastAsia="en-GB"/>
                  </w:rPr>
                </w:pPr>
                <w:r>
                  <w:rPr>
                    <w:b/>
                    <w:sz w:val="20"/>
                    <w:lang w:eastAsia="en-GB"/>
                  </w:rPr>
                  <w:t>Visiškas.</w:t>
                </w:r>
              </w:p>
            </w:tc>
          </w:tr>
          <w:tr>
            <w:tc>
              <w:tcPr>
                <w:tcW w:w="3652" w:type="dxa"/>
              </w:tcPr>
              <w:p>
                <w:pPr>
                  <w:jc w:val="both"/>
                  <w:rPr>
                    <w:color w:val="000000"/>
                    <w:sz w:val="20"/>
                    <w:lang w:eastAsia="lt-LT"/>
                  </w:rPr>
                </w:pPr>
                <w:r>
                  <w:rPr>
                    <w:color w:val="000000"/>
                    <w:sz w:val="20"/>
                    <w:lang w:eastAsia="lt-LT"/>
                  </w:rPr>
                  <w:t>f) kompetentinga institucija ar institucijos – institucija ar institucijos, kurias valstybės narės paskiria atsakingomis už šios direktyvos numatytų pareigų vykdymą.</w:t>
                </w: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2 straipsnio 1 dalis</w:t>
                </w:r>
              </w:p>
              <w:p>
                <w:pPr>
                  <w:jc w:val="both"/>
                  <w:rPr>
                    <w:b/>
                    <w:sz w:val="20"/>
                  </w:rPr>
                </w:pPr>
                <w:r>
                  <w:rPr>
                    <w:b/>
                    <w:sz w:val="20"/>
                  </w:rPr>
                  <w:t>„</w:t>
                </w:r>
                <w:r>
                  <w:rPr>
                    <w:b/>
                    <w:color w:val="000000"/>
                    <w:sz w:val="20"/>
                    <w:shd w:val="clear" w:color="auto" w:fill="FFFFFF"/>
                    <w:lang w:eastAsia="en-GB"/>
                  </w:rPr>
                  <w:t xml:space="preserve">1. </w:t>
                </w:r>
                <w:r>
                  <w:rPr>
                    <w:b/>
                    <w:bCs/>
                    <w:color w:val="000000"/>
                    <w:sz w:val="20"/>
                    <w:shd w:val="clear" w:color="auto" w:fill="FFFFFF"/>
                    <w:lang w:eastAsia="en-GB"/>
                  </w:rPr>
                  <w:t>Atsakingoji institucija</w:t>
                </w:r>
                <w:r>
                  <w:rPr>
                    <w:b/>
                    <w:color w:val="000000"/>
                    <w:sz w:val="20"/>
                    <w:shd w:val="clear" w:color="auto" w:fill="FFFFFF"/>
                    <w:lang w:eastAsia="en-GB"/>
                  </w:rPr>
                  <w:t xml:space="preserve"> – Lietuvos Respublikos Vyriausybės (toliau – Vyriausybė) įgaliota institucija, koordinuojanti planuojamos ūkinės veiklos atrankos dėl poveikio aplinkai vertinimo ir poveikio aplinkai vertinimo procesus, priimanti atrankos išvadą ir sprendimą dėl planuojamos ūkinės veiklos poveikio aplinkai ir atliekanti kitas šiame įstatyme nustatytas funkcijas.</w:t>
                </w:r>
                <w:r>
                  <w:rPr>
                    <w:b/>
                    <w:sz w:val="20"/>
                  </w:rPr>
                  <w:t>“</w:t>
                </w:r>
              </w:p>
              <w:p>
                <w:pPr>
                  <w:jc w:val="both"/>
                  <w:rPr>
                    <w:b/>
                    <w:sz w:val="20"/>
                  </w:rPr>
                </w:pPr>
              </w:p>
            </w:tc>
            <w:tc>
              <w:tcPr>
                <w:tcW w:w="1421" w:type="dxa"/>
              </w:tcPr>
              <w:p>
                <w:pPr>
                  <w:jc w:val="center"/>
                  <w:rPr>
                    <w:b/>
                    <w:sz w:val="20"/>
                    <w:lang w:eastAsia="en-GB"/>
                  </w:rPr>
                </w:pPr>
                <w:r>
                  <w:rPr>
                    <w:b/>
                    <w:sz w:val="20"/>
                    <w:lang w:eastAsia="en-GB"/>
                  </w:rPr>
                  <w:t>Visiškas.</w:t>
                </w:r>
              </w:p>
              <w:p>
                <w:pPr>
                  <w:jc w:val="center"/>
                  <w:rPr>
                    <w:b/>
                    <w:sz w:val="20"/>
                    <w:lang w:eastAsia="en-GB"/>
                  </w:rPr>
                </w:pPr>
              </w:p>
            </w:tc>
          </w:tr>
        </w:tbl>
        <w:p>
          <w:pPr>
            <w:rPr>
              <w:b/>
              <w:bCs/>
              <w:sz w:val="20"/>
              <w:lang w:eastAsia="en-GB"/>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418" w:right="1134" w:bottom="567" w:left="1134" w:header="709" w:footer="709" w:gutter="0"/>
              <w:cols w:space="708"/>
              <w:titlePg/>
              <w:docGrid w:linePitch="360"/>
            </w:sectPr>
          </w:pPr>
        </w:p>
      </w:sdtContent>
    </w:sdt>
    <w:sdt>
      <w:sdtPr>
        <w:alias w:val="lentele"/>
        <w:tag w:val="part_808823d6e38742869bcfeb484c7dba95"/>
        <w:lock w:val="sdtLocked"/>
        <w:richText/>
      </w:sdtPr>
      <w:sdtContent>
        <w:tbl>
          <w:tblPr>
            <w:tblW w:w="14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9639"/>
            <w:gridCol w:w="1421"/>
          </w:tblGrid>
          <w:tr>
            <w:tc>
              <w:tcPr>
                <w:tcW w:w="3652" w:type="dxa"/>
              </w:tcPr>
              <w:p>
                <w:pPr>
                  <w:tabs>
                    <w:tab w:val="center" w:pos="4819"/>
                    <w:tab w:val="right" w:pos="9638"/>
                  </w:tabs>
                  <w:spacing w:line="259" w:lineRule="auto"/>
                  <w:rPr>
                    <w:szCs w:val="24"/>
                    <w:lang w:val="en-GB" w:eastAsia="en-GB"/>
                  </w:rPr>
                </w:pPr>
              </w:p>
              <w:p>
                <w:pPr>
                  <w:rPr>
                    <w:sz w:val="14"/>
                    <w:szCs w:val="14"/>
                  </w:rPr>
                </w:pPr>
              </w:p>
              <w:p>
                <w:pPr>
                  <w:rPr>
                    <w:b/>
                    <w:bCs/>
                    <w:sz w:val="20"/>
                    <w:lang w:eastAsia="en-GB"/>
                  </w:rPr>
                </w:pPr>
                <w:r>
                  <w:rPr>
                    <w:b/>
                    <w:bCs/>
                    <w:sz w:val="20"/>
                    <w:lang w:eastAsia="en-GB"/>
                  </w:rPr>
                  <w:t>M1</w:t>
                </w:r>
              </w:p>
              <w:p>
                <w:pPr>
                  <w:rPr>
                    <w:sz w:val="20"/>
                    <w:lang w:eastAsia="en-GB"/>
                  </w:rPr>
                </w:pPr>
                <w:r>
                  <w:rPr>
                    <w:sz w:val="20"/>
                    <w:lang w:eastAsia="en-GB"/>
                  </w:rPr>
                  <w:t>g) poveikio aplinkai vertinimas – procesas, kuris apima:</w:t>
                </w:r>
              </w:p>
              <w:p>
                <w:pPr>
                  <w:rPr>
                    <w:sz w:val="20"/>
                    <w:lang w:eastAsia="en-GB"/>
                  </w:rPr>
                </w:pPr>
                <w:r>
                  <w:rPr>
                    <w:sz w:val="20"/>
                    <w:lang w:eastAsia="en-GB"/>
                  </w:rPr>
                  <w:t>i) užsakovo atliekamą poveikio aplinkai vertinimo ataskaitos rengimą, kaip nurodyta 5 straipsnio 1 ir 2 dalyse;</w:t>
                </w:r>
              </w:p>
              <w:p>
                <w:pPr>
                  <w:rPr>
                    <w:sz w:val="20"/>
                    <w:lang w:eastAsia="en-GB"/>
                  </w:rPr>
                </w:pPr>
                <w:r>
                  <w:rPr>
                    <w:sz w:val="20"/>
                    <w:lang w:eastAsia="en-GB"/>
                  </w:rPr>
                  <w:t xml:space="preserve">ii) konsultacijas, kaip nurodyta 6 straipsnyje, ir, kai tinkama, 7 straipsnyje; </w:t>
                </w:r>
              </w:p>
              <w:p>
                <w:pPr>
                  <w:rPr>
                    <w:sz w:val="20"/>
                    <w:lang w:eastAsia="en-GB"/>
                  </w:rPr>
                </w:pPr>
                <w:r>
                  <w:rPr>
                    <w:sz w:val="20"/>
                    <w:lang w:eastAsia="en-GB"/>
                  </w:rPr>
                  <w:t xml:space="preserve">iii) kompetentingos institucijos atliekamą informacijos, pateiktos poveikio aplinkai vertinimo ataskaitoje, ir prireikus kitos papildomos informacijos, kurią pateikė užsakovas pagal 5 straipsnio 3 dalį, bei kitos svarbios informacijos, gautos per konsultacijas pagal 6 ir 7 straipsnius, nagrinėjimą; </w:t>
                </w:r>
              </w:p>
              <w:p>
                <w:pPr>
                  <w:rPr>
                    <w:sz w:val="20"/>
                    <w:lang w:eastAsia="en-GB"/>
                  </w:rPr>
                </w:pPr>
                <w:r>
                  <w:rPr>
                    <w:sz w:val="20"/>
                    <w:lang w:eastAsia="en-GB"/>
                  </w:rPr>
                  <w:t xml:space="preserve">iv) kompetentingos institucijos pagrįstą išvadą dėl projekto reikšmingo poveikio aplinkai, atsižvelgiant į iii punkte nurodytą nagrinėjimo rezultatus ir prireikus pačios institucijos atlikto papildomo nagrinėjimo rezultatus ir </w:t>
                </w:r>
              </w:p>
              <w:p>
                <w:pPr>
                  <w:rPr>
                    <w:sz w:val="20"/>
                    <w:lang w:eastAsia="en-GB"/>
                  </w:rPr>
                </w:pPr>
                <w:r>
                  <w:rPr>
                    <w:sz w:val="20"/>
                    <w:lang w:eastAsia="en-GB"/>
                  </w:rPr>
                  <w:t>v) kompetentingos valdžios institucijos pagrįstos išvados įtraukimą į bet kurį iš 8a straipsnyje nurodytų sprendimų.</w:t>
                </w:r>
              </w:p>
              <w:p>
                <w:pPr>
                  <w:rPr>
                    <w:b/>
                    <w:sz w:val="20"/>
                    <w:lang w:eastAsia="en-GB"/>
                  </w:rPr>
                </w:pPr>
              </w:p>
            </w:tc>
            <w:tc>
              <w:tcPr>
                <w:tcW w:w="9639" w:type="dxa"/>
              </w:tcPr>
              <w:p>
                <w:pPr>
                  <w:jc w:val="both"/>
                  <w:rPr>
                    <w:b/>
                    <w:sz w:val="20"/>
                    <w:lang w:eastAsia="en-GB"/>
                  </w:rPr>
                </w:pPr>
                <w:r>
                  <w:rPr>
                    <w:b/>
                    <w:sz w:val="20"/>
                    <w:lang w:eastAsia="en-GB"/>
                  </w:rPr>
                  <w:t>Projektas</w:t>
                </w:r>
              </w:p>
              <w:p>
                <w:pPr>
                  <w:jc w:val="both"/>
                  <w:rPr>
                    <w:b/>
                    <w:sz w:val="20"/>
                  </w:rPr>
                </w:pPr>
                <w:r>
                  <w:rPr>
                    <w:b/>
                    <w:sz w:val="20"/>
                  </w:rPr>
                  <w:t>2 straipsnio 7-10 dalys</w:t>
                </w:r>
              </w:p>
              <w:p>
                <w:pPr>
                  <w:jc w:val="both"/>
                  <w:rPr>
                    <w:b/>
                    <w:sz w:val="20"/>
                  </w:rPr>
                </w:pPr>
                <w:r>
                  <w:rPr>
                    <w:b/>
                    <w:sz w:val="20"/>
                  </w:rPr>
                  <w:t>„</w:t>
                </w:r>
                <w:r>
                  <w:rPr>
                    <w:b/>
                    <w:color w:val="000000"/>
                    <w:sz w:val="20"/>
                    <w:shd w:val="clear" w:color="auto" w:fill="FFFFFF"/>
                    <w:lang w:eastAsia="en-GB"/>
                  </w:rPr>
                  <w:t xml:space="preserve">7. </w:t>
                </w:r>
                <w:r>
                  <w:rPr>
                    <w:b/>
                    <w:bCs/>
                    <w:color w:val="000000"/>
                    <w:sz w:val="20"/>
                    <w:shd w:val="clear" w:color="auto" w:fill="FFFFFF"/>
                    <w:lang w:eastAsia="en-GB"/>
                  </w:rPr>
                  <w:t>Planuojamos ūkinės veiklos organizatorius (užsakovas)</w:t>
                </w:r>
                <w:r>
                  <w:rPr>
                    <w:b/>
                    <w:color w:val="000000"/>
                    <w:sz w:val="20"/>
                    <w:shd w:val="clear" w:color="auto" w:fill="FFFFFF"/>
                    <w:lang w:eastAsia="en-GB"/>
                  </w:rPr>
                  <w:t xml:space="preserve"> – fizinis asmuo, juridinis asmuo ar jo padalinys (įskaitant užsienio valstybės juridinį asmenį ir kitą organizaciją, taip pat jų padalinį), planuojantys ūkinę veiklą, kurios poveikis aplinkai privalo būti vertinamas arba kuri įtraukiama į planuojamos ūkinės veiklos atrankos dėl poveikio aplinkai vertinimo procesą, kaip nustatyta šiame įstatyme.  </w:t>
                </w:r>
              </w:p>
              <w:p>
                <w:pPr>
                  <w:jc w:val="both"/>
                  <w:textAlignment w:val="baseline"/>
                  <w:rPr>
                    <w:rFonts w:ascii="Segoe UI" w:hAnsi="Segoe UI" w:cs="Segoe UI"/>
                    <w:b/>
                    <w:sz w:val="20"/>
                    <w:lang w:eastAsia="lt-LT"/>
                  </w:rPr>
                </w:pPr>
                <w:r>
                  <w:rPr>
                    <w:b/>
                    <w:sz w:val="20"/>
                    <w:lang w:eastAsia="lt-LT"/>
                  </w:rPr>
                  <w:t xml:space="preserve">8. </w:t>
                </w:r>
                <w:r>
                  <w:rPr>
                    <w:b/>
                    <w:bCs/>
                    <w:sz w:val="20"/>
                    <w:lang w:eastAsia="lt-LT"/>
                  </w:rPr>
                  <w:t>Planuojamos ūkinės veiklos poveikio aplinkai vertinimas</w:t>
                </w:r>
                <w:r>
                  <w:rPr>
                    <w:b/>
                    <w:sz w:val="20"/>
                    <w:lang w:eastAsia="lt-LT"/>
                  </w:rPr>
                  <w:t xml:space="preserve"> – planuojamos ūkinės veiklos galimo poveikio aplinkai nustatymo, apibūdinimo ir išvadų teikimo procesas, kuris apima: </w:t>
                </w:r>
              </w:p>
              <w:p>
                <w:pPr>
                  <w:jc w:val="both"/>
                  <w:textAlignment w:val="baseline"/>
                  <w:rPr>
                    <w:rFonts w:ascii="Segoe UI" w:hAnsi="Segoe UI" w:cs="Segoe UI"/>
                    <w:b/>
                    <w:sz w:val="20"/>
                    <w:lang w:eastAsia="lt-LT"/>
                  </w:rPr>
                </w:pPr>
                <w:r>
                  <w:rPr>
                    <w:b/>
                    <w:sz w:val="20"/>
                    <w:lang w:eastAsia="lt-LT"/>
                  </w:rPr>
                  <w:t>1) poveikio aplinkai vertinimo dokumentų rengėjo atliekamą planuojamos ūkinės veiklos poveikio aplinkai vertinimą, poveikio aplinkai vertinimo programos (toliau – programa), jeigu programa rengiama šio įstatymo nustatyta tvarka, ir poveikio aplinkai vertinimo ataskaitos (toliau – ataskaita) parengimą pagal teisės aktų reikalavimus;  </w:t>
                </w:r>
              </w:p>
              <w:p>
                <w:pPr>
                  <w:jc w:val="both"/>
                  <w:textAlignment w:val="baseline"/>
                  <w:rPr>
                    <w:rFonts w:ascii="Segoe UI" w:hAnsi="Segoe UI" w:cs="Segoe UI"/>
                    <w:b/>
                    <w:sz w:val="20"/>
                    <w:lang w:eastAsia="lt-LT"/>
                  </w:rPr>
                </w:pPr>
                <w:r>
                  <w:rPr>
                    <w:b/>
                    <w:sz w:val="20"/>
                    <w:lang w:eastAsia="lt-LT"/>
                  </w:rPr>
                  <w:t>2) poveikio aplinkai vertinimo subjektų atliekamą poveikio aplinkai vertinimo dokumentų ir suinteresuotos visuomenės pasiūlymų įvertinimo, taip pat suinteresuotos visuomenės pasiūlymų nagrinėjimą ir išvadų dėl programos ir ataskaitos bei planuojamos ūkinės veiklos poveikio aplinkai parengimą;  </w:t>
                </w:r>
              </w:p>
              <w:p>
                <w:pPr>
                  <w:jc w:val="both"/>
                  <w:textAlignment w:val="baseline"/>
                  <w:rPr>
                    <w:rFonts w:ascii="Segoe UI" w:hAnsi="Segoe UI" w:cs="Segoe UI"/>
                    <w:b/>
                    <w:sz w:val="20"/>
                    <w:lang w:eastAsia="lt-LT"/>
                  </w:rPr>
                </w:pPr>
                <w:r>
                  <w:rPr>
                    <w:b/>
                    <w:sz w:val="20"/>
                    <w:lang w:eastAsia="lt-LT"/>
                  </w:rPr>
                  <w:t>3) visuomenės informavimą, suinteresuotos visuomenės dalyvavimą poveikio aplinkai vertinimo procese, kaip nustatyta teisės aktuose, kai atliekamas tarpvalstybinio poveikio aplinkai vertinimas, – ir konsultacijas su kitomis valstybėmis;  </w:t>
                </w:r>
              </w:p>
              <w:p>
                <w:pPr>
                  <w:jc w:val="both"/>
                  <w:textAlignment w:val="baseline"/>
                  <w:rPr>
                    <w:rFonts w:ascii="Segoe UI" w:hAnsi="Segoe UI" w:cs="Segoe UI"/>
                    <w:b/>
                    <w:sz w:val="20"/>
                    <w:lang w:eastAsia="lt-LT"/>
                  </w:rPr>
                </w:pPr>
                <w:r>
                  <w:rPr>
                    <w:b/>
                    <w:sz w:val="20"/>
                    <w:lang w:eastAsia="lt-LT"/>
                  </w:rPr>
                  <w:t>4) atsakingosios institucijos atliekamą poveikio aplinkai vertinimo dokumentų nagrinėjimą ir įvertinimą, suinteresuotos visuomenės pasiūlymų įvertinimo, suinteresuotos visuomenės pasiūlymų nagrinėjimą, poveikio aplinkai vertinimo dokumentų rengėjo ir (ar) planuojamos ūkinės veiklos organizatoriaus (užsakovo) pateiktos papildomos informacijos, jeigu teisės aktų nustatyta tvarka tokia informacija pateikiama, nagrinėjimą ir įvertinimą, atsižvelgiant į poveikio aplinkai vertinimo subjektų išvadas dėl ataskaitos ir planuojamos ūkinės veiklos poveikio aplinkai, į tarpvalstybinio poveikio aplinkai vertinimo, jeigu toks atliktas, rezultatus;  </w:t>
                </w:r>
              </w:p>
              <w:p>
                <w:pPr>
                  <w:jc w:val="both"/>
                  <w:textAlignment w:val="baseline"/>
                  <w:rPr>
                    <w:rFonts w:ascii="Segoe UI" w:hAnsi="Segoe UI" w:cs="Segoe UI"/>
                    <w:b/>
                    <w:sz w:val="20"/>
                    <w:lang w:eastAsia="lt-LT"/>
                  </w:rPr>
                </w:pPr>
                <w:r>
                  <w:rPr>
                    <w:b/>
                    <w:sz w:val="20"/>
                    <w:lang w:eastAsia="lt-LT"/>
                  </w:rPr>
                  <w:t>5) atsakingosios institucijos sprendimo dėl planuojamos ūkinės veiklos poveikio aplinkai priėmimą ir jo viešinimą. </w:t>
                </w:r>
              </w:p>
              <w:p>
                <w:pPr>
                  <w:jc w:val="both"/>
                  <w:textAlignment w:val="baseline"/>
                  <w:rPr>
                    <w:rFonts w:ascii="Segoe UI" w:hAnsi="Segoe UI" w:cs="Segoe UI"/>
                    <w:b/>
                    <w:sz w:val="20"/>
                    <w:lang w:eastAsia="lt-LT"/>
                  </w:rPr>
                </w:pPr>
                <w:r>
                  <w:rPr>
                    <w:b/>
                    <w:sz w:val="20"/>
                    <w:lang w:eastAsia="lt-LT"/>
                  </w:rPr>
                  <w:t xml:space="preserve">9. </w:t>
                </w:r>
                <w:r>
                  <w:rPr>
                    <w:b/>
                    <w:bCs/>
                    <w:sz w:val="20"/>
                    <w:lang w:eastAsia="lt-LT"/>
                  </w:rPr>
                  <w:t xml:space="preserve">Poveikio aplinkai vertinimo dokumentai </w:t>
                </w:r>
                <w:r>
                  <w:rPr>
                    <w:b/>
                    <w:sz w:val="20"/>
                    <w:lang w:eastAsia="lt-LT"/>
                  </w:rPr>
                  <w:t>–</w:t>
                </w:r>
                <w:r>
                  <w:rPr>
                    <w:b/>
                    <w:bCs/>
                    <w:sz w:val="20"/>
                    <w:lang w:eastAsia="lt-LT"/>
                  </w:rPr>
                  <w:t xml:space="preserve"> poveikio aplinkai vertinimo</w:t>
                </w:r>
                <w:r>
                  <w:rPr>
                    <w:b/>
                    <w:sz w:val="20"/>
                    <w:lang w:eastAsia="lt-LT"/>
                  </w:rPr>
                  <w:t xml:space="preserve"> programa, </w:t>
                </w:r>
                <w:r>
                  <w:rPr>
                    <w:b/>
                    <w:bCs/>
                    <w:sz w:val="20"/>
                    <w:lang w:eastAsia="lt-LT"/>
                  </w:rPr>
                  <w:t>poveikio aplinkai vertinimo</w:t>
                </w:r>
                <w:r>
                  <w:rPr>
                    <w:b/>
                    <w:sz w:val="20"/>
                    <w:lang w:eastAsia="lt-LT"/>
                  </w:rPr>
                  <w:t xml:space="preserve"> ataskaita. </w:t>
                </w:r>
              </w:p>
              <w:p>
                <w:pPr>
                  <w:jc w:val="both"/>
                  <w:textAlignment w:val="baseline"/>
                  <w:rPr>
                    <w:b/>
                    <w:sz w:val="20"/>
                    <w:lang w:eastAsia="lt-LT"/>
                  </w:rPr>
                </w:pPr>
                <w:r>
                  <w:rPr>
                    <w:b/>
                    <w:sz w:val="20"/>
                    <w:lang w:eastAsia="lt-LT"/>
                  </w:rPr>
                  <w:t xml:space="preserve">10. </w:t>
                </w:r>
                <w:r>
                  <w:rPr>
                    <w:b/>
                    <w:bCs/>
                    <w:sz w:val="20"/>
                    <w:lang w:eastAsia="lt-LT"/>
                  </w:rPr>
                  <w:t xml:space="preserve">Poveikio aplinkai vertinimo dokumentų rengėjas </w:t>
                </w:r>
                <w:r>
                  <w:rPr>
                    <w:b/>
                    <w:sz w:val="20"/>
                    <w:lang w:eastAsia="lt-LT"/>
                  </w:rPr>
                  <w:t>– fizinis asmuo, įgijęs aukštąjį išsilavinimą ar kvalifikaciją srities, kuri atitinka rengiamų poveikio aplinkai vertinimo dokumentų ar jų dalių specifiką, arba juridinis asmuo ar jo padalinys (įskaitant užsienio valstybės juridinį asmenį ar kitą organizaciją, taip pat jų padalinį), turintis specialistų, įgijusių aukštąjį išsilavinimą ar kvalifikaciją srities, kuri atitinka rengiamų poveikio aplinkai vertinimo dokumentų ar jų dalių specifiką, rengiantis poveikio aplinkai vertinimo dokumentus ir atliekantis kitas šiame įstatyme poveikio aplinkai vertinimo dokumentų rengėjui nustatytas funkcijas.“</w:t>
                </w:r>
              </w:p>
              <w:p>
                <w:pPr>
                  <w:jc w:val="both"/>
                  <w:rPr>
                    <w:b/>
                    <w:sz w:val="20"/>
                    <w:lang w:eastAsia="lt-LT"/>
                  </w:rPr>
                </w:pPr>
              </w:p>
            </w:tc>
            <w:tc>
              <w:tcPr>
                <w:tcW w:w="1421" w:type="dxa"/>
              </w:tcPr>
              <w:p>
                <w:pPr>
                  <w:jc w:val="center"/>
                  <w:rPr>
                    <w:b/>
                    <w:sz w:val="20"/>
                    <w:lang w:eastAsia="en-GB"/>
                  </w:rPr>
                </w:pPr>
                <w:r>
                  <w:rPr>
                    <w:b/>
                    <w:sz w:val="20"/>
                    <w:lang w:eastAsia="en-GB"/>
                  </w:rPr>
                  <w:t>Visiškas.</w:t>
                </w:r>
              </w:p>
            </w:tc>
          </w:tr>
          <w:tr>
            <w:tc>
              <w:tcPr>
                <w:tcW w:w="3652" w:type="dxa"/>
              </w:tcPr>
              <w:p>
                <w:pPr>
                  <w:jc w:val="both"/>
                  <w:rPr>
                    <w:sz w:val="20"/>
                    <w:lang w:eastAsia="en-GB"/>
                  </w:rPr>
                </w:pPr>
                <w:r>
                  <w:rPr>
                    <w:b/>
                    <w:bCs/>
                    <w:sz w:val="20"/>
                    <w:lang w:eastAsia="en-GB"/>
                  </w:rPr>
                  <w:t>M1</w:t>
                </w:r>
              </w:p>
              <w:p>
                <w:pPr>
                  <w:jc w:val="both"/>
                  <w:rPr>
                    <w:sz w:val="20"/>
                    <w:lang w:eastAsia="en-GB"/>
                  </w:rPr>
                </w:pPr>
                <w:r>
                  <w:rPr>
                    <w:sz w:val="20"/>
                    <w:lang w:eastAsia="en-GB"/>
                  </w:rPr>
                  <w:t>3. Valstybės narės gali nuspręsti atsižvelgiant į kiekvieną konkretų atvejį, jei taip numato nacionalinės teisės aktai, netaikyti šios direktyvos projektams arba projektų dalims, kurių vienintelis tikslas – gynyba, arba projektams, kurių vienintelis tikslas – atsakas į civilines avarijas, jei jos mano, kad toks taikymas turėtų neigiamą poveikį siekiant tų tikslų.</w:t>
                </w:r>
              </w:p>
              <w:p>
                <w:pPr>
                  <w:jc w:val="both"/>
                  <w:rPr>
                    <w:sz w:val="20"/>
                    <w:lang w:eastAsia="en-GB"/>
                  </w:rPr>
                </w:pPr>
              </w:p>
            </w:tc>
            <w:tc>
              <w:tcPr>
                <w:tcW w:w="9639" w:type="dxa"/>
              </w:tcPr>
              <w:p>
                <w:pPr>
                  <w:jc w:val="both"/>
                  <w:rPr>
                    <w:b/>
                    <w:sz w:val="20"/>
                    <w:lang w:eastAsia="en-GB"/>
                  </w:rPr>
                </w:pPr>
                <w:r>
                  <w:rPr>
                    <w:b/>
                    <w:sz w:val="20"/>
                    <w:lang w:eastAsia="en-GB"/>
                  </w:rPr>
                  <w:t>Projektas</w:t>
                </w:r>
              </w:p>
              <w:p>
                <w:pPr>
                  <w:suppressAutoHyphens/>
                  <w:jc w:val="both"/>
                  <w:rPr>
                    <w:b/>
                    <w:iCs/>
                    <w:sz w:val="20"/>
                    <w:lang w:eastAsia="en-GB"/>
                  </w:rPr>
                </w:pPr>
                <w:r>
                  <w:rPr>
                    <w:b/>
                    <w:iCs/>
                    <w:sz w:val="20"/>
                    <w:lang w:eastAsia="en-GB"/>
                  </w:rPr>
                  <w:t>3 straipsnio 5 dalis</w:t>
                </w:r>
              </w:p>
              <w:p>
                <w:pPr>
                  <w:jc w:val="both"/>
                  <w:rPr>
                    <w:b/>
                    <w:sz w:val="20"/>
                    <w:lang w:eastAsia="en-GB"/>
                  </w:rPr>
                </w:pPr>
                <w:r>
                  <w:rPr>
                    <w:b/>
                    <w:sz w:val="20"/>
                    <w:lang w:eastAsia="en-GB"/>
                  </w:rPr>
                  <w:t>„</w:t>
                </w:r>
                <w:r>
                  <w:rPr>
                    <w:b/>
                    <w:color w:val="000000"/>
                    <w:sz w:val="20"/>
                    <w:shd w:val="clear" w:color="auto" w:fill="FFFFFF"/>
                    <w:lang w:eastAsia="en-GB"/>
                  </w:rPr>
                  <w:t>5. Kai planuojamos ūkinės veiklos tikslas – valstybės sienos apsauga, krašto apsauga, ar planuojama tokia ūkinė veikla, kuri būtų vykdoma atsitikus ekstremaliajam įvykiui, apibrėžtam Lietuvos Respublikos civilinės saugos įstatyme, atsakingoji institucija, gavusi informaciją iš planuojamos ūkinės veiklos organizatoriaus (užsakovo), gali priimti sprendimą neatlikti atrankos dėl poveikio aplinkai vertinimo ar poveikio aplinkai vertinimo, jeigu procedūrų atlikimas tokiai veiklai gali turėti neigiamą poveikį valstybės gynybos, gaisrinės ar civilinės saugos tikslams.</w:t>
                </w:r>
                <w:r>
                  <w:rPr>
                    <w:b/>
                    <w:sz w:val="20"/>
                    <w:lang w:eastAsia="en-GB"/>
                  </w:rPr>
                  <w:t>”</w:t>
                </w:r>
              </w:p>
            </w:tc>
            <w:tc>
              <w:tcPr>
                <w:tcW w:w="1421" w:type="dxa"/>
              </w:tcPr>
              <w:p>
                <w:pPr>
                  <w:jc w:val="center"/>
                  <w:rPr>
                    <w:b/>
                    <w:sz w:val="20"/>
                    <w:lang w:eastAsia="en-GB"/>
                  </w:rPr>
                </w:pPr>
                <w:r>
                  <w:rPr>
                    <w:b/>
                    <w:sz w:val="20"/>
                    <w:lang w:eastAsia="en-GB"/>
                  </w:rPr>
                  <w:t>Visiškas.</w:t>
                </w:r>
              </w:p>
            </w:tc>
          </w:tr>
          <w:tr>
            <w:tc>
              <w:tcPr>
                <w:tcW w:w="3652" w:type="dxa"/>
              </w:tcPr>
              <w:p>
                <w:pPr>
                  <w:numPr>
                    <w:ilvl w:val="255"/>
                    <w:numId w:val="0"/>
                  </w:numPr>
                  <w:jc w:val="both"/>
                  <w:rPr>
                    <w:b/>
                    <w:bCs/>
                    <w:sz w:val="20"/>
                    <w:lang w:eastAsia="en-GB"/>
                  </w:rPr>
                </w:pPr>
                <w:r>
                  <w:rPr>
                    <w:b/>
                    <w:bCs/>
                    <w:sz w:val="20"/>
                    <w:lang w:eastAsia="en-GB"/>
                  </w:rPr>
                  <w:t>B</w:t>
                </w:r>
              </w:p>
              <w:p>
                <w:pPr>
                  <w:jc w:val="both"/>
                  <w:rPr>
                    <w:b/>
                    <w:sz w:val="20"/>
                    <w:lang w:eastAsia="en-GB"/>
                  </w:rPr>
                </w:pPr>
                <w:r>
                  <w:rPr>
                    <w:b/>
                    <w:sz w:val="20"/>
                    <w:lang w:eastAsia="en-GB"/>
                  </w:rPr>
                  <w:t xml:space="preserve">2 straipsnis </w:t>
                </w:r>
              </w:p>
              <w:p>
                <w:pPr>
                  <w:numPr>
                    <w:ilvl w:val="255"/>
                    <w:numId w:val="0"/>
                  </w:numPr>
                  <w:jc w:val="both"/>
                  <w:rPr>
                    <w:b/>
                    <w:bCs/>
                    <w:sz w:val="20"/>
                    <w:lang w:eastAsia="en-GB"/>
                  </w:rPr>
                </w:pPr>
                <w:r>
                  <w:rPr>
                    <w:b/>
                    <w:bCs/>
                    <w:sz w:val="20"/>
                    <w:lang w:eastAsia="en-GB"/>
                  </w:rPr>
                  <w:t>M1</w:t>
                </w:r>
              </w:p>
              <w:p>
                <w:pPr>
                  <w:jc w:val="both"/>
                  <w:rPr>
                    <w:b/>
                    <w:sz w:val="20"/>
                    <w:lang w:eastAsia="en-GB"/>
                  </w:rPr>
                </w:pPr>
                <w:r>
                  <w:rPr>
                    <w:sz w:val="20"/>
                    <w:lang w:eastAsia="en-GB"/>
                  </w:rPr>
                  <w:t xml:space="preserve">1. Valstybės narės imasi visų priemonių, reikalingų užtikrinti, kad, prieš išduodant sutikimą planuojamai veiklai, projektams, kurie gali daryti reikšmingą poveikį aplinkai, be kita ko, dėl savo pobūdžio, masto ar vietos, bus reikalaujama sutikimo planuojamai veiklai ir poveikio aplinkai vertinimo. Tie projektai apibrėžti 4 straipsnyje. </w:t>
                </w:r>
              </w:p>
              <w:p>
                <w:pPr>
                  <w:rPr>
                    <w:b/>
                    <w:sz w:val="20"/>
                    <w:lang w:eastAsia="en-GB"/>
                  </w:rPr>
                </w:pP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3 straipsnio 4 dalis</w:t>
                </w:r>
              </w:p>
              <w:p>
                <w:pPr>
                  <w:jc w:val="both"/>
                  <w:rPr>
                    <w:b/>
                    <w:sz w:val="20"/>
                    <w:lang w:eastAsia="lt-LT"/>
                  </w:rPr>
                </w:pPr>
                <w:r>
                  <w:rPr>
                    <w:b/>
                    <w:sz w:val="20"/>
                    <w:lang w:eastAsia="en-GB"/>
                  </w:rPr>
                  <w:t>„</w:t>
                </w:r>
                <w:r>
                  <w:rPr>
                    <w:b/>
                    <w:color w:val="000000"/>
                    <w:sz w:val="20"/>
                    <w:shd w:val="clear" w:color="auto" w:fill="FFFFFF"/>
                    <w:lang w:eastAsia="en-GB"/>
                  </w:rPr>
                  <w:t>4. Atranka dėl poveikio aplinkai vertinimo ir (ar) planuojamos ūkinės veiklos poveikio aplinkai vertinimas (toliau – poveikio aplinkai vertinimas) turi būti atlikti iki įstatymuose įtvirtinto leidimo (statybą leidžiančio dokumento, leidimo naudoti žemės gelmių išteklius arba ertmes, taršos integruotos prevencijos ir kontrolės leidimo, taršos leidimo ir kitų įstatymuose nurodytų leidimų) išdavimo. Jeigu atranka dėl poveikio aplinkai vertinimo ir (ar) poveikio aplinkai vertinimas neatlikti, leidimas neišduodamas.</w:t>
                </w:r>
                <w:r>
                  <w:rPr>
                    <w:b/>
                    <w:sz w:val="20"/>
                    <w:lang w:eastAsia="lt-LT"/>
                  </w:rPr>
                  <w:t>“</w:t>
                </w:r>
              </w:p>
              <w:p>
                <w:pPr>
                  <w:suppressLineNumbers/>
                  <w:suppressAutoHyphens/>
                  <w:snapToGrid w:val="0"/>
                  <w:jc w:val="both"/>
                  <w:rPr>
                    <w:b/>
                    <w:sz w:val="20"/>
                    <w:lang w:eastAsia="lt-LT"/>
                  </w:rPr>
                </w:pPr>
              </w:p>
            </w:tc>
            <w:tc>
              <w:tcPr>
                <w:tcW w:w="1421" w:type="dxa"/>
              </w:tcPr>
              <w:p>
                <w:pPr>
                  <w:snapToGrid w:val="0"/>
                  <w:jc w:val="center"/>
                  <w:rPr>
                    <w:sz w:val="20"/>
                    <w:lang w:eastAsia="en-GB"/>
                  </w:rPr>
                </w:pPr>
                <w:r>
                  <w:rPr>
                    <w:b/>
                    <w:sz w:val="20"/>
                    <w:lang w:eastAsia="en-GB"/>
                  </w:rPr>
                  <w:t>Visiškas.</w:t>
                </w:r>
              </w:p>
            </w:tc>
          </w:tr>
          <w:tr>
            <w:tc>
              <w:tcPr>
                <w:tcW w:w="3652" w:type="dxa"/>
              </w:tcPr>
              <w:p>
                <w:pPr>
                  <w:jc w:val="both"/>
                  <w:rPr>
                    <w:b/>
                    <w:sz w:val="20"/>
                    <w:lang w:eastAsia="en-GB"/>
                  </w:rPr>
                </w:pPr>
                <w:r>
                  <w:rPr>
                    <w:b/>
                    <w:sz w:val="20"/>
                    <w:lang w:eastAsia="en-GB"/>
                  </w:rPr>
                  <w:t>M1</w:t>
                </w:r>
              </w:p>
              <w:p>
                <w:pPr>
                  <w:jc w:val="both"/>
                  <w:rPr>
                    <w:sz w:val="20"/>
                    <w:lang w:eastAsia="en-GB"/>
                  </w:rPr>
                </w:pPr>
                <w:r>
                  <w:rPr>
                    <w:sz w:val="20"/>
                    <w:lang w:eastAsia="en-GB"/>
                  </w:rPr>
                  <w:t xml:space="preserve">3. Projektų, kurių atžvilgiu pareiga įvertinti poveikį aplinkai kyla ir pagal šią direktyvą, ir pagal Tarybos direktyvą </w:t>
                </w:r>
                <w:fldSimple w:instr="HYPERLINK http://eur-lex.europa.eu/legal-content/LIT/TXT/?uri=CELEX:31992L0043&amp;locale=lt \t _blank">
                  <w:r>
                    <w:rPr>
                      <w:sz w:val="20"/>
                      <w:lang w:eastAsia="en-GB"/>
                      <w:u w:val="single"/>
                      <w:color w:val="0000FF" w:themeColor="hyperlink"/>
                    </w:rPr>
                    <w:t>92/43/EEB</w:t>
                  </w:r>
                </w:fldSimple>
                <w:r>
                  <w:rPr>
                    <w:sz w:val="20"/>
                    <w:lang w:eastAsia="en-GB"/>
                  </w:rPr>
                  <w:t xml:space="preserve"> (</w:t>
                </w:r>
                <w:r>
                  <w:rPr>
                    <w:sz w:val="20"/>
                    <w:vertAlign w:val="superscript"/>
                    <w:lang w:eastAsia="en-GB"/>
                  </w:rPr>
                  <w:t>5</w:t>
                </w:r>
                <w:r>
                  <w:rPr>
                    <w:sz w:val="20"/>
                    <w:lang w:eastAsia="en-GB"/>
                  </w:rPr>
                  <w:t xml:space="preserve">), ir (arba) pagal Europos Parlamento ir Tarybos direktyvą </w:t>
                </w:r>
                <w:fldSimple w:instr="HYPERLINK http://eur-lex.europa.eu/legal-content/LIT/TXT/?uri=CELEX:32009L0147&amp;locale=lt \t _blank">
                  <w:r>
                    <w:rPr>
                      <w:sz w:val="20"/>
                      <w:lang w:eastAsia="en-GB"/>
                      <w:u w:val="single"/>
                      <w:color w:val="0000FF" w:themeColor="hyperlink"/>
                    </w:rPr>
                    <w:t>2009/147/EB</w:t>
                  </w:r>
                </w:fldSimple>
                <w:r>
                  <w:rPr>
                    <w:sz w:val="20"/>
                    <w:lang w:eastAsia="en-GB"/>
                  </w:rPr>
                  <w:t xml:space="preserve"> (</w:t>
                </w:r>
                <w:r>
                  <w:rPr>
                    <w:sz w:val="20"/>
                    <w:vertAlign w:val="superscript"/>
                    <w:lang w:eastAsia="en-GB"/>
                  </w:rPr>
                  <w:t>6</w:t>
                </w:r>
                <w:r>
                  <w:rPr>
                    <w:sz w:val="20"/>
                    <w:lang w:eastAsia="en-GB"/>
                  </w:rPr>
                  <w:t xml:space="preserve">), valstybės narės užtikrina, kai tinkama, kad būtų numatytos koordinuotos ir (arba) bendros procedūros, atitinkančios tų Sąjungos teisės aktų reikalavimus. </w:t>
                </w:r>
              </w:p>
              <w:p>
                <w:pPr>
                  <w:jc w:val="both"/>
                  <w:rPr>
                    <w:sz w:val="20"/>
                    <w:lang w:eastAsia="en-GB"/>
                  </w:rPr>
                </w:pPr>
              </w:p>
              <w:p>
                <w:pPr>
                  <w:jc w:val="both"/>
                  <w:rPr>
                    <w:sz w:val="20"/>
                    <w:lang w:eastAsia="en-GB"/>
                  </w:rPr>
                </w:pPr>
                <w:r>
                  <w:rPr>
                    <w:sz w:val="20"/>
                    <w:lang w:eastAsia="en-GB"/>
                  </w:rPr>
                  <w:t>Projektams, kurių poveikis aplinkai turi būti įvertintas ir pagal šią direktyvą, ir pagal kitus nei pirmoje pastraipoje nurodytos direktyvos Sąjungos teisės aktus, valstybės narės gali numatyti koordinuotas ir (arba) bendras procedūras.</w:t>
                </w:r>
              </w:p>
              <w:p>
                <w:pPr>
                  <w:jc w:val="both"/>
                  <w:rPr>
                    <w:b/>
                    <w:sz w:val="20"/>
                    <w:lang w:eastAsia="en-GB"/>
                  </w:rPr>
                </w:pPr>
              </w:p>
              <w:p>
                <w:pPr>
                  <w:jc w:val="both"/>
                  <w:rPr>
                    <w:sz w:val="20"/>
                    <w:lang w:eastAsia="en-GB"/>
                  </w:rPr>
                </w:pPr>
                <w:r>
                  <w:rPr>
                    <w:sz w:val="20"/>
                    <w:lang w:eastAsia="en-GB"/>
                  </w:rPr>
                  <w:t>Pagal koordinuotą procedūrą, kuri nurodyta pirmoje ir antroje pastraipose, valstybės narės stengiasi koordinuoti įvairius atskirus konkretaus projekto poveikio aplinkai vertinimus, kurių reikalaujama pagal atitinkamus Sąjungos teisės aktus, šiuo tikslu paskirdamos instituciją ir nedarant poveikio jokioms priešingoms nuostatoms kituose atitinkamuose Sąjungos teisės aktuose.</w:t>
                </w:r>
              </w:p>
              <w:p>
                <w:pPr>
                  <w:jc w:val="both"/>
                  <w:rPr>
                    <w:sz w:val="20"/>
                    <w:lang w:eastAsia="en-GB"/>
                  </w:rPr>
                </w:pPr>
              </w:p>
              <w:p>
                <w:pPr>
                  <w:jc w:val="both"/>
                  <w:rPr>
                    <w:b/>
                    <w:sz w:val="20"/>
                    <w:lang w:eastAsia="en-GB"/>
                  </w:rPr>
                </w:pPr>
                <w:r>
                  <w:rPr>
                    <w:sz w:val="20"/>
                    <w:lang w:eastAsia="en-GB"/>
                  </w:rPr>
                  <w:t xml:space="preserve">Pagal bendrą procedūrą, kuri nurodyta pirmoje ir antroje pastraipose, valstybės narės stengiasi numatyti bendrą konkretaus projekto poveikio aplinkai vertinimą, kurio reikalaujama pagal atitinkamus Sąjungos teisės aktus, nedarant poveikio jokioms priešingoms nuostatoms kituose atitinkamuose Sąjungos teisės aktuose. Komisija pateikia gaires dėl bet kokių suderintų ar bendrų procedūrų nustatymo projektams, kurie turi būti įvertinti ir pagal šią direktyvą, ir pagal direktyvas </w:t>
                </w:r>
                <w:fldSimple w:instr="HYPERLINK http://eur-lex.europa.eu/legal-content/LIT/TXT/?uri=CELEX:31992L0043&amp;locale=lt \t _blank">
                  <w:r>
                    <w:rPr>
                      <w:sz w:val="20"/>
                      <w:lang w:eastAsia="en-GB"/>
                      <w:u w:val="single"/>
                      <w:color w:val="0000FF" w:themeColor="hyperlink"/>
                    </w:rPr>
                    <w:t>92/43/EEB</w:t>
                  </w:r>
                </w:fldSimple>
                <w:r>
                  <w:rPr>
                    <w:sz w:val="20"/>
                    <w:lang w:eastAsia="en-GB"/>
                  </w:rPr>
                  <w:t xml:space="preserve">, </w:t>
                </w:r>
                <w:fldSimple w:instr="HYPERLINK http://eur-lex.europa.eu/legal-content/LIT/TXT/?uri=CELEX:32000L0060&amp;locale=lt \t _blank">
                  <w:r>
                    <w:rPr>
                      <w:sz w:val="20"/>
                      <w:lang w:eastAsia="en-GB"/>
                      <w:u w:val="single"/>
                      <w:color w:val="0000FF" w:themeColor="hyperlink"/>
                    </w:rPr>
                    <w:t>2000/60/EB</w:t>
                  </w:r>
                </w:fldSimple>
                <w:r>
                  <w:rPr>
                    <w:sz w:val="20"/>
                    <w:lang w:eastAsia="en-GB"/>
                  </w:rPr>
                  <w:t xml:space="preserve">, </w:t>
                </w:r>
                <w:fldSimple w:instr="HYPERLINK http://eur-lex.europa.eu/legal-content/LIT/TXT/?uri=CELEX:32009L0147&amp;locale=lt \t _blank">
                  <w:r>
                    <w:rPr>
                      <w:sz w:val="20"/>
                      <w:lang w:eastAsia="en-GB"/>
                      <w:u w:val="single"/>
                      <w:color w:val="0000FF" w:themeColor="hyperlink"/>
                    </w:rPr>
                    <w:t>2009/147/EB</w:t>
                  </w:r>
                </w:fldSimple>
                <w:r>
                  <w:rPr>
                    <w:sz w:val="20"/>
                    <w:lang w:eastAsia="en-GB"/>
                  </w:rPr>
                  <w:t xml:space="preserve"> ir </w:t>
                </w:r>
                <w:fldSimple w:instr="HYPERLINK http://eur-lex.europa.eu/legal-content/LIT/TXT/?uri=CELEX:32010L0075&amp;locale=lt \t _blank">
                  <w:r>
                    <w:rPr>
                      <w:sz w:val="20"/>
                      <w:lang w:eastAsia="en-GB"/>
                      <w:u w:val="single"/>
                      <w:color w:val="0000FF" w:themeColor="hyperlink"/>
                    </w:rPr>
                    <w:t>2010/75/ES</w:t>
                  </w:r>
                </w:fldSimple>
                <w:r>
                  <w:rPr>
                    <w:sz w:val="20"/>
                    <w:lang w:eastAsia="en-GB"/>
                  </w:rPr>
                  <w:t>.</w:t>
                </w:r>
              </w:p>
            </w:tc>
            <w:tc>
              <w:tcPr>
                <w:tcW w:w="9639" w:type="dxa"/>
              </w:tcPr>
              <w:p>
                <w:pPr>
                  <w:jc w:val="both"/>
                  <w:rPr>
                    <w:b/>
                    <w:sz w:val="20"/>
                    <w:lang w:eastAsia="en-GB"/>
                  </w:rPr>
                </w:pPr>
                <w:r>
                  <w:rPr>
                    <w:b/>
                    <w:sz w:val="20"/>
                    <w:lang w:eastAsia="en-GB"/>
                  </w:rPr>
                  <w:t>Projektas</w:t>
                </w:r>
              </w:p>
              <w:p>
                <w:pPr>
                  <w:jc w:val="both"/>
                  <w:rPr>
                    <w:b/>
                    <w:iCs/>
                    <w:sz w:val="20"/>
                    <w:lang w:eastAsia="en-GB"/>
                  </w:rPr>
                </w:pPr>
                <w:r>
                  <w:rPr>
                    <w:b/>
                    <w:iCs/>
                    <w:sz w:val="20"/>
                    <w:lang w:eastAsia="en-GB"/>
                  </w:rPr>
                  <w:t>3 straipsnio 1 dalies 3 punktas</w:t>
                </w:r>
              </w:p>
              <w:p>
                <w:pPr>
                  <w:jc w:val="both"/>
                  <w:textAlignment w:val="baseline"/>
                  <w:rPr>
                    <w:rFonts w:ascii="Segoe UI" w:hAnsi="Segoe UI" w:cs="Segoe UI"/>
                    <w:b/>
                    <w:sz w:val="20"/>
                    <w:lang w:eastAsia="lt-LT"/>
                  </w:rPr>
                </w:pPr>
                <w:r>
                  <w:rPr>
                    <w:b/>
                    <w:iCs/>
                    <w:sz w:val="20"/>
                    <w:lang w:eastAsia="lt-LT"/>
                  </w:rPr>
                  <w:t>„</w:t>
                </w:r>
                <w:r>
                  <w:rPr>
                    <w:b/>
                    <w:sz w:val="20"/>
                    <w:lang w:eastAsia="lt-LT"/>
                  </w:rPr>
                  <w:t>1. Planuojamos ūkinės veiklos, kuri dėl savo pobūdžio, masto ar numatomos vietos ypatumų gali daryti reikšmingą poveikį aplinkai, poveikio aplinkai vertinimas atliekamas, kai: </w:t>
                </w:r>
              </w:p>
              <w:p>
                <w:pPr>
                  <w:jc w:val="both"/>
                  <w:textAlignment w:val="baseline"/>
                  <w:rPr>
                    <w:rFonts w:ascii="Segoe UI" w:hAnsi="Segoe UI" w:cs="Segoe UI"/>
                    <w:b/>
                    <w:sz w:val="20"/>
                    <w:lang w:eastAsia="lt-LT"/>
                  </w:rPr>
                </w:pPr>
                <w:r>
                  <w:rPr>
                    <w:b/>
                    <w:sz w:val="20"/>
                    <w:lang w:eastAsia="lt-LT"/>
                  </w:rPr>
                  <w:t>&lt;...&gt;</w:t>
                </w:r>
              </w:p>
              <w:p>
                <w:pPr>
                  <w:jc w:val="both"/>
                  <w:textAlignment w:val="baseline"/>
                  <w:rPr>
                    <w:b/>
                    <w:sz w:val="20"/>
                    <w:lang w:eastAsia="lt-LT"/>
                  </w:rPr>
                </w:pPr>
                <w:r>
                  <w:rPr>
                    <w:b/>
                    <w:sz w:val="20"/>
                    <w:lang w:eastAsia="lt-LT"/>
                  </w:rPr>
                  <w:t>3) planuojamos ūkinės veiklos įgyvendinimas gali daryti poveikį Europos ekologinio tinklo „Natura 2000“ teritorijoms ir kai saugomų teritorijų institucija, nurodyta Lietuvos Respublikos saugomų teritorijų įstatyme (toliau – saugomų teritorijų institucija), aplinkos ministro nustatyta tvarka nustato, kad šis poveikis gali būti reikšmingas;“</w:t>
                </w:r>
              </w:p>
              <w:p>
                <w:pPr>
                  <w:jc w:val="both"/>
                  <w:textAlignment w:val="baseline"/>
                  <w:rPr>
                    <w:rFonts w:ascii="Segoe UI" w:hAnsi="Segoe UI" w:cs="Segoe UI"/>
                    <w:b/>
                    <w:sz w:val="20"/>
                    <w:lang w:eastAsia="lt-LT"/>
                  </w:rPr>
                </w:pPr>
              </w:p>
              <w:p>
                <w:pPr>
                  <w:jc w:val="both"/>
                  <w:rPr>
                    <w:b/>
                    <w:color w:val="000000"/>
                    <w:sz w:val="20"/>
                    <w:lang w:eastAsia="en-GB"/>
                  </w:rPr>
                </w:pPr>
                <w:r>
                  <w:rPr>
                    <w:b/>
                    <w:iCs/>
                    <w:sz w:val="20"/>
                    <w:lang w:eastAsia="en-GB"/>
                  </w:rPr>
                  <w:t>3 straipsnio 2 dalis</w:t>
                </w:r>
              </w:p>
              <w:p>
                <w:pPr>
                  <w:jc w:val="both"/>
                  <w:rPr>
                    <w:b/>
                    <w:color w:val="000000"/>
                    <w:sz w:val="20"/>
                    <w:lang w:eastAsia="en-GB"/>
                  </w:rPr>
                </w:pPr>
                <w:r>
                  <w:rPr>
                    <w:b/>
                    <w:iCs/>
                    <w:sz w:val="20"/>
                    <w:lang w:eastAsia="en-GB"/>
                  </w:rPr>
                  <w:t>„</w:t>
                </w:r>
                <w:r>
                  <w:rPr>
                    <w:b/>
                    <w:color w:val="000000"/>
                    <w:sz w:val="20"/>
                    <w:shd w:val="clear" w:color="auto" w:fill="FFFFFF"/>
                    <w:lang w:eastAsia="en-GB"/>
                  </w:rPr>
                  <w:t>2. Šio straipsnio 1 dalies 3 punkte ir šio įstatymo 12 straipsnio 11 dalyje nurodytas poveikio Europos ekologinio tinklo „Natura 2000“ teritorijoms reikšmingumas nustatomas atsižvelgiant į teritorijų apsaugos tikslus, planuojamos ūkinės veiklos poveikio dydį ir erdvinį mastą, poveikio tikimybę ir pobūdį, intensyvumą, trukmę, dažnumą, grįžtamumą ir galimybes išvengti ir sumažinti poveikį. Poveikis Europos ekologinio tinklo „Natura 2000“ teritorijoms laikomas reikšmingu, kai vadovaujantis Lietuvos Respublikos aplinkos apsaugos įstatymo nuostatomis ir atsižvelgiant į konkrečių teritorijų apsaugos tikslus planuojama ūkinė veikla gali reikšmingai neigiamai paveikti saugomas rūšis ir natūralias buveines ir (ar) Europos ekologinio tinklo „Natura 2000“ vientisumą.“</w:t>
                </w:r>
              </w:p>
              <w:p>
                <w:pPr>
                  <w:jc w:val="both"/>
                  <w:rPr>
                    <w:b/>
                    <w:color w:val="000000"/>
                    <w:sz w:val="20"/>
                    <w:lang w:eastAsia="en-GB"/>
                  </w:rPr>
                </w:pPr>
              </w:p>
              <w:p>
                <w:pPr>
                  <w:jc w:val="both"/>
                  <w:rPr>
                    <w:b/>
                    <w:sz w:val="20"/>
                  </w:rPr>
                </w:pPr>
                <w:r>
                  <w:rPr>
                    <w:b/>
                    <w:sz w:val="20"/>
                  </w:rPr>
                  <w:t>7 straipsnio 2 dalis</w:t>
                </w:r>
              </w:p>
              <w:p>
                <w:pPr>
                  <w:suppressAutoHyphens/>
                  <w:jc w:val="both"/>
                  <w:rPr>
                    <w:b/>
                    <w:sz w:val="20"/>
                  </w:rPr>
                </w:pPr>
                <w:r>
                  <w:rPr>
                    <w:b/>
                    <w:sz w:val="20"/>
                  </w:rPr>
                  <w:t>„</w:t>
                </w:r>
                <w:r>
                  <w:rPr>
                    <w:b/>
                    <w:color w:val="000000"/>
                    <w:sz w:val="20"/>
                    <w:shd w:val="clear" w:color="auto" w:fill="FFFFFF"/>
                    <w:lang w:eastAsia="en-GB"/>
                  </w:rPr>
                  <w:t>2. Tais atvejais, kai planuojamą ūkinę veiklą, įrašytą į Planuojamos ūkinės veiklos, kuriai turi būti atliekama atranka dėl poveikio aplinkai vertinimo, rūšių sąrašą, numatoma įgyvendinti Europos ekologinio tinklo „Natura 2000“ teritorijoje ar šios teritorijos artimoje aplinkoje, planuojamos ūkinės veiklos organizatorius (užsakovas) prieš pradėdamas rengti atrankos informaciją ar jos rengimo metu aplinkos ministro nustatyta tvarka kreipiasi į saugomų teritorijų instituciją dėl planuojamos ūkinės veiklos įgyvendinimo poveikio reikšmingumo šioms teritorijoms nustatymo. Jeigu saugomų teritorijų institucija aplinkos ministro nustatyta tvarka nustato, kad planuojamos ūkinės veiklos, įrašytos į Planuojamos ūkinės veiklos, kuriai turi būti atliekama atranka dėl poveikio aplinkai vertinimo, rūšių sąrašą (šio įstatymo 2 priedas), įgyvendinimas gali daryti poveikį Europos ekologinio tinklo „Natura 2000“ teritorijoms ir šis poveikis gali būti reikšmingas, šiai planuojamai ūkinei veiklai atliekamas poveikio aplinkai vertinimas be atrankos dėl poveikio aplinkai vertinimo.</w:t>
                </w:r>
                <w:r>
                  <w:rPr>
                    <w:b/>
                    <w:sz w:val="20"/>
                  </w:rPr>
                  <w:t>“</w:t>
                </w:r>
              </w:p>
              <w:p>
                <w:pPr>
                  <w:jc w:val="both"/>
                  <w:rPr>
                    <w:b/>
                    <w:sz w:val="20"/>
                    <w:lang w:eastAsia="en-GB"/>
                  </w:rPr>
                </w:pPr>
              </w:p>
            </w:tc>
            <w:tc>
              <w:tcPr>
                <w:tcW w:w="1421" w:type="dxa"/>
              </w:tcPr>
              <w:p>
                <w:pPr>
                  <w:snapToGrid w:val="0"/>
                  <w:jc w:val="center"/>
                  <w:rPr>
                    <w:sz w:val="20"/>
                    <w:lang w:eastAsia="en-GB"/>
                  </w:rPr>
                </w:pPr>
                <w:r>
                  <w:rPr>
                    <w:b/>
                    <w:sz w:val="20"/>
                    <w:lang w:eastAsia="en-GB"/>
                  </w:rPr>
                  <w:t>Visiškas.</w:t>
                </w:r>
              </w:p>
            </w:tc>
          </w:tr>
          <w:tr>
            <w:tc>
              <w:tcPr>
                <w:tcW w:w="3652" w:type="dxa"/>
              </w:tcPr>
              <w:p>
                <w:pPr>
                  <w:jc w:val="both"/>
                  <w:rPr>
                    <w:sz w:val="20"/>
                  </w:rPr>
                </w:pPr>
                <w:r>
                  <w:rPr>
                    <w:b/>
                    <w:bCs/>
                    <w:sz w:val="20"/>
                  </w:rPr>
                  <w:t>M1</w:t>
                </w:r>
              </w:p>
              <w:p>
                <w:pPr>
                  <w:jc w:val="both"/>
                  <w:rPr>
                    <w:b/>
                    <w:i/>
                    <w:iCs/>
                    <w:sz w:val="20"/>
                  </w:rPr>
                </w:pPr>
                <w:r>
                  <w:rPr>
                    <w:b/>
                    <w:i/>
                    <w:iCs/>
                    <w:sz w:val="20"/>
                  </w:rPr>
                  <w:t xml:space="preserve">3 straipsnis </w:t>
                </w:r>
              </w:p>
              <w:p>
                <w:pPr>
                  <w:jc w:val="both"/>
                  <w:rPr>
                    <w:sz w:val="20"/>
                  </w:rPr>
                </w:pPr>
                <w:r>
                  <w:rPr>
                    <w:sz w:val="20"/>
                  </w:rPr>
                  <w:t xml:space="preserve">1. Vertinant poveikį aplinkai kiekvienu konkrečiu atveju yra tinkamu būdu nustatomas, apibūdinamas ir įvertinamas tiesioginis ir netiesioginis reikšmingas projekto poveikis šiems veiksniams: </w:t>
                </w:r>
              </w:p>
              <w:p>
                <w:pPr>
                  <w:jc w:val="both"/>
                  <w:rPr>
                    <w:sz w:val="20"/>
                  </w:rPr>
                </w:pPr>
                <w:r>
                  <w:rPr>
                    <w:sz w:val="20"/>
                  </w:rPr>
                  <w:t xml:space="preserve">a) gyventojams ir žmonių sveikatai; </w:t>
                </w:r>
              </w:p>
              <w:p>
                <w:pPr>
                  <w:jc w:val="both"/>
                  <w:rPr>
                    <w:sz w:val="20"/>
                  </w:rPr>
                </w:pPr>
                <w:r>
                  <w:rPr>
                    <w:sz w:val="20"/>
                  </w:rPr>
                  <w:t xml:space="preserve">b) biologinei įvairovei, ypatingą dėmesį skiriant rūšims ir buveinėms, saugomoms pagal Direktyvą </w:t>
                </w:r>
                <w:fldSimple w:instr="HYPERLINK http://eur-lex.europa.eu/legal-content/LIT/TXT/?uri=CELEX:31992L0043&amp;locale=lt \t _blank">
                  <w:r>
                    <w:rPr>
                      <w:sz w:val="20"/>
                      <w:u w:val="single"/>
                      <w:color w:val="0000FF" w:themeColor="hyperlink"/>
                    </w:rPr>
                    <w:t>92/43/EEB</w:t>
                  </w:r>
                </w:fldSimple>
                <w:r>
                  <w:rPr>
                    <w:sz w:val="20"/>
                  </w:rPr>
                  <w:t xml:space="preserve"> ir Direktyvą </w:t>
                </w:r>
                <w:fldSimple w:instr="HYPERLINK http://eur-lex.europa.eu/legal-content/LIT/TXT/?uri=CELEX:32009L0147&amp;locale=lt \t _blank">
                  <w:r>
                    <w:rPr>
                      <w:sz w:val="20"/>
                      <w:u w:val="single"/>
                      <w:color w:val="0000FF" w:themeColor="hyperlink"/>
                    </w:rPr>
                    <w:t>2009/147/EB</w:t>
                  </w:r>
                </w:fldSimple>
                <w:r>
                  <w:rPr>
                    <w:sz w:val="20"/>
                  </w:rPr>
                  <w:t xml:space="preserve">; </w:t>
                </w:r>
              </w:p>
              <w:p>
                <w:pPr>
                  <w:jc w:val="both"/>
                  <w:rPr>
                    <w:sz w:val="20"/>
                  </w:rPr>
                </w:pPr>
                <w:r>
                  <w:rPr>
                    <w:sz w:val="20"/>
                  </w:rPr>
                  <w:t xml:space="preserve">c) žemei, dirvožemiui, vandeniui, orui ir klimatui; </w:t>
                </w:r>
              </w:p>
              <w:p>
                <w:pPr>
                  <w:jc w:val="both"/>
                  <w:rPr>
                    <w:sz w:val="20"/>
                  </w:rPr>
                </w:pPr>
                <w:r>
                  <w:rPr>
                    <w:sz w:val="20"/>
                  </w:rPr>
                  <w:t xml:space="preserve">d) materialinėms vertybėms, kultūros paveldui ir kraštovaizdžiui; </w:t>
                </w:r>
              </w:p>
              <w:p>
                <w:pPr>
                  <w:jc w:val="both"/>
                  <w:rPr>
                    <w:sz w:val="20"/>
                  </w:rPr>
                </w:pPr>
                <w:r>
                  <w:rPr>
                    <w:sz w:val="20"/>
                  </w:rPr>
                  <w:t xml:space="preserve">e) a–d punktuose nurodytų veiksnių sąveikai. </w:t>
                </w:r>
              </w:p>
              <w:p>
                <w:pPr>
                  <w:jc w:val="both"/>
                  <w:rPr>
                    <w:sz w:val="20"/>
                  </w:rPr>
                </w:pPr>
              </w:p>
            </w:tc>
            <w:tc>
              <w:tcPr>
                <w:tcW w:w="9639" w:type="dxa"/>
              </w:tcPr>
              <w:p>
                <w:pPr>
                  <w:jc w:val="both"/>
                  <w:rPr>
                    <w:b/>
                    <w:sz w:val="20"/>
                    <w:lang w:eastAsia="en-GB"/>
                  </w:rPr>
                </w:pPr>
                <w:r>
                  <w:rPr>
                    <w:b/>
                    <w:sz w:val="20"/>
                    <w:lang w:eastAsia="en-GB"/>
                  </w:rPr>
                  <w:t>Projektas</w:t>
                </w:r>
              </w:p>
              <w:p>
                <w:pPr>
                  <w:jc w:val="both"/>
                  <w:rPr>
                    <w:b/>
                    <w:sz w:val="20"/>
                  </w:rPr>
                </w:pPr>
                <w:r>
                  <w:rPr>
                    <w:b/>
                    <w:sz w:val="20"/>
                  </w:rPr>
                  <w:t>4 straipsnio 1 ir 2 punktai</w:t>
                </w:r>
              </w:p>
              <w:p>
                <w:pPr>
                  <w:jc w:val="both"/>
                  <w:rPr>
                    <w:b/>
                    <w:sz w:val="20"/>
                  </w:rPr>
                </w:pPr>
                <w:r>
                  <w:rPr>
                    <w:b/>
                    <w:sz w:val="20"/>
                  </w:rPr>
                  <w:t>„Poveikio aplinkai vertinimo tikslai:</w:t>
                </w:r>
              </w:p>
              <w:p>
                <w:pPr>
                  <w:jc w:val="both"/>
                  <w:textAlignment w:val="baseline"/>
                  <w:rPr>
                    <w:rFonts w:ascii="Segoe UI" w:hAnsi="Segoe UI" w:cs="Segoe UI"/>
                    <w:b/>
                    <w:sz w:val="20"/>
                    <w:lang w:eastAsia="lt-LT"/>
                  </w:rPr>
                </w:pPr>
                <w:r>
                  <w:rPr>
                    <w:b/>
                    <w:sz w:val="20"/>
                    <w:lang w:eastAsia="lt-LT"/>
                  </w:rPr>
                  <w:t>1) nustatyti, apibūdinti ir įvertinti galimą tiesioginį ir netiesioginį planuojamos ūkinės veiklos poveikį šiems aplinkos elementams: dirvožemiui, žemės paviršiui ir jos gelmėms, orui, vandeniui, klimatui, kraštovaizdžiui ir biologinei įvairovei, ypatingą dėmesį skiriant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 </w:t>
                </w:r>
              </w:p>
              <w:p>
                <w:pPr>
                  <w:jc w:val="both"/>
                  <w:textAlignment w:val="baseline"/>
                  <w:rPr>
                    <w:rFonts w:ascii="Segoe UI" w:hAnsi="Segoe UI" w:cs="Segoe UI"/>
                    <w:b/>
                    <w:sz w:val="20"/>
                    <w:lang w:eastAsia="lt-LT"/>
                  </w:rPr>
                </w:pPr>
                <w:r>
                  <w:rPr>
                    <w:b/>
                    <w:sz w:val="20"/>
                    <w:lang w:eastAsia="lt-LT"/>
                  </w:rPr>
                  <w:t>2) nustatyti, apibūdinti ir įvertinti galimą tiesioginį ir netiesioginį planuojamos ūkinės veiklos sukeliamų biologinių, cheminių ir fizikinių veiksnių poveikį visuomenės sveikatai, taip pat aplinkos elementų ir visuomenės sveikatos tarpusavio sąveikai;  </w:t>
                </w:r>
              </w:p>
              <w:p>
                <w:pPr>
                  <w:jc w:val="both"/>
                  <w:rPr>
                    <w:b/>
                    <w:sz w:val="20"/>
                    <w:lang w:eastAsia="en-GB"/>
                  </w:rPr>
                </w:pPr>
                <w:r>
                  <w:rPr>
                    <w:b/>
                    <w:sz w:val="20"/>
                  </w:rPr>
                  <w:t>“</w:t>
                </w:r>
              </w:p>
            </w:tc>
            <w:tc>
              <w:tcPr>
                <w:tcW w:w="1421" w:type="dxa"/>
              </w:tcPr>
              <w:p>
                <w:pPr>
                  <w:suppressAutoHyphens/>
                  <w:snapToGrid w:val="0"/>
                  <w:jc w:val="center"/>
                  <w:rPr>
                    <w:b/>
                    <w:sz w:val="20"/>
                    <w:lang w:eastAsia="ar-SA"/>
                  </w:rPr>
                </w:pPr>
                <w:r>
                  <w:rPr>
                    <w:b/>
                    <w:sz w:val="20"/>
                    <w:lang w:eastAsia="ar-SA"/>
                  </w:rPr>
                  <w:t>Visiškas.</w:t>
                </w:r>
              </w:p>
            </w:tc>
          </w:tr>
          <w:tr>
            <w:tc>
              <w:tcPr>
                <w:tcW w:w="3652" w:type="dxa"/>
              </w:tcPr>
              <w:p>
                <w:pPr>
                  <w:jc w:val="both"/>
                  <w:rPr>
                    <w:b/>
                    <w:sz w:val="20"/>
                    <w:lang w:eastAsia="en-GB"/>
                  </w:rPr>
                </w:pPr>
                <w:r>
                  <w:rPr>
                    <w:b/>
                    <w:sz w:val="20"/>
                    <w:lang w:eastAsia="en-GB"/>
                  </w:rPr>
                  <w:t>M1</w:t>
                </w:r>
              </w:p>
              <w:p>
                <w:pPr>
                  <w:jc w:val="both"/>
                  <w:rPr>
                    <w:sz w:val="20"/>
                  </w:rPr>
                </w:pPr>
                <w:r>
                  <w:rPr>
                    <w:sz w:val="20"/>
                  </w:rPr>
                  <w:t>2. Poveikis 1 dalyje nustatytiems veiksniams apima tikėtiną poveikį, kurį lemia projekto pažeidžiamumas didelių avarijų ir (arba) nelaimių, kurios svarbios atitinkamam projektui, rizikos atžvilgiu.“;</w:t>
                </w:r>
              </w:p>
              <w:p>
                <w:pPr>
                  <w:numPr>
                    <w:ilvl w:val="255"/>
                    <w:numId w:val="0"/>
                  </w:numPr>
                  <w:ind w:firstLine="312"/>
                  <w:jc w:val="both"/>
                  <w:rPr>
                    <w:sz w:val="20"/>
                  </w:rPr>
                </w:pPr>
              </w:p>
            </w:tc>
            <w:tc>
              <w:tcPr>
                <w:tcW w:w="9639" w:type="dxa"/>
              </w:tcPr>
              <w:p>
                <w:pPr>
                  <w:jc w:val="both"/>
                  <w:rPr>
                    <w:b/>
                    <w:sz w:val="20"/>
                  </w:rPr>
                </w:pPr>
                <w:r>
                  <w:rPr>
                    <w:b/>
                    <w:sz w:val="20"/>
                  </w:rPr>
                  <w:t>Projektas</w:t>
                </w:r>
              </w:p>
              <w:p>
                <w:pPr>
                  <w:jc w:val="both"/>
                  <w:rPr>
                    <w:b/>
                    <w:sz w:val="20"/>
                  </w:rPr>
                </w:pPr>
                <w:r>
                  <w:rPr>
                    <w:b/>
                    <w:sz w:val="20"/>
                  </w:rPr>
                  <w:t>4 straipsnio 3 punktas</w:t>
                </w:r>
              </w:p>
              <w:p>
                <w:pPr>
                  <w:jc w:val="both"/>
                  <w:rPr>
                    <w:sz w:val="20"/>
                  </w:rPr>
                </w:pPr>
                <w:r>
                  <w:rPr>
                    <w:b/>
                    <w:sz w:val="20"/>
                  </w:rPr>
                  <w:t>„</w:t>
                </w:r>
                <w:r>
                  <w:rPr>
                    <w:sz w:val="20"/>
                  </w:rPr>
                  <w:t>3) nustatyti galimą planuojamos ūkinės veiklos poveikį šio straipsnio 1 punkte nurodytiems aplinkos elementams ir visuomenės sveikatai dėl planuojamos ūkinės veiklos pažeidžiamumo rizikos dėl ekstremaliųjų įvykių ir (ar) galimų ekstremaliųjų situacijų;“</w:t>
                </w:r>
              </w:p>
              <w:p>
                <w:pPr>
                  <w:jc w:val="both"/>
                  <w:rPr>
                    <w:b/>
                    <w:sz w:val="20"/>
                    <w:lang w:eastAsia="lt-LT"/>
                  </w:rPr>
                </w:pPr>
              </w:p>
            </w:tc>
            <w:tc>
              <w:tcPr>
                <w:tcW w:w="1421" w:type="dxa"/>
              </w:tcPr>
              <w:p>
                <w:pPr>
                  <w:suppressAutoHyphens/>
                  <w:snapToGrid w:val="0"/>
                  <w:rPr>
                    <w:sz w:val="20"/>
                    <w:lang w:eastAsia="ar-SA"/>
                  </w:rPr>
                </w:pPr>
                <w:r>
                  <w:rPr>
                    <w:b/>
                    <w:sz w:val="20"/>
                    <w:lang w:eastAsia="ar-SA"/>
                  </w:rPr>
                  <w:t>Visiškas.</w:t>
                </w:r>
              </w:p>
            </w:tc>
          </w:tr>
          <w:tr>
            <w:tc>
              <w:tcPr>
                <w:tcW w:w="3652" w:type="dxa"/>
              </w:tcPr>
              <w:p>
                <w:pPr>
                  <w:jc w:val="both"/>
                  <w:rPr>
                    <w:b/>
                    <w:iCs/>
                    <w:sz w:val="20"/>
                    <w:lang w:eastAsia="en-GB"/>
                  </w:rPr>
                </w:pPr>
                <w:r>
                  <w:rPr>
                    <w:b/>
                    <w:iCs/>
                    <w:sz w:val="20"/>
                    <w:lang w:eastAsia="en-GB"/>
                  </w:rPr>
                  <w:t>B</w:t>
                </w:r>
              </w:p>
              <w:p>
                <w:pPr>
                  <w:jc w:val="both"/>
                  <w:rPr>
                    <w:b/>
                    <w:i/>
                    <w:sz w:val="20"/>
                    <w:lang w:eastAsia="en-GB"/>
                  </w:rPr>
                </w:pPr>
                <w:r>
                  <w:rPr>
                    <w:b/>
                    <w:i/>
                    <w:sz w:val="20"/>
                    <w:lang w:eastAsia="en-GB"/>
                  </w:rPr>
                  <w:t>4 straipsnis</w:t>
                </w:r>
              </w:p>
              <w:p>
                <w:pPr>
                  <w:jc w:val="both"/>
                  <w:rPr>
                    <w:i/>
                    <w:sz w:val="20"/>
                    <w:lang w:eastAsia="en-GB"/>
                  </w:rPr>
                </w:pPr>
                <w:r>
                  <w:rPr>
                    <w:rFonts w:eastAsia="Calibri"/>
                    <w:color w:val="000000"/>
                    <w:sz w:val="20"/>
                    <w:lang w:eastAsia="lt-LT"/>
                  </w:rPr>
                  <w:t xml:space="preserve">1. Remiantis 2 straipsnio 4 dalimi, I priede išvardyti projektai, turi būti vertinami pagal 5–10 straipsnius. </w:t>
                </w:r>
              </w:p>
            </w:tc>
            <w:tc>
              <w:tcPr>
                <w:tcW w:w="9639" w:type="dxa"/>
              </w:tcPr>
              <w:p>
                <w:pPr>
                  <w:jc w:val="both"/>
                  <w:rPr>
                    <w:b/>
                    <w:sz w:val="20"/>
                  </w:rPr>
                </w:pPr>
                <w:r>
                  <w:rPr>
                    <w:b/>
                    <w:sz w:val="20"/>
                  </w:rPr>
                  <w:t>Projektas</w:t>
                </w:r>
              </w:p>
              <w:p>
                <w:pPr>
                  <w:rPr>
                    <w:b/>
                    <w:iCs/>
                    <w:sz w:val="20"/>
                    <w:lang w:eastAsia="en-GB"/>
                  </w:rPr>
                </w:pPr>
                <w:r>
                  <w:rPr>
                    <w:b/>
                    <w:iCs/>
                    <w:sz w:val="20"/>
                    <w:lang w:eastAsia="en-GB"/>
                  </w:rPr>
                  <w:t>3 straipsnio 1 dalies 1 punktas</w:t>
                </w:r>
              </w:p>
              <w:p>
                <w:pPr>
                  <w:jc w:val="both"/>
                  <w:rPr>
                    <w:b/>
                    <w:sz w:val="20"/>
                  </w:rPr>
                </w:pPr>
                <w:r>
                  <w:rPr>
                    <w:b/>
                    <w:iCs/>
                    <w:sz w:val="20"/>
                    <w:lang w:eastAsia="en-GB"/>
                  </w:rPr>
                  <w:t>„</w:t>
                </w:r>
                <w:r>
                  <w:rPr>
                    <w:b/>
                    <w:sz w:val="20"/>
                  </w:rPr>
                  <w:t>1. Planuojamos ūkinės veiklos, kuri dėl savo pobūdžio, masto ar numatomos vietos ypatumų gali daryti reikšmingą poveikį aplinkai, poveikio aplinkai vertinimas atliekamas kai:</w:t>
                </w:r>
              </w:p>
              <w:p>
                <w:pPr>
                  <w:jc w:val="both"/>
                  <w:rPr>
                    <w:b/>
                    <w:sz w:val="20"/>
                  </w:rPr>
                </w:pPr>
                <w:r>
                  <w:rPr>
                    <w:b/>
                    <w:sz w:val="20"/>
                  </w:rPr>
                  <w:t>1) planuojama ūkinė veikla įrašyta į Planuojamos ūkinės veiklos, kurios poveikis aplinkai privalo būti vertinamas, rūšių sąrašą (1 priedas);“</w:t>
                </w:r>
              </w:p>
              <w:p>
                <w:pPr>
                  <w:jc w:val="both"/>
                  <w:rPr>
                    <w:b/>
                    <w:sz w:val="20"/>
                  </w:rPr>
                </w:pPr>
              </w:p>
              <w:p>
                <w:pPr>
                  <w:jc w:val="both"/>
                  <w:rPr>
                    <w:b/>
                    <w:sz w:val="20"/>
                  </w:rPr>
                </w:pPr>
                <w:r>
                  <w:rPr>
                    <w:b/>
                    <w:sz w:val="20"/>
                  </w:rPr>
                  <w:t>1 priedas</w:t>
                </w:r>
              </w:p>
              <w:p>
                <w:pPr>
                  <w:ind w:firstLine="53"/>
                  <w:jc w:val="both"/>
                  <w:rPr>
                    <w:b/>
                    <w:sz w:val="20"/>
                  </w:rPr>
                </w:pPr>
              </w:p>
              <w:p>
                <w:pPr>
                  <w:ind w:firstLine="4650"/>
                  <w:jc w:val="both"/>
                  <w:rPr>
                    <w:b/>
                    <w:color w:val="000000"/>
                    <w:sz w:val="20"/>
                    <w:lang w:eastAsia="en-GB"/>
                  </w:rPr>
                </w:pPr>
                <w:r>
                  <w:rPr>
                    <w:b/>
                    <w:color w:val="000000"/>
                    <w:sz w:val="20"/>
                    <w:lang w:eastAsia="en-GB"/>
                  </w:rPr>
                  <w:t>„Lietuvos Respublikos</w:t>
                </w:r>
              </w:p>
              <w:p>
                <w:pPr>
                  <w:ind w:firstLine="4650"/>
                  <w:jc w:val="both"/>
                  <w:rPr>
                    <w:b/>
                    <w:color w:val="000000"/>
                    <w:sz w:val="20"/>
                    <w:lang w:eastAsia="en-GB"/>
                  </w:rPr>
                </w:pPr>
                <w:r>
                  <w:rPr>
                    <w:b/>
                    <w:color w:val="000000"/>
                    <w:sz w:val="20"/>
                    <w:lang w:eastAsia="en-GB"/>
                  </w:rPr>
                  <w:t>planuojamos ūkinės veiklos</w:t>
                </w:r>
              </w:p>
              <w:p>
                <w:pPr>
                  <w:ind w:firstLine="4650"/>
                  <w:jc w:val="both"/>
                  <w:rPr>
                    <w:b/>
                    <w:color w:val="000000"/>
                    <w:sz w:val="20"/>
                    <w:lang w:eastAsia="en-GB"/>
                  </w:rPr>
                </w:pPr>
                <w:r>
                  <w:rPr>
                    <w:b/>
                    <w:color w:val="000000"/>
                    <w:sz w:val="20"/>
                    <w:lang w:eastAsia="en-GB"/>
                  </w:rPr>
                  <w:t>poveikio aplinkai vertinimo</w:t>
                </w:r>
              </w:p>
              <w:p>
                <w:pPr>
                  <w:ind w:firstLine="4650"/>
                  <w:jc w:val="both"/>
                  <w:rPr>
                    <w:b/>
                    <w:color w:val="000000"/>
                    <w:sz w:val="20"/>
                    <w:lang w:eastAsia="en-GB"/>
                  </w:rPr>
                </w:pPr>
                <w:r>
                  <w:rPr>
                    <w:b/>
                    <w:color w:val="000000"/>
                    <w:sz w:val="20"/>
                    <w:lang w:eastAsia="en-GB"/>
                  </w:rPr>
                  <w:t>įstatymo</w:t>
                </w:r>
              </w:p>
              <w:p>
                <w:pPr>
                  <w:ind w:firstLine="5760"/>
                  <w:jc w:val="both"/>
                  <w:rPr>
                    <w:b/>
                    <w:color w:val="000000"/>
                    <w:sz w:val="20"/>
                    <w:lang w:eastAsia="en-GB"/>
                  </w:rPr>
                </w:pPr>
                <w:r>
                  <w:rPr>
                    <w:b/>
                    <w:color w:val="000000"/>
                    <w:sz w:val="20"/>
                    <w:lang w:eastAsia="en-GB"/>
                  </w:rPr>
                  <w:t>1 priedas</w:t>
                </w:r>
              </w:p>
              <w:p>
                <w:pPr>
                  <w:ind w:firstLine="773"/>
                  <w:jc w:val="both"/>
                  <w:rPr>
                    <w:b/>
                    <w:color w:val="000000"/>
                    <w:sz w:val="20"/>
                    <w:lang w:eastAsia="en-GB"/>
                  </w:rPr>
                </w:pPr>
              </w:p>
              <w:p>
                <w:pPr>
                  <w:jc w:val="center"/>
                  <w:rPr>
                    <w:b/>
                    <w:color w:val="000000"/>
                    <w:sz w:val="20"/>
                    <w:lang w:eastAsia="en-GB"/>
                  </w:rPr>
                </w:pPr>
                <w:r>
                  <w:rPr>
                    <w:b/>
                    <w:bCs/>
                    <w:color w:val="000000"/>
                    <w:sz w:val="20"/>
                    <w:lang w:eastAsia="en-GB"/>
                  </w:rPr>
                  <w:t>PLANUOJAMOS ŪKINĖS VEIKLOS, KURIOS POVEIKIS APLINKAI PRIVALO BŪTI VERTINAMAS, RŪŠIŲ SĄRAŠAS</w:t>
                </w:r>
              </w:p>
              <w:p>
                <w:pPr>
                  <w:ind w:firstLine="773"/>
                  <w:jc w:val="both"/>
                  <w:rPr>
                    <w:b/>
                    <w:color w:val="000000"/>
                    <w:sz w:val="20"/>
                    <w:lang w:eastAsia="en-GB"/>
                  </w:rPr>
                </w:pPr>
              </w:p>
              <w:p>
                <w:pPr>
                  <w:jc w:val="both"/>
                  <w:textAlignment w:val="baseline"/>
                  <w:rPr>
                    <w:b/>
                    <w:sz w:val="20"/>
                    <w:lang w:eastAsia="lt-LT"/>
                  </w:rPr>
                </w:pPr>
                <w:r>
                  <w:rPr>
                    <w:b/>
                    <w:sz w:val="20"/>
                    <w:lang w:eastAsia="lt-LT"/>
                  </w:rPr>
                  <w:t>1.</w:t>
                </w:r>
                <w:r>
                  <w:rPr>
                    <w:b/>
                    <w:bCs/>
                    <w:sz w:val="20"/>
                    <w:lang w:eastAsia="lt-LT"/>
                  </w:rPr>
                  <w:t xml:space="preserve"> Žemės ir vandens ūkis</w:t>
                </w:r>
                <w:r>
                  <w:rPr>
                    <w:b/>
                    <w:sz w:val="20"/>
                    <w:lang w:eastAsia="lt-LT"/>
                  </w:rPr>
                  <w:t>: </w:t>
                </w:r>
              </w:p>
              <w:p>
                <w:pPr>
                  <w:jc w:val="both"/>
                  <w:textAlignment w:val="baseline"/>
                  <w:rPr>
                    <w:b/>
                    <w:sz w:val="20"/>
                    <w:lang w:eastAsia="lt-LT"/>
                  </w:rPr>
                </w:pPr>
                <w:r>
                  <w:rPr>
                    <w:b/>
                    <w:sz w:val="20"/>
                    <w:lang w:eastAsia="lt-LT"/>
                  </w:rPr>
                  <w:t>1.1. intensyvus kiaulių (sunkesnių kaip 30 kg) auginimas statiniuose, jeigu joms laikyti yra 3 000 ir daugiau vietų; </w:t>
                </w:r>
              </w:p>
              <w:p>
                <w:pPr>
                  <w:jc w:val="both"/>
                  <w:textAlignment w:val="baseline"/>
                  <w:rPr>
                    <w:b/>
                    <w:sz w:val="20"/>
                    <w:lang w:eastAsia="lt-LT"/>
                  </w:rPr>
                </w:pPr>
                <w:r>
                  <w:rPr>
                    <w:b/>
                    <w:sz w:val="20"/>
                    <w:lang w:eastAsia="lt-LT"/>
                  </w:rPr>
                  <w:t>1.2. intensyvus paršavedžių auginimas statiniuose, jeigu joms laikyti yra 900 ir daugiau vietų; </w:t>
                </w:r>
              </w:p>
              <w:p>
                <w:pPr>
                  <w:jc w:val="both"/>
                  <w:textAlignment w:val="baseline"/>
                  <w:rPr>
                    <w:b/>
                    <w:sz w:val="20"/>
                    <w:lang w:eastAsia="lt-LT"/>
                  </w:rPr>
                </w:pPr>
                <w:r>
                  <w:rPr>
                    <w:b/>
                    <w:sz w:val="20"/>
                    <w:lang w:eastAsia="lt-LT"/>
                  </w:rPr>
                  <w:t>1.3. intensyvus naminių paukščių auginimas statiniuose: </w:t>
                </w:r>
              </w:p>
              <w:p>
                <w:pPr>
                  <w:jc w:val="both"/>
                  <w:textAlignment w:val="baseline"/>
                  <w:rPr>
                    <w:b/>
                    <w:sz w:val="20"/>
                    <w:lang w:eastAsia="lt-LT"/>
                  </w:rPr>
                </w:pPr>
                <w:r>
                  <w:rPr>
                    <w:b/>
                    <w:sz w:val="20"/>
                    <w:lang w:eastAsia="lt-LT"/>
                  </w:rPr>
                  <w:t>1.3.1. jeigu broileriams laikyti yra 85 000 ir daugiau vietų;  </w:t>
                </w:r>
              </w:p>
              <w:p>
                <w:pPr>
                  <w:jc w:val="both"/>
                  <w:textAlignment w:val="baseline"/>
                  <w:rPr>
                    <w:b/>
                    <w:sz w:val="20"/>
                    <w:lang w:eastAsia="lt-LT"/>
                  </w:rPr>
                </w:pPr>
                <w:r>
                  <w:rPr>
                    <w:b/>
                    <w:sz w:val="20"/>
                    <w:lang w:eastAsia="lt-LT"/>
                  </w:rPr>
                  <w:t>1.3.2. jeigu vištoms laikyti yra 60 000 ir daugiau vietų; </w:t>
                </w:r>
              </w:p>
              <w:p>
                <w:pPr>
                  <w:jc w:val="both"/>
                  <w:textAlignment w:val="baseline"/>
                  <w:rPr>
                    <w:b/>
                    <w:sz w:val="20"/>
                    <w:lang w:eastAsia="lt-LT"/>
                  </w:rPr>
                </w:pPr>
                <w:r>
                  <w:rPr>
                    <w:b/>
                    <w:color w:val="000000"/>
                    <w:sz w:val="20"/>
                    <w:lang w:eastAsia="lt-LT"/>
                  </w:rPr>
                  <w:t>1.4. užtvankų ir kitų įrenginių, skirtų vandens sulaikymui ar ilgalaikiam saugojimui, įrengimas (5 milijonai ar daugiau m</w:t>
                </w:r>
                <w:r>
                  <w:rPr>
                    <w:b/>
                    <w:color w:val="000000"/>
                    <w:sz w:val="20"/>
                    <w:vertAlign w:val="superscript"/>
                    <w:lang w:eastAsia="lt-LT"/>
                  </w:rPr>
                  <w:t>3</w:t>
                </w:r>
                <w:r>
                  <w:rPr>
                    <w:b/>
                    <w:color w:val="000000"/>
                    <w:sz w:val="20"/>
                    <w:lang w:eastAsia="lt-LT"/>
                  </w:rPr>
                  <w:t xml:space="preserve"> vandens tūrio arba kai vandens paviršiaus plotas – 250 ha ar didesnis). </w:t>
                </w:r>
              </w:p>
              <w:p>
                <w:pPr>
                  <w:jc w:val="both"/>
                  <w:textAlignment w:val="baseline"/>
                  <w:rPr>
                    <w:b/>
                    <w:sz w:val="20"/>
                    <w:lang w:eastAsia="lt-LT"/>
                  </w:rPr>
                </w:pPr>
                <w:r>
                  <w:rPr>
                    <w:b/>
                    <w:sz w:val="20"/>
                    <w:lang w:eastAsia="lt-LT"/>
                  </w:rPr>
                  <w:t>2.</w:t>
                </w:r>
                <w:r>
                  <w:rPr>
                    <w:b/>
                    <w:bCs/>
                    <w:sz w:val="20"/>
                    <w:lang w:eastAsia="lt-LT"/>
                  </w:rPr>
                  <w:t xml:space="preserve"> Gavyba ir perdirbamoji pramonė</w:t>
                </w:r>
                <w:r>
                  <w:rPr>
                    <w:b/>
                    <w:sz w:val="20"/>
                    <w:lang w:eastAsia="lt-LT"/>
                  </w:rPr>
                  <w:t>: </w:t>
                </w:r>
              </w:p>
              <w:p>
                <w:pPr>
                  <w:jc w:val="both"/>
                  <w:textAlignment w:val="baseline"/>
                  <w:rPr>
                    <w:b/>
                    <w:sz w:val="20"/>
                    <w:lang w:eastAsia="lt-LT"/>
                  </w:rPr>
                </w:pPr>
                <w:r>
                  <w:rPr>
                    <w:b/>
                    <w:sz w:val="20"/>
                    <w:lang w:eastAsia="lt-LT"/>
                  </w:rPr>
                  <w:t>2.1. tradicinių angliavandenilių (naftos) gavyba Lietuvos Respublikos žemyninėje dalyje (kai telkinyje išgaunama daugiau kaip 500 tonų naftos per parą); 2.2. tradicinių angliavandenilių (dujų) gavyba Lietuvos Respublikos žemyninėje dalyje (kai telkinyje išgaunama daugiau kaip 500 000 m</w:t>
                </w:r>
                <w:r>
                  <w:rPr>
                    <w:b/>
                    <w:sz w:val="20"/>
                    <w:vertAlign w:val="superscript"/>
                    <w:lang w:eastAsia="lt-LT"/>
                  </w:rPr>
                  <w:t>3</w:t>
                </w:r>
                <w:r>
                  <w:rPr>
                    <w:b/>
                    <w:sz w:val="20"/>
                    <w:lang w:eastAsia="lt-LT"/>
                  </w:rPr>
                  <w:t xml:space="preserve"> dujų per parą); </w:t>
                </w:r>
              </w:p>
              <w:p>
                <w:pPr>
                  <w:jc w:val="both"/>
                  <w:textAlignment w:val="baseline"/>
                  <w:rPr>
                    <w:b/>
                    <w:sz w:val="20"/>
                    <w:lang w:eastAsia="lt-LT"/>
                  </w:rPr>
                </w:pPr>
                <w:r>
                  <w:rPr>
                    <w:b/>
                    <w:sz w:val="20"/>
                    <w:lang w:eastAsia="lt-LT"/>
                  </w:rPr>
                  <w:t>2.3. tradicinių angliavandenilių (naftos ar dujų) gavyba Lietuvos Respublikos jūros rajone; </w:t>
                </w:r>
              </w:p>
              <w:p>
                <w:pPr>
                  <w:jc w:val="both"/>
                  <w:textAlignment w:val="baseline"/>
                  <w:rPr>
                    <w:b/>
                    <w:sz w:val="20"/>
                    <w:lang w:eastAsia="lt-LT"/>
                  </w:rPr>
                </w:pPr>
                <w:r>
                  <w:rPr>
                    <w:b/>
                    <w:sz w:val="20"/>
                    <w:lang w:eastAsia="lt-LT"/>
                  </w:rPr>
                  <w:t>2.4. išsklaidytųjų angliavandenilių (dujų ar naftos) gavyba; </w:t>
                </w:r>
              </w:p>
              <w:p>
                <w:pPr>
                  <w:jc w:val="both"/>
                  <w:textAlignment w:val="baseline"/>
                  <w:rPr>
                    <w:b/>
                    <w:sz w:val="20"/>
                    <w:lang w:eastAsia="lt-LT"/>
                  </w:rPr>
                </w:pPr>
                <w:r>
                  <w:rPr>
                    <w:b/>
                    <w:color w:val="000000"/>
                    <w:sz w:val="20"/>
                    <w:lang w:eastAsia="lt-LT"/>
                  </w:rPr>
                  <w:t xml:space="preserve">2.5. durpių gavyba (kai gavybos sklypas </w:t>
                </w:r>
                <w:r>
                  <w:rPr>
                    <w:b/>
                    <w:sz w:val="20"/>
                    <w:lang w:eastAsia="lt-LT"/>
                  </w:rPr>
                  <w:t xml:space="preserve">– </w:t>
                </w:r>
                <w:r>
                  <w:rPr>
                    <w:b/>
                    <w:color w:val="000000"/>
                    <w:sz w:val="20"/>
                    <w:lang w:eastAsia="lt-LT"/>
                  </w:rPr>
                  <w:t>150 ha ir didesnis); </w:t>
                </w:r>
              </w:p>
              <w:p>
                <w:pPr>
                  <w:jc w:val="both"/>
                  <w:textAlignment w:val="baseline"/>
                  <w:rPr>
                    <w:b/>
                    <w:sz w:val="20"/>
                    <w:lang w:eastAsia="lt-LT"/>
                  </w:rPr>
                </w:pPr>
                <w:r>
                  <w:rPr>
                    <w:b/>
                    <w:color w:val="000000"/>
                    <w:sz w:val="20"/>
                    <w:lang w:eastAsia="lt-LT"/>
                  </w:rPr>
                  <w:t>2.6. kitų naudingųjų iškasenų gavyba (kai gavybos sklypas</w:t>
                </w:r>
                <w:r>
                  <w:rPr>
                    <w:b/>
                    <w:sz w:val="20"/>
                    <w:lang w:eastAsia="lt-LT"/>
                  </w:rPr>
                  <w:t xml:space="preserve"> – </w:t>
                </w:r>
                <w:r>
                  <w:rPr>
                    <w:b/>
                    <w:color w:val="000000"/>
                    <w:sz w:val="20"/>
                    <w:lang w:eastAsia="lt-LT"/>
                  </w:rPr>
                  <w:t>25 ha ir didesnis); </w:t>
                </w:r>
              </w:p>
              <w:p>
                <w:pPr>
                  <w:jc w:val="both"/>
                  <w:textAlignment w:val="baseline"/>
                  <w:rPr>
                    <w:b/>
                    <w:sz w:val="20"/>
                    <w:lang w:eastAsia="lt-LT"/>
                  </w:rPr>
                </w:pPr>
                <w:r>
                  <w:rPr>
                    <w:b/>
                    <w:sz w:val="20"/>
                    <w:lang w:eastAsia="lt-LT"/>
                  </w:rPr>
                  <w:t>2.7. išsklaidytųjų angliavandenilių tyrimas gręžiniuose, kai taikant hidraulinį uolienų ardymą daugiau kaip 10 000 m</w:t>
                </w:r>
                <w:r>
                  <w:rPr>
                    <w:b/>
                    <w:sz w:val="20"/>
                    <w:vertAlign w:val="superscript"/>
                    <w:lang w:eastAsia="lt-LT"/>
                  </w:rPr>
                  <w:t>3</w:t>
                </w:r>
                <w:r>
                  <w:rPr>
                    <w:b/>
                    <w:sz w:val="20"/>
                    <w:lang w:eastAsia="lt-LT"/>
                  </w:rPr>
                  <w:t xml:space="preserve"> vandens, smėlio ar dirbtinių kietųjų dalelių ir cheminių medžiagų mišinio įspaudžiama į gręžinį per visą ardymo procesą; </w:t>
                </w:r>
              </w:p>
              <w:p>
                <w:pPr>
                  <w:jc w:val="both"/>
                  <w:textAlignment w:val="baseline"/>
                  <w:rPr>
                    <w:b/>
                    <w:sz w:val="20"/>
                    <w:lang w:eastAsia="lt-LT"/>
                  </w:rPr>
                </w:pPr>
                <w:r>
                  <w:rPr>
                    <w:b/>
                    <w:sz w:val="20"/>
                    <w:lang w:eastAsia="lt-LT"/>
                  </w:rPr>
                  <w:t>2.8. tradicinių angliavandenilių (naftos) perdirbimas (išskyrus tepalo gamybą iš nevalytos naftos). </w:t>
                </w:r>
              </w:p>
              <w:p>
                <w:pPr>
                  <w:jc w:val="both"/>
                  <w:textAlignment w:val="baseline"/>
                  <w:rPr>
                    <w:b/>
                    <w:sz w:val="20"/>
                    <w:lang w:eastAsia="lt-LT"/>
                  </w:rPr>
                </w:pPr>
                <w:r>
                  <w:rPr>
                    <w:b/>
                    <w:sz w:val="20"/>
                    <w:lang w:eastAsia="lt-LT"/>
                  </w:rPr>
                  <w:t>3.</w:t>
                </w:r>
                <w:r>
                  <w:rPr>
                    <w:b/>
                    <w:bCs/>
                    <w:sz w:val="20"/>
                    <w:lang w:eastAsia="lt-LT"/>
                  </w:rPr>
                  <w:t xml:space="preserve"> Energetika</w:t>
                </w:r>
                <w:r>
                  <w:rPr>
                    <w:b/>
                    <w:sz w:val="20"/>
                    <w:lang w:eastAsia="lt-LT"/>
                  </w:rPr>
                  <w:t>: </w:t>
                </w:r>
              </w:p>
              <w:p>
                <w:pPr>
                  <w:jc w:val="both"/>
                  <w:textAlignment w:val="baseline"/>
                  <w:rPr>
                    <w:b/>
                    <w:sz w:val="20"/>
                    <w:lang w:eastAsia="lt-LT"/>
                  </w:rPr>
                </w:pPr>
                <w:r>
                  <w:rPr>
                    <w:b/>
                    <w:color w:val="000000"/>
                    <w:sz w:val="20"/>
                    <w:lang w:eastAsia="lt-LT"/>
                  </w:rPr>
                  <w:t xml:space="preserve">3.1. šiluminių elektrinių ir kitų deginimo įrenginių, įskaitant pramoninius įrenginius elektrai, garui gaminti ar vandeniui šildyti, įrengimas (kai įrenginių vardinė (nominali) šiluminė galia </w:t>
                </w:r>
                <w:r>
                  <w:rPr>
                    <w:b/>
                    <w:sz w:val="20"/>
                    <w:lang w:eastAsia="lt-LT"/>
                  </w:rPr>
                  <w:t xml:space="preserve">– </w:t>
                </w:r>
                <w:r>
                  <w:rPr>
                    <w:b/>
                    <w:color w:val="000000"/>
                    <w:sz w:val="20"/>
                    <w:lang w:eastAsia="lt-LT"/>
                  </w:rPr>
                  <w:t>150 MW ir didesnė); </w:t>
                </w:r>
              </w:p>
              <w:p>
                <w:pPr>
                  <w:jc w:val="both"/>
                  <w:textAlignment w:val="baseline"/>
                  <w:rPr>
                    <w:b/>
                    <w:sz w:val="20"/>
                    <w:lang w:eastAsia="lt-LT"/>
                  </w:rPr>
                </w:pPr>
                <w:r>
                  <w:rPr>
                    <w:b/>
                    <w:color w:val="000000"/>
                    <w:sz w:val="20"/>
                    <w:lang w:eastAsia="lt-LT"/>
                  </w:rPr>
                  <w:t>3.2. atominių elektrinių ar kitų branduolinių reaktorių įrengimas ir tokių elektrinių ar reaktorių išmontavimas</w:t>
                </w:r>
                <w:r>
                  <w:rPr>
                    <w:b/>
                    <w:bCs/>
                    <w:color w:val="000000"/>
                    <w:sz w:val="20"/>
                    <w:lang w:eastAsia="lt-LT"/>
                  </w:rPr>
                  <w:t xml:space="preserve"> </w:t>
                </w:r>
                <w:r>
                  <w:rPr>
                    <w:b/>
                    <w:color w:val="000000"/>
                    <w:sz w:val="20"/>
                    <w:lang w:eastAsia="lt-LT"/>
                  </w:rPr>
                  <w:t xml:space="preserve">ar eksploatavimo nutraukimas (išskyrus tyrimo įrenginius reprodukuojamoms ir skylančioms medžiagoms gaminti ir transformuoti, kai įrenginio didžiausia galia neviršija 1 kW nuolatinės šiluminės apkrovos). </w:t>
                </w:r>
                <w:r>
                  <w:rPr>
                    <w:b/>
                    <w:sz w:val="20"/>
                    <w:lang w:eastAsia="lt-LT"/>
                  </w:rPr>
                  <w:t>Atominės elektrinės ar kiti branduoliniai reaktoriai nebepriskiriami nurodytos  rūšies įrenginiams, kai branduolinis kuras ir kitos radionuklidais užterštos dalys visam laikui pašalinamos iš įrenginio vietos</w:t>
                </w:r>
                <w:r>
                  <w:rPr>
                    <w:b/>
                    <w:color w:val="000000"/>
                    <w:sz w:val="20"/>
                    <w:lang w:eastAsia="lt-LT"/>
                  </w:rPr>
                  <w:t>; </w:t>
                </w:r>
              </w:p>
              <w:p>
                <w:pPr>
                  <w:jc w:val="both"/>
                  <w:textAlignment w:val="baseline"/>
                  <w:rPr>
                    <w:b/>
                    <w:sz w:val="20"/>
                    <w:lang w:eastAsia="lt-LT"/>
                  </w:rPr>
                </w:pPr>
                <w:r>
                  <w:rPr>
                    <w:b/>
                    <w:color w:val="000000"/>
                    <w:sz w:val="20"/>
                    <w:lang w:eastAsia="lt-LT"/>
                  </w:rPr>
                  <w:t xml:space="preserve">3.3. </w:t>
                </w:r>
                <w:r>
                  <w:rPr>
                    <w:b/>
                    <w:sz w:val="20"/>
                    <w:lang w:eastAsia="lt-LT"/>
                  </w:rPr>
                  <w:t>apšvitinto</w:t>
                </w:r>
                <w:r>
                  <w:rPr>
                    <w:b/>
                    <w:bCs/>
                    <w:sz w:val="20"/>
                    <w:lang w:eastAsia="lt-LT"/>
                  </w:rPr>
                  <w:t xml:space="preserve"> </w:t>
                </w:r>
                <w:r>
                  <w:rPr>
                    <w:b/>
                    <w:color w:val="000000"/>
                    <w:sz w:val="20"/>
                    <w:lang w:eastAsia="lt-LT"/>
                  </w:rPr>
                  <w:t>branduolinio kuro perdirbimas; </w:t>
                </w:r>
              </w:p>
              <w:p>
                <w:pPr>
                  <w:jc w:val="both"/>
                  <w:textAlignment w:val="baseline"/>
                  <w:rPr>
                    <w:b/>
                    <w:sz w:val="20"/>
                    <w:lang w:eastAsia="lt-LT"/>
                  </w:rPr>
                </w:pPr>
                <w:r>
                  <w:rPr>
                    <w:b/>
                    <w:color w:val="000000"/>
                    <w:sz w:val="20"/>
                    <w:lang w:eastAsia="lt-LT"/>
                  </w:rPr>
                  <w:t>3.4. branduolinio kuro gamyba ir sodrinimas; </w:t>
                </w:r>
              </w:p>
              <w:p>
                <w:pPr>
                  <w:jc w:val="both"/>
                  <w:textAlignment w:val="baseline"/>
                  <w:rPr>
                    <w:b/>
                    <w:sz w:val="20"/>
                    <w:lang w:eastAsia="lt-LT"/>
                  </w:rPr>
                </w:pPr>
                <w:r>
                  <w:rPr>
                    <w:b/>
                    <w:color w:val="000000"/>
                    <w:sz w:val="20"/>
                    <w:lang w:eastAsia="lt-LT"/>
                  </w:rPr>
                  <w:t>3.5. apšvitinto branduolinio kuro ar didelio aktyvumo radioaktyviųjų atliekų apdorojimas; </w:t>
                </w:r>
              </w:p>
              <w:p>
                <w:pPr>
                  <w:jc w:val="both"/>
                  <w:textAlignment w:val="baseline"/>
                  <w:rPr>
                    <w:b/>
                    <w:sz w:val="20"/>
                    <w:lang w:eastAsia="lt-LT"/>
                  </w:rPr>
                </w:pPr>
                <w:r>
                  <w:rPr>
                    <w:b/>
                    <w:color w:val="000000"/>
                    <w:sz w:val="20"/>
                    <w:lang w:eastAsia="lt-LT"/>
                  </w:rPr>
                  <w:t>3.6. apšvitinto branduolinio kuro dėjimas į atliekyną; </w:t>
                </w:r>
              </w:p>
              <w:p>
                <w:pPr>
                  <w:jc w:val="both"/>
                  <w:textAlignment w:val="baseline"/>
                  <w:rPr>
                    <w:b/>
                    <w:sz w:val="20"/>
                    <w:lang w:eastAsia="lt-LT"/>
                  </w:rPr>
                </w:pPr>
                <w:r>
                  <w:rPr>
                    <w:b/>
                    <w:color w:val="000000"/>
                    <w:sz w:val="20"/>
                    <w:lang w:eastAsia="lt-LT"/>
                  </w:rPr>
                  <w:t>3.7. radioaktyviųjų atliekų dėjimas į atliekyną;  </w:t>
                </w:r>
              </w:p>
              <w:p>
                <w:pPr>
                  <w:jc w:val="both"/>
                  <w:textAlignment w:val="baseline"/>
                  <w:rPr>
                    <w:b/>
                    <w:sz w:val="20"/>
                    <w:lang w:eastAsia="lt-LT"/>
                  </w:rPr>
                </w:pPr>
                <w:r>
                  <w:rPr>
                    <w:b/>
                    <w:color w:val="000000"/>
                    <w:sz w:val="20"/>
                    <w:lang w:eastAsia="lt-LT"/>
                  </w:rPr>
                  <w:t>3.8. apšvitinto branduolinio kuro ar radioaktyviųjų atliekų saugojimas (jei saugojimas trunka ne ilgiau nei 10 metų) kitoje nei jų atsiradimo aikštelėje;  </w:t>
                </w:r>
              </w:p>
              <w:p>
                <w:pPr>
                  <w:jc w:val="both"/>
                  <w:textAlignment w:val="baseline"/>
                  <w:rPr>
                    <w:b/>
                    <w:sz w:val="20"/>
                    <w:lang w:eastAsia="lt-LT"/>
                  </w:rPr>
                </w:pPr>
                <w:r>
                  <w:rPr>
                    <w:b/>
                    <w:sz w:val="20"/>
                    <w:lang w:eastAsia="lt-LT"/>
                  </w:rPr>
                  <w:t xml:space="preserve">3.9. </w:t>
                </w:r>
                <w:r>
                  <w:rPr>
                    <w:b/>
                    <w:color w:val="000000"/>
                    <w:sz w:val="20"/>
                    <w:lang w:eastAsia="lt-LT"/>
                  </w:rPr>
                  <w:t>radioaktyviųjų atliekų apdorojimas, naudojimas, saugojimas ir šalinimas, įskaitant šių įrenginių eksploatavimo nutraukimą, išskyrus veiklą nurodytą šio priedo 3.5, 3.7 ir 3.8 papunkčiuose; </w:t>
                </w:r>
              </w:p>
              <w:p>
                <w:pPr>
                  <w:jc w:val="both"/>
                  <w:textAlignment w:val="baseline"/>
                  <w:rPr>
                    <w:b/>
                    <w:sz w:val="20"/>
                    <w:lang w:eastAsia="lt-LT"/>
                  </w:rPr>
                </w:pPr>
                <w:r>
                  <w:rPr>
                    <w:b/>
                    <w:color w:val="000000"/>
                    <w:sz w:val="20"/>
                    <w:lang w:eastAsia="lt-LT"/>
                  </w:rPr>
                  <w:t xml:space="preserve">3.10. anglių arba bituminio skalūno dujinimas ar suskystinimas (kai įrenginių pajėgumas </w:t>
                </w:r>
                <w:r>
                  <w:rPr>
                    <w:b/>
                    <w:sz w:val="20"/>
                    <w:lang w:eastAsia="lt-LT"/>
                  </w:rPr>
                  <w:t xml:space="preserve">– </w:t>
                </w:r>
                <w:r>
                  <w:rPr>
                    <w:b/>
                    <w:color w:val="000000"/>
                    <w:sz w:val="20"/>
                    <w:lang w:eastAsia="lt-LT"/>
                  </w:rPr>
                  <w:t>500 ir daugiau tonų per parą). </w:t>
                </w:r>
              </w:p>
              <w:p>
                <w:pPr>
                  <w:jc w:val="both"/>
                  <w:textAlignment w:val="baseline"/>
                  <w:rPr>
                    <w:b/>
                    <w:sz w:val="20"/>
                    <w:lang w:eastAsia="lt-LT"/>
                  </w:rPr>
                </w:pPr>
                <w:r>
                  <w:rPr>
                    <w:b/>
                    <w:sz w:val="20"/>
                    <w:lang w:eastAsia="lt-LT"/>
                  </w:rPr>
                  <w:t xml:space="preserve">4. </w:t>
                </w:r>
                <w:r>
                  <w:rPr>
                    <w:b/>
                    <w:bCs/>
                    <w:sz w:val="20"/>
                    <w:lang w:eastAsia="lt-LT"/>
                  </w:rPr>
                  <w:t>Metalų gamybos ir perdirbimo pramonė</w:t>
                </w:r>
                <w:r>
                  <w:rPr>
                    <w:b/>
                    <w:sz w:val="20"/>
                    <w:lang w:eastAsia="lt-LT"/>
                  </w:rPr>
                  <w:t>: </w:t>
                </w:r>
              </w:p>
              <w:p>
                <w:pPr>
                  <w:jc w:val="both"/>
                  <w:textAlignment w:val="baseline"/>
                  <w:rPr>
                    <w:b/>
                    <w:sz w:val="20"/>
                    <w:lang w:eastAsia="lt-LT"/>
                  </w:rPr>
                </w:pPr>
                <w:r>
                  <w:rPr>
                    <w:b/>
                    <w:color w:val="000000"/>
                    <w:sz w:val="20"/>
                    <w:lang w:eastAsia="lt-LT"/>
                  </w:rPr>
                  <w:t>4.1. plieno ir ketaus pirminis lydymas; </w:t>
                </w:r>
              </w:p>
              <w:p>
                <w:pPr>
                  <w:jc w:val="both"/>
                  <w:textAlignment w:val="baseline"/>
                  <w:rPr>
                    <w:b/>
                    <w:sz w:val="20"/>
                    <w:lang w:eastAsia="lt-LT"/>
                  </w:rPr>
                </w:pPr>
                <w:r>
                  <w:rPr>
                    <w:b/>
                    <w:color w:val="000000"/>
                    <w:sz w:val="20"/>
                    <w:lang w:eastAsia="lt-LT"/>
                  </w:rPr>
                  <w:t>4.2. spalvotųjų metalų gamyba iš rūdų, koncentratų ar antrinių žaliavų cheminiais, metalurgijos ar elektrolizės būdais. </w:t>
                </w:r>
              </w:p>
              <w:p>
                <w:pPr>
                  <w:jc w:val="both"/>
                  <w:textAlignment w:val="baseline"/>
                  <w:rPr>
                    <w:b/>
                    <w:sz w:val="20"/>
                    <w:lang w:eastAsia="lt-LT"/>
                  </w:rPr>
                </w:pPr>
                <w:r>
                  <w:rPr>
                    <w:b/>
                    <w:sz w:val="20"/>
                    <w:lang w:eastAsia="lt-LT"/>
                  </w:rPr>
                  <w:t xml:space="preserve">5. </w:t>
                </w:r>
                <w:r>
                  <w:rPr>
                    <w:b/>
                    <w:bCs/>
                    <w:sz w:val="20"/>
                    <w:lang w:eastAsia="lt-LT"/>
                  </w:rPr>
                  <w:t>Mineralinių statybinių medžiagų pramonė</w:t>
                </w:r>
                <w:r>
                  <w:rPr>
                    <w:b/>
                    <w:sz w:val="20"/>
                    <w:lang w:eastAsia="lt-LT"/>
                  </w:rPr>
                  <w:t>: </w:t>
                </w:r>
              </w:p>
              <w:p>
                <w:pPr>
                  <w:jc w:val="both"/>
                  <w:textAlignment w:val="baseline"/>
                  <w:rPr>
                    <w:b/>
                    <w:sz w:val="20"/>
                    <w:lang w:eastAsia="lt-LT"/>
                  </w:rPr>
                </w:pPr>
                <w:r>
                  <w:rPr>
                    <w:b/>
                    <w:color w:val="000000"/>
                    <w:sz w:val="20"/>
                    <w:lang w:eastAsia="lt-LT"/>
                  </w:rPr>
                  <w:t xml:space="preserve">Asbesto gavyba ar perdirbimas, asbesto turinčių gaminių gamyba: asbesto-cemento gaminių gamyba, kai pagaminama daugiau kaip 20 000 tonų per metus; frikcinių medžiagų gamyba, </w:t>
                </w:r>
                <w:r>
                  <w:rPr>
                    <w:b/>
                    <w:sz w:val="20"/>
                    <w:lang w:eastAsia="lt-LT"/>
                  </w:rPr>
                  <w:t xml:space="preserve">– </w:t>
                </w:r>
                <w:r>
                  <w:rPr>
                    <w:b/>
                    <w:color w:val="000000"/>
                    <w:sz w:val="20"/>
                    <w:lang w:eastAsia="lt-LT"/>
                  </w:rPr>
                  <w:t xml:space="preserve">kai per metus pagaminama daugiau kaip 50 tonų; kitais asbesto perdirbimo ar panaudojimo atvejais, </w:t>
                </w:r>
                <w:r>
                  <w:rPr>
                    <w:b/>
                    <w:sz w:val="20"/>
                    <w:lang w:eastAsia="lt-LT"/>
                  </w:rPr>
                  <w:t xml:space="preserve">– </w:t>
                </w:r>
                <w:r>
                  <w:rPr>
                    <w:b/>
                    <w:color w:val="000000"/>
                    <w:sz w:val="20"/>
                    <w:lang w:eastAsia="lt-LT"/>
                  </w:rPr>
                  <w:t>kai per metus naudojama daugiau kaip 200 tonų asbesto. </w:t>
                </w:r>
              </w:p>
              <w:p>
                <w:pPr>
                  <w:jc w:val="both"/>
                  <w:textAlignment w:val="baseline"/>
                  <w:rPr>
                    <w:b/>
                    <w:sz w:val="20"/>
                    <w:lang w:eastAsia="lt-LT"/>
                  </w:rPr>
                </w:pPr>
                <w:r>
                  <w:rPr>
                    <w:b/>
                    <w:sz w:val="20"/>
                    <w:lang w:eastAsia="lt-LT"/>
                  </w:rPr>
                  <w:t xml:space="preserve">6. </w:t>
                </w:r>
                <w:r>
                  <w:rPr>
                    <w:b/>
                    <w:bCs/>
                    <w:sz w:val="20"/>
                    <w:lang w:eastAsia="lt-LT"/>
                  </w:rPr>
                  <w:t>Chemijos pramonė</w:t>
                </w:r>
                <w:r>
                  <w:rPr>
                    <w:b/>
                    <w:sz w:val="20"/>
                    <w:lang w:eastAsia="lt-LT"/>
                  </w:rPr>
                  <w:t>: </w:t>
                </w:r>
              </w:p>
              <w:p>
                <w:pPr>
                  <w:jc w:val="both"/>
                  <w:textAlignment w:val="baseline"/>
                  <w:rPr>
                    <w:b/>
                    <w:sz w:val="20"/>
                    <w:lang w:eastAsia="lt-LT"/>
                  </w:rPr>
                </w:pPr>
                <w:r>
                  <w:rPr>
                    <w:b/>
                    <w:sz w:val="20"/>
                    <w:lang w:eastAsia="lt-LT"/>
                  </w:rPr>
                  <w:t>6.1. organinių cheminių medžiagų (įskaitant angliavandenilių (linijinių arba ciklinių; sočiųjų arba nesočiųjų, alifatinių arba aromatinių); deguonies turinčių organinių junginių: alkoholio, aldehidų, ketonų, karboksirūgščių, esterių ir jų mišinių, acetatų, eterių, epoksidinių dervų; sieros turinčių organinių junginių; azoto turinčių organinių junginių: aminų, amidų, nitrozo ir nitro junginių arba nitratų, nitrilų, cianatų, izociantų; fosforo turinčių organinių junginių; halogenintų angliavandenilių; metalo organinių junginių; plastinių medžiagų (polimerų, sintetinio pluošto ir pluošto, turinčio celiuliozės); sintetinio kaučiuko, dažiklių ir pigmentų; paviršinio aktyvumo agentų ir medžiagų) gamyba pramoniniu mastu naudojant cheminės konversijos procesus; </w:t>
                </w:r>
              </w:p>
              <w:p>
                <w:pPr>
                  <w:jc w:val="both"/>
                  <w:textAlignment w:val="baseline"/>
                  <w:rPr>
                    <w:b/>
                    <w:sz w:val="20"/>
                    <w:lang w:eastAsia="lt-LT"/>
                  </w:rPr>
                </w:pPr>
                <w:r>
                  <w:rPr>
                    <w:b/>
                    <w:color w:val="000000"/>
                    <w:sz w:val="20"/>
                    <w:lang w:eastAsia="lt-LT"/>
                  </w:rPr>
                  <w:t xml:space="preserve">6.2. </w:t>
                </w:r>
                <w:r>
                  <w:rPr>
                    <w:b/>
                    <w:sz w:val="20"/>
                    <w:lang w:eastAsia="lt-LT"/>
                  </w:rPr>
                  <w:t>neorganinių cheminių medžiagų (įskaitant dujų, tokių kaip amoniakas, chloras arba chloro vandenilis, fluoras arba fluoro vandenilis, anglies oksidai, sieros turintys junginiai, azoto oksidai, vandenilis, sieros dioksidas, karbonilo chloridas (fosgenas), rūgščių, tokių kaip chromo rūgštis, fluoro vandenilio rūgštis, fosforo rūgštis, azoto rūgštis, druskos rūgštis, sieros rūgštis, oleumas, sulfitinės rūgštys; amonio hidroksido, kalio hidroksido ir natrio hidroksido; amonio chlorido, kalio chlorato, kalio karbonato, natrio karbonato, perborato, sidabro nitrato; nemetalų, metalų oksidų ar kitų neorganinių junginių, tokių kaip kalcio karbidas, silicis, silicio karbidas) gamyba pramoniniu mastu naudojant cheminės konversijos procesus; </w:t>
                </w:r>
              </w:p>
              <w:p>
                <w:pPr>
                  <w:jc w:val="both"/>
                  <w:textAlignment w:val="baseline"/>
                  <w:rPr>
                    <w:b/>
                    <w:sz w:val="20"/>
                    <w:lang w:eastAsia="lt-LT"/>
                  </w:rPr>
                </w:pPr>
                <w:r>
                  <w:rPr>
                    <w:b/>
                    <w:color w:val="000000"/>
                    <w:sz w:val="20"/>
                    <w:lang w:eastAsia="lt-LT"/>
                  </w:rPr>
                  <w:t xml:space="preserve">6.3. </w:t>
                </w:r>
                <w:r>
                  <w:rPr>
                    <w:b/>
                    <w:sz w:val="20"/>
                    <w:lang w:eastAsia="lt-LT"/>
                  </w:rPr>
                  <w:t>fosforo, azoto ar kalio trąšų (įskaitant kompleksines trąšas) gamyba ir (ar) kitų agrocheminių medžiagų gamyba pramoniniu mastu naudojant cheminės konversijos procesus; </w:t>
                </w:r>
              </w:p>
              <w:p>
                <w:pPr>
                  <w:jc w:val="both"/>
                  <w:textAlignment w:val="baseline"/>
                  <w:rPr>
                    <w:b/>
                    <w:sz w:val="20"/>
                    <w:lang w:eastAsia="lt-LT"/>
                  </w:rPr>
                </w:pPr>
                <w:r>
                  <w:rPr>
                    <w:b/>
                    <w:sz w:val="20"/>
                    <w:lang w:eastAsia="lt-LT"/>
                  </w:rPr>
                  <w:t xml:space="preserve">6.4. </w:t>
                </w:r>
                <w:r>
                  <w:rPr>
                    <w:b/>
                    <w:color w:val="000000"/>
                    <w:sz w:val="20"/>
                    <w:lang w:eastAsia="lt-LT"/>
                  </w:rPr>
                  <w:t>cheminių augalų apsaugos produktų ir</w:t>
                </w:r>
                <w:r>
                  <w:rPr>
                    <w:b/>
                    <w:sz w:val="20"/>
                    <w:lang w:eastAsia="lt-LT"/>
                  </w:rPr>
                  <w:t xml:space="preserve"> biocidų gamyba pramoniniu mastu naudojant cheminės konversijos procesus; </w:t>
                </w:r>
              </w:p>
              <w:p>
                <w:pPr>
                  <w:jc w:val="both"/>
                  <w:textAlignment w:val="baseline"/>
                  <w:rPr>
                    <w:b/>
                    <w:sz w:val="20"/>
                    <w:lang w:eastAsia="lt-LT"/>
                  </w:rPr>
                </w:pPr>
                <w:r>
                  <w:rPr>
                    <w:b/>
                    <w:color w:val="000000"/>
                    <w:sz w:val="20"/>
                    <w:lang w:eastAsia="lt-LT"/>
                  </w:rPr>
                  <w:t xml:space="preserve">6.5. </w:t>
                </w:r>
                <w:r>
                  <w:rPr>
                    <w:b/>
                    <w:sz w:val="20"/>
                    <w:lang w:eastAsia="lt-LT"/>
                  </w:rPr>
                  <w:t>farmacinių produktų gamyba pramoniniu mastu taikant cheminius ar biologinius procesus; </w:t>
                </w:r>
              </w:p>
              <w:p>
                <w:pPr>
                  <w:jc w:val="both"/>
                  <w:textAlignment w:val="baseline"/>
                  <w:rPr>
                    <w:b/>
                    <w:sz w:val="20"/>
                    <w:lang w:eastAsia="lt-LT"/>
                  </w:rPr>
                </w:pPr>
                <w:r>
                  <w:rPr>
                    <w:b/>
                    <w:color w:val="000000"/>
                    <w:sz w:val="20"/>
                    <w:lang w:eastAsia="lt-LT"/>
                  </w:rPr>
                  <w:t xml:space="preserve">6.6. naftos, naftos chemijos produktų, cheminių medžiagų ir cheminių mišinių saugojimas saugyklose (kai vienu metu saugoma </w:t>
                </w:r>
                <w:r>
                  <w:rPr>
                    <w:b/>
                    <w:sz w:val="20"/>
                    <w:lang w:eastAsia="lt-LT"/>
                  </w:rPr>
                  <w:t>2</w:t>
                </w:r>
                <w:r>
                  <w:rPr>
                    <w:b/>
                    <w:color w:val="000000"/>
                    <w:sz w:val="20"/>
                    <w:lang w:eastAsia="lt-LT"/>
                  </w:rPr>
                  <w:t>00 000 ir daugiau tonų); </w:t>
                </w:r>
              </w:p>
              <w:p>
                <w:pPr>
                  <w:jc w:val="both"/>
                  <w:textAlignment w:val="baseline"/>
                  <w:rPr>
                    <w:b/>
                    <w:sz w:val="20"/>
                    <w:lang w:eastAsia="lt-LT"/>
                  </w:rPr>
                </w:pPr>
                <w:r>
                  <w:rPr>
                    <w:b/>
                    <w:color w:val="000000"/>
                    <w:sz w:val="20"/>
                    <w:lang w:eastAsia="lt-LT"/>
                  </w:rPr>
                  <w:t>6.7. sprogmenų gamyba. </w:t>
                </w:r>
              </w:p>
              <w:p>
                <w:pPr>
                  <w:jc w:val="both"/>
                  <w:textAlignment w:val="baseline"/>
                  <w:rPr>
                    <w:b/>
                    <w:sz w:val="20"/>
                    <w:lang w:eastAsia="lt-LT"/>
                  </w:rPr>
                </w:pPr>
                <w:r>
                  <w:rPr>
                    <w:b/>
                    <w:color w:val="000000"/>
                    <w:sz w:val="20"/>
                    <w:lang w:eastAsia="lt-LT"/>
                  </w:rPr>
                  <w:t xml:space="preserve">7. </w:t>
                </w:r>
                <w:r>
                  <w:rPr>
                    <w:b/>
                    <w:bCs/>
                    <w:color w:val="000000"/>
                    <w:sz w:val="20"/>
                    <w:lang w:eastAsia="lt-LT"/>
                  </w:rPr>
                  <w:t>Medienos ir popieriaus pramonė</w:t>
                </w:r>
                <w:r>
                  <w:rPr>
                    <w:b/>
                    <w:color w:val="000000"/>
                    <w:sz w:val="20"/>
                    <w:lang w:eastAsia="lt-LT"/>
                  </w:rPr>
                  <w:t>: </w:t>
                </w:r>
              </w:p>
              <w:p>
                <w:pPr>
                  <w:jc w:val="both"/>
                  <w:textAlignment w:val="baseline"/>
                  <w:rPr>
                    <w:b/>
                    <w:sz w:val="20"/>
                    <w:lang w:eastAsia="lt-LT"/>
                  </w:rPr>
                </w:pPr>
                <w:r>
                  <w:rPr>
                    <w:b/>
                    <w:sz w:val="20"/>
                    <w:lang w:eastAsia="lt-LT"/>
                  </w:rPr>
                  <w:t>7.1. popieriaus ar kartono gamyba (kai gamybos pajėgumas – 200 ir daugiau tonų per parą); </w:t>
                </w:r>
              </w:p>
              <w:p>
                <w:pPr>
                  <w:jc w:val="both"/>
                  <w:textAlignment w:val="baseline"/>
                  <w:rPr>
                    <w:b/>
                    <w:sz w:val="20"/>
                    <w:lang w:eastAsia="lt-LT"/>
                  </w:rPr>
                </w:pPr>
                <w:r>
                  <w:rPr>
                    <w:b/>
                    <w:sz w:val="20"/>
                    <w:lang w:eastAsia="lt-LT"/>
                  </w:rPr>
                  <w:t>7.2. medienos masės iš rąstų ar panašios plaušinės žaliavos gamyba. </w:t>
                </w:r>
              </w:p>
              <w:p>
                <w:pPr>
                  <w:jc w:val="both"/>
                  <w:textAlignment w:val="baseline"/>
                  <w:rPr>
                    <w:b/>
                    <w:sz w:val="20"/>
                    <w:lang w:eastAsia="lt-LT"/>
                  </w:rPr>
                </w:pPr>
                <w:r>
                  <w:rPr>
                    <w:b/>
                    <w:sz w:val="20"/>
                    <w:lang w:eastAsia="lt-LT"/>
                  </w:rPr>
                  <w:t xml:space="preserve">8. </w:t>
                </w:r>
                <w:r>
                  <w:rPr>
                    <w:b/>
                    <w:bCs/>
                    <w:sz w:val="20"/>
                    <w:lang w:eastAsia="lt-LT"/>
                  </w:rPr>
                  <w:t>Inžineriniai statiniai</w:t>
                </w:r>
                <w:r>
                  <w:rPr>
                    <w:b/>
                    <w:sz w:val="20"/>
                    <w:lang w:eastAsia="lt-LT"/>
                  </w:rPr>
                  <w:t>: </w:t>
                </w:r>
              </w:p>
              <w:p>
                <w:pPr>
                  <w:jc w:val="both"/>
                  <w:textAlignment w:val="baseline"/>
                  <w:rPr>
                    <w:b/>
                    <w:sz w:val="20"/>
                    <w:lang w:eastAsia="lt-LT"/>
                  </w:rPr>
                </w:pPr>
                <w:r>
                  <w:rPr>
                    <w:b/>
                    <w:color w:val="000000"/>
                    <w:sz w:val="20"/>
                    <w:lang w:eastAsia="lt-LT"/>
                  </w:rPr>
                  <w:t xml:space="preserve">8.1. jūrų uostų (įskaitant pakrovimo ir iškrovimo terminalus) ar prieplaukų, įskaitant pakrovimo ir (ar) iškrovimo terminalų įrengimą, įrengimas laivams, kurių keliamoji galia </w:t>
                </w:r>
                <w:r>
                  <w:rPr>
                    <w:b/>
                    <w:sz w:val="20"/>
                    <w:lang w:eastAsia="lt-LT"/>
                  </w:rPr>
                  <w:t xml:space="preserve">– </w:t>
                </w:r>
                <w:r>
                  <w:rPr>
                    <w:b/>
                    <w:color w:val="000000"/>
                    <w:sz w:val="20"/>
                    <w:lang w:eastAsia="lt-LT"/>
                  </w:rPr>
                  <w:t>1 350 ir daugiau tonų, išskyrus keltų prieplaukas; </w:t>
                </w:r>
              </w:p>
              <w:p>
                <w:pPr>
                  <w:jc w:val="both"/>
                  <w:textAlignment w:val="baseline"/>
                  <w:rPr>
                    <w:b/>
                    <w:sz w:val="20"/>
                    <w:lang w:eastAsia="lt-LT"/>
                  </w:rPr>
                </w:pPr>
                <w:r>
                  <w:rPr>
                    <w:b/>
                    <w:color w:val="000000"/>
                    <w:sz w:val="20"/>
                    <w:lang w:eastAsia="lt-LT"/>
                  </w:rPr>
                  <w:t xml:space="preserve">8.2. vidaus vandenų kelių, uostų (įskaitant pakrovimo ar iškrovimo terminalus) įrengimas (laivams, kurių keliamoji galia </w:t>
                </w:r>
                <w:r>
                  <w:rPr>
                    <w:b/>
                    <w:sz w:val="20"/>
                    <w:lang w:eastAsia="lt-LT"/>
                  </w:rPr>
                  <w:t xml:space="preserve">– </w:t>
                </w:r>
                <w:r>
                  <w:rPr>
                    <w:b/>
                    <w:color w:val="000000"/>
                    <w:sz w:val="20"/>
                    <w:lang w:eastAsia="lt-LT"/>
                  </w:rPr>
                  <w:t>1 350 ir daugiau tonų); </w:t>
                </w:r>
              </w:p>
              <w:p>
                <w:pPr>
                  <w:jc w:val="both"/>
                  <w:textAlignment w:val="baseline"/>
                  <w:rPr>
                    <w:b/>
                    <w:sz w:val="20"/>
                    <w:lang w:eastAsia="lt-LT"/>
                  </w:rPr>
                </w:pPr>
                <w:r>
                  <w:rPr>
                    <w:b/>
                    <w:color w:val="000000"/>
                    <w:sz w:val="20"/>
                    <w:lang w:eastAsia="lt-LT"/>
                  </w:rPr>
                  <w:t>8.3. magistralinių ar krašto automobilių kelių tiesimas; </w:t>
                </w:r>
              </w:p>
              <w:p>
                <w:pPr>
                  <w:jc w:val="both"/>
                  <w:textAlignment w:val="baseline"/>
                  <w:rPr>
                    <w:b/>
                    <w:sz w:val="20"/>
                    <w:lang w:eastAsia="lt-LT"/>
                  </w:rPr>
                </w:pPr>
                <w:r>
                  <w:rPr>
                    <w:b/>
                    <w:color w:val="000000"/>
                    <w:sz w:val="20"/>
                    <w:lang w:eastAsia="lt-LT"/>
                  </w:rPr>
                  <w:t>8.4. kelių, turinčių keturias ir daugiau eismo juostų, tiesimas ar kelių, turinčių mažiau negu keturias eismo juostas, rekonstravimas įrengiant keturias ar daugiau eismo juostų turintį kelią (kai tiesiamas ar rekonstruojamas 10 km ar ilgesnis nenutrūkstamas kelio ruožas); </w:t>
                </w:r>
              </w:p>
              <w:p>
                <w:pPr>
                  <w:jc w:val="both"/>
                  <w:textAlignment w:val="baseline"/>
                  <w:rPr>
                    <w:b/>
                    <w:sz w:val="20"/>
                    <w:lang w:eastAsia="lt-LT"/>
                  </w:rPr>
                </w:pPr>
                <w:r>
                  <w:rPr>
                    <w:b/>
                    <w:color w:val="000000"/>
                    <w:sz w:val="20"/>
                    <w:lang w:eastAsia="lt-LT"/>
                  </w:rPr>
                  <w:t>8.5. pagrindinių viešojo naudojimo geležinkelių tiesimas; </w:t>
                </w:r>
              </w:p>
              <w:p>
                <w:pPr>
                  <w:jc w:val="both"/>
                  <w:textAlignment w:val="baseline"/>
                  <w:rPr>
                    <w:b/>
                    <w:sz w:val="20"/>
                    <w:lang w:eastAsia="lt-LT"/>
                  </w:rPr>
                </w:pPr>
                <w:r>
                  <w:rPr>
                    <w:b/>
                    <w:color w:val="000000"/>
                    <w:sz w:val="20"/>
                    <w:lang w:eastAsia="lt-LT"/>
                  </w:rPr>
                  <w:t xml:space="preserve">8.6. oro uostų ar aerodromų įrengimas (kai kilimo ir tūpimo takas </w:t>
                </w:r>
                <w:r>
                  <w:rPr>
                    <w:b/>
                    <w:sz w:val="20"/>
                    <w:lang w:eastAsia="lt-LT"/>
                  </w:rPr>
                  <w:t>–</w:t>
                </w:r>
                <w:r>
                  <w:rPr>
                    <w:b/>
                    <w:bCs/>
                    <w:sz w:val="20"/>
                    <w:lang w:eastAsia="lt-LT"/>
                  </w:rPr>
                  <w:t xml:space="preserve"> </w:t>
                </w:r>
                <w:r>
                  <w:rPr>
                    <w:b/>
                    <w:color w:val="000000"/>
                    <w:sz w:val="20"/>
                    <w:lang w:eastAsia="lt-LT"/>
                  </w:rPr>
                  <w:t>2 100 m arba ilgesnis); </w:t>
                </w:r>
              </w:p>
              <w:p>
                <w:pPr>
                  <w:jc w:val="both"/>
                  <w:textAlignment w:val="baseline"/>
                  <w:rPr>
                    <w:b/>
                    <w:sz w:val="20"/>
                    <w:lang w:eastAsia="lt-LT"/>
                  </w:rPr>
                </w:pPr>
                <w:r>
                  <w:rPr>
                    <w:b/>
                    <w:color w:val="000000"/>
                    <w:sz w:val="20"/>
                    <w:lang w:eastAsia="lt-LT"/>
                  </w:rPr>
                  <w:t xml:space="preserve">8.7. dujų, naftos ar cheminių medžiagų tiekimo vamzdynų tiesimas (kai vamzdžio skersmuo </w:t>
                </w:r>
                <w:r>
                  <w:rPr>
                    <w:b/>
                    <w:sz w:val="20"/>
                    <w:lang w:eastAsia="lt-LT"/>
                  </w:rPr>
                  <w:t>– 8</w:t>
                </w:r>
                <w:r>
                  <w:rPr>
                    <w:b/>
                    <w:color w:val="000000"/>
                    <w:sz w:val="20"/>
                    <w:lang w:eastAsia="lt-LT"/>
                  </w:rPr>
                  <w:t xml:space="preserve">00 ir daugiau mm, o ilgis </w:t>
                </w:r>
                <w:r>
                  <w:rPr>
                    <w:b/>
                    <w:sz w:val="20"/>
                    <w:lang w:eastAsia="lt-LT"/>
                  </w:rPr>
                  <w:t xml:space="preserve">– </w:t>
                </w:r>
                <w:r>
                  <w:rPr>
                    <w:b/>
                    <w:color w:val="000000"/>
                    <w:sz w:val="20"/>
                    <w:lang w:eastAsia="lt-LT"/>
                  </w:rPr>
                  <w:t>40 ir daugiau km); </w:t>
                </w:r>
              </w:p>
              <w:p>
                <w:pPr>
                  <w:jc w:val="both"/>
                  <w:textAlignment w:val="baseline"/>
                  <w:rPr>
                    <w:b/>
                    <w:sz w:val="20"/>
                    <w:lang w:eastAsia="lt-LT"/>
                  </w:rPr>
                </w:pPr>
                <w:r>
                  <w:rPr>
                    <w:b/>
                    <w:color w:val="000000"/>
                    <w:sz w:val="20"/>
                    <w:lang w:eastAsia="lt-LT"/>
                  </w:rPr>
                  <w:t xml:space="preserve">8.8. antžeminių elektros perdavimo linijų tiesimas (kai įtampa </w:t>
                </w:r>
                <w:r>
                  <w:rPr>
                    <w:b/>
                    <w:sz w:val="20"/>
                    <w:lang w:eastAsia="lt-LT"/>
                  </w:rPr>
                  <w:t>– 22</w:t>
                </w:r>
                <w:r>
                  <w:rPr>
                    <w:b/>
                    <w:color w:val="000000"/>
                    <w:sz w:val="20"/>
                    <w:lang w:eastAsia="lt-LT"/>
                  </w:rPr>
                  <w:t xml:space="preserve">0 kV ar aukštesnė, o linijos ilgis </w:t>
                </w:r>
                <w:r>
                  <w:rPr>
                    <w:b/>
                    <w:sz w:val="20"/>
                    <w:lang w:eastAsia="lt-LT"/>
                  </w:rPr>
                  <w:t xml:space="preserve">– </w:t>
                </w:r>
                <w:r>
                  <w:rPr>
                    <w:b/>
                    <w:color w:val="000000"/>
                    <w:sz w:val="20"/>
                    <w:lang w:eastAsia="lt-LT"/>
                  </w:rPr>
                  <w:t>15 ir daugiau km); </w:t>
                </w:r>
              </w:p>
              <w:p>
                <w:pPr>
                  <w:jc w:val="both"/>
                  <w:textAlignment w:val="baseline"/>
                  <w:rPr>
                    <w:b/>
                    <w:sz w:val="20"/>
                    <w:lang w:eastAsia="lt-LT"/>
                  </w:rPr>
                </w:pPr>
                <w:r>
                  <w:rPr>
                    <w:b/>
                    <w:sz w:val="20"/>
                    <w:lang w:eastAsia="lt-LT"/>
                  </w:rPr>
                  <w:t>8.9. geologiniam saugojimui skirto anglies dioksido (CO</w:t>
                </w:r>
                <w:r>
                  <w:rPr>
                    <w:b/>
                    <w:sz w:val="20"/>
                    <w:vertAlign w:val="subscript"/>
                    <w:lang w:eastAsia="lt-LT"/>
                  </w:rPr>
                  <w:t>2</w:t>
                </w:r>
                <w:r>
                  <w:rPr>
                    <w:b/>
                    <w:sz w:val="20"/>
                    <w:lang w:eastAsia="lt-LT"/>
                  </w:rPr>
                  <w:t>) tiekimo vamzdynų tiesimas (kai vamzdžio skersmuo – 8</w:t>
                </w:r>
                <w:r>
                  <w:rPr>
                    <w:b/>
                    <w:color w:val="000000"/>
                    <w:sz w:val="20"/>
                    <w:lang w:eastAsia="lt-LT"/>
                  </w:rPr>
                  <w:t>00 ir daugiau mm</w:t>
                </w:r>
                <w:r>
                  <w:rPr>
                    <w:b/>
                    <w:sz w:val="20"/>
                    <w:lang w:eastAsia="lt-LT"/>
                  </w:rPr>
                  <w:t xml:space="preserve">, o ilgis – </w:t>
                </w:r>
                <w:r>
                  <w:rPr>
                    <w:b/>
                    <w:color w:val="000000"/>
                    <w:sz w:val="20"/>
                    <w:lang w:eastAsia="lt-LT"/>
                  </w:rPr>
                  <w:t xml:space="preserve">40 ir daugiau </w:t>
                </w:r>
                <w:r>
                  <w:rPr>
                    <w:b/>
                    <w:sz w:val="20"/>
                    <w:lang w:eastAsia="lt-LT"/>
                  </w:rPr>
                  <w:t>km), įskaitant funkciškai susijusių slėginių įrenginių įrengimą. </w:t>
                </w:r>
              </w:p>
              <w:p>
                <w:pPr>
                  <w:jc w:val="both"/>
                  <w:textAlignment w:val="baseline"/>
                  <w:rPr>
                    <w:b/>
                    <w:sz w:val="20"/>
                    <w:lang w:eastAsia="lt-LT"/>
                  </w:rPr>
                </w:pPr>
                <w:r>
                  <w:rPr>
                    <w:b/>
                    <w:sz w:val="20"/>
                    <w:lang w:eastAsia="lt-LT"/>
                  </w:rPr>
                  <w:t xml:space="preserve">9. </w:t>
                </w:r>
                <w:r>
                  <w:rPr>
                    <w:b/>
                    <w:bCs/>
                    <w:sz w:val="20"/>
                    <w:lang w:eastAsia="lt-LT"/>
                  </w:rPr>
                  <w:t>Atliekų tvarkymas</w:t>
                </w:r>
                <w:r>
                  <w:rPr>
                    <w:b/>
                    <w:color w:val="000000"/>
                    <w:sz w:val="20"/>
                    <w:lang w:eastAsia="lt-LT"/>
                  </w:rPr>
                  <w:t>: </w:t>
                </w:r>
              </w:p>
              <w:p>
                <w:pPr>
                  <w:jc w:val="both"/>
                  <w:textAlignment w:val="baseline"/>
                  <w:rPr>
                    <w:b/>
                    <w:sz w:val="20"/>
                    <w:lang w:eastAsia="lt-LT"/>
                  </w:rPr>
                </w:pPr>
                <w:r>
                  <w:rPr>
                    <w:b/>
                    <w:color w:val="000000"/>
                    <w:sz w:val="20"/>
                    <w:lang w:eastAsia="lt-LT"/>
                  </w:rPr>
                  <w:t>9.1. pavojingųjų atliekų šalinimas ar naudojimas jas apdorojant terminiais būdais, tokiais kaip deginimas, pirolizė, dujofikavimas, degazacija, plazminis procesas, ar derinant kuriuos nors būdus; </w:t>
                </w:r>
              </w:p>
              <w:p>
                <w:pPr>
                  <w:jc w:val="both"/>
                  <w:textAlignment w:val="baseline"/>
                  <w:rPr>
                    <w:b/>
                    <w:sz w:val="20"/>
                    <w:lang w:eastAsia="lt-LT"/>
                  </w:rPr>
                </w:pPr>
                <w:r>
                  <w:rPr>
                    <w:b/>
                    <w:sz w:val="20"/>
                    <w:lang w:eastAsia="lt-LT"/>
                  </w:rPr>
                  <w:t>9.2. pavojingųjų atliekų šalinimas ar naudojimas jas apdorojant cheminiu būdu; </w:t>
                </w:r>
              </w:p>
              <w:p>
                <w:pPr>
                  <w:jc w:val="both"/>
                  <w:textAlignment w:val="baseline"/>
                  <w:rPr>
                    <w:b/>
                    <w:sz w:val="20"/>
                    <w:lang w:eastAsia="lt-LT"/>
                  </w:rPr>
                </w:pPr>
                <w:r>
                  <w:rPr>
                    <w:b/>
                    <w:sz w:val="20"/>
                    <w:lang w:eastAsia="lt-LT"/>
                  </w:rPr>
                  <w:t>9.3. pavojingųjų atliekų šalinimas pavojingų atliekų sąvartyne; </w:t>
                </w:r>
              </w:p>
              <w:p>
                <w:pPr>
                  <w:jc w:val="both"/>
                  <w:textAlignment w:val="baseline"/>
                  <w:rPr>
                    <w:b/>
                    <w:sz w:val="20"/>
                    <w:lang w:eastAsia="lt-LT"/>
                  </w:rPr>
                </w:pPr>
                <w:r>
                  <w:rPr>
                    <w:b/>
                    <w:color w:val="000000"/>
                    <w:sz w:val="20"/>
                    <w:lang w:eastAsia="lt-LT"/>
                  </w:rPr>
                  <w:t>9.4. nepavojingųjų atliekų šalinimas ar naudojimas jas apdorojant terminiais būdais, tokiais kaip deginimas, pirolizė, dujofikavimas, degazacija, plazminis procesas, ar derinant kuriuos nors būdus įrenginiuose, kurių pajėgumas 100 ir daugiau tonų per parą; </w:t>
                </w:r>
              </w:p>
              <w:p>
                <w:pPr>
                  <w:jc w:val="both"/>
                  <w:textAlignment w:val="baseline"/>
                  <w:rPr>
                    <w:b/>
                    <w:sz w:val="20"/>
                    <w:lang w:eastAsia="lt-LT"/>
                  </w:rPr>
                </w:pPr>
                <w:r>
                  <w:rPr>
                    <w:b/>
                    <w:sz w:val="20"/>
                    <w:lang w:eastAsia="lt-LT"/>
                  </w:rPr>
                  <w:t>9.5. nepavojingųjų atliekų naudojimas ar šalinimas jas apdorojant cheminiu būdu įrenginiuose, kurių pajėgumas 100 ir daugiau tonų per parą. </w:t>
                </w:r>
              </w:p>
              <w:p>
                <w:pPr>
                  <w:jc w:val="both"/>
                  <w:textAlignment w:val="baseline"/>
                  <w:rPr>
                    <w:b/>
                    <w:sz w:val="20"/>
                    <w:lang w:eastAsia="lt-LT"/>
                  </w:rPr>
                </w:pPr>
                <w:r>
                  <w:rPr>
                    <w:b/>
                    <w:bCs/>
                    <w:sz w:val="20"/>
                    <w:lang w:eastAsia="lt-LT"/>
                  </w:rPr>
                  <w:t>10</w:t>
                </w:r>
                <w:r>
                  <w:rPr>
                    <w:b/>
                    <w:sz w:val="20"/>
                    <w:lang w:eastAsia="lt-LT"/>
                  </w:rPr>
                  <w:t xml:space="preserve">. </w:t>
                </w:r>
                <w:r>
                  <w:rPr>
                    <w:b/>
                    <w:bCs/>
                    <w:sz w:val="20"/>
                    <w:lang w:eastAsia="lt-LT"/>
                  </w:rPr>
                  <w:t xml:space="preserve">Kita </w:t>
                </w:r>
                <w:r>
                  <w:rPr>
                    <w:b/>
                    <w:bCs/>
                    <w:color w:val="000000"/>
                    <w:sz w:val="20"/>
                    <w:lang w:eastAsia="lt-LT"/>
                  </w:rPr>
                  <w:t>planuojama ūkinė veikla</w:t>
                </w:r>
                <w:r>
                  <w:rPr>
                    <w:b/>
                    <w:color w:val="000000"/>
                    <w:sz w:val="20"/>
                    <w:lang w:eastAsia="lt-LT"/>
                  </w:rPr>
                  <w:t>: </w:t>
                </w:r>
              </w:p>
              <w:p>
                <w:pPr>
                  <w:jc w:val="both"/>
                  <w:textAlignment w:val="baseline"/>
                  <w:rPr>
                    <w:b/>
                    <w:sz w:val="20"/>
                    <w:lang w:eastAsia="lt-LT"/>
                  </w:rPr>
                </w:pPr>
                <w:r>
                  <w:rPr>
                    <w:b/>
                    <w:sz w:val="20"/>
                    <w:lang w:eastAsia="lt-LT"/>
                  </w:rPr>
                  <w:t>10</w:t>
                </w:r>
                <w:r>
                  <w:rPr>
                    <w:b/>
                    <w:color w:val="000000"/>
                    <w:sz w:val="20"/>
                    <w:lang w:eastAsia="lt-LT"/>
                  </w:rPr>
                  <w:t xml:space="preserve">.1. požeminio vandens vandenviečių įrengimas (kai pajėgumas </w:t>
                </w:r>
                <w:r>
                  <w:rPr>
                    <w:b/>
                    <w:sz w:val="20"/>
                    <w:lang w:eastAsia="lt-LT"/>
                  </w:rPr>
                  <w:t>– 1</w:t>
                </w:r>
                <w:r>
                  <w:rPr>
                    <w:b/>
                    <w:color w:val="000000"/>
                    <w:sz w:val="20"/>
                    <w:lang w:eastAsia="lt-LT"/>
                  </w:rPr>
                  <w:t>0 milijonų ir daugiau m</w:t>
                </w:r>
                <w:r>
                  <w:rPr>
                    <w:b/>
                    <w:color w:val="000000"/>
                    <w:sz w:val="20"/>
                    <w:vertAlign w:val="superscript"/>
                    <w:lang w:eastAsia="lt-LT"/>
                  </w:rPr>
                  <w:t>3</w:t>
                </w:r>
                <w:r>
                  <w:rPr>
                    <w:b/>
                    <w:color w:val="000000"/>
                    <w:sz w:val="20"/>
                    <w:lang w:eastAsia="lt-LT"/>
                  </w:rPr>
                  <w:t xml:space="preserve"> per metus); </w:t>
                </w:r>
              </w:p>
              <w:p>
                <w:pPr>
                  <w:jc w:val="both"/>
                  <w:textAlignment w:val="baseline"/>
                  <w:rPr>
                    <w:b/>
                    <w:sz w:val="20"/>
                    <w:lang w:eastAsia="lt-LT"/>
                  </w:rPr>
                </w:pPr>
                <w:r>
                  <w:rPr>
                    <w:b/>
                    <w:sz w:val="20"/>
                    <w:lang w:eastAsia="lt-LT"/>
                  </w:rPr>
                  <w:t>10</w:t>
                </w:r>
                <w:r>
                  <w:rPr>
                    <w:b/>
                    <w:color w:val="000000"/>
                    <w:sz w:val="20"/>
                    <w:lang w:eastAsia="lt-LT"/>
                  </w:rPr>
                  <w:t>.2. požeminio vandens vandenviečių dirbtinis papildymas (kai per metus papildoma 10 milijonų ir daugiau m</w:t>
                </w:r>
                <w:r>
                  <w:rPr>
                    <w:b/>
                    <w:color w:val="000000"/>
                    <w:sz w:val="20"/>
                    <w:vertAlign w:val="superscript"/>
                    <w:lang w:eastAsia="lt-LT"/>
                  </w:rPr>
                  <w:t>3</w:t>
                </w:r>
                <w:r>
                  <w:rPr>
                    <w:b/>
                    <w:color w:val="000000"/>
                    <w:sz w:val="20"/>
                    <w:lang w:eastAsia="lt-LT"/>
                  </w:rPr>
                  <w:t xml:space="preserve"> vandens); </w:t>
                </w:r>
              </w:p>
              <w:p>
                <w:pPr>
                  <w:jc w:val="both"/>
                  <w:textAlignment w:val="baseline"/>
                  <w:rPr>
                    <w:b/>
                    <w:sz w:val="20"/>
                    <w:lang w:eastAsia="lt-LT"/>
                  </w:rPr>
                </w:pPr>
                <w:r>
                  <w:rPr>
                    <w:b/>
                    <w:sz w:val="20"/>
                    <w:lang w:eastAsia="lt-LT"/>
                  </w:rPr>
                  <w:t>10.3. vandens išteklių (išskyrus geriamąjį vandenį) perskirstymas upių baseinams, kai per metus perskirstoma 100 milijonų ir daugiau m</w:t>
                </w:r>
                <w:r>
                  <w:rPr>
                    <w:b/>
                    <w:sz w:val="20"/>
                    <w:vertAlign w:val="superscript"/>
                    <w:lang w:eastAsia="lt-LT"/>
                  </w:rPr>
                  <w:t>3</w:t>
                </w:r>
                <w:r>
                  <w:rPr>
                    <w:b/>
                    <w:sz w:val="20"/>
                    <w:lang w:eastAsia="lt-LT"/>
                  </w:rPr>
                  <w:t xml:space="preserve"> vandens ir (ar) kai daugiametis vidutinis baseino, iš kurio imamas vanduo, nuotėkis yra 2 000 milijonų ir daugiau m</w:t>
                </w:r>
                <w:r>
                  <w:rPr>
                    <w:b/>
                    <w:sz w:val="20"/>
                    <w:vertAlign w:val="superscript"/>
                    <w:lang w:eastAsia="lt-LT"/>
                  </w:rPr>
                  <w:t>3</w:t>
                </w:r>
                <w:r>
                  <w:rPr>
                    <w:b/>
                    <w:sz w:val="20"/>
                    <w:lang w:eastAsia="lt-LT"/>
                  </w:rPr>
                  <w:t xml:space="preserve"> vandens per metus ir perskirstoma 5 procentai ir daugiau šio nuotėkio; </w:t>
                </w:r>
              </w:p>
              <w:p>
                <w:pPr>
                  <w:jc w:val="both"/>
                  <w:textAlignment w:val="baseline"/>
                  <w:rPr>
                    <w:b/>
                    <w:sz w:val="20"/>
                    <w:lang w:eastAsia="lt-LT"/>
                  </w:rPr>
                </w:pPr>
                <w:r>
                  <w:rPr>
                    <w:b/>
                    <w:sz w:val="20"/>
                    <w:lang w:eastAsia="lt-LT"/>
                  </w:rPr>
                  <w:t>10</w:t>
                </w:r>
                <w:r>
                  <w:rPr>
                    <w:b/>
                    <w:color w:val="000000"/>
                    <w:sz w:val="20"/>
                    <w:lang w:eastAsia="lt-LT"/>
                  </w:rPr>
                  <w:t>.4. miestų, miestelių ar kaimų nuotekų valymo įrenginių įrengimas (kai įrenginiai gali išvalyti 150 000 ir daugiau gyventojų ekvivalentą atitinkantį teršalų kiekį); </w:t>
                </w:r>
              </w:p>
              <w:p>
                <w:pPr>
                  <w:jc w:val="both"/>
                  <w:textAlignment w:val="baseline"/>
                  <w:rPr>
                    <w:b/>
                    <w:sz w:val="20"/>
                    <w:lang w:eastAsia="lt-LT"/>
                  </w:rPr>
                </w:pPr>
                <w:r>
                  <w:rPr>
                    <w:b/>
                    <w:sz w:val="20"/>
                    <w:lang w:eastAsia="lt-LT"/>
                  </w:rPr>
                  <w:t>10.5. anglies dioksido (CO</w:t>
                </w:r>
                <w:r>
                  <w:rPr>
                    <w:b/>
                    <w:sz w:val="20"/>
                    <w:vertAlign w:val="subscript"/>
                    <w:lang w:eastAsia="lt-LT"/>
                  </w:rPr>
                  <w:t>2</w:t>
                </w:r>
                <w:r>
                  <w:rPr>
                    <w:b/>
                    <w:sz w:val="20"/>
                    <w:lang w:eastAsia="lt-LT"/>
                  </w:rPr>
                  <w:t>) saugojimas geologinėse saugyklose; </w:t>
                </w:r>
              </w:p>
              <w:p>
                <w:pPr>
                  <w:jc w:val="both"/>
                  <w:textAlignment w:val="baseline"/>
                  <w:rPr>
                    <w:b/>
                    <w:sz w:val="20"/>
                    <w:lang w:eastAsia="lt-LT"/>
                  </w:rPr>
                </w:pPr>
                <w:r>
                  <w:rPr>
                    <w:b/>
                    <w:sz w:val="20"/>
                    <w:lang w:eastAsia="lt-LT"/>
                  </w:rPr>
                  <w:t>10</w:t>
                </w:r>
                <w:r>
                  <w:rPr>
                    <w:b/>
                    <w:color w:val="000000"/>
                    <w:sz w:val="20"/>
                    <w:lang w:eastAsia="lt-LT"/>
                  </w:rPr>
                  <w:t xml:space="preserve">.6. įrenginių, naudojamų anglies dioksido </w:t>
                </w:r>
                <w:r>
                  <w:rPr>
                    <w:b/>
                    <w:sz w:val="20"/>
                    <w:lang w:eastAsia="lt-LT"/>
                  </w:rPr>
                  <w:t>(CO</w:t>
                </w:r>
                <w:r>
                  <w:rPr>
                    <w:b/>
                    <w:sz w:val="20"/>
                    <w:vertAlign w:val="subscript"/>
                    <w:lang w:eastAsia="lt-LT"/>
                  </w:rPr>
                  <w:t>2</w:t>
                </w:r>
                <w:r>
                  <w:rPr>
                    <w:b/>
                    <w:sz w:val="20"/>
                    <w:lang w:eastAsia="lt-LT"/>
                  </w:rPr>
                  <w:t>), kuris saugomas geologinėse saugyklose, surinkimui iš įrenginių, naudojamų šio priedo 10.5 papunktyje nurodytai veiklai vykdyti</w:t>
                </w:r>
                <w:r>
                  <w:rPr>
                    <w:b/>
                    <w:color w:val="000000"/>
                    <w:sz w:val="20"/>
                    <w:lang w:eastAsia="lt-LT"/>
                  </w:rPr>
                  <w:t xml:space="preserve">, įrengimas ar įrenginių, kurie per metus surenka </w:t>
                </w:r>
                <w:r>
                  <w:rPr>
                    <w:b/>
                    <w:sz w:val="20"/>
                    <w:lang w:eastAsia="lt-LT"/>
                  </w:rPr>
                  <w:t>1,5 milijono tonų arba daugiau anglies dioksido (CO</w:t>
                </w:r>
                <w:r>
                  <w:rPr>
                    <w:b/>
                    <w:sz w:val="20"/>
                    <w:vertAlign w:val="subscript"/>
                    <w:lang w:eastAsia="lt-LT"/>
                  </w:rPr>
                  <w:t>2</w:t>
                </w:r>
                <w:r>
                  <w:rPr>
                    <w:b/>
                    <w:sz w:val="20"/>
                    <w:lang w:eastAsia="lt-LT"/>
                  </w:rPr>
                  <w:t>), įrengimas. </w:t>
                </w:r>
              </w:p>
              <w:p>
                <w:pPr>
                  <w:jc w:val="both"/>
                  <w:textAlignment w:val="baseline"/>
                  <w:rPr>
                    <w:b/>
                    <w:color w:val="000000"/>
                    <w:sz w:val="20"/>
                    <w:lang w:eastAsia="lt-LT"/>
                  </w:rPr>
                </w:pPr>
                <w:r>
                  <w:rPr>
                    <w:b/>
                    <w:sz w:val="20"/>
                    <w:lang w:eastAsia="lt-LT"/>
                  </w:rPr>
                  <w:t xml:space="preserve">11. Į šiame priede ar šio įstatymo 2 priede pateiktą rūšių sąrašą įrašytos planuojamos ūkinės veiklos pakeitimas ar išplėtimas, kai toks pakeitimas ar išplėtimas atitinka šiame priede nustatytus ribinius dydžius, jeigu jie nustatyti. </w:t>
                </w:r>
                <w:r>
                  <w:rPr>
                    <w:b/>
                    <w:color w:val="000000"/>
                    <w:sz w:val="20"/>
                    <w:lang w:eastAsia="lt-LT"/>
                  </w:rPr>
                  <w:t>Nustatant šiame punkte nurodyto veiklos pakeitimo ar išplėtimo mastą, sumuojami per paskutinius penkerius kalendorinius metus atlikti veiklos pakeitimai ar išplėtimai.</w:t>
                </w:r>
              </w:p>
              <w:p>
                <w:pPr>
                  <w:jc w:val="both"/>
                  <w:textAlignment w:val="baseline"/>
                  <w:rPr>
                    <w:color w:val="000000"/>
                    <w:szCs w:val="24"/>
                    <w:lang w:eastAsia="lt-LT"/>
                  </w:rPr>
                </w:pPr>
                <w:r>
                  <w:rPr>
                    <w:b/>
                    <w:color w:val="000000"/>
                    <w:sz w:val="20"/>
                    <w:lang w:eastAsia="lt-LT"/>
                  </w:rPr>
                  <w:t>Pastaba</w:t>
                </w:r>
                <w:r>
                  <w:rPr>
                    <w:color w:val="000000"/>
                    <w:sz w:val="20"/>
                    <w:lang w:eastAsia="lt-LT"/>
                  </w:rPr>
                  <w:t xml:space="preserve">. </w:t>
                </w:r>
                <w:r>
                  <w:rPr>
                    <w:b/>
                    <w:color w:val="000000"/>
                    <w:sz w:val="20"/>
                    <w:lang w:eastAsia="lt-LT"/>
                  </w:rPr>
                  <w:t>Jeigu planuojama auginti skirtingų šio priedo 1.1–1.3 papunkčiuose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r>
                  <w:rPr>
                    <w:color w:val="000000"/>
                    <w:szCs w:val="24"/>
                    <w:lang w:eastAsia="lt-LT"/>
                  </w:rPr>
                  <w:t>“</w:t>
                </w:r>
              </w:p>
              <w:p>
                <w:pPr>
                  <w:jc w:val="both"/>
                  <w:rPr>
                    <w:b/>
                    <w:sz w:val="20"/>
                  </w:rPr>
                </w:pPr>
              </w:p>
            </w:tc>
            <w:tc>
              <w:tcPr>
                <w:tcW w:w="1421" w:type="dxa"/>
              </w:tcPr>
              <w:p>
                <w:pPr>
                  <w:jc w:val="center"/>
                  <w:rPr>
                    <w:b/>
                    <w:sz w:val="20"/>
                  </w:rPr>
                </w:pPr>
                <w:r>
                  <w:rPr>
                    <w:b/>
                    <w:sz w:val="20"/>
                  </w:rPr>
                  <w:t>Visiškas.</w:t>
                </w:r>
              </w:p>
            </w:tc>
          </w:tr>
          <w:tr>
            <w:tc>
              <w:tcPr>
                <w:tcW w:w="3652" w:type="dxa"/>
              </w:tcPr>
              <w:p>
                <w:pPr>
                  <w:jc w:val="both"/>
                  <w:rPr>
                    <w:rFonts w:eastAsia="Calibri"/>
                    <w:b/>
                    <w:color w:val="000000"/>
                    <w:sz w:val="20"/>
                    <w:lang w:eastAsia="lt-LT"/>
                  </w:rPr>
                </w:pPr>
                <w:r>
                  <w:rPr>
                    <w:rFonts w:eastAsia="Calibri"/>
                    <w:b/>
                    <w:color w:val="000000"/>
                    <w:sz w:val="20"/>
                    <w:lang w:eastAsia="lt-LT"/>
                  </w:rPr>
                  <w:t>B</w:t>
                </w:r>
              </w:p>
              <w:p>
                <w:pPr>
                  <w:jc w:val="both"/>
                  <w:rPr>
                    <w:rFonts w:eastAsia="Calibri"/>
                    <w:color w:val="000000"/>
                    <w:sz w:val="20"/>
                    <w:lang w:eastAsia="lt-LT"/>
                  </w:rPr>
                </w:pPr>
                <w:r>
                  <w:rPr>
                    <w:rFonts w:eastAsia="Calibri"/>
                    <w:color w:val="000000"/>
                    <w:sz w:val="20"/>
                    <w:lang w:eastAsia="lt-LT"/>
                  </w:rPr>
                  <w:t xml:space="preserve">2. Remdamosi 2 straipsnio 4 dalimi, valstybės narės nusprendžia, ar projektai, išvardyti II priede, turi būti vertinami pagal 5–10 straipsnius. Valstybės narės tai nusprendžia: </w:t>
                </w:r>
              </w:p>
              <w:p>
                <w:pPr>
                  <w:jc w:val="both"/>
                  <w:rPr>
                    <w:rFonts w:eastAsia="Calibri"/>
                    <w:color w:val="000000"/>
                    <w:sz w:val="20"/>
                    <w:lang w:eastAsia="lt-LT"/>
                  </w:rPr>
                </w:pPr>
                <w:r>
                  <w:rPr>
                    <w:rFonts w:eastAsia="Calibri"/>
                    <w:color w:val="000000"/>
                    <w:sz w:val="20"/>
                    <w:lang w:eastAsia="lt-LT"/>
                  </w:rPr>
                  <w:t xml:space="preserve">a) išnagrinėjusios kiekvieną atvejį; </w:t>
                </w:r>
              </w:p>
              <w:p>
                <w:pPr>
                  <w:jc w:val="both"/>
                  <w:rPr>
                    <w:rFonts w:eastAsia="Calibri"/>
                    <w:color w:val="000000"/>
                    <w:sz w:val="20"/>
                    <w:lang w:eastAsia="lt-LT"/>
                  </w:rPr>
                </w:pPr>
                <w:r>
                  <w:rPr>
                    <w:rFonts w:eastAsia="Calibri"/>
                    <w:color w:val="000000"/>
                    <w:sz w:val="20"/>
                    <w:lang w:eastAsia="lt-LT"/>
                  </w:rPr>
                  <w:t xml:space="preserve">arba </w:t>
                </w:r>
              </w:p>
              <w:p>
                <w:pPr>
                  <w:jc w:val="both"/>
                  <w:rPr>
                    <w:rFonts w:ascii="EUAlbertina" w:eastAsia="Calibri" w:hAnsi="EUAlbertina" w:cs="EUAlbertina"/>
                    <w:color w:val="000000"/>
                    <w:sz w:val="20"/>
                    <w:lang w:eastAsia="lt-LT"/>
                  </w:rPr>
                </w:pPr>
                <w:r>
                  <w:rPr>
                    <w:rFonts w:eastAsia="Calibri"/>
                    <w:color w:val="000000"/>
                    <w:sz w:val="20"/>
                    <w:lang w:eastAsia="lt-LT"/>
                  </w:rPr>
                  <w:t xml:space="preserve">b) pagal valstybės narės nustatytas ribas ar kriterijus. </w:t>
                </w:r>
              </w:p>
              <w:p>
                <w:pPr>
                  <w:jc w:val="both"/>
                  <w:rPr>
                    <w:sz w:val="20"/>
                    <w:lang w:eastAsia="en-GB"/>
                  </w:rPr>
                </w:pPr>
                <w:r>
                  <w:rPr>
                    <w:rFonts w:eastAsia="Calibri"/>
                    <w:color w:val="000000"/>
                    <w:sz w:val="20"/>
                  </w:rPr>
                  <w:t>Valstybės narės gali apsispręsti naudoti abi a ir b punktuose nurodytas procedūras.</w:t>
                </w:r>
              </w:p>
            </w:tc>
            <w:tc>
              <w:tcPr>
                <w:tcW w:w="9639" w:type="dxa"/>
              </w:tcPr>
              <w:p>
                <w:pPr>
                  <w:rPr>
                    <w:b/>
                    <w:sz w:val="20"/>
                  </w:rPr>
                </w:pPr>
                <w:r>
                  <w:rPr>
                    <w:b/>
                    <w:sz w:val="20"/>
                  </w:rPr>
                  <w:t>Projektas</w:t>
                </w:r>
              </w:p>
              <w:p>
                <w:pPr>
                  <w:rPr>
                    <w:b/>
                    <w:sz w:val="20"/>
                  </w:rPr>
                </w:pPr>
                <w:r>
                  <w:rPr>
                    <w:b/>
                    <w:iCs/>
                    <w:sz w:val="20"/>
                    <w:lang w:eastAsia="en-GB"/>
                  </w:rPr>
                  <w:t>3 straipsnio 1 dalies 2 punktas</w:t>
                </w:r>
              </w:p>
              <w:p>
                <w:pPr>
                  <w:jc w:val="both"/>
                  <w:rPr>
                    <w:b/>
                    <w:sz w:val="20"/>
                  </w:rPr>
                </w:pPr>
                <w:r>
                  <w:rPr>
                    <w:b/>
                    <w:iCs/>
                    <w:sz w:val="20"/>
                    <w:lang w:eastAsia="en-GB"/>
                  </w:rPr>
                  <w:t>„</w:t>
                </w:r>
                <w:r>
                  <w:rPr>
                    <w:b/>
                    <w:sz w:val="20"/>
                  </w:rPr>
                  <w:t>1. Planuojamos ūkinės veiklos, kuri dėl savo pobūdžio, masto ar numatomos vietos ypatumų gali daryti reikšmingą poveikį aplinkai, poveikio aplinkai vertinimas atliekamas kai:</w:t>
                </w:r>
              </w:p>
              <w:p>
                <w:pPr>
                  <w:jc w:val="both"/>
                  <w:rPr>
                    <w:b/>
                    <w:sz w:val="20"/>
                  </w:rPr>
                </w:pPr>
                <w:r>
                  <w:rPr>
                    <w:b/>
                    <w:sz w:val="20"/>
                  </w:rPr>
                  <w:t>&lt;...&gt;</w:t>
                </w:r>
              </w:p>
              <w:p>
                <w:pPr>
                  <w:jc w:val="both"/>
                  <w:rPr>
                    <w:b/>
                    <w:sz w:val="20"/>
                  </w:rPr>
                </w:pPr>
                <w:r>
                  <w:rPr>
                    <w:b/>
                    <w:sz w:val="20"/>
                  </w:rPr>
                  <w:t>2) planuojamos ūkinės veiklos atrankos dėl poveikio aplinkai vertinimo (toliau – atranka dėl poveikio aplinkai vertinimo) metu nustatoma, kad planuojamai ūkinei veiklai privaloma atlikti poveikio aplinkai vertinimą;“</w:t>
                </w:r>
              </w:p>
              <w:p>
                <w:pPr>
                  <w:jc w:val="both"/>
                  <w:rPr>
                    <w:b/>
                    <w:sz w:val="20"/>
                  </w:rPr>
                </w:pPr>
              </w:p>
            </w:tc>
            <w:tc>
              <w:tcPr>
                <w:tcW w:w="1421" w:type="dxa"/>
              </w:tcPr>
              <w:p>
                <w:pPr>
                  <w:jc w:val="center"/>
                  <w:rPr>
                    <w:b/>
                    <w:sz w:val="20"/>
                  </w:rPr>
                </w:pPr>
                <w:r>
                  <w:rPr>
                    <w:b/>
                    <w:sz w:val="20"/>
                  </w:rPr>
                  <w:t xml:space="preserve">Visiškas. </w:t>
                </w:r>
              </w:p>
              <w:p>
                <w:pPr>
                  <w:jc w:val="center"/>
                  <w:rPr>
                    <w:sz w:val="20"/>
                  </w:rPr>
                </w:pPr>
              </w:p>
            </w:tc>
          </w:tr>
          <w:tr>
            <w:tc>
              <w:tcPr>
                <w:tcW w:w="3652" w:type="dxa"/>
              </w:tcPr>
              <w:p>
                <w:pPr>
                  <w:jc w:val="both"/>
                  <w:rPr>
                    <w:sz w:val="20"/>
                    <w:lang w:eastAsia="en-GB"/>
                  </w:rPr>
                </w:pPr>
                <w:r>
                  <w:rPr>
                    <w:b/>
                    <w:bCs/>
                    <w:sz w:val="20"/>
                    <w:lang w:eastAsia="en-GB"/>
                  </w:rPr>
                  <w:t>M1</w:t>
                </w:r>
              </w:p>
              <w:p>
                <w:pPr>
                  <w:jc w:val="both"/>
                  <w:rPr>
                    <w:sz w:val="20"/>
                    <w:lang w:eastAsia="en-GB"/>
                  </w:rPr>
                </w:pPr>
                <w:r>
                  <w:rPr>
                    <w:sz w:val="20"/>
                    <w:lang w:eastAsia="en-GB"/>
                  </w:rPr>
                  <w:t xml:space="preserve">3. Kai pagal 2 dalį nagrinėjamas kiekvienas konkretus atvejis arba nustatomos ribos ar kriterijai, atsižvelgiama į aktualius atrankos kriterijus, įtvirtintus III priede. Valstybės narės gali nustatyti ribas arba kriterijus, pagal kuriuos nustatoma, kada projektams nereikia taikyti nei išvados procedūros pagal 4 ir 5 dalis, nei poveikio aplinkai vertinimo, ir (arba) ribas arba kriterijus, pagal kuriuos nustatoma, kada projektams bet kuriuo atveju reikia taikyti poveikio aplinkai vertinimą nevykdant išvados priėmimo procedūros, nustatytos pagal 4 ir 5 dalis. </w:t>
                </w:r>
              </w:p>
              <w:p>
                <w:pPr>
                  <w:jc w:val="both"/>
                  <w:rPr>
                    <w:sz w:val="19"/>
                    <w:szCs w:val="19"/>
                    <w:lang w:eastAsia="en-GB"/>
                  </w:rPr>
                </w:pPr>
              </w:p>
              <w:p>
                <w:pPr>
                  <w:rPr>
                    <w:b/>
                    <w:sz w:val="20"/>
                    <w:lang w:eastAsia="en-GB"/>
                  </w:rPr>
                </w:pPr>
              </w:p>
            </w:tc>
            <w:tc>
              <w:tcPr>
                <w:tcW w:w="9639" w:type="dxa"/>
              </w:tcPr>
              <w:p>
                <w:pPr>
                  <w:jc w:val="both"/>
                  <w:textAlignment w:val="baseline"/>
                  <w:rPr>
                    <w:szCs w:val="24"/>
                    <w:lang w:eastAsia="lt-LT"/>
                  </w:rPr>
                </w:pPr>
                <w:r>
                  <w:rPr>
                    <w:szCs w:val="24"/>
                    <w:lang w:eastAsia="lt-LT"/>
                  </w:rPr>
                  <w:t>Projektas</w:t>
                </w:r>
              </w:p>
              <w:p>
                <w:pPr>
                  <w:jc w:val="both"/>
                  <w:textAlignment w:val="baseline"/>
                  <w:rPr>
                    <w:szCs w:val="24"/>
                    <w:lang w:eastAsia="lt-LT"/>
                  </w:rPr>
                </w:pPr>
                <w:r>
                  <w:rPr>
                    <w:szCs w:val="24"/>
                    <w:lang w:eastAsia="lt-LT"/>
                  </w:rPr>
                  <w:t xml:space="preserve">3 straipsnio 3 dalis </w:t>
                </w:r>
              </w:p>
              <w:p>
                <w:pPr>
                  <w:jc w:val="both"/>
                  <w:textAlignment w:val="baseline"/>
                  <w:rPr>
                    <w:szCs w:val="24"/>
                    <w:lang w:eastAsia="lt-LT"/>
                  </w:rPr>
                </w:pPr>
                <w:r>
                  <w:rPr>
                    <w:szCs w:val="24"/>
                    <w:lang w:eastAsia="lt-LT"/>
                  </w:rPr>
                  <w:t>„</w:t>
                </w:r>
                <w:r>
                  <w:rPr>
                    <w:b/>
                    <w:sz w:val="20"/>
                    <w:lang w:eastAsia="lt-LT"/>
                  </w:rPr>
                  <w:t>3. Atranka dėl poveikio aplinkai vertinimo atliekama planuojamai ūkinei veiklai, įrašytai į Planuojamos ūkinės veiklos, kuriai turi būti atliekama atranka dėl poveikio aplinkai vertinimo, rūšių sąrašą, nurodytą šio įstatymo 2 priede.</w:t>
                </w:r>
                <w:r>
                  <w:rPr>
                    <w:szCs w:val="24"/>
                    <w:lang w:eastAsia="lt-LT"/>
                  </w:rPr>
                  <w:t>“</w:t>
                </w:r>
              </w:p>
              <w:p>
                <w:pPr>
                  <w:jc w:val="both"/>
                  <w:textAlignment w:val="baseline"/>
                  <w:rPr>
                    <w:szCs w:val="24"/>
                    <w:lang w:eastAsia="lt-LT"/>
                  </w:rPr>
                </w:pPr>
              </w:p>
              <w:p>
                <w:pPr>
                  <w:jc w:val="both"/>
                  <w:textAlignment w:val="baseline"/>
                  <w:rPr>
                    <w:szCs w:val="24"/>
                    <w:lang w:eastAsia="lt-LT"/>
                  </w:rPr>
                </w:pPr>
                <w:r>
                  <w:rPr>
                    <w:szCs w:val="24"/>
                    <w:lang w:eastAsia="lt-LT"/>
                  </w:rPr>
                  <w:t>2 priedas</w:t>
                </w:r>
              </w:p>
              <w:p>
                <w:pPr>
                  <w:jc w:val="both"/>
                  <w:textAlignment w:val="baseline"/>
                  <w:rPr>
                    <w:szCs w:val="24"/>
                    <w:lang w:eastAsia="lt-LT"/>
                  </w:rPr>
                </w:pPr>
                <w:r>
                  <w:rPr>
                    <w:szCs w:val="24"/>
                    <w:lang w:eastAsia="lt-LT"/>
                  </w:rPr>
                  <w:t xml:space="preserve">„Lietuvos Respublikos </w:t>
                </w:r>
              </w:p>
              <w:p>
                <w:pPr>
                  <w:jc w:val="both"/>
                  <w:textAlignment w:val="baseline"/>
                  <w:rPr>
                    <w:szCs w:val="24"/>
                    <w:lang w:eastAsia="lt-LT"/>
                  </w:rPr>
                </w:pPr>
                <w:r>
                  <w:rPr>
                    <w:szCs w:val="24"/>
                    <w:lang w:eastAsia="lt-LT"/>
                  </w:rPr>
                  <w:t xml:space="preserve">planuojamos ūkinės veiklos </w:t>
                </w:r>
              </w:p>
              <w:p>
                <w:pPr>
                  <w:jc w:val="both"/>
                  <w:textAlignment w:val="baseline"/>
                  <w:rPr>
                    <w:szCs w:val="24"/>
                    <w:lang w:eastAsia="lt-LT"/>
                  </w:rPr>
                </w:pPr>
                <w:r>
                  <w:rPr>
                    <w:szCs w:val="24"/>
                    <w:lang w:eastAsia="lt-LT"/>
                  </w:rPr>
                  <w:t>poveikio aplinkai vertinimo</w:t>
                </w:r>
              </w:p>
              <w:p>
                <w:pPr>
                  <w:jc w:val="both"/>
                  <w:textAlignment w:val="baseline"/>
                  <w:rPr>
                    <w:szCs w:val="24"/>
                    <w:lang w:eastAsia="lt-LT"/>
                  </w:rPr>
                </w:pPr>
                <w:r>
                  <w:rPr>
                    <w:szCs w:val="24"/>
                    <w:lang w:eastAsia="lt-LT"/>
                  </w:rPr>
                  <w:t xml:space="preserve">įstatymo </w:t>
                </w:r>
              </w:p>
              <w:p>
                <w:pPr>
                  <w:jc w:val="both"/>
                  <w:textAlignment w:val="baseline"/>
                  <w:rPr>
                    <w:szCs w:val="24"/>
                    <w:lang w:eastAsia="lt-LT"/>
                  </w:rPr>
                </w:pPr>
                <w:r>
                  <w:rPr>
                    <w:szCs w:val="24"/>
                    <w:lang w:eastAsia="lt-LT"/>
                  </w:rPr>
                  <w:t>2 priedas</w:t>
                </w:r>
              </w:p>
              <w:p>
                <w:pPr>
                  <w:jc w:val="both"/>
                  <w:textAlignment w:val="baseline"/>
                  <w:rPr>
                    <w:szCs w:val="24"/>
                    <w:lang w:eastAsia="lt-LT"/>
                  </w:rPr>
                </w:pPr>
              </w:p>
              <w:p>
                <w:pPr>
                  <w:jc w:val="both"/>
                  <w:textAlignment w:val="baseline"/>
                  <w:rPr>
                    <w:szCs w:val="24"/>
                    <w:lang w:eastAsia="lt-LT"/>
                  </w:rPr>
                </w:pPr>
                <w:r>
                  <w:rPr>
                    <w:szCs w:val="24"/>
                    <w:lang w:eastAsia="lt-LT"/>
                  </w:rPr>
                  <w:t>PLANUOJAMOS ŪKINĖS VEIKLOS, KURIAI TURI BŪTI ATLIEKAMA</w:t>
                </w:r>
              </w:p>
              <w:p>
                <w:pPr>
                  <w:jc w:val="both"/>
                  <w:textAlignment w:val="baseline"/>
                  <w:rPr>
                    <w:szCs w:val="24"/>
                    <w:lang w:eastAsia="lt-LT"/>
                  </w:rPr>
                </w:pPr>
                <w:r>
                  <w:rPr>
                    <w:szCs w:val="24"/>
                    <w:lang w:eastAsia="lt-LT"/>
                  </w:rPr>
                  <w:t>ATRANKA DĖL POVEIKIO APLINKAI VERTINIMO,</w:t>
                </w:r>
              </w:p>
              <w:p>
                <w:pPr>
                  <w:jc w:val="both"/>
                  <w:textAlignment w:val="baseline"/>
                  <w:rPr>
                    <w:szCs w:val="24"/>
                    <w:lang w:eastAsia="lt-LT"/>
                  </w:rPr>
                </w:pPr>
                <w:r>
                  <w:rPr>
                    <w:szCs w:val="24"/>
                    <w:lang w:eastAsia="lt-LT"/>
                  </w:rPr>
                  <w:t>RŪŠIŲ SĄRAŠAS</w:t>
                </w:r>
              </w:p>
              <w:p>
                <w:pPr>
                  <w:jc w:val="both"/>
                  <w:textAlignment w:val="baseline"/>
                  <w:rPr>
                    <w:szCs w:val="24"/>
                    <w:lang w:eastAsia="lt-LT"/>
                  </w:rPr>
                </w:pPr>
              </w:p>
              <w:p>
                <w:pPr>
                  <w:jc w:val="both"/>
                  <w:textAlignment w:val="baseline"/>
                  <w:rPr>
                    <w:szCs w:val="24"/>
                    <w:lang w:eastAsia="lt-LT"/>
                  </w:rPr>
                </w:pPr>
                <w:r>
                  <w:rPr>
                    <w:b/>
                    <w:sz w:val="20"/>
                    <w:lang w:eastAsia="lt-LT"/>
                  </w:rPr>
                  <w:t>1. Žemės ir vandens ūkis, miškininkystė:</w:t>
                </w:r>
                <w:r>
                  <w:rPr>
                    <w:szCs w:val="24"/>
                    <w:lang w:eastAsia="lt-LT"/>
                  </w:rPr>
                  <w:t> </w:t>
                </w:r>
              </w:p>
              <w:p>
                <w:pPr>
                  <w:jc w:val="both"/>
                  <w:textAlignment w:val="baseline"/>
                  <w:rPr>
                    <w:szCs w:val="24"/>
                    <w:lang w:eastAsia="lt-LT"/>
                  </w:rPr>
                </w:pPr>
                <w:r>
                  <w:rPr>
                    <w:b/>
                    <w:sz w:val="20"/>
                    <w:lang w:eastAsia="lt-LT"/>
                  </w:rPr>
                  <w:t>1.1. intensyvus gyvūnų ar paukščių auginimas statiniuose, jeigu vietų jiems laikyti yra: </w:t>
                </w:r>
                <w:r>
                  <w:rPr>
                    <w:szCs w:val="24"/>
                    <w:lang w:eastAsia="lt-LT"/>
                  </w:rPr>
                  <w:t> </w:t>
                </w:r>
              </w:p>
              <w:p>
                <w:pPr>
                  <w:jc w:val="both"/>
                  <w:textAlignment w:val="baseline"/>
                  <w:rPr>
                    <w:szCs w:val="24"/>
                    <w:lang w:eastAsia="lt-LT"/>
                  </w:rPr>
                </w:pPr>
                <w:r>
                  <w:rPr>
                    <w:b/>
                    <w:sz w:val="20"/>
                    <w:lang w:eastAsia="lt-LT"/>
                  </w:rPr>
                  <w:t>1.1.1. kiaulėms, sunkesnėms kaip 30 kg, – daugiau kaip 1 500, bet mažiau kaip 3 000; </w:t>
                </w:r>
                <w:r>
                  <w:rPr>
                    <w:szCs w:val="24"/>
                    <w:lang w:eastAsia="lt-LT"/>
                  </w:rPr>
                  <w:t> </w:t>
                </w:r>
              </w:p>
              <w:p>
                <w:pPr>
                  <w:jc w:val="both"/>
                  <w:textAlignment w:val="baseline"/>
                  <w:rPr>
                    <w:szCs w:val="24"/>
                    <w:lang w:eastAsia="lt-LT"/>
                  </w:rPr>
                </w:pPr>
                <w:r>
                  <w:rPr>
                    <w:b/>
                    <w:sz w:val="20"/>
                    <w:lang w:eastAsia="lt-LT"/>
                  </w:rPr>
                  <w:t>1.1.2. paršavedėms (su paršeliais žindukliais) – daugiau kaip 450, bet mažiau kaip 900;</w:t>
                </w:r>
                <w:r>
                  <w:rPr>
                    <w:szCs w:val="24"/>
                    <w:lang w:eastAsia="lt-LT"/>
                  </w:rPr>
                  <w:t> </w:t>
                </w:r>
              </w:p>
              <w:p>
                <w:pPr>
                  <w:jc w:val="both"/>
                  <w:textAlignment w:val="baseline"/>
                  <w:rPr>
                    <w:szCs w:val="24"/>
                    <w:lang w:eastAsia="lt-LT"/>
                  </w:rPr>
                </w:pPr>
                <w:r>
                  <w:rPr>
                    <w:b/>
                    <w:sz w:val="20"/>
                    <w:lang w:eastAsia="lt-LT"/>
                  </w:rPr>
                  <w:t>1.1.3. paršeliams nuo 7 iki 30 kg (3 mėn.) – 25 000 ar daugiau;</w:t>
                </w:r>
                <w:r>
                  <w:rPr>
                    <w:szCs w:val="24"/>
                    <w:lang w:eastAsia="lt-LT"/>
                  </w:rPr>
                  <w:t> </w:t>
                </w:r>
              </w:p>
              <w:p>
                <w:pPr>
                  <w:jc w:val="both"/>
                  <w:textAlignment w:val="baseline"/>
                  <w:rPr>
                    <w:szCs w:val="24"/>
                    <w:lang w:eastAsia="lt-LT"/>
                  </w:rPr>
                </w:pPr>
                <w:r>
                  <w:rPr>
                    <w:b/>
                    <w:sz w:val="20"/>
                    <w:lang w:eastAsia="lt-LT"/>
                  </w:rPr>
                  <w:t>1.1.4. karvėms, buliams – 250 ar daugiau; </w:t>
                </w:r>
                <w:r>
                  <w:rPr>
                    <w:szCs w:val="24"/>
                    <w:lang w:eastAsia="lt-LT"/>
                  </w:rPr>
                  <w:t> </w:t>
                </w:r>
              </w:p>
              <w:p>
                <w:pPr>
                  <w:jc w:val="both"/>
                  <w:textAlignment w:val="baseline"/>
                  <w:rPr>
                    <w:szCs w:val="24"/>
                    <w:lang w:eastAsia="lt-LT"/>
                  </w:rPr>
                </w:pPr>
                <w:r>
                  <w:rPr>
                    <w:b/>
                    <w:sz w:val="20"/>
                    <w:lang w:eastAsia="lt-LT"/>
                  </w:rPr>
                  <w:t>1.1.5. veršeliams iki 1 metų – 1 000 ar daugiau;</w:t>
                </w:r>
                <w:r>
                  <w:rPr>
                    <w:szCs w:val="24"/>
                    <w:lang w:eastAsia="lt-LT"/>
                  </w:rPr>
                  <w:t> </w:t>
                </w:r>
              </w:p>
              <w:p>
                <w:pPr>
                  <w:jc w:val="both"/>
                  <w:textAlignment w:val="baseline"/>
                  <w:rPr>
                    <w:szCs w:val="24"/>
                    <w:lang w:eastAsia="lt-LT"/>
                  </w:rPr>
                </w:pPr>
                <w:r>
                  <w:rPr>
                    <w:b/>
                    <w:sz w:val="20"/>
                    <w:lang w:eastAsia="lt-LT"/>
                  </w:rPr>
                  <w:t>1.1.6. galvijų prieaugliui nuo 1 iki 2 metų – 350 ar daugiau;</w:t>
                </w:r>
                <w:r>
                  <w:rPr>
                    <w:szCs w:val="24"/>
                    <w:lang w:eastAsia="lt-LT"/>
                  </w:rPr>
                  <w:t> </w:t>
                </w:r>
              </w:p>
              <w:p>
                <w:pPr>
                  <w:jc w:val="both"/>
                  <w:textAlignment w:val="baseline"/>
                  <w:rPr>
                    <w:szCs w:val="24"/>
                    <w:lang w:eastAsia="lt-LT"/>
                  </w:rPr>
                </w:pPr>
                <w:r>
                  <w:rPr>
                    <w:b/>
                    <w:sz w:val="20"/>
                    <w:lang w:eastAsia="lt-LT"/>
                  </w:rPr>
                  <w:t>1.1.7. avims, ožkoms – 2 500 ar daugiau;</w:t>
                </w:r>
                <w:r>
                  <w:rPr>
                    <w:szCs w:val="24"/>
                    <w:lang w:eastAsia="lt-LT"/>
                  </w:rPr>
                  <w:t> </w:t>
                </w:r>
              </w:p>
              <w:p>
                <w:pPr>
                  <w:jc w:val="both"/>
                  <w:textAlignment w:val="baseline"/>
                  <w:rPr>
                    <w:szCs w:val="24"/>
                    <w:lang w:eastAsia="lt-LT"/>
                  </w:rPr>
                </w:pPr>
                <w:r>
                  <w:rPr>
                    <w:b/>
                    <w:sz w:val="20"/>
                    <w:lang w:eastAsia="lt-LT"/>
                  </w:rPr>
                  <w:t>1.1.8. arkliams nuo 1 metų – 250 ar daugiau; </w:t>
                </w:r>
                <w:r>
                  <w:rPr>
                    <w:szCs w:val="24"/>
                    <w:lang w:eastAsia="lt-LT"/>
                  </w:rPr>
                  <w:t> </w:t>
                </w:r>
              </w:p>
              <w:p>
                <w:pPr>
                  <w:jc w:val="both"/>
                  <w:textAlignment w:val="baseline"/>
                  <w:rPr>
                    <w:szCs w:val="24"/>
                    <w:lang w:eastAsia="lt-LT"/>
                  </w:rPr>
                </w:pPr>
                <w:r>
                  <w:rPr>
                    <w:b/>
                    <w:sz w:val="20"/>
                    <w:lang w:eastAsia="lt-LT"/>
                  </w:rPr>
                  <w:t>1.1.9. kumeliukams iki 1 metų – 500 ar daugiau;</w:t>
                </w:r>
                <w:r>
                  <w:rPr>
                    <w:szCs w:val="24"/>
                    <w:lang w:eastAsia="lt-LT"/>
                  </w:rPr>
                  <w:t> </w:t>
                </w:r>
              </w:p>
              <w:p>
                <w:pPr>
                  <w:jc w:val="both"/>
                  <w:textAlignment w:val="baseline"/>
                  <w:rPr>
                    <w:szCs w:val="24"/>
                    <w:lang w:eastAsia="lt-LT"/>
                  </w:rPr>
                </w:pPr>
                <w:r>
                  <w:rPr>
                    <w:b/>
                    <w:sz w:val="20"/>
                    <w:lang w:eastAsia="lt-LT"/>
                  </w:rPr>
                  <w:t>1.1.10. triušiams – 5 000 ar daugiau;</w:t>
                </w:r>
                <w:r>
                  <w:rPr>
                    <w:szCs w:val="24"/>
                    <w:lang w:eastAsia="lt-LT"/>
                  </w:rPr>
                  <w:t> </w:t>
                </w:r>
              </w:p>
              <w:p>
                <w:pPr>
                  <w:jc w:val="both"/>
                  <w:textAlignment w:val="baseline"/>
                  <w:rPr>
                    <w:szCs w:val="24"/>
                    <w:lang w:eastAsia="lt-LT"/>
                  </w:rPr>
                </w:pPr>
                <w:r>
                  <w:rPr>
                    <w:b/>
                    <w:sz w:val="20"/>
                    <w:lang w:eastAsia="lt-LT"/>
                  </w:rPr>
                  <w:t>1.1.11. šinšiloms – 25 000 ar daugiau;</w:t>
                </w:r>
                <w:r>
                  <w:rPr>
                    <w:szCs w:val="24"/>
                    <w:lang w:eastAsia="lt-LT"/>
                  </w:rPr>
                  <w:t> </w:t>
                </w:r>
              </w:p>
              <w:p>
                <w:pPr>
                  <w:jc w:val="both"/>
                  <w:textAlignment w:val="baseline"/>
                  <w:rPr>
                    <w:szCs w:val="24"/>
                    <w:lang w:eastAsia="lt-LT"/>
                  </w:rPr>
                </w:pPr>
                <w:r>
                  <w:rPr>
                    <w:b/>
                    <w:sz w:val="20"/>
                    <w:lang w:eastAsia="lt-LT"/>
                  </w:rPr>
                  <w:t>1.1.12. audinėms / kiaunėms – 3 500 ar daugiau;</w:t>
                </w:r>
                <w:r>
                  <w:rPr>
                    <w:szCs w:val="24"/>
                    <w:lang w:eastAsia="lt-LT"/>
                  </w:rPr>
                  <w:t> </w:t>
                </w:r>
              </w:p>
              <w:p>
                <w:pPr>
                  <w:jc w:val="both"/>
                  <w:textAlignment w:val="baseline"/>
                  <w:rPr>
                    <w:szCs w:val="24"/>
                    <w:lang w:eastAsia="lt-LT"/>
                  </w:rPr>
                </w:pPr>
                <w:r>
                  <w:rPr>
                    <w:b/>
                    <w:sz w:val="20"/>
                    <w:lang w:eastAsia="lt-LT"/>
                  </w:rPr>
                  <w:t>1.1.13. lapėms – 1 500 ar daugiau;</w:t>
                </w:r>
                <w:r>
                  <w:rPr>
                    <w:szCs w:val="24"/>
                    <w:lang w:eastAsia="lt-LT"/>
                  </w:rPr>
                  <w:t> </w:t>
                </w:r>
              </w:p>
              <w:p>
                <w:pPr>
                  <w:jc w:val="both"/>
                  <w:textAlignment w:val="baseline"/>
                  <w:rPr>
                    <w:szCs w:val="24"/>
                    <w:lang w:eastAsia="lt-LT"/>
                  </w:rPr>
                </w:pPr>
                <w:r>
                  <w:rPr>
                    <w:b/>
                    <w:sz w:val="20"/>
                    <w:lang w:eastAsia="lt-LT"/>
                  </w:rPr>
                  <w:t>1.1.14. nutrijoms – 2 500 ar daugiau;</w:t>
                </w:r>
                <w:r>
                  <w:rPr>
                    <w:szCs w:val="24"/>
                    <w:lang w:eastAsia="lt-LT"/>
                  </w:rPr>
                  <w:t> </w:t>
                </w:r>
              </w:p>
              <w:p>
                <w:pPr>
                  <w:jc w:val="both"/>
                  <w:textAlignment w:val="baseline"/>
                  <w:rPr>
                    <w:szCs w:val="24"/>
                    <w:lang w:eastAsia="lt-LT"/>
                  </w:rPr>
                </w:pPr>
                <w:r>
                  <w:rPr>
                    <w:b/>
                    <w:sz w:val="20"/>
                    <w:lang w:eastAsia="lt-LT"/>
                  </w:rPr>
                  <w:t>1.1.15. stručiams – 250 ar daugiau;</w:t>
                </w:r>
                <w:r>
                  <w:rPr>
                    <w:szCs w:val="24"/>
                    <w:lang w:eastAsia="lt-LT"/>
                  </w:rPr>
                  <w:t> </w:t>
                </w:r>
              </w:p>
              <w:p>
                <w:pPr>
                  <w:jc w:val="both"/>
                  <w:textAlignment w:val="baseline"/>
                  <w:rPr>
                    <w:szCs w:val="24"/>
                    <w:lang w:eastAsia="lt-LT"/>
                  </w:rPr>
                </w:pPr>
                <w:r>
                  <w:rPr>
                    <w:b/>
                    <w:sz w:val="20"/>
                    <w:lang w:eastAsia="lt-LT"/>
                  </w:rPr>
                  <w:t>1.1.16. vištoms – mažiau kaip 60 000, bet daugiau kaip 20 000; </w:t>
                </w:r>
                <w:r>
                  <w:rPr>
                    <w:szCs w:val="24"/>
                    <w:lang w:eastAsia="lt-LT"/>
                  </w:rPr>
                  <w:t> </w:t>
                </w:r>
              </w:p>
              <w:p>
                <w:pPr>
                  <w:jc w:val="both"/>
                  <w:textAlignment w:val="baseline"/>
                  <w:rPr>
                    <w:szCs w:val="24"/>
                    <w:lang w:eastAsia="lt-LT"/>
                  </w:rPr>
                </w:pPr>
                <w:r>
                  <w:rPr>
                    <w:b/>
                    <w:sz w:val="20"/>
                    <w:lang w:eastAsia="lt-LT"/>
                  </w:rPr>
                  <w:t>1.1.17. broileriams – mažiau kaip 85 000, bet daugiau kaip 20 000; </w:t>
                </w:r>
                <w:r>
                  <w:rPr>
                    <w:szCs w:val="24"/>
                    <w:lang w:eastAsia="lt-LT"/>
                  </w:rPr>
                  <w:t> </w:t>
                </w:r>
              </w:p>
              <w:p>
                <w:pPr>
                  <w:jc w:val="both"/>
                  <w:textAlignment w:val="baseline"/>
                  <w:rPr>
                    <w:szCs w:val="24"/>
                    <w:lang w:eastAsia="lt-LT"/>
                  </w:rPr>
                </w:pPr>
                <w:r>
                  <w:rPr>
                    <w:b/>
                    <w:sz w:val="20"/>
                    <w:lang w:eastAsia="lt-LT"/>
                  </w:rPr>
                  <w:t>1.1.18. antims – 12 000 ar daugiau;</w:t>
                </w:r>
                <w:r>
                  <w:rPr>
                    <w:szCs w:val="24"/>
                    <w:lang w:eastAsia="lt-LT"/>
                  </w:rPr>
                  <w:t> </w:t>
                </w:r>
              </w:p>
              <w:p>
                <w:pPr>
                  <w:jc w:val="both"/>
                  <w:textAlignment w:val="baseline"/>
                  <w:rPr>
                    <w:szCs w:val="24"/>
                    <w:lang w:eastAsia="lt-LT"/>
                  </w:rPr>
                </w:pPr>
                <w:r>
                  <w:rPr>
                    <w:b/>
                    <w:sz w:val="20"/>
                    <w:lang w:eastAsia="lt-LT"/>
                  </w:rPr>
                  <w:t>1.1.19. kalakutams, auginamiems iki 70 dienų, – 15 000 ar daugiau;</w:t>
                </w:r>
                <w:r>
                  <w:rPr>
                    <w:szCs w:val="24"/>
                    <w:lang w:eastAsia="lt-LT"/>
                  </w:rPr>
                  <w:t> </w:t>
                </w:r>
              </w:p>
              <w:p>
                <w:pPr>
                  <w:jc w:val="both"/>
                  <w:textAlignment w:val="baseline"/>
                  <w:rPr>
                    <w:szCs w:val="24"/>
                    <w:lang w:eastAsia="lt-LT"/>
                  </w:rPr>
                </w:pPr>
                <w:r>
                  <w:rPr>
                    <w:b/>
                    <w:sz w:val="20"/>
                    <w:lang w:eastAsia="lt-LT"/>
                  </w:rPr>
                  <w:t>1.1.20. kalakutams, auginamiems iki 133 dienų, – 7 500 ar daugiau;</w:t>
                </w:r>
                <w:r>
                  <w:rPr>
                    <w:szCs w:val="24"/>
                    <w:lang w:eastAsia="lt-LT"/>
                  </w:rPr>
                  <w:t> </w:t>
                </w:r>
              </w:p>
              <w:p>
                <w:pPr>
                  <w:jc w:val="both"/>
                  <w:textAlignment w:val="baseline"/>
                  <w:rPr>
                    <w:szCs w:val="24"/>
                    <w:lang w:eastAsia="lt-LT"/>
                  </w:rPr>
                </w:pPr>
                <w:r>
                  <w:rPr>
                    <w:b/>
                    <w:sz w:val="20"/>
                    <w:lang w:eastAsia="lt-LT"/>
                  </w:rPr>
                  <w:t>1.1.21. žąsims – 7 500 ar daugiau;</w:t>
                </w:r>
                <w:r>
                  <w:rPr>
                    <w:szCs w:val="24"/>
                    <w:lang w:eastAsia="lt-LT"/>
                  </w:rPr>
                  <w:t> </w:t>
                </w:r>
              </w:p>
              <w:p>
                <w:pPr>
                  <w:jc w:val="both"/>
                  <w:textAlignment w:val="baseline"/>
                  <w:rPr>
                    <w:szCs w:val="24"/>
                    <w:lang w:eastAsia="lt-LT"/>
                  </w:rPr>
                </w:pPr>
                <w:r>
                  <w:rPr>
                    <w:b/>
                    <w:sz w:val="20"/>
                    <w:lang w:eastAsia="lt-LT"/>
                  </w:rPr>
                  <w:t>1.1.22. putpelėms – 20 000 ar daugiau; </w:t>
                </w:r>
                <w:r>
                  <w:rPr>
                    <w:szCs w:val="24"/>
                    <w:lang w:eastAsia="lt-LT"/>
                  </w:rPr>
                  <w:t> </w:t>
                </w:r>
              </w:p>
              <w:p>
                <w:pPr>
                  <w:jc w:val="both"/>
                  <w:textAlignment w:val="baseline"/>
                  <w:rPr>
                    <w:szCs w:val="24"/>
                    <w:lang w:eastAsia="lt-LT"/>
                  </w:rPr>
                </w:pPr>
                <w:r>
                  <w:rPr>
                    <w:b/>
                    <w:sz w:val="20"/>
                    <w:lang w:eastAsia="lt-LT"/>
                  </w:rPr>
                  <w:t>1.2. žuvų auginimas ar veisimas (jūroje ar akvakultūros tvenkiniuose, kurių bendras plotas 5 ha ar didesnis);</w:t>
                </w:r>
                <w:r>
                  <w:rPr>
                    <w:szCs w:val="24"/>
                    <w:lang w:eastAsia="lt-LT"/>
                  </w:rPr>
                  <w:t> </w:t>
                </w:r>
              </w:p>
              <w:p>
                <w:pPr>
                  <w:jc w:val="both"/>
                  <w:textAlignment w:val="baseline"/>
                  <w:rPr>
                    <w:szCs w:val="24"/>
                    <w:lang w:eastAsia="lt-LT"/>
                  </w:rPr>
                </w:pPr>
                <w:r>
                  <w:rPr>
                    <w:b/>
                    <w:sz w:val="20"/>
                    <w:lang w:eastAsia="lt-LT"/>
                  </w:rPr>
                  <w:t>1.3. vandens išteklių naudojimas žemės ūkio reikmėms, įskaitant sausinimo ir drėkinimo sistemų įrengimą (kai nusausinamas 5 ha ar didesnis plotas arba kai drėkinimui sunaudojama 50 m3 ar daugiau vandens per parą);</w:t>
                </w:r>
                <w:r>
                  <w:rPr>
                    <w:szCs w:val="24"/>
                    <w:lang w:eastAsia="lt-LT"/>
                  </w:rPr>
                  <w:t> </w:t>
                </w:r>
              </w:p>
              <w:p>
                <w:pPr>
                  <w:jc w:val="both"/>
                  <w:textAlignment w:val="baseline"/>
                  <w:rPr>
                    <w:szCs w:val="24"/>
                    <w:lang w:eastAsia="lt-LT"/>
                  </w:rPr>
                </w:pPr>
                <w:r>
                  <w:rPr>
                    <w:b/>
                    <w:sz w:val="20"/>
                    <w:lang w:eastAsia="lt-LT"/>
                  </w:rPr>
                  <w:t>1.4. užtvankų ir kitų įrenginių, skirtų vandens sulaikymui ar nuolatiniam saugojimui, įrengimas (daugiau kaip 200 000 m3 vandens tūrio, bet mažiau kaip 5 milijonai m3 arba kai jų vandens paviršiaus plotas mažesnis kaip 250 ha, bet didesnis kaip 10 ha);</w:t>
                </w:r>
                <w:r>
                  <w:rPr>
                    <w:szCs w:val="24"/>
                    <w:lang w:eastAsia="lt-LT"/>
                  </w:rPr>
                  <w:t> </w:t>
                </w:r>
              </w:p>
              <w:p>
                <w:pPr>
                  <w:jc w:val="both"/>
                  <w:textAlignment w:val="baseline"/>
                  <w:rPr>
                    <w:szCs w:val="24"/>
                    <w:lang w:eastAsia="lt-LT"/>
                  </w:rPr>
                </w:pPr>
                <w:r>
                  <w:rPr>
                    <w:b/>
                    <w:sz w:val="20"/>
                    <w:lang w:eastAsia="lt-LT"/>
                  </w:rPr>
                  <w:t>1.5. natūralių ar pusiau natūralių teritorijų (natūralios pievos ir ganyklos, miškai, kiti želdiniai, pelkės, nenaudojama žemė) panaudojimas intensyviai žemės ūkio veiklai, kai panaudojamas 0,5 ha ar didesnis plotas; </w:t>
                </w:r>
                <w:r>
                  <w:rPr>
                    <w:szCs w:val="24"/>
                    <w:lang w:eastAsia="lt-LT"/>
                  </w:rPr>
                  <w:t> </w:t>
                </w:r>
              </w:p>
              <w:p>
                <w:pPr>
                  <w:jc w:val="both"/>
                  <w:textAlignment w:val="baseline"/>
                  <w:rPr>
                    <w:szCs w:val="24"/>
                    <w:lang w:eastAsia="lt-LT"/>
                  </w:rPr>
                </w:pPr>
                <w:r>
                  <w:rPr>
                    <w:b/>
                    <w:sz w:val="20"/>
                    <w:lang w:eastAsia="lt-LT"/>
                  </w:rPr>
                  <w:t>1.6. kaimo plėtros žemėtvarkos projektai (kai planuojamos teritorijos plotas 1 ha ar didesnis), kuriuose planuojamiems sprendiniams įgyvendinti bus keičiamos žemės naudmenos, išskyrus:</w:t>
                </w:r>
                <w:r>
                  <w:rPr>
                    <w:szCs w:val="24"/>
                    <w:lang w:eastAsia="lt-LT"/>
                  </w:rPr>
                  <w:t> </w:t>
                </w:r>
              </w:p>
              <w:p>
                <w:pPr>
                  <w:jc w:val="both"/>
                  <w:textAlignment w:val="baseline"/>
                  <w:rPr>
                    <w:szCs w:val="24"/>
                    <w:lang w:eastAsia="lt-LT"/>
                  </w:rPr>
                </w:pPr>
                <w:r>
                  <w:rPr>
                    <w:b/>
                    <w:sz w:val="20"/>
                    <w:lang w:eastAsia="lt-LT"/>
                  </w:rPr>
                  <w:t>1.6.1. ūkininko sodybos statinių – vieno buto gyvenamosios paskirties pastato su pagalbinio ūkio paskirties statiniais statybos zonos nustatymą;</w:t>
                </w:r>
                <w:r>
                  <w:rPr>
                    <w:szCs w:val="24"/>
                    <w:lang w:eastAsia="lt-LT"/>
                  </w:rPr>
                  <w:t> </w:t>
                </w:r>
              </w:p>
              <w:p>
                <w:pPr>
                  <w:jc w:val="both"/>
                  <w:textAlignment w:val="baseline"/>
                  <w:rPr>
                    <w:szCs w:val="24"/>
                    <w:lang w:eastAsia="lt-LT"/>
                  </w:rPr>
                </w:pPr>
                <w:r>
                  <w:rPr>
                    <w:b/>
                    <w:sz w:val="20"/>
                    <w:lang w:eastAsia="lt-LT"/>
                  </w:rPr>
                  <w:t>1.6.2. kai planuojamoje teritorijoje numatoma vykdyti šio įstatymo 1 priede ar šiame priede nurodytą ūkinę veiklą;</w:t>
                </w:r>
                <w:r>
                  <w:rPr>
                    <w:szCs w:val="24"/>
                    <w:lang w:eastAsia="lt-LT"/>
                  </w:rPr>
                  <w:t> </w:t>
                </w:r>
              </w:p>
              <w:p>
                <w:pPr>
                  <w:jc w:val="both"/>
                  <w:textAlignment w:val="baseline"/>
                  <w:rPr>
                    <w:szCs w:val="24"/>
                    <w:lang w:eastAsia="lt-LT"/>
                  </w:rPr>
                </w:pPr>
                <w:r>
                  <w:rPr>
                    <w:b/>
                    <w:sz w:val="20"/>
                    <w:lang w:eastAsia="lt-LT"/>
                  </w:rPr>
                  <w:t>1.7. miško įveisimas ar miško iškirtimas keičiant žemės naudmenas, kai:</w:t>
                </w:r>
                <w:r>
                  <w:rPr>
                    <w:szCs w:val="24"/>
                    <w:lang w:eastAsia="lt-LT"/>
                  </w:rPr>
                  <w:t> </w:t>
                </w:r>
              </w:p>
              <w:p>
                <w:pPr>
                  <w:jc w:val="both"/>
                  <w:textAlignment w:val="baseline"/>
                  <w:rPr>
                    <w:szCs w:val="24"/>
                    <w:lang w:eastAsia="lt-LT"/>
                  </w:rPr>
                </w:pPr>
                <w:r>
                  <w:rPr>
                    <w:b/>
                    <w:sz w:val="20"/>
                    <w:lang w:eastAsia="lt-LT"/>
                  </w:rPr>
                  <w:t>1.7.1. miškas įveisiamas didesniame kaip 10 ha žemės plote;</w:t>
                </w:r>
                <w:r>
                  <w:rPr>
                    <w:szCs w:val="24"/>
                    <w:lang w:eastAsia="lt-LT"/>
                  </w:rPr>
                  <w:t> </w:t>
                </w:r>
              </w:p>
              <w:p>
                <w:pPr>
                  <w:jc w:val="both"/>
                  <w:textAlignment w:val="baseline"/>
                  <w:rPr>
                    <w:szCs w:val="24"/>
                    <w:lang w:eastAsia="lt-LT"/>
                  </w:rPr>
                </w:pPr>
                <w:r>
                  <w:rPr>
                    <w:b/>
                    <w:sz w:val="20"/>
                    <w:lang w:eastAsia="lt-LT"/>
                  </w:rPr>
                  <w:t>1.7.2. miškas iškertamas kaimo vietovėse 1 ha ir didesniame žemės plote, miestuose – bet kokio dydžio žemės plote, išskyrus atvejus, kai atkuriamos atviros Europos Bendrijos svarbos natūralios buveinės ar rūšių buveinės;</w:t>
                </w:r>
                <w:r>
                  <w:rPr>
                    <w:szCs w:val="24"/>
                    <w:lang w:eastAsia="lt-LT"/>
                  </w:rPr>
                  <w:t> </w:t>
                </w:r>
              </w:p>
              <w:p>
                <w:pPr>
                  <w:jc w:val="both"/>
                  <w:textAlignment w:val="baseline"/>
                  <w:rPr>
                    <w:szCs w:val="24"/>
                    <w:lang w:eastAsia="lt-LT"/>
                  </w:rPr>
                </w:pPr>
                <w:r>
                  <w:rPr>
                    <w:b/>
                    <w:sz w:val="20"/>
                    <w:lang w:eastAsia="lt-LT"/>
                  </w:rPr>
                  <w:t>1.8. žemės plotų atgavimas iš jūros.</w:t>
                </w:r>
                <w:r>
                  <w:rPr>
                    <w:szCs w:val="24"/>
                    <w:lang w:eastAsia="lt-LT"/>
                  </w:rPr>
                  <w:t> </w:t>
                </w:r>
              </w:p>
              <w:p>
                <w:pPr>
                  <w:jc w:val="both"/>
                  <w:textAlignment w:val="baseline"/>
                  <w:rPr>
                    <w:szCs w:val="24"/>
                    <w:lang w:eastAsia="lt-LT"/>
                  </w:rPr>
                </w:pPr>
                <w:r>
                  <w:rPr>
                    <w:b/>
                    <w:sz w:val="20"/>
                    <w:lang w:eastAsia="lt-LT"/>
                  </w:rPr>
                  <w:t>2. Gavyba ir perdirbamoji pramonė:</w:t>
                </w:r>
                <w:r>
                  <w:rPr>
                    <w:szCs w:val="24"/>
                    <w:lang w:eastAsia="lt-LT"/>
                  </w:rPr>
                  <w:t> </w:t>
                </w:r>
              </w:p>
              <w:p>
                <w:pPr>
                  <w:jc w:val="both"/>
                  <w:textAlignment w:val="baseline"/>
                  <w:rPr>
                    <w:szCs w:val="24"/>
                    <w:lang w:eastAsia="lt-LT"/>
                  </w:rPr>
                </w:pPr>
                <w:r>
                  <w:rPr>
                    <w:b/>
                    <w:sz w:val="20"/>
                    <w:lang w:eastAsia="lt-LT"/>
                  </w:rPr>
                  <w:t>2.1. durpių gavyba (kai gavybos sklypas – mažiau kaip 150 ha, bet daugiau kaip 0,5 ha);</w:t>
                </w:r>
                <w:r>
                  <w:rPr>
                    <w:szCs w:val="24"/>
                    <w:lang w:eastAsia="lt-LT"/>
                  </w:rPr>
                  <w:t> </w:t>
                </w:r>
              </w:p>
              <w:p>
                <w:pPr>
                  <w:jc w:val="both"/>
                  <w:textAlignment w:val="baseline"/>
                  <w:rPr>
                    <w:szCs w:val="24"/>
                    <w:lang w:eastAsia="lt-LT"/>
                  </w:rPr>
                </w:pPr>
                <w:r>
                  <w:rPr>
                    <w:b/>
                    <w:sz w:val="20"/>
                    <w:lang w:eastAsia="lt-LT"/>
                  </w:rPr>
                  <w:t>2.2. tradicinių angliavandenilių (naftos) gavyba Lietuvos Respublikos žemyninėje dalyje (kai telkinyje išgaunama 500 ar mažiau tonų naftos per parą);</w:t>
                </w:r>
                <w:r>
                  <w:rPr>
                    <w:szCs w:val="24"/>
                    <w:lang w:eastAsia="lt-LT"/>
                  </w:rPr>
                  <w:t> </w:t>
                </w:r>
              </w:p>
              <w:p>
                <w:pPr>
                  <w:jc w:val="both"/>
                  <w:textAlignment w:val="baseline"/>
                  <w:rPr>
                    <w:szCs w:val="24"/>
                    <w:lang w:eastAsia="lt-LT"/>
                  </w:rPr>
                </w:pPr>
                <w:r>
                  <w:rPr>
                    <w:b/>
                    <w:sz w:val="20"/>
                    <w:lang w:eastAsia="lt-LT"/>
                  </w:rPr>
                  <w:t>2.3. tradicinių angliavandenilių (dujų) gavyba Lietuvos Respublikos žemyninėje dalyje (kai telkinyje išgaunama 500 000 ar mažiau m3 dujų per parą);</w:t>
                </w:r>
                <w:r>
                  <w:rPr>
                    <w:szCs w:val="24"/>
                    <w:lang w:eastAsia="lt-LT"/>
                  </w:rPr>
                  <w:t> </w:t>
                </w:r>
              </w:p>
              <w:p>
                <w:pPr>
                  <w:jc w:val="both"/>
                  <w:textAlignment w:val="baseline"/>
                  <w:rPr>
                    <w:szCs w:val="24"/>
                    <w:lang w:eastAsia="lt-LT"/>
                  </w:rPr>
                </w:pPr>
                <w:r>
                  <w:rPr>
                    <w:b/>
                    <w:sz w:val="20"/>
                    <w:lang w:eastAsia="lt-LT"/>
                  </w:rPr>
                  <w:t>2.4. kitų naudingųjų iškasenų gavyba (kai gavybos sklypas – mažesnis kaip 25 ha, bet didesnis kaip 0,5 ha);</w:t>
                </w:r>
                <w:r>
                  <w:rPr>
                    <w:szCs w:val="24"/>
                    <w:lang w:eastAsia="lt-LT"/>
                  </w:rPr>
                  <w:t> </w:t>
                </w:r>
              </w:p>
              <w:p>
                <w:pPr>
                  <w:jc w:val="both"/>
                  <w:textAlignment w:val="baseline"/>
                  <w:rPr>
                    <w:szCs w:val="24"/>
                    <w:lang w:eastAsia="lt-LT"/>
                  </w:rPr>
                </w:pPr>
                <w:r>
                  <w:rPr>
                    <w:b/>
                    <w:sz w:val="20"/>
                    <w:lang w:eastAsia="lt-LT"/>
                  </w:rPr>
                  <w:t>2.5. mineralinių ar organinių medžiagų gavyba iš jūrų, ežerų ar upių dugno;</w:t>
                </w:r>
                <w:r>
                  <w:rPr>
                    <w:szCs w:val="24"/>
                    <w:lang w:eastAsia="lt-LT"/>
                  </w:rPr>
                  <w:t> </w:t>
                </w:r>
              </w:p>
              <w:p>
                <w:pPr>
                  <w:jc w:val="both"/>
                  <w:textAlignment w:val="baseline"/>
                  <w:rPr>
                    <w:szCs w:val="24"/>
                    <w:lang w:eastAsia="lt-LT"/>
                  </w:rPr>
                </w:pPr>
                <w:r>
                  <w:rPr>
                    <w:b/>
                    <w:sz w:val="20"/>
                    <w:lang w:eastAsia="lt-LT"/>
                  </w:rPr>
                  <w:t>2.6. giluminių gręžinių (geoterminių, požeminio vandens, mineralinio vandens gavybos, išsklaidytųjų ir tradicinių angliavandenilių išteklių tiesioginio tyrimo gręžinių ir kt.), kurių gylis 300 m ir daugiau, gręžimas ir įrengimas, išskyrus šio įstatymo 1 priedo 2.7 papunktyje nurodytą veiklą ir gręžinius, skirtus grunto stabilumui tirti;</w:t>
                </w:r>
                <w:r>
                  <w:rPr>
                    <w:szCs w:val="24"/>
                    <w:lang w:eastAsia="lt-LT"/>
                  </w:rPr>
                  <w:t> </w:t>
                </w:r>
              </w:p>
              <w:p>
                <w:pPr>
                  <w:jc w:val="both"/>
                  <w:textAlignment w:val="baseline"/>
                  <w:rPr>
                    <w:szCs w:val="24"/>
                    <w:lang w:eastAsia="lt-LT"/>
                  </w:rPr>
                </w:pPr>
                <w:r>
                  <w:rPr>
                    <w:b/>
                    <w:sz w:val="20"/>
                    <w:lang w:eastAsia="lt-LT"/>
                  </w:rPr>
                  <w:t>2.7. šachtų tipo kasyklų įrengimas.</w:t>
                </w:r>
                <w:r>
                  <w:rPr>
                    <w:szCs w:val="24"/>
                    <w:lang w:eastAsia="lt-LT"/>
                  </w:rPr>
                  <w:t> </w:t>
                </w:r>
              </w:p>
              <w:p>
                <w:pPr>
                  <w:jc w:val="both"/>
                  <w:textAlignment w:val="baseline"/>
                  <w:rPr>
                    <w:szCs w:val="24"/>
                    <w:lang w:eastAsia="lt-LT"/>
                  </w:rPr>
                </w:pPr>
                <w:r>
                  <w:rPr>
                    <w:b/>
                    <w:sz w:val="20"/>
                    <w:lang w:eastAsia="lt-LT"/>
                  </w:rPr>
                  <w:t>3. Energetika:</w:t>
                </w:r>
                <w:r>
                  <w:rPr>
                    <w:szCs w:val="24"/>
                    <w:lang w:eastAsia="lt-LT"/>
                  </w:rPr>
                  <w:t> </w:t>
                </w:r>
              </w:p>
              <w:p>
                <w:pPr>
                  <w:jc w:val="both"/>
                  <w:textAlignment w:val="baseline"/>
                  <w:rPr>
                    <w:szCs w:val="24"/>
                    <w:lang w:eastAsia="lt-LT"/>
                  </w:rPr>
                </w:pPr>
                <w:r>
                  <w:rPr>
                    <w:b/>
                    <w:sz w:val="20"/>
                    <w:lang w:eastAsia="lt-LT"/>
                  </w:rPr>
                  <w:t>3.1. šiluminių elektrinių bei kitų deginimo įrenginių, įskaitant pramoninius įrenginius elektrai, garui gaminti ar vandeniui šildyti, įrengimas (kai įrenginių vardinė (nominali) šiluminė galia – mažesnė kaip 150 MW, bet didesnė kaip 5 MW);</w:t>
                </w:r>
                <w:r>
                  <w:rPr>
                    <w:szCs w:val="24"/>
                    <w:lang w:eastAsia="lt-LT"/>
                  </w:rPr>
                  <w:t> </w:t>
                </w:r>
              </w:p>
              <w:p>
                <w:pPr>
                  <w:jc w:val="both"/>
                  <w:textAlignment w:val="baseline"/>
                  <w:rPr>
                    <w:szCs w:val="24"/>
                    <w:lang w:eastAsia="lt-LT"/>
                  </w:rPr>
                </w:pPr>
                <w:r>
                  <w:rPr>
                    <w:b/>
                    <w:sz w:val="20"/>
                    <w:lang w:eastAsia="lt-LT"/>
                  </w:rPr>
                  <w:t>3.2. garo ar karšto vandens tiekimo vamzdynų tiesimas (kai ilgis – 2 ar daugiau km);</w:t>
                </w:r>
                <w:r>
                  <w:rPr>
                    <w:szCs w:val="24"/>
                    <w:lang w:eastAsia="lt-LT"/>
                  </w:rPr>
                  <w:t> </w:t>
                </w:r>
              </w:p>
              <w:p>
                <w:pPr>
                  <w:jc w:val="both"/>
                  <w:textAlignment w:val="baseline"/>
                  <w:rPr>
                    <w:szCs w:val="24"/>
                    <w:lang w:eastAsia="lt-LT"/>
                  </w:rPr>
                </w:pPr>
                <w:r>
                  <w:rPr>
                    <w:b/>
                    <w:sz w:val="20"/>
                    <w:lang w:eastAsia="lt-LT"/>
                  </w:rPr>
                  <w:t>3.3. gamtinių dujų saugyklų įrengimas (kai talpa – 10 000 ar daugiau m3);</w:t>
                </w:r>
                <w:r>
                  <w:rPr>
                    <w:szCs w:val="24"/>
                    <w:lang w:eastAsia="lt-LT"/>
                  </w:rPr>
                  <w:t> </w:t>
                </w:r>
              </w:p>
              <w:p>
                <w:pPr>
                  <w:jc w:val="both"/>
                  <w:textAlignment w:val="baseline"/>
                  <w:rPr>
                    <w:szCs w:val="24"/>
                    <w:lang w:eastAsia="lt-LT"/>
                  </w:rPr>
                </w:pPr>
                <w:r>
                  <w:rPr>
                    <w:b/>
                    <w:sz w:val="20"/>
                    <w:lang w:eastAsia="lt-LT"/>
                  </w:rPr>
                  <w:t>3.4. degiųjų dujų požeminių saugyklų įrengimas (kai talpa – 10 000 ar daugiau m3);</w:t>
                </w:r>
                <w:r>
                  <w:rPr>
                    <w:szCs w:val="24"/>
                    <w:lang w:eastAsia="lt-LT"/>
                  </w:rPr>
                  <w:t> </w:t>
                </w:r>
              </w:p>
              <w:p>
                <w:pPr>
                  <w:jc w:val="both"/>
                  <w:textAlignment w:val="baseline"/>
                  <w:rPr>
                    <w:szCs w:val="24"/>
                    <w:lang w:eastAsia="lt-LT"/>
                  </w:rPr>
                </w:pPr>
                <w:r>
                  <w:rPr>
                    <w:b/>
                    <w:sz w:val="20"/>
                    <w:lang w:eastAsia="lt-LT"/>
                  </w:rPr>
                  <w:t>3.5. kito iškastinio kuro saugojimas statiniuose (sandėliuose ar aikštelėse) (kai talpa – 1 000 ar daugiau tonų), išskyrus šio priedo 3.3 ir 6.6 papunkčiuose nurodytą veiklą;</w:t>
                </w:r>
                <w:r>
                  <w:rPr>
                    <w:szCs w:val="24"/>
                    <w:lang w:eastAsia="lt-LT"/>
                  </w:rPr>
                  <w:t> </w:t>
                </w:r>
              </w:p>
              <w:p>
                <w:pPr>
                  <w:jc w:val="both"/>
                  <w:textAlignment w:val="baseline"/>
                  <w:rPr>
                    <w:szCs w:val="24"/>
                    <w:lang w:eastAsia="lt-LT"/>
                  </w:rPr>
                </w:pPr>
                <w:r>
                  <w:rPr>
                    <w:b/>
                    <w:sz w:val="20"/>
                    <w:lang w:eastAsia="lt-LT"/>
                  </w:rPr>
                  <w:t>3.6. briketų gamyba iš anglių ar lignito;</w:t>
                </w:r>
                <w:r>
                  <w:rPr>
                    <w:szCs w:val="24"/>
                    <w:lang w:eastAsia="lt-LT"/>
                  </w:rPr>
                  <w:t> </w:t>
                </w:r>
              </w:p>
              <w:p>
                <w:pPr>
                  <w:jc w:val="both"/>
                  <w:textAlignment w:val="baseline"/>
                  <w:rPr>
                    <w:szCs w:val="24"/>
                    <w:lang w:eastAsia="lt-LT"/>
                  </w:rPr>
                </w:pPr>
                <w:r>
                  <w:rPr>
                    <w:b/>
                    <w:sz w:val="20"/>
                    <w:lang w:eastAsia="lt-LT"/>
                  </w:rPr>
                  <w:t>3.7. vandens jėgainių (hidroelektrinių, malūnų, lentpjūvių, naudojančių sukauptą vandens energiją) įrengimas;</w:t>
                </w:r>
                <w:r>
                  <w:rPr>
                    <w:szCs w:val="24"/>
                    <w:lang w:eastAsia="lt-LT"/>
                  </w:rPr>
                  <w:t> </w:t>
                </w:r>
              </w:p>
              <w:p>
                <w:pPr>
                  <w:jc w:val="both"/>
                  <w:textAlignment w:val="baseline"/>
                  <w:rPr>
                    <w:szCs w:val="24"/>
                    <w:lang w:eastAsia="lt-LT"/>
                  </w:rPr>
                </w:pPr>
                <w:r>
                  <w:rPr>
                    <w:b/>
                    <w:sz w:val="20"/>
                    <w:lang w:eastAsia="lt-LT"/>
                  </w:rPr>
                  <w:t>3.8. vėjo elektrinių įrengimas, kai:</w:t>
                </w:r>
                <w:r>
                  <w:rPr>
                    <w:szCs w:val="24"/>
                    <w:lang w:eastAsia="lt-LT"/>
                  </w:rPr>
                  <w:t> </w:t>
                </w:r>
              </w:p>
              <w:p>
                <w:pPr>
                  <w:jc w:val="both"/>
                  <w:textAlignment w:val="baseline"/>
                  <w:rPr>
                    <w:szCs w:val="24"/>
                    <w:lang w:eastAsia="lt-LT"/>
                  </w:rPr>
                </w:pPr>
                <w:r>
                  <w:rPr>
                    <w:b/>
                    <w:sz w:val="20"/>
                    <w:lang w:eastAsia="lt-LT"/>
                  </w:rPr>
                  <w:t>3.8.1. įrengiamos 3 vėjo elektrinės, kurių bent vienos aukštis 50 m (matuojant iki aukščiausio konstrukcijų taško) ar daugiau;</w:t>
                </w:r>
                <w:r>
                  <w:rPr>
                    <w:szCs w:val="24"/>
                    <w:lang w:eastAsia="lt-LT"/>
                  </w:rPr>
                  <w:t> </w:t>
                </w:r>
              </w:p>
              <w:p>
                <w:pPr>
                  <w:jc w:val="both"/>
                  <w:textAlignment w:val="baseline"/>
                  <w:rPr>
                    <w:szCs w:val="24"/>
                    <w:lang w:eastAsia="lt-LT"/>
                  </w:rPr>
                </w:pPr>
                <w:r>
                  <w:rPr>
                    <w:b/>
                    <w:sz w:val="20"/>
                    <w:lang w:eastAsia="lt-LT"/>
                  </w:rPr>
                  <w:t>3.8.2. vėjo elektrinė įrengiama arčiau kaip 1 km atstumu nuo saugomos teritorijos, išskyrus atvejus, kai įrengiama ne daugiau kaip viena ir ne aukštesnė kaip 25 m (matuojant iki aukščiausio konstrukcijų taško) vėjo elektrinė sodyboje ar prie ūkinių pastatų;</w:t>
                </w:r>
                <w:r>
                  <w:rPr>
                    <w:szCs w:val="24"/>
                    <w:lang w:eastAsia="lt-LT"/>
                  </w:rPr>
                  <w:t> </w:t>
                </w:r>
              </w:p>
              <w:p>
                <w:pPr>
                  <w:jc w:val="both"/>
                  <w:textAlignment w:val="baseline"/>
                  <w:rPr>
                    <w:szCs w:val="24"/>
                    <w:lang w:eastAsia="lt-LT"/>
                  </w:rPr>
                </w:pPr>
                <w:r>
                  <w:rPr>
                    <w:b/>
                    <w:sz w:val="20"/>
                    <w:lang w:eastAsia="lt-LT"/>
                  </w:rPr>
                  <w:t>3.9. įrenginių, naudojamų anglies dioksido (CO2), kuris saugomas geologinėse saugyklose, surinkimui iš įrenginių, nenurodytų šio įstatymo 1 priedo 9.12 papunktyje, įrengimas.</w:t>
                </w:r>
                <w:r>
                  <w:rPr>
                    <w:szCs w:val="24"/>
                    <w:lang w:eastAsia="lt-LT"/>
                  </w:rPr>
                  <w:t> </w:t>
                </w:r>
              </w:p>
              <w:p>
                <w:pPr>
                  <w:jc w:val="both"/>
                  <w:textAlignment w:val="baseline"/>
                  <w:rPr>
                    <w:szCs w:val="24"/>
                    <w:lang w:eastAsia="lt-LT"/>
                  </w:rPr>
                </w:pPr>
                <w:r>
                  <w:rPr>
                    <w:b/>
                    <w:sz w:val="20"/>
                    <w:lang w:eastAsia="lt-LT"/>
                  </w:rPr>
                  <w:t>4. Metalų gamybos, perdirbimo ir apdirbimo pramonė:</w:t>
                </w:r>
                <w:r>
                  <w:rPr>
                    <w:szCs w:val="24"/>
                    <w:lang w:eastAsia="lt-LT"/>
                  </w:rPr>
                  <w:t> </w:t>
                </w:r>
              </w:p>
              <w:p>
                <w:pPr>
                  <w:jc w:val="both"/>
                  <w:textAlignment w:val="baseline"/>
                  <w:rPr>
                    <w:szCs w:val="24"/>
                    <w:lang w:eastAsia="lt-LT"/>
                  </w:rPr>
                </w:pPr>
                <w:r>
                  <w:rPr>
                    <w:b/>
                    <w:sz w:val="20"/>
                    <w:lang w:eastAsia="lt-LT"/>
                  </w:rPr>
                  <w:t>4.1. metalų rūdų perdirbimas, išskyrus šio įstatymo 1 priedo 4.2 papunktyje nurodytą veiklą;</w:t>
                </w:r>
                <w:r>
                  <w:rPr>
                    <w:szCs w:val="24"/>
                    <w:lang w:eastAsia="lt-LT"/>
                  </w:rPr>
                  <w:t> </w:t>
                </w:r>
              </w:p>
              <w:p>
                <w:pPr>
                  <w:jc w:val="both"/>
                  <w:textAlignment w:val="baseline"/>
                  <w:rPr>
                    <w:szCs w:val="24"/>
                    <w:lang w:eastAsia="lt-LT"/>
                  </w:rPr>
                </w:pPr>
                <w:r>
                  <w:rPr>
                    <w:b/>
                    <w:sz w:val="20"/>
                    <w:lang w:eastAsia="lt-LT"/>
                  </w:rPr>
                  <w:t>4.2. juodųjų metalų (įskaitant ketų ir plieną) gamyba (pirminis ar antrinis lydymas arba liejimas), išskyrus šio įstatymo 1 priedo 4.1 papunktyje nurodytą veiklą;</w:t>
                </w:r>
                <w:r>
                  <w:rPr>
                    <w:szCs w:val="24"/>
                    <w:lang w:eastAsia="lt-LT"/>
                  </w:rPr>
                  <w:t> </w:t>
                </w:r>
              </w:p>
              <w:p>
                <w:pPr>
                  <w:jc w:val="both"/>
                  <w:textAlignment w:val="baseline"/>
                  <w:rPr>
                    <w:szCs w:val="24"/>
                    <w:lang w:eastAsia="lt-LT"/>
                  </w:rPr>
                </w:pPr>
                <w:r>
                  <w:rPr>
                    <w:b/>
                    <w:sz w:val="20"/>
                    <w:lang w:eastAsia="lt-LT"/>
                  </w:rPr>
                  <w:t>4.3. juodųjų metalų perdirbimas ir (ar) apdirbimas, įskaitant:</w:t>
                </w:r>
                <w:r>
                  <w:rPr>
                    <w:szCs w:val="24"/>
                    <w:lang w:eastAsia="lt-LT"/>
                  </w:rPr>
                  <w:t> </w:t>
                </w:r>
              </w:p>
              <w:p>
                <w:pPr>
                  <w:jc w:val="both"/>
                  <w:textAlignment w:val="baseline"/>
                  <w:rPr>
                    <w:szCs w:val="24"/>
                    <w:lang w:eastAsia="lt-LT"/>
                  </w:rPr>
                </w:pPr>
                <w:r>
                  <w:rPr>
                    <w:b/>
                    <w:sz w:val="20"/>
                    <w:lang w:eastAsia="lt-LT"/>
                  </w:rPr>
                  <w:t>4.3.1. karštą valcavimą (kai gamybos pajėgumas – 5 ar daugiau tonų per parą);</w:t>
                </w:r>
                <w:r>
                  <w:rPr>
                    <w:szCs w:val="24"/>
                    <w:lang w:eastAsia="lt-LT"/>
                  </w:rPr>
                  <w:t> </w:t>
                </w:r>
              </w:p>
              <w:p>
                <w:pPr>
                  <w:jc w:val="both"/>
                  <w:textAlignment w:val="baseline"/>
                  <w:rPr>
                    <w:szCs w:val="24"/>
                    <w:lang w:eastAsia="lt-LT"/>
                  </w:rPr>
                </w:pPr>
                <w:r>
                  <w:rPr>
                    <w:b/>
                    <w:sz w:val="20"/>
                    <w:lang w:eastAsia="lt-LT"/>
                  </w:rPr>
                  <w:t>4.3.2. kalimą (kai naudojami pneumatiniai, hidrauliniai ar gariniai kūjai);</w:t>
                </w:r>
                <w:r>
                  <w:rPr>
                    <w:szCs w:val="24"/>
                    <w:lang w:eastAsia="lt-LT"/>
                  </w:rPr>
                  <w:t> </w:t>
                </w:r>
              </w:p>
              <w:p>
                <w:pPr>
                  <w:jc w:val="both"/>
                  <w:textAlignment w:val="baseline"/>
                  <w:rPr>
                    <w:szCs w:val="24"/>
                    <w:lang w:eastAsia="lt-LT"/>
                  </w:rPr>
                </w:pPr>
                <w:r>
                  <w:rPr>
                    <w:b/>
                    <w:sz w:val="20"/>
                    <w:lang w:eastAsia="lt-LT"/>
                  </w:rPr>
                  <w:t>4.3.3. presavimą, štampavimą, profiliavimą (kai gamybos pajėgumas – 5 ar daugiau tonų per parą);</w:t>
                </w:r>
                <w:r>
                  <w:rPr>
                    <w:szCs w:val="24"/>
                    <w:lang w:eastAsia="lt-LT"/>
                  </w:rPr>
                  <w:t> </w:t>
                </w:r>
              </w:p>
              <w:p>
                <w:pPr>
                  <w:jc w:val="both"/>
                  <w:textAlignment w:val="baseline"/>
                  <w:rPr>
                    <w:szCs w:val="24"/>
                    <w:lang w:eastAsia="lt-LT"/>
                  </w:rPr>
                </w:pPr>
                <w:r>
                  <w:rPr>
                    <w:b/>
                    <w:sz w:val="20"/>
                    <w:lang w:eastAsia="lt-LT"/>
                  </w:rPr>
                  <w:t>4.3.4. apsauginės aplydytosios dangos (kai jos įkrova didesnė kaip 0,5 tonos termiškai neapdoroto plieno per parą) taikymą;</w:t>
                </w:r>
                <w:r>
                  <w:rPr>
                    <w:szCs w:val="24"/>
                    <w:lang w:eastAsia="lt-LT"/>
                  </w:rPr>
                  <w:t> </w:t>
                </w:r>
              </w:p>
              <w:p>
                <w:pPr>
                  <w:jc w:val="both"/>
                  <w:textAlignment w:val="baseline"/>
                  <w:rPr>
                    <w:szCs w:val="24"/>
                    <w:lang w:eastAsia="lt-LT"/>
                  </w:rPr>
                </w:pPr>
                <w:r>
                  <w:rPr>
                    <w:b/>
                    <w:sz w:val="20"/>
                    <w:lang w:eastAsia="lt-LT"/>
                  </w:rPr>
                  <w:t>4.4. spalvotųjų metalų (išskyrus tauriuosius) lydymas ar liejimas, įskaitant antrinių žaliavų perdirbimą (valymą, liejimą ir t. t.) (kai gamybos pajėgumas – 15 ar daugiau tonų per parą);</w:t>
                </w:r>
                <w:r>
                  <w:rPr>
                    <w:szCs w:val="24"/>
                    <w:lang w:eastAsia="lt-LT"/>
                  </w:rPr>
                  <w:t> </w:t>
                </w:r>
              </w:p>
              <w:p>
                <w:pPr>
                  <w:jc w:val="both"/>
                  <w:textAlignment w:val="baseline"/>
                  <w:rPr>
                    <w:szCs w:val="24"/>
                    <w:lang w:eastAsia="lt-LT"/>
                  </w:rPr>
                </w:pPr>
                <w:r>
                  <w:rPr>
                    <w:b/>
                    <w:sz w:val="20"/>
                    <w:lang w:eastAsia="lt-LT"/>
                  </w:rPr>
                  <w:t>4.5. metalų ar plastikų paviršių apdorojimas elektrolizės ar cheminiais būdais (kai gamybos pajėgumas – 50 000 ar daugiau m2 per metus);</w:t>
                </w:r>
                <w:r>
                  <w:rPr>
                    <w:szCs w:val="24"/>
                    <w:lang w:eastAsia="lt-LT"/>
                  </w:rPr>
                  <w:t> </w:t>
                </w:r>
              </w:p>
              <w:p>
                <w:pPr>
                  <w:jc w:val="both"/>
                  <w:textAlignment w:val="baseline"/>
                  <w:rPr>
                    <w:szCs w:val="24"/>
                    <w:lang w:eastAsia="lt-LT"/>
                  </w:rPr>
                </w:pPr>
                <w:r>
                  <w:rPr>
                    <w:b/>
                    <w:sz w:val="20"/>
                    <w:lang w:eastAsia="lt-LT"/>
                  </w:rPr>
                  <w:t>4.6. variklinių transporto priemonių gamyba ir surinkimas;</w:t>
                </w:r>
                <w:r>
                  <w:rPr>
                    <w:szCs w:val="24"/>
                    <w:lang w:eastAsia="lt-LT"/>
                  </w:rPr>
                  <w:t> </w:t>
                </w:r>
              </w:p>
              <w:p>
                <w:pPr>
                  <w:jc w:val="both"/>
                  <w:textAlignment w:val="baseline"/>
                  <w:rPr>
                    <w:szCs w:val="24"/>
                    <w:lang w:eastAsia="lt-LT"/>
                  </w:rPr>
                </w:pPr>
                <w:r>
                  <w:rPr>
                    <w:b/>
                    <w:sz w:val="20"/>
                    <w:lang w:eastAsia="lt-LT"/>
                  </w:rPr>
                  <w:t>4.7. laivų statyba, perdirbimas ar remontas;</w:t>
                </w:r>
                <w:r>
                  <w:rPr>
                    <w:szCs w:val="24"/>
                    <w:lang w:eastAsia="lt-LT"/>
                  </w:rPr>
                  <w:t> </w:t>
                </w:r>
              </w:p>
              <w:p>
                <w:pPr>
                  <w:jc w:val="both"/>
                  <w:textAlignment w:val="baseline"/>
                  <w:rPr>
                    <w:szCs w:val="24"/>
                    <w:lang w:eastAsia="lt-LT"/>
                  </w:rPr>
                </w:pPr>
                <w:r>
                  <w:rPr>
                    <w:b/>
                    <w:sz w:val="20"/>
                    <w:lang w:eastAsia="lt-LT"/>
                  </w:rPr>
                  <w:t>4.8. orlaivių gamyba ar remontas;</w:t>
                </w:r>
                <w:r>
                  <w:rPr>
                    <w:szCs w:val="24"/>
                    <w:lang w:eastAsia="lt-LT"/>
                  </w:rPr>
                  <w:t> </w:t>
                </w:r>
              </w:p>
              <w:p>
                <w:pPr>
                  <w:jc w:val="both"/>
                  <w:textAlignment w:val="baseline"/>
                  <w:rPr>
                    <w:szCs w:val="24"/>
                    <w:lang w:eastAsia="lt-LT"/>
                  </w:rPr>
                </w:pPr>
                <w:r>
                  <w:rPr>
                    <w:b/>
                    <w:sz w:val="20"/>
                    <w:lang w:eastAsia="lt-LT"/>
                  </w:rPr>
                  <w:t>4.9. geležinkelių įrangos gamyba, kai gamybos pajėgumas 5 ar daugiau tonų per parą;</w:t>
                </w:r>
                <w:r>
                  <w:rPr>
                    <w:szCs w:val="24"/>
                    <w:lang w:eastAsia="lt-LT"/>
                  </w:rPr>
                  <w:t> </w:t>
                </w:r>
              </w:p>
              <w:p>
                <w:pPr>
                  <w:jc w:val="both"/>
                  <w:textAlignment w:val="baseline"/>
                  <w:rPr>
                    <w:szCs w:val="24"/>
                    <w:lang w:eastAsia="lt-LT"/>
                  </w:rPr>
                </w:pPr>
                <w:r>
                  <w:rPr>
                    <w:b/>
                    <w:sz w:val="20"/>
                    <w:lang w:eastAsia="lt-LT"/>
                  </w:rPr>
                  <w:t>4.10. metalų kalimas, presavimas ar štampavimas sprogstamuoju būdu.</w:t>
                </w:r>
                <w:r>
                  <w:rPr>
                    <w:szCs w:val="24"/>
                    <w:lang w:eastAsia="lt-LT"/>
                  </w:rPr>
                  <w:t> </w:t>
                </w:r>
              </w:p>
              <w:p>
                <w:pPr>
                  <w:jc w:val="both"/>
                  <w:textAlignment w:val="baseline"/>
                  <w:rPr>
                    <w:szCs w:val="24"/>
                    <w:lang w:eastAsia="lt-LT"/>
                  </w:rPr>
                </w:pPr>
                <w:r>
                  <w:rPr>
                    <w:b/>
                    <w:sz w:val="20"/>
                    <w:lang w:eastAsia="lt-LT"/>
                  </w:rPr>
                  <w:t>5. Mineralinių statybinių medžiagų pramonė:</w:t>
                </w:r>
                <w:r>
                  <w:rPr>
                    <w:szCs w:val="24"/>
                    <w:lang w:eastAsia="lt-LT"/>
                  </w:rPr>
                  <w:t> </w:t>
                </w:r>
              </w:p>
              <w:p>
                <w:pPr>
                  <w:jc w:val="both"/>
                  <w:textAlignment w:val="baseline"/>
                  <w:rPr>
                    <w:szCs w:val="24"/>
                    <w:lang w:eastAsia="lt-LT"/>
                  </w:rPr>
                </w:pPr>
                <w:r>
                  <w:rPr>
                    <w:b/>
                    <w:sz w:val="20"/>
                    <w:lang w:eastAsia="lt-LT"/>
                  </w:rPr>
                  <w:t>5.1. kokso gamyba (sausas anglių distiliavimas);</w:t>
                </w:r>
                <w:r>
                  <w:rPr>
                    <w:szCs w:val="24"/>
                    <w:lang w:eastAsia="lt-LT"/>
                  </w:rPr>
                  <w:t> </w:t>
                </w:r>
              </w:p>
              <w:p>
                <w:pPr>
                  <w:jc w:val="both"/>
                  <w:textAlignment w:val="baseline"/>
                  <w:rPr>
                    <w:szCs w:val="24"/>
                    <w:lang w:eastAsia="lt-LT"/>
                  </w:rPr>
                </w:pPr>
                <w:r>
                  <w:rPr>
                    <w:b/>
                    <w:sz w:val="20"/>
                    <w:lang w:eastAsia="lt-LT"/>
                  </w:rPr>
                  <w:t>5.2. asbesto perdirbimas, asbesto turinčių gaminių gamyba, išskyrus šio įstatymo 1 priedo 5 punkte nurodytą veiklą;</w:t>
                </w:r>
                <w:r>
                  <w:rPr>
                    <w:szCs w:val="24"/>
                    <w:lang w:eastAsia="lt-LT"/>
                  </w:rPr>
                  <w:t> </w:t>
                </w:r>
              </w:p>
              <w:p>
                <w:pPr>
                  <w:jc w:val="both"/>
                  <w:textAlignment w:val="baseline"/>
                  <w:rPr>
                    <w:szCs w:val="24"/>
                    <w:lang w:eastAsia="lt-LT"/>
                  </w:rPr>
                </w:pPr>
                <w:r>
                  <w:rPr>
                    <w:b/>
                    <w:sz w:val="20"/>
                    <w:lang w:eastAsia="lt-LT"/>
                  </w:rPr>
                  <w:t>5.3. stiklo ar stiklo pluoštų gamyba;</w:t>
                </w:r>
                <w:r>
                  <w:rPr>
                    <w:szCs w:val="24"/>
                    <w:lang w:eastAsia="lt-LT"/>
                  </w:rPr>
                  <w:t> </w:t>
                </w:r>
              </w:p>
              <w:p>
                <w:pPr>
                  <w:jc w:val="both"/>
                  <w:textAlignment w:val="baseline"/>
                  <w:rPr>
                    <w:szCs w:val="24"/>
                    <w:lang w:eastAsia="lt-LT"/>
                  </w:rPr>
                </w:pPr>
                <w:r>
                  <w:rPr>
                    <w:b/>
                    <w:sz w:val="20"/>
                    <w:lang w:eastAsia="lt-LT"/>
                  </w:rPr>
                  <w:t>5.4. mineralinių medžiagų lydymas (pvz., natūralaus asfalto (bitumo) gamyba iš gamtinių dervų arba perdirbant naftą), įskaitant mineralinių pluoštų gamybą;</w:t>
                </w:r>
                <w:r>
                  <w:rPr>
                    <w:szCs w:val="24"/>
                    <w:lang w:eastAsia="lt-LT"/>
                  </w:rPr>
                  <w:t> </w:t>
                </w:r>
              </w:p>
              <w:p>
                <w:pPr>
                  <w:jc w:val="both"/>
                  <w:textAlignment w:val="baseline"/>
                  <w:rPr>
                    <w:szCs w:val="24"/>
                    <w:lang w:eastAsia="lt-LT"/>
                  </w:rPr>
                </w:pPr>
                <w:r>
                  <w:rPr>
                    <w:b/>
                    <w:sz w:val="20"/>
                    <w:lang w:eastAsia="lt-LT"/>
                  </w:rPr>
                  <w:t>5.5. dirbtinių mineralinių pluoštų gamyba;</w:t>
                </w:r>
                <w:r>
                  <w:rPr>
                    <w:szCs w:val="24"/>
                    <w:lang w:eastAsia="lt-LT"/>
                  </w:rPr>
                  <w:t> </w:t>
                </w:r>
              </w:p>
              <w:p>
                <w:pPr>
                  <w:jc w:val="both"/>
                  <w:textAlignment w:val="baseline"/>
                  <w:rPr>
                    <w:szCs w:val="24"/>
                    <w:lang w:eastAsia="lt-LT"/>
                  </w:rPr>
                </w:pPr>
                <w:r>
                  <w:rPr>
                    <w:b/>
                    <w:sz w:val="20"/>
                    <w:lang w:eastAsia="lt-LT"/>
                  </w:rPr>
                  <w:t>5.6. keramikos gaminių iš molio – čerpių, blokelių, plytų, koklių, įskaitant porceliano dirbinius, gamyba degimo būdu (kai gamybos pajėgumas – 3 ar daugiau tonų per parą);</w:t>
                </w:r>
                <w:r>
                  <w:rPr>
                    <w:szCs w:val="24"/>
                    <w:lang w:eastAsia="lt-LT"/>
                  </w:rPr>
                  <w:t> </w:t>
                </w:r>
              </w:p>
              <w:p>
                <w:pPr>
                  <w:jc w:val="both"/>
                  <w:textAlignment w:val="baseline"/>
                  <w:rPr>
                    <w:szCs w:val="24"/>
                    <w:lang w:eastAsia="lt-LT"/>
                  </w:rPr>
                </w:pPr>
                <w:r>
                  <w:rPr>
                    <w:b/>
                    <w:sz w:val="20"/>
                    <w:lang w:eastAsia="lt-LT"/>
                  </w:rPr>
                  <w:t>5.7. cemento gamyba.</w:t>
                </w:r>
                <w:r>
                  <w:rPr>
                    <w:szCs w:val="24"/>
                    <w:lang w:eastAsia="lt-LT"/>
                  </w:rPr>
                  <w:t> </w:t>
                </w:r>
              </w:p>
              <w:p>
                <w:pPr>
                  <w:jc w:val="both"/>
                  <w:textAlignment w:val="baseline"/>
                  <w:rPr>
                    <w:szCs w:val="24"/>
                    <w:lang w:eastAsia="lt-LT"/>
                  </w:rPr>
                </w:pPr>
                <w:r>
                  <w:rPr>
                    <w:b/>
                    <w:sz w:val="20"/>
                    <w:lang w:eastAsia="lt-LT"/>
                  </w:rPr>
                  <w:t>6. Chemijos pramonė:</w:t>
                </w:r>
                <w:r>
                  <w:rPr>
                    <w:szCs w:val="24"/>
                    <w:lang w:eastAsia="lt-LT"/>
                  </w:rPr>
                  <w:t> </w:t>
                </w:r>
              </w:p>
              <w:p>
                <w:pPr>
                  <w:jc w:val="both"/>
                  <w:textAlignment w:val="baseline"/>
                  <w:rPr>
                    <w:szCs w:val="24"/>
                    <w:lang w:eastAsia="lt-LT"/>
                  </w:rPr>
                </w:pPr>
                <w:r>
                  <w:rPr>
                    <w:b/>
                    <w:sz w:val="20"/>
                    <w:lang w:eastAsia="lt-LT"/>
                  </w:rPr>
                  <w:t>6.1. tarpinių cheminių medžiagų apdorojimas ir cheminių medžiagų gamyba, išskyrus šio įstatymo 1 priedo 6.1 ir 6.2 papunkčiuose nurodytą veiklą, kai gamybos pajėgumas – 5 ar daugiau tonų per parą;</w:t>
                </w:r>
                <w:r>
                  <w:rPr>
                    <w:szCs w:val="24"/>
                    <w:lang w:eastAsia="lt-LT"/>
                  </w:rPr>
                  <w:t> </w:t>
                </w:r>
              </w:p>
              <w:p>
                <w:pPr>
                  <w:jc w:val="both"/>
                  <w:textAlignment w:val="baseline"/>
                  <w:rPr>
                    <w:szCs w:val="24"/>
                    <w:lang w:eastAsia="lt-LT"/>
                  </w:rPr>
                </w:pPr>
                <w:r>
                  <w:rPr>
                    <w:b/>
                    <w:sz w:val="20"/>
                    <w:lang w:eastAsia="lt-LT"/>
                  </w:rPr>
                  <w:t>6.2. pesticidų gamyba (kai gamybos pajėgumas – 5 ar daugiau tonų per parą);</w:t>
                </w:r>
                <w:r>
                  <w:rPr>
                    <w:szCs w:val="24"/>
                    <w:lang w:eastAsia="lt-LT"/>
                  </w:rPr>
                  <w:t> </w:t>
                </w:r>
              </w:p>
              <w:p>
                <w:pPr>
                  <w:jc w:val="both"/>
                  <w:textAlignment w:val="baseline"/>
                  <w:rPr>
                    <w:szCs w:val="24"/>
                    <w:lang w:eastAsia="lt-LT"/>
                  </w:rPr>
                </w:pPr>
                <w:r>
                  <w:rPr>
                    <w:b/>
                    <w:sz w:val="20"/>
                    <w:lang w:eastAsia="lt-LT"/>
                  </w:rPr>
                  <w:t>6.3. dažų ir lakų gamyba (kai gamybos pajėgumas – 5 ar daugiau tonų per parą);</w:t>
                </w:r>
                <w:r>
                  <w:rPr>
                    <w:szCs w:val="24"/>
                    <w:lang w:eastAsia="lt-LT"/>
                  </w:rPr>
                  <w:t> </w:t>
                </w:r>
              </w:p>
              <w:p>
                <w:pPr>
                  <w:jc w:val="both"/>
                  <w:textAlignment w:val="baseline"/>
                  <w:rPr>
                    <w:szCs w:val="24"/>
                    <w:lang w:eastAsia="lt-LT"/>
                  </w:rPr>
                </w:pPr>
                <w:r>
                  <w:rPr>
                    <w:b/>
                    <w:sz w:val="20"/>
                    <w:lang w:eastAsia="lt-LT"/>
                  </w:rPr>
                  <w:t>6.4. peroksidų gamyba (kai gamybos pajėgumas – 5 ar daugiau tonų per parą);</w:t>
                </w:r>
                <w:r>
                  <w:rPr>
                    <w:szCs w:val="24"/>
                    <w:lang w:eastAsia="lt-LT"/>
                  </w:rPr>
                  <w:t> </w:t>
                </w:r>
              </w:p>
              <w:p>
                <w:pPr>
                  <w:jc w:val="both"/>
                  <w:textAlignment w:val="baseline"/>
                  <w:rPr>
                    <w:szCs w:val="24"/>
                    <w:lang w:eastAsia="lt-LT"/>
                  </w:rPr>
                </w:pPr>
                <w:r>
                  <w:rPr>
                    <w:b/>
                    <w:sz w:val="20"/>
                    <w:lang w:eastAsia="lt-LT"/>
                  </w:rPr>
                  <w:t>6.5. elastomerų gamyba (kai gamybos pajėgumas – 5 ar daugiau tonų per parą);</w:t>
                </w:r>
                <w:r>
                  <w:rPr>
                    <w:szCs w:val="24"/>
                    <w:lang w:eastAsia="lt-LT"/>
                  </w:rPr>
                  <w:t> </w:t>
                </w:r>
              </w:p>
              <w:p>
                <w:pPr>
                  <w:jc w:val="both"/>
                  <w:textAlignment w:val="baseline"/>
                  <w:rPr>
                    <w:szCs w:val="24"/>
                    <w:lang w:eastAsia="lt-LT"/>
                  </w:rPr>
                </w:pPr>
                <w:r>
                  <w:rPr>
                    <w:b/>
                    <w:sz w:val="20"/>
                    <w:lang w:eastAsia="lt-LT"/>
                  </w:rPr>
                  <w:t>6.6. naftos, naftos chemijos produktų, cheminių medžiagų ir cheminių mišinių saugojimas statiniuose (sandėliuose ar aikštelėse) (kai talpa – mažiau kaip 200 000, bet daugiau kaip 5 000 tonų);</w:t>
                </w:r>
                <w:r>
                  <w:rPr>
                    <w:szCs w:val="24"/>
                    <w:lang w:eastAsia="lt-LT"/>
                  </w:rPr>
                  <w:t> </w:t>
                </w:r>
              </w:p>
              <w:p>
                <w:pPr>
                  <w:jc w:val="both"/>
                  <w:textAlignment w:val="baseline"/>
                  <w:rPr>
                    <w:szCs w:val="24"/>
                    <w:lang w:eastAsia="lt-LT"/>
                  </w:rPr>
                </w:pPr>
                <w:r>
                  <w:rPr>
                    <w:b/>
                    <w:sz w:val="20"/>
                    <w:lang w:eastAsia="lt-LT"/>
                  </w:rPr>
                  <w:t>6.7. farmacinių produktų gamyba, išskyrus šio įstatymo 1 priedo 6.5 papunktyje nurodytą veiklą (kai gamybos pajėgumas – 5 ar daugiau tonų per parą).</w:t>
                </w:r>
                <w:r>
                  <w:rPr>
                    <w:szCs w:val="24"/>
                    <w:lang w:eastAsia="lt-LT"/>
                  </w:rPr>
                  <w:t> </w:t>
                </w:r>
              </w:p>
              <w:p>
                <w:pPr>
                  <w:jc w:val="both"/>
                  <w:textAlignment w:val="baseline"/>
                  <w:rPr>
                    <w:szCs w:val="24"/>
                    <w:lang w:eastAsia="lt-LT"/>
                  </w:rPr>
                </w:pPr>
                <w:r>
                  <w:rPr>
                    <w:b/>
                    <w:sz w:val="20"/>
                    <w:lang w:eastAsia="lt-LT"/>
                  </w:rPr>
                  <w:t>7. Maisto pramonė:</w:t>
                </w:r>
                <w:r>
                  <w:rPr>
                    <w:szCs w:val="24"/>
                    <w:lang w:eastAsia="lt-LT"/>
                  </w:rPr>
                  <w:t> </w:t>
                </w:r>
              </w:p>
              <w:p>
                <w:pPr>
                  <w:jc w:val="both"/>
                  <w:textAlignment w:val="baseline"/>
                  <w:rPr>
                    <w:szCs w:val="24"/>
                    <w:lang w:eastAsia="lt-LT"/>
                  </w:rPr>
                </w:pPr>
                <w:r>
                  <w:rPr>
                    <w:b/>
                    <w:sz w:val="20"/>
                    <w:lang w:eastAsia="lt-LT"/>
                  </w:rPr>
                  <w:t>7.1. augalinių ar gyvulinių riebalų ir aliejaus gamyba (kai gamybos pajėgumas – 5 ar daugiau tonų per parą);</w:t>
                </w:r>
                <w:r>
                  <w:rPr>
                    <w:szCs w:val="24"/>
                    <w:lang w:eastAsia="lt-LT"/>
                  </w:rPr>
                  <w:t> </w:t>
                </w:r>
              </w:p>
              <w:p>
                <w:pPr>
                  <w:jc w:val="both"/>
                  <w:textAlignment w:val="baseline"/>
                  <w:rPr>
                    <w:szCs w:val="24"/>
                    <w:lang w:eastAsia="lt-LT"/>
                  </w:rPr>
                </w:pPr>
                <w:r>
                  <w:rPr>
                    <w:b/>
                    <w:sz w:val="20"/>
                    <w:lang w:eastAsia="lt-LT"/>
                  </w:rPr>
                  <w:t>7.2. augalinių ar gyvulinių maisto produktų konservavimas ar pakavimas (kai gamybos pajėgumas – 5 ar daugiau tonų per parą);</w:t>
                </w:r>
                <w:r>
                  <w:rPr>
                    <w:szCs w:val="24"/>
                    <w:lang w:eastAsia="lt-LT"/>
                  </w:rPr>
                  <w:t> </w:t>
                </w:r>
              </w:p>
              <w:p>
                <w:pPr>
                  <w:jc w:val="both"/>
                  <w:textAlignment w:val="baseline"/>
                  <w:rPr>
                    <w:szCs w:val="24"/>
                    <w:lang w:eastAsia="lt-LT"/>
                  </w:rPr>
                </w:pPr>
                <w:r>
                  <w:rPr>
                    <w:b/>
                    <w:sz w:val="20"/>
                    <w:lang w:eastAsia="lt-LT"/>
                  </w:rPr>
                  <w:t>7.3. pieno produktų gamyba (kai gamybos pajėgumas – 50 ar daugiau tonų per parą);</w:t>
                </w:r>
                <w:r>
                  <w:rPr>
                    <w:szCs w:val="24"/>
                    <w:lang w:eastAsia="lt-LT"/>
                  </w:rPr>
                  <w:t> </w:t>
                </w:r>
              </w:p>
              <w:p>
                <w:pPr>
                  <w:jc w:val="both"/>
                  <w:textAlignment w:val="baseline"/>
                  <w:rPr>
                    <w:szCs w:val="24"/>
                    <w:lang w:eastAsia="lt-LT"/>
                  </w:rPr>
                </w:pPr>
                <w:r>
                  <w:rPr>
                    <w:b/>
                    <w:sz w:val="20"/>
                    <w:lang w:eastAsia="lt-LT"/>
                  </w:rPr>
                  <w:t>7.4. salyklo ar alaus gamyba (kai gamybos pajėgumas – 10 ar daugiau tonų salyklo per parą ar 10 000 ar daugiau litrų alaus per parą);</w:t>
                </w:r>
                <w:r>
                  <w:rPr>
                    <w:szCs w:val="24"/>
                    <w:lang w:eastAsia="lt-LT"/>
                  </w:rPr>
                  <w:t> </w:t>
                </w:r>
              </w:p>
              <w:p>
                <w:pPr>
                  <w:jc w:val="both"/>
                  <w:textAlignment w:val="baseline"/>
                  <w:rPr>
                    <w:szCs w:val="24"/>
                    <w:lang w:eastAsia="lt-LT"/>
                  </w:rPr>
                </w:pPr>
                <w:r>
                  <w:rPr>
                    <w:b/>
                    <w:sz w:val="20"/>
                    <w:lang w:eastAsia="lt-LT"/>
                  </w:rPr>
                  <w:t>7.5. konditerijos gaminių ar sirupų gamyba (kai gamybos pajėgumas – 5 ar daugiau tonų per parą);</w:t>
                </w:r>
                <w:r>
                  <w:rPr>
                    <w:szCs w:val="24"/>
                    <w:lang w:eastAsia="lt-LT"/>
                  </w:rPr>
                  <w:t> </w:t>
                </w:r>
              </w:p>
              <w:p>
                <w:pPr>
                  <w:jc w:val="both"/>
                  <w:textAlignment w:val="baseline"/>
                  <w:rPr>
                    <w:szCs w:val="24"/>
                    <w:lang w:eastAsia="lt-LT"/>
                  </w:rPr>
                </w:pPr>
                <w:r>
                  <w:rPr>
                    <w:b/>
                    <w:sz w:val="20"/>
                    <w:lang w:eastAsia="lt-LT"/>
                  </w:rPr>
                  <w:t>7.6. cukraus gamyba;</w:t>
                </w:r>
                <w:r>
                  <w:rPr>
                    <w:szCs w:val="24"/>
                    <w:lang w:eastAsia="lt-LT"/>
                  </w:rPr>
                  <w:t> </w:t>
                </w:r>
              </w:p>
              <w:p>
                <w:pPr>
                  <w:jc w:val="both"/>
                  <w:textAlignment w:val="baseline"/>
                  <w:rPr>
                    <w:szCs w:val="24"/>
                    <w:lang w:eastAsia="lt-LT"/>
                  </w:rPr>
                </w:pPr>
                <w:r>
                  <w:rPr>
                    <w:b/>
                    <w:sz w:val="20"/>
                    <w:lang w:eastAsia="lt-LT"/>
                  </w:rPr>
                  <w:t>7.7. mėsos ar paukštienos perdirbimas, įskaitant gyvūnų skerdimą ar paukščių skerdimą (kai gamybos pajėgumas – 5 ar daugiau tonų per parą); </w:t>
                </w:r>
                <w:r>
                  <w:rPr>
                    <w:szCs w:val="24"/>
                    <w:lang w:eastAsia="lt-LT"/>
                  </w:rPr>
                  <w:t> </w:t>
                </w:r>
              </w:p>
              <w:p>
                <w:pPr>
                  <w:jc w:val="both"/>
                  <w:textAlignment w:val="baseline"/>
                  <w:rPr>
                    <w:szCs w:val="24"/>
                    <w:lang w:eastAsia="lt-LT"/>
                  </w:rPr>
                </w:pPr>
                <w:r>
                  <w:rPr>
                    <w:b/>
                    <w:sz w:val="20"/>
                    <w:lang w:eastAsia="lt-LT"/>
                  </w:rPr>
                  <w:t>7.8. krakmolo gamyba (kai gamybos pajėgumas – 5 ar daugiau tonų per parą);</w:t>
                </w:r>
                <w:r>
                  <w:rPr>
                    <w:szCs w:val="24"/>
                    <w:lang w:eastAsia="lt-LT"/>
                  </w:rPr>
                  <w:t> </w:t>
                </w:r>
              </w:p>
              <w:p>
                <w:pPr>
                  <w:jc w:val="both"/>
                  <w:textAlignment w:val="baseline"/>
                  <w:rPr>
                    <w:szCs w:val="24"/>
                    <w:lang w:eastAsia="lt-LT"/>
                  </w:rPr>
                </w:pPr>
                <w:r>
                  <w:rPr>
                    <w:b/>
                    <w:sz w:val="20"/>
                    <w:lang w:eastAsia="lt-LT"/>
                  </w:rPr>
                  <w:t>7.9. žuvų perdirbimas, įskaitant žuvų taukų gamybą (kai gamybos pajėgumas – 5 ar daugiau tonų per parą).</w:t>
                </w:r>
                <w:r>
                  <w:rPr>
                    <w:szCs w:val="24"/>
                    <w:lang w:eastAsia="lt-LT"/>
                  </w:rPr>
                  <w:t> </w:t>
                </w:r>
              </w:p>
              <w:p>
                <w:pPr>
                  <w:jc w:val="both"/>
                  <w:textAlignment w:val="baseline"/>
                  <w:rPr>
                    <w:szCs w:val="24"/>
                    <w:lang w:eastAsia="lt-LT"/>
                  </w:rPr>
                </w:pPr>
                <w:r>
                  <w:rPr>
                    <w:b/>
                    <w:sz w:val="20"/>
                    <w:lang w:eastAsia="lt-LT"/>
                  </w:rPr>
                  <w:t>8. Tekstilės, odos, medienos ir popieriaus pramonė:</w:t>
                </w:r>
                <w:r>
                  <w:rPr>
                    <w:szCs w:val="24"/>
                    <w:lang w:eastAsia="lt-LT"/>
                  </w:rPr>
                  <w:t> </w:t>
                </w:r>
              </w:p>
              <w:p>
                <w:pPr>
                  <w:jc w:val="both"/>
                  <w:textAlignment w:val="baseline"/>
                  <w:rPr>
                    <w:szCs w:val="24"/>
                    <w:lang w:eastAsia="lt-LT"/>
                  </w:rPr>
                </w:pPr>
                <w:r>
                  <w:rPr>
                    <w:b/>
                    <w:sz w:val="20"/>
                    <w:lang w:eastAsia="lt-LT"/>
                  </w:rPr>
                  <w:t>8.1. celiuliozės gamyba ar perdirbimas;</w:t>
                </w:r>
                <w:r>
                  <w:rPr>
                    <w:szCs w:val="24"/>
                    <w:lang w:eastAsia="lt-LT"/>
                  </w:rPr>
                  <w:t> </w:t>
                </w:r>
              </w:p>
              <w:p>
                <w:pPr>
                  <w:jc w:val="both"/>
                  <w:textAlignment w:val="baseline"/>
                  <w:rPr>
                    <w:szCs w:val="24"/>
                    <w:lang w:eastAsia="lt-LT"/>
                  </w:rPr>
                </w:pPr>
                <w:r>
                  <w:rPr>
                    <w:b/>
                    <w:sz w:val="20"/>
                    <w:lang w:eastAsia="lt-LT"/>
                  </w:rPr>
                  <w:t>8.2. popieriaus ar kartono gamyba (kai gamybos pajėgumas – mažiau kaip 200, bet daugiau kaip 20 tonų per parą);</w:t>
                </w:r>
                <w:r>
                  <w:rPr>
                    <w:szCs w:val="24"/>
                    <w:lang w:eastAsia="lt-LT"/>
                  </w:rPr>
                  <w:t> </w:t>
                </w:r>
              </w:p>
              <w:p>
                <w:pPr>
                  <w:jc w:val="both"/>
                  <w:textAlignment w:val="baseline"/>
                  <w:rPr>
                    <w:szCs w:val="24"/>
                    <w:lang w:eastAsia="lt-LT"/>
                  </w:rPr>
                </w:pPr>
                <w:r>
                  <w:rPr>
                    <w:b/>
                    <w:sz w:val="20"/>
                    <w:lang w:eastAsia="lt-LT"/>
                  </w:rPr>
                  <w:t>8.3. pluoštų ar tekstilės dažymas ar pirminis apdorojimas (toks kaip plovimas, balinimas, merserizavimas (kai dažoma ar apdorojama 100 000 ar daugiau m2 tekstilės per metus; kai dažoma ar apdorojama 5 ar daugiau tonų pluošto per parą);</w:t>
                </w:r>
                <w:r>
                  <w:rPr>
                    <w:szCs w:val="24"/>
                    <w:lang w:eastAsia="lt-LT"/>
                  </w:rPr>
                  <w:t> </w:t>
                </w:r>
              </w:p>
              <w:p>
                <w:pPr>
                  <w:jc w:val="both"/>
                  <w:textAlignment w:val="baseline"/>
                  <w:rPr>
                    <w:szCs w:val="24"/>
                    <w:lang w:eastAsia="lt-LT"/>
                  </w:rPr>
                </w:pPr>
                <w:r>
                  <w:rPr>
                    <w:b/>
                    <w:sz w:val="20"/>
                    <w:lang w:eastAsia="lt-LT"/>
                  </w:rPr>
                  <w:t>8.4. odų ar kailių išdirbimas (kai gamybos pajėgumas – 500 ar daugiau m2 per parą).</w:t>
                </w:r>
                <w:r>
                  <w:rPr>
                    <w:szCs w:val="24"/>
                    <w:lang w:eastAsia="lt-LT"/>
                  </w:rPr>
                  <w:t> </w:t>
                </w:r>
              </w:p>
              <w:p>
                <w:pPr>
                  <w:jc w:val="both"/>
                  <w:textAlignment w:val="baseline"/>
                  <w:rPr>
                    <w:szCs w:val="24"/>
                    <w:lang w:eastAsia="lt-LT"/>
                  </w:rPr>
                </w:pPr>
                <w:r>
                  <w:rPr>
                    <w:b/>
                    <w:sz w:val="20"/>
                    <w:lang w:eastAsia="lt-LT"/>
                  </w:rPr>
                  <w:t>9. Gumos pramonė:</w:t>
                </w:r>
                <w:r>
                  <w:rPr>
                    <w:szCs w:val="24"/>
                    <w:lang w:eastAsia="lt-LT"/>
                  </w:rPr>
                  <w:t> </w:t>
                </w:r>
              </w:p>
              <w:p>
                <w:pPr>
                  <w:jc w:val="both"/>
                  <w:textAlignment w:val="baseline"/>
                  <w:rPr>
                    <w:szCs w:val="24"/>
                    <w:lang w:eastAsia="lt-LT"/>
                  </w:rPr>
                </w:pPr>
                <w:r>
                  <w:rPr>
                    <w:b/>
                    <w:sz w:val="20"/>
                    <w:lang w:eastAsia="lt-LT"/>
                  </w:rPr>
                  <w:t>Produktų iš elastomerų gamyba ar perdirbimas (kai gamybos ar perdirbimo pajėgumas – 10 ar daugiau tonų per parą).</w:t>
                </w:r>
                <w:r>
                  <w:rPr>
                    <w:szCs w:val="24"/>
                    <w:lang w:eastAsia="lt-LT"/>
                  </w:rPr>
                  <w:t> </w:t>
                </w:r>
              </w:p>
              <w:p>
                <w:pPr>
                  <w:jc w:val="both"/>
                  <w:textAlignment w:val="baseline"/>
                  <w:rPr>
                    <w:szCs w:val="24"/>
                    <w:lang w:eastAsia="lt-LT"/>
                  </w:rPr>
                </w:pPr>
                <w:r>
                  <w:rPr>
                    <w:b/>
                    <w:sz w:val="20"/>
                    <w:lang w:eastAsia="lt-LT"/>
                  </w:rPr>
                  <w:t>10. Inžineriniai ir kiti statiniai:</w:t>
                </w:r>
                <w:r>
                  <w:rPr>
                    <w:szCs w:val="24"/>
                    <w:lang w:eastAsia="lt-LT"/>
                  </w:rPr>
                  <w:t> </w:t>
                </w:r>
              </w:p>
              <w:p>
                <w:pPr>
                  <w:jc w:val="both"/>
                  <w:textAlignment w:val="baseline"/>
                  <w:rPr>
                    <w:szCs w:val="24"/>
                    <w:lang w:eastAsia="lt-LT"/>
                  </w:rPr>
                </w:pPr>
                <w:r>
                  <w:rPr>
                    <w:b/>
                    <w:sz w:val="20"/>
                    <w:lang w:eastAsia="lt-LT"/>
                  </w:rPr>
                  <w:t>10.1. antžeminių elektros perdavimo linijų tiesimas, kai tiesiama 3 km ar ilgesnė linija, išskyrus šio įstatymo 1 priedo 8.8 papunktyje nurodytą veiklą;</w:t>
                </w:r>
                <w:r>
                  <w:rPr>
                    <w:szCs w:val="24"/>
                    <w:lang w:eastAsia="lt-LT"/>
                  </w:rPr>
                  <w:t> </w:t>
                </w:r>
              </w:p>
              <w:p>
                <w:pPr>
                  <w:jc w:val="both"/>
                  <w:textAlignment w:val="baseline"/>
                  <w:rPr>
                    <w:szCs w:val="24"/>
                    <w:lang w:eastAsia="lt-LT"/>
                  </w:rPr>
                </w:pPr>
                <w:r>
                  <w:rPr>
                    <w:b/>
                    <w:sz w:val="20"/>
                    <w:lang w:eastAsia="lt-LT"/>
                  </w:rPr>
                  <w:t>10.2. urbanistinių objektų (išskyrus gyvenamuosius pastatus, kai jų statyba numatyta savivaldybės lygmens bendruosiuose planuose), įskaitant prekybos ar pramogų centrus, autobusų ar troleibusų parkus, automobilių stovėjimo aikšteles ar garažų kompleksus, sporto ir sveikatingumo kompleksus, statyba (kai objekto ir jo priklausinių užimamas plotas didesnis kaip 1 ha);</w:t>
                </w:r>
                <w:r>
                  <w:rPr>
                    <w:szCs w:val="24"/>
                    <w:lang w:eastAsia="lt-LT"/>
                  </w:rPr>
                  <w:t> </w:t>
                </w:r>
              </w:p>
              <w:p>
                <w:pPr>
                  <w:jc w:val="both"/>
                  <w:textAlignment w:val="baseline"/>
                  <w:rPr>
                    <w:szCs w:val="24"/>
                    <w:lang w:eastAsia="lt-LT"/>
                  </w:rPr>
                </w:pPr>
                <w:r>
                  <w:rPr>
                    <w:b/>
                    <w:sz w:val="20"/>
                    <w:lang w:eastAsia="lt-LT"/>
                  </w:rPr>
                  <w:t>10.3. geležinkelių, išskyrus pagrindinius viešojo naudojimo geležinkelius, tiesimas (kai tiesiamas 2 km ar ilgesnis geležinkelis);</w:t>
                </w:r>
                <w:r>
                  <w:rPr>
                    <w:szCs w:val="24"/>
                    <w:lang w:eastAsia="lt-LT"/>
                  </w:rPr>
                  <w:t> </w:t>
                </w:r>
              </w:p>
              <w:p>
                <w:pPr>
                  <w:jc w:val="both"/>
                  <w:textAlignment w:val="baseline"/>
                  <w:rPr>
                    <w:szCs w:val="24"/>
                    <w:lang w:eastAsia="lt-LT"/>
                  </w:rPr>
                </w:pPr>
                <w:r>
                  <w:rPr>
                    <w:b/>
                    <w:sz w:val="20"/>
                    <w:lang w:eastAsia="lt-LT"/>
                  </w:rPr>
                  <w:t>10.4. intermodalinių perkrovimo įrenginių ir terminalų statyba (kai užstatomas 0,5 ha ar didesnis plotas);</w:t>
                </w:r>
                <w:r>
                  <w:rPr>
                    <w:szCs w:val="24"/>
                    <w:lang w:eastAsia="lt-LT"/>
                  </w:rPr>
                  <w:t> </w:t>
                </w:r>
              </w:p>
              <w:p>
                <w:pPr>
                  <w:jc w:val="both"/>
                  <w:textAlignment w:val="baseline"/>
                  <w:rPr>
                    <w:szCs w:val="24"/>
                    <w:lang w:eastAsia="lt-LT"/>
                  </w:rPr>
                </w:pPr>
                <w:r>
                  <w:rPr>
                    <w:b/>
                    <w:sz w:val="20"/>
                    <w:lang w:eastAsia="lt-LT"/>
                  </w:rPr>
                  <w:t>10.5. oro uostų ar aerodromų įrengimas (kai kilimo ir tūpimo takas trumpesnis kaip 2 100 m);</w:t>
                </w:r>
                <w:r>
                  <w:rPr>
                    <w:szCs w:val="24"/>
                    <w:lang w:eastAsia="lt-LT"/>
                  </w:rPr>
                  <w:t> </w:t>
                </w:r>
              </w:p>
              <w:p>
                <w:pPr>
                  <w:jc w:val="both"/>
                  <w:textAlignment w:val="baseline"/>
                  <w:rPr>
                    <w:szCs w:val="24"/>
                    <w:lang w:eastAsia="lt-LT"/>
                  </w:rPr>
                </w:pPr>
                <w:r>
                  <w:rPr>
                    <w:b/>
                    <w:sz w:val="20"/>
                    <w:lang w:eastAsia="lt-LT"/>
                  </w:rPr>
                  <w:t>10.6. kelių (2 km ar ilgesnių) tiesimas, išskyrus vietinės reikšmės vidaus kelius ir šio įstatymo 1 priedo 8.3 ir 8.4 papunkčiuose nurodytą veiklą;</w:t>
                </w:r>
                <w:r>
                  <w:rPr>
                    <w:szCs w:val="24"/>
                    <w:lang w:eastAsia="lt-LT"/>
                  </w:rPr>
                  <w:t> </w:t>
                </w:r>
              </w:p>
              <w:p>
                <w:pPr>
                  <w:jc w:val="both"/>
                  <w:textAlignment w:val="baseline"/>
                  <w:rPr>
                    <w:szCs w:val="24"/>
                    <w:lang w:eastAsia="lt-LT"/>
                  </w:rPr>
                </w:pPr>
                <w:r>
                  <w:rPr>
                    <w:b/>
                    <w:sz w:val="20"/>
                    <w:lang w:eastAsia="lt-LT"/>
                  </w:rPr>
                  <w:t>10.7. kelių, nurodytų šio įstatymo 1 priedo 8.3 ir 8.4 papunkčiuose ir šio priedo 10.6 papunktyje rekonstravimas (kai rekonstruojamas nenutrūkstamas ilgesnis kaip 2 km kelio ruožas), išskyrus inžinerinių saugaus eismo priemonių (greitėjimo, lėtėjimo juostų, pėsčiųjų ir dviračių takų, esamų sankryžų pertvarkymo kelio juostos ribose dėl eismo saugos) ir aplinkos apsaugos priemonių (laukinių gyvūnų apsaugos sistemų, triukšmo užtvarų sistemų) įdiegimą bei kelio techninių normatyvinių parametrų atstatymą kelio juostos ribose, nekeičiant kelio kategorijos;</w:t>
                </w:r>
                <w:r>
                  <w:rPr>
                    <w:szCs w:val="24"/>
                    <w:lang w:eastAsia="lt-LT"/>
                  </w:rPr>
                  <w:t> </w:t>
                </w:r>
              </w:p>
              <w:p>
                <w:pPr>
                  <w:jc w:val="both"/>
                  <w:textAlignment w:val="baseline"/>
                  <w:rPr>
                    <w:szCs w:val="24"/>
                    <w:lang w:eastAsia="lt-LT"/>
                  </w:rPr>
                </w:pPr>
                <w:r>
                  <w:rPr>
                    <w:b/>
                    <w:sz w:val="20"/>
                    <w:lang w:eastAsia="lt-LT"/>
                  </w:rPr>
                  <w:t>10.8. jūros uostų ar vidaus vandenų uostų (įskaitant žvejybos uostus, pakrovimo ar iškrovimo terminalus) įrengimas (laivams, kurių keliamoji galia mažesnė kaip 1 350 tonų, arba kai įrengiamas 0,5 ha ar didesnis plotas akvatorijoje ir sausumoje); </w:t>
                </w:r>
                <w:r>
                  <w:rPr>
                    <w:szCs w:val="24"/>
                    <w:lang w:eastAsia="lt-LT"/>
                  </w:rPr>
                  <w:t> </w:t>
                </w:r>
              </w:p>
              <w:p>
                <w:pPr>
                  <w:jc w:val="both"/>
                  <w:textAlignment w:val="baseline"/>
                  <w:rPr>
                    <w:szCs w:val="24"/>
                    <w:lang w:eastAsia="lt-LT"/>
                  </w:rPr>
                </w:pPr>
                <w:r>
                  <w:rPr>
                    <w:b/>
                    <w:sz w:val="20"/>
                    <w:lang w:eastAsia="lt-LT"/>
                  </w:rPr>
                  <w:t>10.9. vidaus vandenų kelių (laivams, kurių keliamoji galia mažesnė kaip 1 350 tonų) įrengimas ir (ar) gilinimas;</w:t>
                </w:r>
                <w:r>
                  <w:rPr>
                    <w:szCs w:val="24"/>
                    <w:lang w:eastAsia="lt-LT"/>
                  </w:rPr>
                  <w:t> </w:t>
                </w:r>
              </w:p>
              <w:p>
                <w:pPr>
                  <w:jc w:val="both"/>
                  <w:textAlignment w:val="baseline"/>
                  <w:rPr>
                    <w:szCs w:val="24"/>
                    <w:lang w:eastAsia="lt-LT"/>
                  </w:rPr>
                </w:pPr>
                <w:r>
                  <w:rPr>
                    <w:b/>
                    <w:sz w:val="20"/>
                    <w:lang w:eastAsia="lt-LT"/>
                  </w:rPr>
                  <w:t>10.10. jūros uostų akvatorijų gilinimas;</w:t>
                </w:r>
                <w:r>
                  <w:rPr>
                    <w:szCs w:val="24"/>
                    <w:lang w:eastAsia="lt-LT"/>
                  </w:rPr>
                  <w:t> </w:t>
                </w:r>
              </w:p>
              <w:p>
                <w:pPr>
                  <w:jc w:val="both"/>
                  <w:textAlignment w:val="baseline"/>
                  <w:rPr>
                    <w:szCs w:val="24"/>
                    <w:lang w:eastAsia="lt-LT"/>
                  </w:rPr>
                </w:pPr>
                <w:r>
                  <w:rPr>
                    <w:b/>
                    <w:sz w:val="20"/>
                    <w:lang w:eastAsia="lt-LT"/>
                  </w:rPr>
                  <w:t>10.11. hidrotechnikos statinių, skirtų apsisaugoti nuo potvynių, statyba; </w:t>
                </w:r>
                <w:r>
                  <w:rPr>
                    <w:szCs w:val="24"/>
                    <w:lang w:eastAsia="lt-LT"/>
                  </w:rPr>
                  <w:t> </w:t>
                </w:r>
              </w:p>
              <w:p>
                <w:pPr>
                  <w:jc w:val="both"/>
                  <w:textAlignment w:val="baseline"/>
                  <w:rPr>
                    <w:szCs w:val="24"/>
                    <w:lang w:eastAsia="lt-LT"/>
                  </w:rPr>
                </w:pPr>
                <w:r>
                  <w:rPr>
                    <w:b/>
                    <w:sz w:val="20"/>
                    <w:lang w:eastAsia="lt-LT"/>
                  </w:rPr>
                  <w:t>10.12. tramvajaus, antžeminio ar požeminio geležinkelio, kabančių ar kitokio transporto priemonių, iš dalies ar išimtinai naudojamų keleiviams vežti, linijų (2 km ar ilgesnių) tiesimas;</w:t>
                </w:r>
                <w:r>
                  <w:rPr>
                    <w:szCs w:val="24"/>
                    <w:lang w:eastAsia="lt-LT"/>
                  </w:rPr>
                  <w:t> </w:t>
                </w:r>
              </w:p>
              <w:p>
                <w:pPr>
                  <w:jc w:val="both"/>
                  <w:textAlignment w:val="baseline"/>
                  <w:rPr>
                    <w:szCs w:val="24"/>
                    <w:lang w:eastAsia="lt-LT"/>
                  </w:rPr>
                </w:pPr>
                <w:r>
                  <w:rPr>
                    <w:b/>
                    <w:sz w:val="20"/>
                    <w:lang w:eastAsia="lt-LT"/>
                  </w:rPr>
                  <w:t>10.13. slidinėjimo trasų, slidinėjimo keltuvų, funikulierių ar kitų panašių įrenginių (500 m ar ilgesnio atstumo) įrengimas;</w:t>
                </w:r>
                <w:r>
                  <w:rPr>
                    <w:szCs w:val="24"/>
                    <w:lang w:eastAsia="lt-LT"/>
                  </w:rPr>
                  <w:t> </w:t>
                </w:r>
              </w:p>
              <w:p>
                <w:pPr>
                  <w:jc w:val="both"/>
                  <w:textAlignment w:val="baseline"/>
                  <w:rPr>
                    <w:szCs w:val="24"/>
                    <w:lang w:eastAsia="lt-LT"/>
                  </w:rPr>
                </w:pPr>
                <w:r>
                  <w:rPr>
                    <w:b/>
                    <w:sz w:val="20"/>
                    <w:lang w:eastAsia="lt-LT"/>
                  </w:rPr>
                  <w:t>10.14. naftos ar cheminių medžiagų tiekimo vamzdynų tiesimas (kai vamzdžio skersmuo – 800 ar daugiau mm, o ilgis – mažiau kaip 40 km);</w:t>
                </w:r>
                <w:r>
                  <w:rPr>
                    <w:szCs w:val="24"/>
                    <w:lang w:eastAsia="lt-LT"/>
                  </w:rPr>
                  <w:t> </w:t>
                </w:r>
              </w:p>
              <w:p>
                <w:pPr>
                  <w:jc w:val="both"/>
                  <w:textAlignment w:val="baseline"/>
                  <w:rPr>
                    <w:szCs w:val="24"/>
                    <w:lang w:eastAsia="lt-LT"/>
                  </w:rPr>
                </w:pPr>
                <w:r>
                  <w:rPr>
                    <w:b/>
                    <w:sz w:val="20"/>
                    <w:lang w:eastAsia="lt-LT"/>
                  </w:rPr>
                  <w:t>10.15. dujų tiekimo vamzdynų tiesimas (kai vamzdžio skersmuo – 800 ar daugiau mm, o ilgis – mažiau kaip 40 km, bet daugiau kaip 5 km);</w:t>
                </w:r>
                <w:r>
                  <w:rPr>
                    <w:szCs w:val="24"/>
                    <w:lang w:eastAsia="lt-LT"/>
                  </w:rPr>
                  <w:t> </w:t>
                </w:r>
              </w:p>
              <w:p>
                <w:pPr>
                  <w:jc w:val="both"/>
                  <w:textAlignment w:val="baseline"/>
                  <w:rPr>
                    <w:szCs w:val="24"/>
                    <w:lang w:eastAsia="lt-LT"/>
                  </w:rPr>
                </w:pPr>
                <w:r>
                  <w:rPr>
                    <w:b/>
                    <w:sz w:val="20"/>
                    <w:lang w:eastAsia="lt-LT"/>
                  </w:rPr>
                  <w:t>10.16. dujų tiekimo vamzdynų tiesimas (kai vamzdžio skersmuo – mažiau kaip 800 mm, o ilgis – 5 ar daugiau km);</w:t>
                </w:r>
                <w:r>
                  <w:rPr>
                    <w:szCs w:val="24"/>
                    <w:lang w:eastAsia="lt-LT"/>
                  </w:rPr>
                  <w:t> </w:t>
                </w:r>
              </w:p>
              <w:p>
                <w:pPr>
                  <w:jc w:val="both"/>
                  <w:textAlignment w:val="baseline"/>
                  <w:rPr>
                    <w:szCs w:val="24"/>
                    <w:lang w:eastAsia="lt-LT"/>
                  </w:rPr>
                </w:pPr>
                <w:r>
                  <w:rPr>
                    <w:b/>
                    <w:sz w:val="20"/>
                    <w:lang w:eastAsia="lt-LT"/>
                  </w:rPr>
                  <w:t>10.17. vandens kanalų (0,5 km ar ilgesnių) įrengimas;</w:t>
                </w:r>
                <w:r>
                  <w:rPr>
                    <w:szCs w:val="24"/>
                    <w:lang w:eastAsia="lt-LT"/>
                  </w:rPr>
                  <w:t> </w:t>
                </w:r>
              </w:p>
              <w:p>
                <w:pPr>
                  <w:jc w:val="both"/>
                  <w:textAlignment w:val="baseline"/>
                  <w:rPr>
                    <w:szCs w:val="24"/>
                    <w:lang w:eastAsia="lt-LT"/>
                  </w:rPr>
                </w:pPr>
                <w:r>
                  <w:rPr>
                    <w:b/>
                    <w:sz w:val="20"/>
                    <w:lang w:eastAsia="lt-LT"/>
                  </w:rPr>
                  <w:t>10.18. priešerozinių jūros pakrantės statinių ar įrenginių, galinčių pakeisti jūros pakrantę (pvz., pylimų, molų ir kt.), statyba ar įrengimas;</w:t>
                </w:r>
                <w:r>
                  <w:rPr>
                    <w:szCs w:val="24"/>
                    <w:lang w:eastAsia="lt-LT"/>
                  </w:rPr>
                  <w:t> </w:t>
                </w:r>
              </w:p>
              <w:p>
                <w:pPr>
                  <w:jc w:val="both"/>
                  <w:textAlignment w:val="baseline"/>
                  <w:rPr>
                    <w:szCs w:val="24"/>
                    <w:lang w:eastAsia="lt-LT"/>
                  </w:rPr>
                </w:pPr>
                <w:r>
                  <w:rPr>
                    <w:b/>
                    <w:sz w:val="20"/>
                    <w:lang w:eastAsia="lt-LT"/>
                  </w:rPr>
                  <w:t>10.19. požeminio vandens vandenviečių įrengimas (kai pajėgumas – mažiau kaip 10 milijonų m3, bet daugiau kaip 350 000 m3 per metus);</w:t>
                </w:r>
                <w:r>
                  <w:rPr>
                    <w:szCs w:val="24"/>
                    <w:lang w:eastAsia="lt-LT"/>
                  </w:rPr>
                  <w:t> </w:t>
                </w:r>
              </w:p>
              <w:p>
                <w:pPr>
                  <w:jc w:val="both"/>
                  <w:textAlignment w:val="baseline"/>
                  <w:rPr>
                    <w:szCs w:val="24"/>
                    <w:lang w:eastAsia="lt-LT"/>
                  </w:rPr>
                </w:pPr>
                <w:r>
                  <w:rPr>
                    <w:b/>
                    <w:sz w:val="20"/>
                    <w:lang w:eastAsia="lt-LT"/>
                  </w:rPr>
                  <w:t>10.20. geologiniam saugojimui skirto anglies dioksido (CO2) tiekimo vamzdynų, tiesimas (kai vamzdžio skersmuo – 800 ir daugiau mm, o ilgis – 40 km ar mažiau), įskaitant funkciškai susijusių slėginių įrenginių įrengimą.</w:t>
                </w:r>
                <w:r>
                  <w:rPr>
                    <w:szCs w:val="24"/>
                    <w:lang w:eastAsia="lt-LT"/>
                  </w:rPr>
                  <w:t> </w:t>
                </w:r>
              </w:p>
              <w:p>
                <w:pPr>
                  <w:jc w:val="both"/>
                  <w:textAlignment w:val="baseline"/>
                  <w:rPr>
                    <w:szCs w:val="24"/>
                    <w:lang w:eastAsia="lt-LT"/>
                  </w:rPr>
                </w:pPr>
                <w:r>
                  <w:rPr>
                    <w:b/>
                    <w:sz w:val="20"/>
                    <w:lang w:eastAsia="lt-LT"/>
                  </w:rPr>
                  <w:t>11. Kitos planuojamos ūkinės veiklos rūšys:</w:t>
                </w:r>
                <w:r>
                  <w:rPr>
                    <w:szCs w:val="24"/>
                    <w:lang w:eastAsia="lt-LT"/>
                  </w:rPr>
                  <w:t> </w:t>
                </w:r>
              </w:p>
              <w:p>
                <w:pPr>
                  <w:jc w:val="both"/>
                  <w:textAlignment w:val="baseline"/>
                  <w:rPr>
                    <w:szCs w:val="24"/>
                    <w:lang w:eastAsia="lt-LT"/>
                  </w:rPr>
                </w:pPr>
                <w:r>
                  <w:rPr>
                    <w:b/>
                    <w:sz w:val="20"/>
                    <w:lang w:eastAsia="lt-LT"/>
                  </w:rPr>
                  <w:t>11.1. variklinių transporto priemonių nuolatinių lenktyniavimo ar išbandymo trasų įrengimas (kai įrengiamas 1 ha ar didesnis plotas);</w:t>
                </w:r>
                <w:r>
                  <w:rPr>
                    <w:szCs w:val="24"/>
                    <w:lang w:eastAsia="lt-LT"/>
                  </w:rPr>
                  <w:t> </w:t>
                </w:r>
              </w:p>
              <w:p>
                <w:pPr>
                  <w:jc w:val="both"/>
                  <w:textAlignment w:val="baseline"/>
                  <w:rPr>
                    <w:szCs w:val="24"/>
                    <w:lang w:eastAsia="lt-LT"/>
                  </w:rPr>
                </w:pPr>
                <w:r>
                  <w:rPr>
                    <w:b/>
                    <w:sz w:val="20"/>
                    <w:lang w:eastAsia="lt-LT"/>
                  </w:rPr>
                  <w:t>11.2. nepavojingųjų atliekų naudojimas ar šalinimas jas apdorojant terminiais būdais, tokiais kaip deginimas, pirolizė, dujofikavimas, degazacija, plazminis procesas, ar derinant kuriuos nors būdus įrenginiuose, kurių pajėgumas – mažiau kaip 100 tonų per parą;</w:t>
                </w:r>
                <w:r>
                  <w:rPr>
                    <w:szCs w:val="24"/>
                    <w:lang w:eastAsia="lt-LT"/>
                  </w:rPr>
                  <w:t> </w:t>
                </w:r>
              </w:p>
              <w:p>
                <w:pPr>
                  <w:jc w:val="both"/>
                  <w:textAlignment w:val="baseline"/>
                  <w:rPr>
                    <w:szCs w:val="24"/>
                    <w:lang w:eastAsia="lt-LT"/>
                  </w:rPr>
                </w:pPr>
                <w:r>
                  <w:rPr>
                    <w:b/>
                    <w:sz w:val="20"/>
                    <w:lang w:eastAsia="lt-LT"/>
                  </w:rPr>
                  <w:t>11.3. nepavojingųjų atliekų naudojimas ar šalinimas jas apdorojant cheminiu būdu įrenginiuose, kurių pajėgumas – mažiau kaip 100 tonų per parą;</w:t>
                </w:r>
                <w:r>
                  <w:rPr>
                    <w:szCs w:val="24"/>
                    <w:lang w:eastAsia="lt-LT"/>
                  </w:rPr>
                  <w:t> </w:t>
                </w:r>
              </w:p>
              <w:p>
                <w:pPr>
                  <w:jc w:val="both"/>
                  <w:textAlignment w:val="baseline"/>
                  <w:rPr>
                    <w:szCs w:val="24"/>
                    <w:lang w:eastAsia="lt-LT"/>
                  </w:rPr>
                </w:pPr>
                <w:r>
                  <w:rPr>
                    <w:b/>
                    <w:sz w:val="20"/>
                    <w:lang w:eastAsia="lt-LT"/>
                  </w:rPr>
                  <w:t>11.4. nepavojingųjų atliekų naudojimas jas apdorojant biologiniu būdu įrenginiuose, kurių pajėgumas – 10 ar daugiau tonų per parą;</w:t>
                </w:r>
                <w:r>
                  <w:rPr>
                    <w:szCs w:val="24"/>
                    <w:lang w:eastAsia="lt-LT"/>
                  </w:rPr>
                  <w:t> </w:t>
                </w:r>
              </w:p>
              <w:p>
                <w:pPr>
                  <w:jc w:val="both"/>
                  <w:textAlignment w:val="baseline"/>
                  <w:rPr>
                    <w:szCs w:val="24"/>
                    <w:lang w:eastAsia="lt-LT"/>
                  </w:rPr>
                </w:pPr>
                <w:r>
                  <w:rPr>
                    <w:b/>
                    <w:sz w:val="20"/>
                    <w:lang w:eastAsia="lt-LT"/>
                  </w:rPr>
                  <w:t>11.5. nepavojingųjų atliekų laikymas, įskaitant jų paruošimą naudoti, išskyrus paruošimą naudoti pakartotinai, arba šalinti, kai vienu metu laikoma 100 ar daugiau tonų atliekų ir (ar) paruošimo naudoti ar šalinti pajėgumas 10 ar daugiau tonų per parą;</w:t>
                </w:r>
                <w:r>
                  <w:rPr>
                    <w:szCs w:val="24"/>
                    <w:lang w:eastAsia="lt-LT"/>
                  </w:rPr>
                  <w:t> </w:t>
                </w:r>
              </w:p>
              <w:p>
                <w:pPr>
                  <w:jc w:val="both"/>
                  <w:textAlignment w:val="baseline"/>
                  <w:rPr>
                    <w:szCs w:val="24"/>
                    <w:lang w:eastAsia="lt-LT"/>
                  </w:rPr>
                </w:pPr>
                <w:r>
                  <w:rPr>
                    <w:b/>
                    <w:sz w:val="20"/>
                    <w:lang w:eastAsia="lt-LT"/>
                  </w:rPr>
                  <w:t>11.6. nepavojingųjų atliekų šalinimas, kai netaikomi šio priedo 11.2–11.5 papunkčiai;</w:t>
                </w:r>
                <w:r>
                  <w:rPr>
                    <w:szCs w:val="24"/>
                    <w:lang w:eastAsia="lt-LT"/>
                  </w:rPr>
                  <w:t> </w:t>
                </w:r>
              </w:p>
              <w:p>
                <w:pPr>
                  <w:jc w:val="both"/>
                  <w:textAlignment w:val="baseline"/>
                  <w:rPr>
                    <w:szCs w:val="24"/>
                    <w:lang w:eastAsia="lt-LT"/>
                  </w:rPr>
                </w:pPr>
                <w:r>
                  <w:rPr>
                    <w:b/>
                    <w:sz w:val="20"/>
                    <w:lang w:eastAsia="lt-LT"/>
                  </w:rPr>
                  <w:t>11.7. pavojingųjų atliekų tvarkymas:</w:t>
                </w:r>
                <w:r>
                  <w:rPr>
                    <w:szCs w:val="24"/>
                    <w:lang w:eastAsia="lt-LT"/>
                  </w:rPr>
                  <w:t> </w:t>
                </w:r>
              </w:p>
              <w:p>
                <w:pPr>
                  <w:jc w:val="both"/>
                  <w:textAlignment w:val="baseline"/>
                  <w:rPr>
                    <w:szCs w:val="24"/>
                    <w:lang w:eastAsia="lt-LT"/>
                  </w:rPr>
                </w:pPr>
                <w:r>
                  <w:rPr>
                    <w:b/>
                    <w:sz w:val="20"/>
                    <w:lang w:eastAsia="lt-LT"/>
                  </w:rPr>
                  <w:t>11.7.1. pavojingųjų atliekų šalinimas ar naudojimas, išskyrus šio įstatymo 1 priedo 9.6, 9.7 ir 9.8 papunkčiuose nurodytą veiklą;</w:t>
                </w:r>
                <w:r>
                  <w:rPr>
                    <w:szCs w:val="24"/>
                    <w:lang w:eastAsia="lt-LT"/>
                  </w:rPr>
                  <w:t> </w:t>
                </w:r>
              </w:p>
              <w:p>
                <w:pPr>
                  <w:jc w:val="both"/>
                  <w:textAlignment w:val="baseline"/>
                  <w:rPr>
                    <w:szCs w:val="24"/>
                    <w:lang w:eastAsia="lt-LT"/>
                  </w:rPr>
                </w:pPr>
                <w:r>
                  <w:rPr>
                    <w:b/>
                    <w:sz w:val="20"/>
                    <w:lang w:eastAsia="lt-LT"/>
                  </w:rPr>
                  <w:t>11.7.2. pavojingųjų atliekų laikymas, įskaitant jų paruošimą naudoti, išskyrus paruošimą naudoti pakartotinai, arba šalinti, kai vienu metu laikoma ne daugiau kaip 10 ar daugiau tonų atliekų ir (ar) paruošimo naudoti ar šalinti pajėgumas 5 ar daugiau tonų per parą;</w:t>
                </w:r>
                <w:r>
                  <w:rPr>
                    <w:szCs w:val="24"/>
                    <w:lang w:eastAsia="lt-LT"/>
                  </w:rPr>
                  <w:t> </w:t>
                </w:r>
              </w:p>
              <w:p>
                <w:pPr>
                  <w:jc w:val="both"/>
                  <w:textAlignment w:val="baseline"/>
                  <w:rPr>
                    <w:szCs w:val="24"/>
                    <w:lang w:eastAsia="lt-LT"/>
                  </w:rPr>
                </w:pPr>
                <w:r>
                  <w:rPr>
                    <w:b/>
                    <w:sz w:val="20"/>
                    <w:lang w:eastAsia="lt-LT"/>
                  </w:rPr>
                  <w:t>11.7.3. pavojingųjų atliekų paruošimą naudoti pakartotinai, įskaitant tokių atliekų laikymą;</w:t>
                </w:r>
                <w:r>
                  <w:rPr>
                    <w:szCs w:val="24"/>
                    <w:lang w:eastAsia="lt-LT"/>
                  </w:rPr>
                  <w:t> </w:t>
                </w:r>
              </w:p>
              <w:p>
                <w:pPr>
                  <w:jc w:val="both"/>
                  <w:textAlignment w:val="baseline"/>
                  <w:rPr>
                    <w:szCs w:val="24"/>
                    <w:lang w:eastAsia="lt-LT"/>
                  </w:rPr>
                </w:pPr>
                <w:r>
                  <w:rPr>
                    <w:b/>
                    <w:sz w:val="20"/>
                    <w:lang w:eastAsia="lt-LT"/>
                  </w:rPr>
                  <w:t>11.8. biodujų gamyba, išskyrus gamybą, skirtą individualaus ūkio poreikių tenkinimui; </w:t>
                </w:r>
                <w:r>
                  <w:rPr>
                    <w:szCs w:val="24"/>
                    <w:lang w:eastAsia="lt-LT"/>
                  </w:rPr>
                  <w:t> </w:t>
                </w:r>
              </w:p>
              <w:p>
                <w:pPr>
                  <w:jc w:val="both"/>
                  <w:textAlignment w:val="baseline"/>
                  <w:rPr>
                    <w:szCs w:val="24"/>
                    <w:lang w:eastAsia="lt-LT"/>
                  </w:rPr>
                </w:pPr>
                <w:r>
                  <w:rPr>
                    <w:b/>
                    <w:sz w:val="20"/>
                    <w:lang w:eastAsia="lt-LT"/>
                  </w:rPr>
                  <w:t>11.9. vandenvalos įrenginių įrengimas:</w:t>
                </w:r>
                <w:r>
                  <w:rPr>
                    <w:szCs w:val="24"/>
                    <w:lang w:eastAsia="lt-LT"/>
                  </w:rPr>
                  <w:t> </w:t>
                </w:r>
              </w:p>
              <w:p>
                <w:pPr>
                  <w:jc w:val="both"/>
                  <w:textAlignment w:val="baseline"/>
                  <w:rPr>
                    <w:szCs w:val="24"/>
                    <w:lang w:eastAsia="lt-LT"/>
                  </w:rPr>
                </w:pPr>
                <w:r>
                  <w:rPr>
                    <w:b/>
                    <w:sz w:val="20"/>
                    <w:lang w:eastAsia="lt-LT"/>
                  </w:rPr>
                  <w:t>11.9.1. miestų, miestelių ar kaimų nuotekų valymo įrenginiai (galintys išvalyti mažiau kaip 150 000, bet daugiau kaip 2 000 gyventojų ekvivalentą atitinkantį teršalų kiekį);</w:t>
                </w:r>
                <w:r>
                  <w:rPr>
                    <w:szCs w:val="24"/>
                    <w:lang w:eastAsia="lt-LT"/>
                  </w:rPr>
                  <w:t> </w:t>
                </w:r>
              </w:p>
              <w:p>
                <w:pPr>
                  <w:jc w:val="both"/>
                  <w:textAlignment w:val="baseline"/>
                  <w:rPr>
                    <w:szCs w:val="24"/>
                    <w:lang w:eastAsia="lt-LT"/>
                  </w:rPr>
                </w:pPr>
                <w:r>
                  <w:rPr>
                    <w:b/>
                    <w:sz w:val="20"/>
                    <w:lang w:eastAsia="lt-LT"/>
                  </w:rPr>
                  <w:t>11.9.2. paviršinių nuotekų valymo įrenginiai (skirti paviršinėms nuotekoms, surenkamoms kanalizacijos tinklais iš 50 ha ir didesnės teritorijos);</w:t>
                </w:r>
                <w:r>
                  <w:rPr>
                    <w:szCs w:val="24"/>
                    <w:lang w:eastAsia="lt-LT"/>
                  </w:rPr>
                  <w:t> </w:t>
                </w:r>
              </w:p>
              <w:p>
                <w:pPr>
                  <w:jc w:val="both"/>
                  <w:textAlignment w:val="baseline"/>
                  <w:rPr>
                    <w:szCs w:val="24"/>
                    <w:lang w:eastAsia="lt-LT"/>
                  </w:rPr>
                </w:pPr>
                <w:r>
                  <w:rPr>
                    <w:b/>
                    <w:sz w:val="20"/>
                    <w:lang w:eastAsia="lt-LT"/>
                  </w:rPr>
                  <w:t>11.10. dumblo laikymas ar šalinimas specialiai įrengtose vietose; </w:t>
                </w:r>
                <w:r>
                  <w:rPr>
                    <w:szCs w:val="24"/>
                    <w:lang w:eastAsia="lt-LT"/>
                  </w:rPr>
                  <w:t> </w:t>
                </w:r>
              </w:p>
              <w:p>
                <w:pPr>
                  <w:jc w:val="both"/>
                  <w:textAlignment w:val="baseline"/>
                  <w:rPr>
                    <w:szCs w:val="24"/>
                    <w:lang w:eastAsia="lt-LT"/>
                  </w:rPr>
                </w:pPr>
                <w:r>
                  <w:rPr>
                    <w:b/>
                    <w:sz w:val="20"/>
                    <w:lang w:eastAsia="lt-LT"/>
                  </w:rPr>
                  <w:t>11.11. požeminio vandens vandenviečių dirbtinis papildymas (kai per metus papildoma mažiau kaip 10 milijonų m3 vandens);</w:t>
                </w:r>
                <w:r>
                  <w:rPr>
                    <w:szCs w:val="24"/>
                    <w:lang w:eastAsia="lt-LT"/>
                  </w:rPr>
                  <w:t> </w:t>
                </w:r>
              </w:p>
              <w:p>
                <w:pPr>
                  <w:jc w:val="both"/>
                  <w:textAlignment w:val="baseline"/>
                  <w:rPr>
                    <w:szCs w:val="24"/>
                    <w:lang w:eastAsia="lt-LT"/>
                  </w:rPr>
                </w:pPr>
                <w:r>
                  <w:rPr>
                    <w:b/>
                    <w:sz w:val="20"/>
                    <w:lang w:eastAsia="lt-LT"/>
                  </w:rPr>
                  <w:t>11.12. vandens išteklių, išskyrus geriamąjį vandenį, perskirstymas upių baseinams, kai per metus perskirstoma mažiau kaip 100 milijonų m3 vandens ir (ar) kai daugiametis vidutinis baseino, iš kurio imamas vanduo, nuotėkis yra mažesnis kaip 2 000 milijonų m3 vandens per metus ir perskirstoma mažiau kaip 5 procentai šio nuotėkio;</w:t>
                </w:r>
                <w:r>
                  <w:rPr>
                    <w:szCs w:val="24"/>
                    <w:lang w:eastAsia="lt-LT"/>
                  </w:rPr>
                  <w:t> </w:t>
                </w:r>
              </w:p>
              <w:p>
                <w:pPr>
                  <w:jc w:val="both"/>
                  <w:textAlignment w:val="baseline"/>
                  <w:rPr>
                    <w:szCs w:val="24"/>
                    <w:lang w:eastAsia="lt-LT"/>
                  </w:rPr>
                </w:pPr>
                <w:r>
                  <w:rPr>
                    <w:b/>
                    <w:sz w:val="20"/>
                    <w:lang w:eastAsia="lt-LT"/>
                  </w:rPr>
                  <w:t>11.13. metalo laužo, įskaitant nebetinkamas naudoti (eksploatuoti) transporto priemones, saugyklų įrengimas (kai bendras saugojimo plotas 0,5 ha ar didesnis arba bendras saugojimo pajėgumas 500 tonų ar daugiau);</w:t>
                </w:r>
                <w:r>
                  <w:rPr>
                    <w:szCs w:val="24"/>
                    <w:lang w:eastAsia="lt-LT"/>
                  </w:rPr>
                  <w:t> </w:t>
                </w:r>
              </w:p>
              <w:p>
                <w:pPr>
                  <w:jc w:val="both"/>
                  <w:textAlignment w:val="baseline"/>
                  <w:rPr>
                    <w:szCs w:val="24"/>
                    <w:lang w:eastAsia="lt-LT"/>
                  </w:rPr>
                </w:pPr>
                <w:r>
                  <w:rPr>
                    <w:b/>
                    <w:sz w:val="20"/>
                    <w:lang w:eastAsia="lt-LT"/>
                  </w:rPr>
                  <w:t>11.14. variklių, turbinų ar reaktorių išbandymų įrenginių įrengimas (kai bandymams skiriamas 500 m2 ar didesnis plotas);</w:t>
                </w:r>
                <w:r>
                  <w:rPr>
                    <w:szCs w:val="24"/>
                    <w:lang w:eastAsia="lt-LT"/>
                  </w:rPr>
                  <w:t> </w:t>
                </w:r>
              </w:p>
              <w:p>
                <w:pPr>
                  <w:jc w:val="both"/>
                  <w:textAlignment w:val="baseline"/>
                  <w:rPr>
                    <w:szCs w:val="24"/>
                    <w:lang w:eastAsia="lt-LT"/>
                  </w:rPr>
                </w:pPr>
                <w:r>
                  <w:rPr>
                    <w:b/>
                    <w:sz w:val="20"/>
                    <w:lang w:eastAsia="lt-LT"/>
                  </w:rPr>
                  <w:t>11.15. sprogstamųjų medžiagų sunaikinimo ar jų atliekų naudojimo įrenginių įrengimas, kenksmingumo pašalinimas; </w:t>
                </w:r>
                <w:r>
                  <w:rPr>
                    <w:szCs w:val="24"/>
                    <w:lang w:eastAsia="lt-LT"/>
                  </w:rPr>
                  <w:t> </w:t>
                </w:r>
              </w:p>
              <w:p>
                <w:pPr>
                  <w:jc w:val="both"/>
                  <w:textAlignment w:val="baseline"/>
                  <w:rPr>
                    <w:szCs w:val="24"/>
                    <w:lang w:eastAsia="lt-LT"/>
                  </w:rPr>
                </w:pPr>
                <w:r>
                  <w:rPr>
                    <w:b/>
                    <w:sz w:val="20"/>
                    <w:lang w:eastAsia="lt-LT"/>
                  </w:rPr>
                  <w:t>11.16. nereikalingų ar netinkamų naudoti gyvūnų šalinimas ar naikinimas, išskyrus kritusių ar sergančių gyvulių naikinimą epidemiologinio židinio vietoje siekiant išvengti užkrečiamųjų ligų išplitimo;</w:t>
                </w:r>
                <w:r>
                  <w:rPr>
                    <w:szCs w:val="24"/>
                    <w:lang w:eastAsia="lt-LT"/>
                  </w:rPr>
                  <w:t> </w:t>
                </w:r>
              </w:p>
              <w:p>
                <w:pPr>
                  <w:jc w:val="both"/>
                  <w:textAlignment w:val="baseline"/>
                  <w:rPr>
                    <w:szCs w:val="24"/>
                    <w:lang w:eastAsia="lt-LT"/>
                  </w:rPr>
                </w:pPr>
                <w:r>
                  <w:rPr>
                    <w:b/>
                    <w:sz w:val="20"/>
                    <w:lang w:eastAsia="lt-LT"/>
                  </w:rPr>
                  <w:t>11.17. upių vagų gilinimas ir (ar) kranto (krantų) keitimas, įskaitant salų, dambos įrengimą ar nukasimą;</w:t>
                </w:r>
                <w:r>
                  <w:rPr>
                    <w:szCs w:val="24"/>
                    <w:lang w:eastAsia="lt-LT"/>
                  </w:rPr>
                  <w:t> </w:t>
                </w:r>
              </w:p>
              <w:p>
                <w:pPr>
                  <w:jc w:val="both"/>
                  <w:textAlignment w:val="baseline"/>
                  <w:rPr>
                    <w:szCs w:val="24"/>
                    <w:lang w:eastAsia="lt-LT"/>
                  </w:rPr>
                </w:pPr>
                <w:r>
                  <w:rPr>
                    <w:b/>
                    <w:sz w:val="20"/>
                    <w:lang w:eastAsia="lt-LT"/>
                  </w:rPr>
                  <w:t>11.18. gamybos, pramonės ir sandėliavimo objektų, kuriuose numatoma vykdyti veiklą, neįtrauktą į šio įstatymo 1 priedą ir šį priedą, statyba pramonės ar kitokio verslo tikslais suformuotoje teritorijoje, kuri skirta bendram naudojimuisi įmonėms, sudarančioms eksploatacinį ar funkcinį vienetą, kai objekto ir jo priklausinių užimamas 1 ha ar didesnis plotas. </w:t>
                </w:r>
                <w:r>
                  <w:rPr>
                    <w:szCs w:val="24"/>
                    <w:lang w:eastAsia="lt-LT"/>
                  </w:rPr>
                  <w:t> </w:t>
                </w:r>
              </w:p>
              <w:p>
                <w:pPr>
                  <w:jc w:val="both"/>
                  <w:textAlignment w:val="baseline"/>
                  <w:rPr>
                    <w:szCs w:val="24"/>
                    <w:lang w:eastAsia="lt-LT"/>
                  </w:rPr>
                </w:pPr>
                <w:r>
                  <w:rPr>
                    <w:b/>
                    <w:sz w:val="20"/>
                    <w:lang w:eastAsia="lt-LT"/>
                  </w:rPr>
                  <w:t>12. Turizmas ir laisvalaikis:</w:t>
                </w:r>
                <w:r>
                  <w:rPr>
                    <w:szCs w:val="24"/>
                    <w:lang w:eastAsia="lt-LT"/>
                  </w:rPr>
                  <w:t> </w:t>
                </w:r>
              </w:p>
              <w:p>
                <w:pPr>
                  <w:jc w:val="both"/>
                  <w:textAlignment w:val="baseline"/>
                  <w:rPr>
                    <w:szCs w:val="24"/>
                    <w:lang w:eastAsia="lt-LT"/>
                  </w:rPr>
                </w:pPr>
                <w:r>
                  <w:rPr>
                    <w:b/>
                    <w:sz w:val="20"/>
                    <w:lang w:eastAsia="lt-LT"/>
                  </w:rPr>
                  <w:t>12.1. jachtų ar valčių prieplaukų įrengimas (kai prieplaukos plotas 0,2 ha ar didesnis);</w:t>
                </w:r>
                <w:r>
                  <w:rPr>
                    <w:szCs w:val="24"/>
                    <w:lang w:eastAsia="lt-LT"/>
                  </w:rPr>
                  <w:t> </w:t>
                </w:r>
              </w:p>
              <w:p>
                <w:pPr>
                  <w:jc w:val="both"/>
                  <w:textAlignment w:val="baseline"/>
                  <w:rPr>
                    <w:szCs w:val="24"/>
                    <w:lang w:eastAsia="lt-LT"/>
                  </w:rPr>
                </w:pPr>
                <w:r>
                  <w:rPr>
                    <w:b/>
                    <w:sz w:val="20"/>
                    <w:lang w:eastAsia="lt-LT"/>
                  </w:rPr>
                  <w:t>12.2. poilsio namų, viešbučių kompleksų, kaimo turizmo sodybų ar panašių objektų už miestų ribų statyba (turinčiuose 100 ar daugiau lovų ir kai nėra centralizuotos inžinerinių tinklų infrastruktūros);</w:t>
                </w:r>
                <w:r>
                  <w:rPr>
                    <w:szCs w:val="24"/>
                    <w:lang w:eastAsia="lt-LT"/>
                  </w:rPr>
                  <w:t> </w:t>
                </w:r>
              </w:p>
              <w:p>
                <w:pPr>
                  <w:jc w:val="both"/>
                  <w:textAlignment w:val="baseline"/>
                  <w:rPr>
                    <w:szCs w:val="24"/>
                    <w:lang w:eastAsia="lt-LT"/>
                  </w:rPr>
                </w:pPr>
                <w:r>
                  <w:rPr>
                    <w:b/>
                    <w:sz w:val="20"/>
                    <w:lang w:eastAsia="lt-LT"/>
                  </w:rPr>
                  <w:t>12.3. nuolatinių stovyklaviečių ir kempingų, kai sklypo plotas 1 ha ar didesnis, įrengimas;</w:t>
                </w:r>
                <w:r>
                  <w:rPr>
                    <w:szCs w:val="24"/>
                    <w:lang w:eastAsia="lt-LT"/>
                  </w:rPr>
                  <w:t> </w:t>
                </w:r>
              </w:p>
              <w:p>
                <w:pPr>
                  <w:jc w:val="both"/>
                  <w:textAlignment w:val="baseline"/>
                  <w:rPr>
                    <w:szCs w:val="24"/>
                    <w:lang w:eastAsia="lt-LT"/>
                  </w:rPr>
                </w:pPr>
                <w:r>
                  <w:rPr>
                    <w:b/>
                    <w:sz w:val="20"/>
                    <w:lang w:eastAsia="lt-LT"/>
                  </w:rPr>
                  <w:t>12.4. teminių parkų (pvz., zoologijos sodų, golfo laukų, teniso kortų, šaudyklų, vandens pramogų parkų ant paviršinių vandens telkinių ir pan.), kurių plotas 1 ha ar didesnis, įrengimas.</w:t>
                </w:r>
                <w:r>
                  <w:rPr>
                    <w:szCs w:val="24"/>
                    <w:lang w:eastAsia="lt-LT"/>
                  </w:rPr>
                  <w:t> </w:t>
                </w:r>
              </w:p>
              <w:p>
                <w:pPr>
                  <w:jc w:val="both"/>
                  <w:textAlignment w:val="baseline"/>
                  <w:rPr>
                    <w:b/>
                    <w:sz w:val="20"/>
                    <w:lang w:eastAsia="lt-LT"/>
                  </w:rPr>
                </w:pPr>
                <w:r>
                  <w:rPr>
                    <w:b/>
                    <w:sz w:val="20"/>
                    <w:lang w:eastAsia="lt-LT"/>
                  </w:rPr>
                  <w:t>13. Į Planuojamos ūkinės veiklos, kurios poveikis aplinkai privalo būti vertinamas, rūšių sąrašą įrašyta planuojama ūkinė veikla, skirta eksperimentiniam tobulinimui ar bandymui ir vykdoma ne ilgiau kaip dvejus metus.</w:t>
                </w:r>
              </w:p>
              <w:p>
                <w:pPr>
                  <w:jc w:val="both"/>
                  <w:textAlignment w:val="baseline"/>
                  <w:rPr>
                    <w:szCs w:val="24"/>
                    <w:lang w:eastAsia="lt-LT"/>
                  </w:rPr>
                </w:pPr>
                <w:r>
                  <w:rPr>
                    <w:b/>
                    <w:sz w:val="20"/>
                    <w:lang w:eastAsia="lt-LT"/>
                  </w:rPr>
                  <w:t>14. Į šio įstatymo 1 priede pateiktą rūšių sąrašą įrašytos planuojamos ūkinės veiklos bet koks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w:t>
                </w:r>
                <w:r>
                  <w:rPr>
                    <w:szCs w:val="24"/>
                    <w:lang w:eastAsia="lt-LT"/>
                  </w:rPr>
                  <w:t> </w:t>
                </w:r>
              </w:p>
              <w:p>
                <w:pPr>
                  <w:jc w:val="both"/>
                  <w:textAlignment w:val="baseline"/>
                  <w:rPr>
                    <w:b/>
                    <w:sz w:val="20"/>
                    <w:lang w:eastAsia="lt-LT"/>
                  </w:rPr>
                </w:pPr>
                <w:r>
                  <w:rPr>
                    <w:b/>
                    <w:sz w:val="20"/>
                    <w:lang w:eastAsia="lt-LT"/>
                  </w:rPr>
                  <w:t>15. Į šiame priede pateiktą rūšių sąrašą įrašytos planuojamos ūkinės veiklos bet koks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 Šio punkto reikalavimas taikomas veiklai:</w:t>
                </w:r>
              </w:p>
              <w:p>
                <w:pPr>
                  <w:jc w:val="both"/>
                  <w:textAlignment w:val="baseline"/>
                  <w:rPr>
                    <w:b/>
                    <w:sz w:val="20"/>
                    <w:lang w:eastAsia="lt-LT"/>
                  </w:rPr>
                </w:pPr>
                <w:r>
                  <w:rPr>
                    <w:b/>
                    <w:sz w:val="20"/>
                    <w:lang w:eastAsia="lt-LT"/>
                  </w:rPr>
                  <w:t>15.1. kuriai nenustatyti ribiniai dydžiai, – jeigu planuojamos ūkinės veiklos keitimas ar išplėtimas gali daryti neigiamą poveikį aplinkai;</w:t>
                </w:r>
              </w:p>
              <w:p>
                <w:pPr>
                  <w:jc w:val="both"/>
                  <w:textAlignment w:val="baseline"/>
                  <w:rPr>
                    <w:b/>
                    <w:sz w:val="20"/>
                    <w:lang w:eastAsia="lt-LT"/>
                  </w:rPr>
                </w:pPr>
                <w:r>
                  <w:rPr>
                    <w:b/>
                    <w:sz w:val="20"/>
                    <w:lang w:eastAsia="lt-LT"/>
                  </w:rPr>
                  <w:t>15.2. kuriai nustatyti ribiniai dydžiai, – jeigu vykdoma veikla ir jos pakeitimas ar išplėtimas yra mažesnis, negu sąraše nustatyti žemutiniai ribiniai dydžiai, pakeitus ar išplėtus, – veikla atitiks žemutinius ribinius dydžius;</w:t>
                </w:r>
              </w:p>
              <w:p>
                <w:pPr>
                  <w:jc w:val="both"/>
                  <w:textAlignment w:val="baseline"/>
                  <w:rPr>
                    <w:b/>
                    <w:sz w:val="20"/>
                    <w:lang w:eastAsia="lt-LT"/>
                  </w:rPr>
                </w:pPr>
                <w:r>
                  <w:rPr>
                    <w:b/>
                    <w:sz w:val="20"/>
                    <w:lang w:eastAsia="lt-LT"/>
                  </w:rPr>
                  <w:t>15.3. kuriai nustatyti ribiniai dydžiai, – kai toks pakeitimas atitinka sąraše nustatytus žemutinius ribinius dydžius ar yra didesnis už jį.</w:t>
                </w:r>
              </w:p>
              <w:p>
                <w:pPr>
                  <w:jc w:val="both"/>
                  <w:textAlignment w:val="baseline"/>
                  <w:rPr>
                    <w:b/>
                    <w:sz w:val="20"/>
                    <w:lang w:eastAsia="lt-LT"/>
                  </w:rPr>
                </w:pPr>
                <w:r>
                  <w:rPr>
                    <w:b/>
                    <w:sz w:val="20"/>
                    <w:lang w:eastAsia="lt-LT"/>
                  </w:rPr>
                  <w:t xml:space="preserve">Nustatant 15.2 ir 15.3 papunkčiuose nurodyto veiklos pakeitimo ar išplėtimo  mastą, sumuojami per paskutinius penkerius kalendorinius metus atlikti veiklos pakeitimai ar išplėtimai.</w:t>
                </w:r>
              </w:p>
              <w:p>
                <w:pPr>
                  <w:jc w:val="both"/>
                  <w:textAlignment w:val="baseline"/>
                  <w:rPr>
                    <w:sz w:val="20"/>
                    <w:lang w:eastAsia="lt-LT"/>
                  </w:rPr>
                </w:pPr>
                <w:r>
                  <w:rPr>
                    <w:sz w:val="20"/>
                    <w:lang w:eastAsia="lt-LT"/>
                  </w:rPr>
                  <w:t>Pastabos:</w:t>
                </w:r>
              </w:p>
              <w:p>
                <w:pPr>
                  <w:jc w:val="both"/>
                  <w:textAlignment w:val="baseline"/>
                  <w:rPr>
                    <w:b/>
                    <w:sz w:val="20"/>
                    <w:lang w:eastAsia="lt-LT"/>
                  </w:rPr>
                </w:pPr>
                <w:r>
                  <w:rPr>
                    <w:b/>
                    <w:sz w:val="20"/>
                    <w:lang w:eastAsia="lt-LT"/>
                  </w:rPr>
                  <w:t>1. Jeigu planuojama auginti skirtingų šio priedo 1.1 papunktyje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p>
              <w:p>
                <w:pPr>
                  <w:jc w:val="both"/>
                  <w:textAlignment w:val="baseline"/>
                  <w:rPr>
                    <w:szCs w:val="24"/>
                    <w:lang w:eastAsia="lt-LT"/>
                  </w:rPr>
                </w:pPr>
                <w:r>
                  <w:rPr>
                    <w:b/>
                    <w:sz w:val="20"/>
                    <w:lang w:eastAsia="lt-LT"/>
                  </w:rPr>
                  <w:t>2. Šio priedo 1.1.7, 1.1.10–1.1.15, 1.1.18, 1.1.21 ir 1.1.22 papunkčiuose nurodyta viena vieta atitinka vieną suaugusį gyvūną ar paukštį, t. y. jaunikliai neskaičiuojami.</w:t>
                </w:r>
              </w:p>
            </w:tc>
            <w:tc>
              <w:tcPr>
                <w:tcW w:w="1421" w:type="dxa"/>
              </w:tcPr>
              <w:p>
                <w:pPr>
                  <w:jc w:val="center"/>
                  <w:rPr>
                    <w:sz w:val="20"/>
                  </w:rPr>
                </w:pPr>
                <w:r>
                  <w:rPr>
                    <w:b/>
                    <w:sz w:val="20"/>
                  </w:rPr>
                  <w:t>Visiškas.</w:t>
                </w:r>
              </w:p>
            </w:tc>
          </w:tr>
          <w:tr>
            <w:tc>
              <w:tcPr>
                <w:tcW w:w="3652" w:type="dxa"/>
              </w:tcPr>
              <w:p>
                <w:pPr>
                  <w:jc w:val="both"/>
                  <w:rPr>
                    <w:b/>
                    <w:sz w:val="20"/>
                    <w:lang w:eastAsia="en-GB"/>
                  </w:rPr>
                </w:pPr>
                <w:r>
                  <w:rPr>
                    <w:b/>
                    <w:sz w:val="20"/>
                    <w:lang w:eastAsia="en-GB"/>
                  </w:rPr>
                  <w:t>M1</w:t>
                </w:r>
              </w:p>
              <w:p>
                <w:pPr>
                  <w:jc w:val="both"/>
                  <w:rPr>
                    <w:sz w:val="20"/>
                    <w:lang w:eastAsia="en-GB"/>
                  </w:rPr>
                </w:pPr>
                <w:r>
                  <w:rPr>
                    <w:sz w:val="20"/>
                    <w:lang w:eastAsia="en-GB"/>
                  </w:rPr>
                  <w:t xml:space="preserve">4. Kai valstybės narės nusprendžia reikalauti išvados priėmimo procedūros II priede išvardytiems projektams, užsakovas pateikia informaciją apie projekto charakteristikas ir tikėtiną reikšmingą jo poveikį aplinkai. Išsamus pateiktinos informacijos sąrašas nustatytas II.A priede. Prireikus užsakovas atsižvelgia į jam žinomų kitų svarbių poveikio aplinkai vertinimų, atliktų pagal kitus nei ši direktyva Sąjungos teisės aktus rezultatus. Užsakovas taip pat gali pateikti bet kokių projekto charakteristikų ir (arba) priemonių, kurių numatoma imtis siekiant išvengti reikšmingo neigiamo poveikio aplinkai arba užkirsti jam kelią, nes priešingu atveju aplinka galėtų patirti reikšmingą neigiamą poveikį aplinkai, aprašymą.“; </w:t>
                </w:r>
              </w:p>
            </w:tc>
            <w:tc>
              <w:tcPr>
                <w:tcW w:w="9639" w:type="dxa"/>
              </w:tcPr>
              <w:p>
                <w:pPr>
                  <w:jc w:val="both"/>
                  <w:rPr>
                    <w:b/>
                    <w:sz w:val="20"/>
                  </w:rPr>
                </w:pPr>
                <w:r>
                  <w:rPr>
                    <w:b/>
                    <w:sz w:val="20"/>
                  </w:rPr>
                  <w:t>Projektas</w:t>
                </w:r>
              </w:p>
              <w:p>
                <w:pPr>
                  <w:jc w:val="both"/>
                  <w:rPr>
                    <w:b/>
                    <w:sz w:val="20"/>
                  </w:rPr>
                </w:pPr>
                <w:r>
                  <w:rPr>
                    <w:b/>
                    <w:sz w:val="20"/>
                  </w:rPr>
                  <w:t>3 straipsnio 3 dalis</w:t>
                </w:r>
              </w:p>
              <w:p>
                <w:pPr>
                  <w:ind w:right="-10"/>
                  <w:jc w:val="both"/>
                  <w:rPr>
                    <w:b/>
                    <w:bCs/>
                    <w:sz w:val="20"/>
                  </w:rPr>
                </w:pPr>
                <w:r>
                  <w:rPr>
                    <w:b/>
                    <w:sz w:val="20"/>
                  </w:rPr>
                  <w:t>„3. Atranka dėl poveikio aplinkai vertinimo atliekama planuojamai ūkinei veiklai, įrašytai į Planuojamos ūkinės veiklos, kuriai turi būti atliekama atranka dėl poveikio aplinkai vertinimo, rūšių sąrašą (šio įstatymo 2 priedas).“</w:t>
                </w:r>
              </w:p>
              <w:p>
                <w:pPr>
                  <w:jc w:val="both"/>
                  <w:rPr>
                    <w:b/>
                    <w:sz w:val="20"/>
                  </w:rPr>
                </w:pPr>
              </w:p>
              <w:p>
                <w:pPr>
                  <w:jc w:val="both"/>
                  <w:rPr>
                    <w:rFonts w:eastAsia="Calibri"/>
                    <w:b/>
                    <w:sz w:val="20"/>
                    <w:lang w:eastAsia="lt-LT"/>
                  </w:rPr>
                </w:pPr>
                <w:r>
                  <w:rPr>
                    <w:rFonts w:eastAsia="Calibri"/>
                    <w:b/>
                    <w:sz w:val="20"/>
                    <w:lang w:eastAsia="lt-LT"/>
                  </w:rPr>
                  <w:t>7 straipsnio 3 dalis</w:t>
                </w:r>
              </w:p>
              <w:p>
                <w:pPr>
                  <w:jc w:val="both"/>
                  <w:rPr>
                    <w:b/>
                    <w:sz w:val="20"/>
                  </w:rPr>
                </w:pPr>
                <w:r>
                  <w:rPr>
                    <w:rFonts w:eastAsia="Calibri"/>
                    <w:b/>
                    <w:sz w:val="20"/>
                    <w:lang w:eastAsia="lt-LT"/>
                  </w:rPr>
                  <w:t>„</w:t>
                </w:r>
                <w:r>
                  <w:rPr>
                    <w:b/>
                    <w:color w:val="000000"/>
                    <w:sz w:val="20"/>
                    <w:shd w:val="clear" w:color="auto" w:fill="FFFFFF"/>
                    <w:lang w:eastAsia="en-GB"/>
                  </w:rPr>
                  <w:t>3. Planuojamos ūkinės veiklos organizatorius (užsakovas) ar poveikio aplinkai vertinimo dokumentų rengėjas aplinkos ministro nustatyta tvarka rengia informaciją atrankai dėl poveikio aplinkai vertinimo atlikti ir pateikia ją atsakingajai institucijai.  </w:t>
                </w:r>
                <w:r>
                  <w:rPr>
                    <w:rFonts w:eastAsia="Calibri"/>
                    <w:b/>
                    <w:sz w:val="20"/>
                    <w:lang w:eastAsia="en-GB"/>
                  </w:rPr>
                  <w:t xml:space="preserve">” </w:t>
                </w:r>
              </w:p>
            </w:tc>
            <w:tc>
              <w:tcPr>
                <w:tcW w:w="1421" w:type="dxa"/>
              </w:tcPr>
              <w:p>
                <w:pPr>
                  <w:jc w:val="center"/>
                  <w:rPr>
                    <w:sz w:val="20"/>
                  </w:rPr>
                </w:pPr>
                <w:r>
                  <w:rPr>
                    <w:b/>
                    <w:sz w:val="20"/>
                  </w:rPr>
                  <w:t>Visiškas.</w:t>
                </w:r>
              </w:p>
            </w:tc>
          </w:tr>
          <w:tr>
            <w:tc>
              <w:tcPr>
                <w:tcW w:w="3652" w:type="dxa"/>
              </w:tcPr>
              <w:p>
                <w:pPr>
                  <w:jc w:val="both"/>
                  <w:rPr>
                    <w:b/>
                    <w:bCs/>
                    <w:sz w:val="20"/>
                    <w:lang w:eastAsia="en-GB"/>
                  </w:rPr>
                </w:pPr>
                <w:r>
                  <w:rPr>
                    <w:b/>
                    <w:bCs/>
                    <w:sz w:val="20"/>
                    <w:lang w:eastAsia="en-GB"/>
                  </w:rPr>
                  <w:t>M1</w:t>
                </w:r>
              </w:p>
              <w:p>
                <w:pPr>
                  <w:jc w:val="both"/>
                  <w:rPr>
                    <w:sz w:val="20"/>
                    <w:lang w:eastAsia="en-GB"/>
                  </w:rPr>
                </w:pPr>
                <w:r>
                  <w:rPr>
                    <w:sz w:val="20"/>
                    <w:lang w:eastAsia="en-GB"/>
                  </w:rPr>
                  <w:t xml:space="preserve">5. Kompetentinga institucija priima išvadą remdamasi užsakovo pateikta informacija pateikta pagal 4 dalį ir prireikus atsižvelgdama į preliminarių patikrinimų ar poveikio aplinkai vertinimų, atliktų pagal kitus nei ši direktyva Sąjungos teisės aktus rezultatus. Išvada pateikiama visuomenei ir joje: </w:t>
                </w:r>
              </w:p>
              <w:p>
                <w:pPr>
                  <w:jc w:val="both"/>
                  <w:rPr>
                    <w:sz w:val="20"/>
                    <w:lang w:eastAsia="en-GB"/>
                  </w:rPr>
                </w:pPr>
                <w:r>
                  <w:rPr>
                    <w:sz w:val="20"/>
                    <w:lang w:eastAsia="en-GB"/>
                  </w:rPr>
                  <w:t xml:space="preserve">a) kai nuspręsta, kad reikalingas poveikio aplinkai vertinimas, nurodomos pagrindinės priežastys, dėl kurių reikalaujama tokio vertinimo remiantis atitinkamais kriterijais, išvardytais III priede, arba </w:t>
                </w:r>
              </w:p>
              <w:p>
                <w:pPr>
                  <w:jc w:val="both"/>
                  <w:rPr>
                    <w:sz w:val="20"/>
                    <w:lang w:eastAsia="en-GB"/>
                  </w:rPr>
                </w:pPr>
                <w:r>
                  <w:rPr>
                    <w:sz w:val="20"/>
                    <w:lang w:eastAsia="en-GB"/>
                  </w:rPr>
                  <w:t>b) kai nuspręsta, kad nereikalingas poveikio aplinkai vertinimas, nurodomos pagrindinės priežastys, dėl kurių nereikalaujama tokio vertinimo remiantis atitinkamais kriterijais, išvardytais III priede, ir kai užsakovas pasiūlo, pateikiamos projekto charakteristikos ir (arba) priemonės, kurių numatoma imtis siekiant išvengti bet kokio reikšmingo neigiamo poveikio aplinkai arba užkirsti jam kelią, nes priešingu atveju aplinka galėtų patirti reikšmingą neigiamą poveikį aplinkai.</w:t>
                </w:r>
              </w:p>
              <w:p>
                <w:pPr>
                  <w:rPr>
                    <w:sz w:val="19"/>
                    <w:szCs w:val="19"/>
                    <w:lang w:eastAsia="en-GB"/>
                  </w:rPr>
                </w:pPr>
              </w:p>
            </w:tc>
            <w:tc>
              <w:tcPr>
                <w:tcW w:w="9639" w:type="dxa"/>
              </w:tcPr>
              <w:p>
                <w:pPr>
                  <w:jc w:val="both"/>
                  <w:rPr>
                    <w:rFonts w:eastAsia="Calibri"/>
                    <w:b/>
                    <w:sz w:val="20"/>
                    <w:lang w:eastAsia="lt-LT"/>
                  </w:rPr>
                </w:pPr>
                <w:r>
                  <w:rPr>
                    <w:rFonts w:eastAsia="Calibri"/>
                    <w:b/>
                    <w:sz w:val="20"/>
                    <w:lang w:eastAsia="lt-LT"/>
                  </w:rPr>
                  <w:t>Projektas</w:t>
                </w:r>
              </w:p>
              <w:p>
                <w:pPr>
                  <w:jc w:val="both"/>
                  <w:rPr>
                    <w:rFonts w:eastAsia="Calibri"/>
                    <w:b/>
                    <w:sz w:val="20"/>
                    <w:lang w:eastAsia="lt-LT"/>
                  </w:rPr>
                </w:pPr>
                <w:r>
                  <w:rPr>
                    <w:rFonts w:eastAsia="Calibri"/>
                    <w:b/>
                    <w:sz w:val="20"/>
                    <w:lang w:eastAsia="lt-LT"/>
                  </w:rPr>
                  <w:t>7 straipsnio 4 dalis</w:t>
                </w:r>
              </w:p>
              <w:p>
                <w:pPr>
                  <w:jc w:val="both"/>
                  <w:textAlignment w:val="baseline"/>
                  <w:rPr>
                    <w:rFonts w:ascii="Segoe UI" w:hAnsi="Segoe UI" w:cs="Segoe UI"/>
                    <w:b/>
                    <w:sz w:val="20"/>
                    <w:lang w:eastAsia="lt-LT"/>
                  </w:rPr>
                </w:pPr>
                <w:r>
                  <w:rPr>
                    <w:rFonts w:eastAsia="Calibri"/>
                    <w:b/>
                    <w:sz w:val="20"/>
                    <w:lang w:eastAsia="lt-LT"/>
                  </w:rPr>
                  <w:t>„</w:t>
                </w:r>
                <w:r>
                  <w:rPr>
                    <w:b/>
                    <w:sz w:val="20"/>
                    <w:lang w:eastAsia="lt-LT"/>
                  </w:rPr>
                  <w:t>4. Atsakingoji institucija, išnagrinėjusi atrankos informaciją, atlieka atranką dėl poveikio aplinkai vertinimo atsižvelgdama į: </w:t>
                </w:r>
              </w:p>
              <w:p>
                <w:pPr>
                  <w:jc w:val="both"/>
                  <w:textAlignment w:val="baseline"/>
                  <w:rPr>
                    <w:rFonts w:ascii="Segoe UI" w:hAnsi="Segoe UI" w:cs="Segoe UI"/>
                    <w:b/>
                    <w:sz w:val="20"/>
                    <w:lang w:eastAsia="lt-LT"/>
                  </w:rPr>
                </w:pPr>
                <w:r>
                  <w:rPr>
                    <w:b/>
                    <w:sz w:val="20"/>
                    <w:lang w:eastAsia="lt-LT"/>
                  </w:rPr>
                  <w:t>1) planuojamos ūkinės veiklos mastą, pobūdį, jos sąveiką su kita vykdoma ūkine veikla ir (ar) pagal teisės aktų reikalavimus patvirtinta ūkinės veiklos plėtra gretimose teritorijose; gamtos išteklių, tokių kaip vandens, žemės (jos paviršiaus ir gelmių), dirvožemio ir biologinės įvairovės, naudojimą; atliekų susidarymą; galimą planuojamos ūkinės veiklos poveikį dirvožemiui, žemės paviršiui ir jos gelmėms, orui, vandeniui, klimatui, kraštovaizdžiui ir biologinei įvairovei, ypatingą dėmesį skirdama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 galimą planuojamos ūkinės veiklos sukeliamų biologinių, cheminių ir fizikinių veiksnių poveikį visuomenės sveikatai ir ekstremaliųjų įvykių ir (ar) ekstremaliųjų situacijų riziką;  </w:t>
                </w:r>
              </w:p>
              <w:p>
                <w:pPr>
                  <w:jc w:val="both"/>
                  <w:textAlignment w:val="baseline"/>
                  <w:rPr>
                    <w:rFonts w:ascii="Segoe UI" w:hAnsi="Segoe UI" w:cs="Segoe UI"/>
                    <w:b/>
                    <w:sz w:val="20"/>
                    <w:lang w:eastAsia="lt-LT"/>
                  </w:rPr>
                </w:pPr>
                <w:r>
                  <w:rPr>
                    <w:b/>
                    <w:sz w:val="20"/>
                    <w:lang w:eastAsia="lt-LT"/>
                  </w:rPr>
                  <w:t>2) vietovės, kurią planuojama ūkinė veikla gali paveikti, jautrumą aplinkosaugos požiūriu, ekosistemos savybes, žemės naudmenas, vietovėje esančius gamtinius ir žemės gelmių išteklius, jų gausumą, kiekį, kokybę ir regeneracijos galimybes; natūralios aplinkos atsparumą, ypatingą dėmesį atkreipdama į saugomas teritorijas, taip pat į Europos ekologinio tinklo „Natura 2000“ teritorijos apsaugos</w:t>
                </w:r>
                <w:r>
                  <w:rPr>
                    <w:b/>
                    <w:bCs/>
                    <w:sz w:val="20"/>
                    <w:lang w:eastAsia="lt-LT"/>
                  </w:rPr>
                  <w:t xml:space="preserve"> </w:t>
                </w:r>
                <w:r>
                  <w:rPr>
                    <w:b/>
                    <w:sz w:val="20"/>
                    <w:lang w:eastAsia="lt-LT"/>
                  </w:rPr>
                  <w:t>tikslus, tankiai gyvenamas teritorijas, pelkes, miškus, apsaugos zonas, vykdytos aplinkos stebėsenos (monitoringo) duomenis, teritorijas, kuriose jau viršytas leistinas užterštumo lygis ar kurios vertingos istoriniu, kultūriniu ar archeologiniu aspektu;  </w:t>
                </w:r>
              </w:p>
              <w:p>
                <w:pPr>
                  <w:jc w:val="both"/>
                  <w:textAlignment w:val="baseline"/>
                  <w:rPr>
                    <w:b/>
                    <w:sz w:val="20"/>
                  </w:rPr>
                </w:pPr>
                <w:r>
                  <w:rPr>
                    <w:b/>
                    <w:sz w:val="20"/>
                    <w:lang w:eastAsia="lt-LT"/>
                  </w:rPr>
                  <w:t>3) planuojamos ūkinės veiklos poveikio dydį ir erdvinį mastą, jo tikimybę ir pobūdį, intensyvumą, sudėtingumą, trukmę, dažnumą, grįžtamumą, tarpvalstybinį poveikį, suminį poveikį su toje vietoje vykdoma ar planuojama vykdyti ūkine veikla ir galimybes išvengti poveikio ar užkirsti jam kelią.</w:t>
                </w:r>
                <w:r>
                  <w:rPr>
                    <w:b/>
                    <w:sz w:val="20"/>
                  </w:rPr>
                  <w:t>“</w:t>
                </w:r>
              </w:p>
              <w:p>
                <w:pPr>
                  <w:jc w:val="both"/>
                  <w:rPr>
                    <w:b/>
                    <w:sz w:val="20"/>
                  </w:rPr>
                </w:pPr>
              </w:p>
              <w:p>
                <w:pPr>
                  <w:jc w:val="both"/>
                  <w:rPr>
                    <w:b/>
                    <w:sz w:val="20"/>
                  </w:rPr>
                </w:pPr>
                <w:r>
                  <w:rPr>
                    <w:b/>
                    <w:sz w:val="20"/>
                  </w:rPr>
                  <w:t>7 straipsnio 6-7 dalys</w:t>
                </w:r>
              </w:p>
              <w:p>
                <w:pPr>
                  <w:jc w:val="both"/>
                  <w:rPr>
                    <w:b/>
                    <w:color w:val="000000"/>
                    <w:sz w:val="20"/>
                    <w:shd w:val="clear" w:color="auto" w:fill="FFFFFF"/>
                    <w:lang w:eastAsia="en-GB"/>
                  </w:rPr>
                </w:pPr>
                <w:r>
                  <w:rPr>
                    <w:b/>
                    <w:color w:val="000000"/>
                    <w:sz w:val="20"/>
                    <w:shd w:val="clear" w:color="auto" w:fill="FFFFFF"/>
                    <w:lang w:eastAsia="en-GB"/>
                  </w:rPr>
                  <w:t>„6. Atsakingoji institucija šio įstatymo ir aplinkos ministro nustatyta tvarka, išnagrinėjusi atrankos informaciją, poveikio aplinkai vertinimo subjektų, suinteresuotos visuomenės pasiūlymus ir remdamasi šio straipsnio 4 dalyje nustatytais reikalavimais, per 20 darbo dienų nuo informacijos atrankai atlikti gavimo dienos priima atrankos išvadą, ar privaloma atlikti poveikio aplinkai vertinimą, ir raštu ją pateikia planuojamos ūkinės veiklos organizatoriui (užsakovui), poveikio aplinkai vertinimo dokumentų rengėjui ir poveikio aplinkai vertinimo subjektams arba gali pareikalauti iš planuojamos ūkinės veiklos organizatoriaus (užsakovo) ar poveikio aplinkai vertinimo dokumentų rengėjo papildomos informacijos, reikalingos atrankai dėl poveikio aplinkai vertinimo atlikti. Tokiais atvejais planuojamos ūkinės veiklos organizatorius (užsakovas) ar poveikio aplinkai vertinimo dokumentų rengėjas papildo informaciją atrankai atlikti ir pakartotinai teikia ją atsakingajai institucijai, kuri per 10 darbo dienų nuo papildytos atrankos informacijos gavimo dienos priima atrankos išvadą.</w:t>
                </w:r>
              </w:p>
              <w:p>
                <w:pPr>
                  <w:jc w:val="both"/>
                  <w:rPr>
                    <w:b/>
                    <w:sz w:val="20"/>
                  </w:rPr>
                </w:pPr>
                <w:r>
                  <w:rPr>
                    <w:b/>
                    <w:color w:val="000000"/>
                    <w:sz w:val="20"/>
                    <w:shd w:val="clear" w:color="auto" w:fill="FFFFFF"/>
                    <w:lang w:eastAsia="en-GB"/>
                  </w:rPr>
                  <w:t>7. Atsakingoji institucija priimtą atrankos išvadą paskelbia visuomenei aplinkos ministro nustatyta tvarka. Atrankos išvada įsigalioja kitą dieną po jos paskelbimo ir galioja 3 metus. Pasibaigus atrankos išvados galiojimo terminui, jeigu ja remiantis nebuvo išduotas leidimas, nurodytas šio įstatymo 3 straipsnio 3 dalyje, atrankos dėl poveikio aplinkai vertinimo procedūra atliekama iš naujo. Atsakingosios institucijos priimtoje atrankos išvadoje nustatytos priemonės reikšmingam neigiamam poveikiui aplinkai sumažinti ir (ar) jį kompensuoti privalo būti įvykdytos ir tuo atveju, jeigu išvados galiojimo terminas yra pasibaigęs.</w:t>
                </w:r>
                <w:r>
                  <w:rPr>
                    <w:b/>
                    <w:sz w:val="20"/>
                  </w:rPr>
                  <w:t>“</w:t>
                </w:r>
              </w:p>
              <w:p>
                <w:pPr>
                  <w:jc w:val="both"/>
                  <w:rPr>
                    <w:b/>
                    <w:sz w:val="20"/>
                  </w:rPr>
                </w:pPr>
              </w:p>
            </w:tc>
            <w:tc>
              <w:tcPr>
                <w:tcW w:w="1421" w:type="dxa"/>
              </w:tcPr>
              <w:p>
                <w:pPr>
                  <w:jc w:val="center"/>
                  <w:rPr>
                    <w:b/>
                    <w:sz w:val="20"/>
                  </w:rPr>
                </w:pPr>
                <w:r>
                  <w:rPr>
                    <w:b/>
                    <w:sz w:val="20"/>
                  </w:rPr>
                  <w:t>Visiškas.</w:t>
                </w:r>
              </w:p>
              <w:p>
                <w:pPr>
                  <w:jc w:val="center"/>
                  <w:rPr>
                    <w:b/>
                    <w:sz w:val="20"/>
                  </w:rPr>
                </w:pPr>
              </w:p>
            </w:tc>
          </w:tr>
          <w:tr>
            <w:tc>
              <w:tcPr>
                <w:tcW w:w="3652" w:type="dxa"/>
              </w:tcPr>
              <w:p>
                <w:pPr>
                  <w:jc w:val="both"/>
                  <w:rPr>
                    <w:b/>
                    <w:sz w:val="20"/>
                    <w:lang w:eastAsia="en-GB"/>
                  </w:rPr>
                </w:pPr>
                <w:r>
                  <w:rPr>
                    <w:b/>
                    <w:sz w:val="20"/>
                    <w:lang w:eastAsia="en-GB"/>
                  </w:rPr>
                  <w:t>M1</w:t>
                </w:r>
              </w:p>
              <w:p>
                <w:pPr>
                  <w:jc w:val="both"/>
                  <w:rPr>
                    <w:sz w:val="19"/>
                    <w:szCs w:val="19"/>
                    <w:lang w:eastAsia="en-GB"/>
                  </w:rPr>
                </w:pPr>
                <w:r>
                  <w:rPr>
                    <w:sz w:val="19"/>
                    <w:szCs w:val="19"/>
                    <w:lang w:eastAsia="en-GB"/>
                  </w:rPr>
                  <w:t xml:space="preserve">6. Valstybės narės užtikrina, kad kompetentinga institucija priimtų išvadą kuo greičiau per laikotarpį, neviršijantį 90 dienų, skaičiuojamą nuo tos dienos, kai užsakovas pateikė visą informaciją, kurios reikalaujama pagal 4 dalį. </w:t>
                </w:r>
              </w:p>
              <w:p>
                <w:pPr>
                  <w:jc w:val="both"/>
                  <w:rPr>
                    <w:sz w:val="19"/>
                    <w:szCs w:val="19"/>
                    <w:lang w:eastAsia="en-GB"/>
                  </w:rPr>
                </w:pPr>
              </w:p>
              <w:p>
                <w:pPr>
                  <w:jc w:val="both"/>
                  <w:rPr>
                    <w:sz w:val="19"/>
                    <w:szCs w:val="19"/>
                    <w:lang w:eastAsia="en-GB"/>
                  </w:rPr>
                </w:pPr>
                <w:r>
                  <w:rPr>
                    <w:sz w:val="19"/>
                    <w:szCs w:val="19"/>
                    <w:lang w:eastAsia="en-GB"/>
                  </w:rPr>
                  <w:t>Išimtiniais atvejais, susijusiais su projekto pobūdžiu, sudėtingumu, vieta ar dydžiu, kompetentinga institucija tą terminą gali pratęsti, kad priimtų savo išvadą; tokiu atveju kompetentinga institucija informuoja užsakovą apie pratęsimo priežastis raštu ir nurodo datą, kada numato priimti išvadą.“;</w:t>
                </w:r>
              </w:p>
            </w:tc>
            <w:tc>
              <w:tcPr>
                <w:tcW w:w="9639" w:type="dxa"/>
              </w:tcPr>
              <w:p>
                <w:pPr>
                  <w:jc w:val="both"/>
                  <w:rPr>
                    <w:rFonts w:eastAsia="Calibri"/>
                    <w:b/>
                    <w:sz w:val="20"/>
                    <w:lang w:eastAsia="lt-LT"/>
                  </w:rPr>
                </w:pPr>
                <w:r>
                  <w:rPr>
                    <w:rFonts w:eastAsia="Calibri"/>
                    <w:b/>
                    <w:sz w:val="20"/>
                    <w:lang w:eastAsia="lt-LT"/>
                  </w:rPr>
                  <w:t>Projektas</w:t>
                </w:r>
              </w:p>
              <w:p>
                <w:pPr>
                  <w:jc w:val="both"/>
                  <w:rPr>
                    <w:rFonts w:eastAsia="Calibri"/>
                    <w:b/>
                    <w:sz w:val="20"/>
                    <w:lang w:eastAsia="lt-LT"/>
                  </w:rPr>
                </w:pPr>
                <w:r>
                  <w:rPr>
                    <w:rFonts w:eastAsia="Calibri"/>
                    <w:b/>
                    <w:sz w:val="20"/>
                    <w:lang w:eastAsia="lt-LT"/>
                  </w:rPr>
                  <w:t>7 straipsnio 5-6 dalys</w:t>
                </w:r>
              </w:p>
              <w:p>
                <w:pPr>
                  <w:jc w:val="both"/>
                  <w:textAlignment w:val="baseline"/>
                  <w:rPr>
                    <w:rFonts w:ascii="Segoe UI" w:hAnsi="Segoe UI" w:cs="Segoe UI"/>
                    <w:b/>
                    <w:sz w:val="20"/>
                    <w:lang w:eastAsia="lt-LT"/>
                  </w:rPr>
                </w:pPr>
                <w:r>
                  <w:rPr>
                    <w:rFonts w:eastAsia="Calibri"/>
                    <w:b/>
                    <w:sz w:val="20"/>
                    <w:lang w:eastAsia="lt-LT"/>
                  </w:rPr>
                  <w:t>„</w:t>
                </w:r>
                <w:r>
                  <w:rPr>
                    <w:b/>
                    <w:sz w:val="20"/>
                    <w:lang w:eastAsia="lt-LT"/>
                  </w:rPr>
                  <w:t>5. Atsakingoji institucija apie gautą atrankos informaciją ir apie galimybę pateikti pasiūlymus dėl atrankos informacijos ir (ar) planuojamos ūkinės veiklos poveikio aplinkai vertinimo ne vėliau kaip per 3 darbo dienas nuo jos gavimo dienos aplinkos ministro nustatyta tvarka informuoja poveikio aplinkai vertinimo subjektus ir visuomenę. Poveikio aplinkai vertinimo subjektai per 10 darbo dienų nuo pateiktos informacijos gavimo dienos, o suinteresuota visuomenė – nuo informacijos paskelbimo dienos, pateikia pasiūlymus dėl atrankos informacijos ir (ar) planuojamos ūkinės veiklos poveikio aplinkai vertinimo atsakingajai institucijai. Per nustatytą laiką nepateikus pasiūlymų dėl atrankos informacijos ir (ar) planuojamos ūkinės veiklos poveikio aplinkai vertinimo atsakingajai institucijai laikoma, kad poveikio aplinkai vertinimo subjektai, suinteresuota visuomenė pasiūlymų dėl atrankos informacijos ir (ar) planuojamos ūkinės veiklos poveikio aplinkai vertinimo neturi. </w:t>
                </w:r>
              </w:p>
              <w:p>
                <w:pPr>
                  <w:jc w:val="both"/>
                  <w:textAlignment w:val="baseline"/>
                  <w:rPr>
                    <w:b/>
                    <w:sz w:val="20"/>
                  </w:rPr>
                </w:pPr>
                <w:r>
                  <w:rPr>
                    <w:b/>
                    <w:sz w:val="20"/>
                    <w:lang w:eastAsia="lt-LT"/>
                  </w:rPr>
                  <w:t>6. Atsakingoji institucija šio įstatymo ir aplinkos ministro nustatyta tvarka, išnagrinėjusi atrankos informaciją, poveikio aplinkai vertinimo subjektų, suinteresuotos visuomenės pasiūlymus ir remdamasi šio straipsnio 4 dalyje nustatytais reikalavimais, per 20 darbo dienų nuo informacijos atrankai atlikti gavimo dienos priima atrankos išvadą, ar privaloma atlikti poveikio aplinkai vertinimą, ir raštu ją pateikia planuojamos ūkinės veiklos organizatoriui (užsakovui), poveikio aplinkai vertinimo dokumentų rengėjui ir poveikio aplinkai vertinimo subjektams arba gali pareikalauti iš planuojamos ūkinės veiklos organizatoriaus (užsakovo) ar poveikio aplinkai vertinimo dokumentų rengėjo papildomos informacijos, reikalingos atrankai dėl poveikio aplinkai vertinimo atlikti. Tokiais atvejais planuojamos ūkinės veiklos organizatorius (užsakovas) ar poveikio aplinkai vertinimo dokumentų rengėjas papildo informaciją atrankai atlikti ir pakartotinai teikia ją atsakingajai institucijai, kuri per 10 darbo dienų nuo papildytos atrankos informacijos gavimo dienos priima atrankos išvadą.</w:t>
                </w:r>
                <w:r>
                  <w:rPr>
                    <w:b/>
                    <w:sz w:val="20"/>
                  </w:rPr>
                  <w:t xml:space="preserve">“ </w:t>
                </w:r>
              </w:p>
              <w:p>
                <w:pPr>
                  <w:jc w:val="both"/>
                  <w:rPr>
                    <w:sz w:val="20"/>
                  </w:rPr>
                </w:pPr>
              </w:p>
              <w:p>
                <w:pPr>
                  <w:jc w:val="both"/>
                  <w:rPr>
                    <w:i/>
                    <w:sz w:val="20"/>
                  </w:rPr>
                </w:pPr>
                <w:r>
                  <w:rPr>
                    <w:i/>
                    <w:sz w:val="20"/>
                  </w:rPr>
                  <w:t xml:space="preserve">Pastaba: </w:t>
                </w:r>
                <w:r>
                  <w:rPr>
                    <w:i/>
                    <w:sz w:val="20"/>
                    <w:lang w:eastAsia="en-GB"/>
                  </w:rPr>
                  <w:t>Lietuva pasirinko netaikyti 6 dalies antros pastraipos nuostatos</w:t>
                </w:r>
              </w:p>
              <w:p>
                <w:pPr>
                  <w:jc w:val="both"/>
                  <w:rPr>
                    <w:sz w:val="20"/>
                  </w:rPr>
                </w:pPr>
              </w:p>
            </w:tc>
            <w:tc>
              <w:tcPr>
                <w:tcW w:w="1421" w:type="dxa"/>
              </w:tcPr>
              <w:p>
                <w:pPr>
                  <w:jc w:val="center"/>
                  <w:rPr>
                    <w:b/>
                    <w:sz w:val="20"/>
                  </w:rPr>
                </w:pPr>
                <w:r>
                  <w:rPr>
                    <w:b/>
                    <w:sz w:val="20"/>
                  </w:rPr>
                  <w:t>Visiškas.</w:t>
                </w:r>
              </w:p>
              <w:p>
                <w:pPr>
                  <w:jc w:val="center"/>
                  <w:rPr>
                    <w:b/>
                    <w:sz w:val="20"/>
                  </w:rPr>
                </w:pPr>
              </w:p>
            </w:tc>
          </w:tr>
          <w:tr>
            <w:tc>
              <w:tcPr>
                <w:tcW w:w="3652" w:type="dxa"/>
              </w:tcPr>
              <w:p>
                <w:pPr>
                  <w:numPr>
                    <w:ilvl w:val="255"/>
                    <w:numId w:val="0"/>
                  </w:numPr>
                  <w:jc w:val="both"/>
                  <w:rPr>
                    <w:b/>
                    <w:bCs/>
                    <w:color w:val="000000"/>
                    <w:sz w:val="20"/>
                    <w:lang w:eastAsia="lt-LT"/>
                  </w:rPr>
                </w:pPr>
                <w:r>
                  <w:rPr>
                    <w:b/>
                    <w:bCs/>
                    <w:color w:val="000000"/>
                    <w:sz w:val="20"/>
                    <w:lang w:eastAsia="lt-LT"/>
                  </w:rPr>
                  <w:t>B</w:t>
                </w:r>
              </w:p>
              <w:p>
                <w:pPr>
                  <w:jc w:val="both"/>
                  <w:rPr>
                    <w:i/>
                    <w:color w:val="000000"/>
                    <w:sz w:val="20"/>
                    <w:lang w:eastAsia="lt-LT"/>
                  </w:rPr>
                </w:pPr>
                <w:r>
                  <w:rPr>
                    <w:i/>
                    <w:color w:val="000000"/>
                    <w:sz w:val="20"/>
                    <w:lang w:eastAsia="lt-LT"/>
                  </w:rPr>
                  <w:t xml:space="preserve">5 straipsnis </w:t>
                </w:r>
              </w:p>
              <w:p>
                <w:pPr>
                  <w:jc w:val="both"/>
                  <w:rPr>
                    <w:color w:val="000000"/>
                    <w:sz w:val="20"/>
                    <w:lang w:eastAsia="lt-LT"/>
                  </w:rPr>
                </w:pPr>
                <w:r>
                  <w:rPr>
                    <w:b/>
                    <w:bCs/>
                    <w:color w:val="000000"/>
                    <w:sz w:val="20"/>
                    <w:lang w:eastAsia="lt-LT"/>
                  </w:rPr>
                  <w:t>M1</w:t>
                </w:r>
              </w:p>
              <w:p>
                <w:pPr>
                  <w:jc w:val="both"/>
                  <w:rPr>
                    <w:color w:val="000000"/>
                    <w:sz w:val="20"/>
                    <w:lang w:eastAsia="lt-LT"/>
                  </w:rPr>
                </w:pPr>
                <w:r>
                  <w:rPr>
                    <w:color w:val="000000"/>
                    <w:sz w:val="20"/>
                    <w:lang w:eastAsia="lt-LT"/>
                  </w:rPr>
                  <w:t xml:space="preserve">1. Kai reikalaujama atlikti poveikio aplinkai vertinimą, užsakovas parengia ir pateikia poveikio aplinkai vertinimo ataskaitą. </w:t>
                </w:r>
              </w:p>
              <w:p>
                <w:pPr>
                  <w:jc w:val="both"/>
                  <w:rPr>
                    <w:color w:val="000000"/>
                    <w:sz w:val="20"/>
                    <w:lang w:eastAsia="lt-LT"/>
                  </w:rPr>
                </w:pPr>
                <w:r>
                  <w:rPr>
                    <w:color w:val="000000"/>
                    <w:sz w:val="20"/>
                    <w:lang w:eastAsia="lt-LT"/>
                  </w:rPr>
                  <w:t xml:space="preserve">Informacija, kurią turi pateikti užsakovas, apima bent: </w:t>
                </w:r>
              </w:p>
              <w:p>
                <w:pPr>
                  <w:jc w:val="both"/>
                  <w:rPr>
                    <w:color w:val="000000"/>
                    <w:sz w:val="20"/>
                    <w:lang w:eastAsia="lt-LT"/>
                  </w:rPr>
                </w:pPr>
                <w:r>
                  <w:rPr>
                    <w:color w:val="000000"/>
                    <w:sz w:val="20"/>
                    <w:lang w:eastAsia="lt-LT"/>
                  </w:rPr>
                  <w:t xml:space="preserve">a) projekto aprašymą, apibūdinant vietą, sumanymą, projekto dydį ir kitas svarbias charakteristikas; </w:t>
                </w:r>
              </w:p>
              <w:p>
                <w:pPr>
                  <w:jc w:val="both"/>
                  <w:rPr>
                    <w:color w:val="000000"/>
                    <w:sz w:val="20"/>
                    <w:lang w:eastAsia="lt-LT"/>
                  </w:rPr>
                </w:pPr>
                <w:r>
                  <w:rPr>
                    <w:color w:val="000000"/>
                    <w:sz w:val="20"/>
                    <w:lang w:eastAsia="lt-LT"/>
                  </w:rPr>
                  <w:t xml:space="preserve">b) siūlomo projekto tikėtino reikšmingo poveikio aplinkai aprašymą; </w:t>
                </w:r>
              </w:p>
              <w:p>
                <w:pPr>
                  <w:jc w:val="both"/>
                  <w:rPr>
                    <w:color w:val="000000"/>
                    <w:sz w:val="20"/>
                    <w:lang w:eastAsia="lt-LT"/>
                  </w:rPr>
                </w:pPr>
                <w:r>
                  <w:rPr>
                    <w:color w:val="000000"/>
                    <w:sz w:val="20"/>
                    <w:lang w:eastAsia="lt-LT"/>
                  </w:rPr>
                  <w:t>c) projekto charakteristikų ir (arba) priemonių, kurių numatoma imtis siekiant išvengti bet kokio tikėtino reikšmingo neigiamo poveikio aplinkai, užkirsti jam kelią arba jį sumažinti ir, jei įmanoma, kompensuoti, aprašymą;</w:t>
                </w:r>
              </w:p>
              <w:p>
                <w:pPr>
                  <w:jc w:val="both"/>
                  <w:rPr>
                    <w:color w:val="000000"/>
                    <w:sz w:val="20"/>
                    <w:lang w:eastAsia="lt-LT"/>
                  </w:rPr>
                </w:pPr>
                <w:r>
                  <w:rPr>
                    <w:color w:val="000000"/>
                    <w:sz w:val="20"/>
                    <w:lang w:eastAsia="lt-LT"/>
                  </w:rPr>
                  <w:t xml:space="preserve">d) užsakovo išnagrinėtų pagrįstų alternatyvų aprašymą, kurios yra svarbios projektui bei jo specifinėms charakteristikoms, ir nurodo pagrindines pasirinktų alternatyvų pasirinkimo priežastis, atsižvelgiant į projekto poveikį aplinkai; </w:t>
                </w:r>
              </w:p>
              <w:p>
                <w:pPr>
                  <w:jc w:val="both"/>
                  <w:rPr>
                    <w:color w:val="000000"/>
                    <w:sz w:val="20"/>
                    <w:lang w:eastAsia="lt-LT"/>
                  </w:rPr>
                </w:pPr>
                <w:r>
                  <w:rPr>
                    <w:color w:val="000000"/>
                    <w:sz w:val="20"/>
                    <w:lang w:eastAsia="lt-LT"/>
                  </w:rPr>
                  <w:t xml:space="preserve">e) a–d punktuose nurodytos informacijos netechninio pobūdžio santrauką ir </w:t>
                </w:r>
              </w:p>
              <w:p>
                <w:pPr>
                  <w:jc w:val="both"/>
                  <w:rPr>
                    <w:color w:val="000000"/>
                    <w:sz w:val="20"/>
                    <w:lang w:eastAsia="lt-LT"/>
                  </w:rPr>
                </w:pPr>
                <w:r>
                  <w:rPr>
                    <w:color w:val="000000"/>
                    <w:sz w:val="20"/>
                    <w:lang w:eastAsia="lt-LT"/>
                  </w:rPr>
                  <w:t xml:space="preserve">f) bet kokią IV priede nurodytą papildomą informaciją, svarbią konkretaus projekto ar projekto rūšies charakteristikoms ir aplinkos savybėms, kurios gali būti paveiktos. </w:t>
                </w:r>
              </w:p>
              <w:p>
                <w:pPr>
                  <w:jc w:val="both"/>
                  <w:rPr>
                    <w:b/>
                    <w:color w:val="000000"/>
                    <w:sz w:val="20"/>
                    <w:lang w:eastAsia="lt-LT"/>
                  </w:rPr>
                </w:pPr>
              </w:p>
            </w:tc>
            <w:tc>
              <w:tcPr>
                <w:tcW w:w="9639" w:type="dxa"/>
              </w:tcPr>
              <w:p>
                <w:pPr>
                  <w:jc w:val="both"/>
                  <w:rPr>
                    <w:b/>
                    <w:sz w:val="20"/>
                  </w:rPr>
                </w:pPr>
                <w:r>
                  <w:rPr>
                    <w:b/>
                    <w:sz w:val="20"/>
                  </w:rPr>
                  <w:t>Projektas</w:t>
                </w:r>
              </w:p>
              <w:p>
                <w:pPr>
                  <w:jc w:val="both"/>
                  <w:rPr>
                    <w:b/>
                    <w:sz w:val="20"/>
                  </w:rPr>
                </w:pPr>
                <w:r>
                  <w:rPr>
                    <w:b/>
                    <w:sz w:val="20"/>
                  </w:rPr>
                  <w:t>2 straipsnio 7 dalis</w:t>
                </w:r>
              </w:p>
              <w:p>
                <w:pPr>
                  <w:jc w:val="both"/>
                  <w:rPr>
                    <w:b/>
                    <w:sz w:val="20"/>
                  </w:rPr>
                </w:pPr>
                <w:r>
                  <w:rPr>
                    <w:b/>
                    <w:sz w:val="20"/>
                  </w:rPr>
                  <w:t>„</w:t>
                </w:r>
                <w:r>
                  <w:rPr>
                    <w:b/>
                    <w:color w:val="000000"/>
                    <w:sz w:val="20"/>
                    <w:shd w:val="clear" w:color="auto" w:fill="FFFFFF"/>
                    <w:lang w:eastAsia="en-GB"/>
                  </w:rPr>
                  <w:t xml:space="preserve">7. </w:t>
                </w:r>
                <w:r>
                  <w:rPr>
                    <w:b/>
                    <w:bCs/>
                    <w:color w:val="000000"/>
                    <w:sz w:val="20"/>
                    <w:shd w:val="clear" w:color="auto" w:fill="FFFFFF"/>
                    <w:lang w:eastAsia="en-GB"/>
                  </w:rPr>
                  <w:t>Planuojamos ūkinės veiklos organizatorius (užsakovas)</w:t>
                </w:r>
                <w:r>
                  <w:rPr>
                    <w:b/>
                    <w:color w:val="000000"/>
                    <w:sz w:val="20"/>
                    <w:shd w:val="clear" w:color="auto" w:fill="FFFFFF"/>
                    <w:lang w:eastAsia="en-GB"/>
                  </w:rPr>
                  <w:t xml:space="preserve"> – fizinis asmuo, juridinis asmuo ar jo padalinys (įskaitant užsienio valstybės juridinį asmenį ir kitą organizaciją, taip pat jų padalinį), planuojantys ūkinę veiklą, kurios poveikis aplinkai privalo būti vertinamas arba kuri įtraukiama į planuojamos ūkinės veiklos atrankos dėl poveikio aplinkai vertinimo procesą, kaip nustatyta šiame įstatyme.</w:t>
                </w:r>
                <w:r>
                  <w:rPr>
                    <w:b/>
                    <w:sz w:val="20"/>
                  </w:rPr>
                  <w:t>”</w:t>
                </w:r>
              </w:p>
              <w:p>
                <w:pPr>
                  <w:jc w:val="both"/>
                  <w:rPr>
                    <w:b/>
                    <w:sz w:val="20"/>
                  </w:rPr>
                </w:pPr>
                <w:r>
                  <w:rPr>
                    <w:b/>
                    <w:sz w:val="20"/>
                  </w:rPr>
                  <w:t>2 straipsnio 10 dalis</w:t>
                </w:r>
              </w:p>
              <w:p>
                <w:pPr>
                  <w:jc w:val="both"/>
                  <w:rPr>
                    <w:b/>
                    <w:sz w:val="20"/>
                  </w:rPr>
                </w:pPr>
                <w:r>
                  <w:rPr>
                    <w:b/>
                    <w:sz w:val="20"/>
                  </w:rPr>
                  <w:t>„</w:t>
                </w:r>
                <w:r>
                  <w:rPr>
                    <w:b/>
                    <w:color w:val="000000"/>
                    <w:sz w:val="20"/>
                    <w:shd w:val="clear" w:color="auto" w:fill="FFFFFF"/>
                    <w:lang w:eastAsia="en-GB"/>
                  </w:rPr>
                  <w:t xml:space="preserve">10. </w:t>
                </w:r>
                <w:r>
                  <w:rPr>
                    <w:b/>
                    <w:bCs/>
                    <w:color w:val="000000"/>
                    <w:sz w:val="20"/>
                    <w:shd w:val="clear" w:color="auto" w:fill="FFFFFF"/>
                    <w:lang w:eastAsia="en-GB"/>
                  </w:rPr>
                  <w:t xml:space="preserve">Poveikio aplinkai vertinimo dokumentų rengėjas </w:t>
                </w:r>
                <w:r>
                  <w:rPr>
                    <w:b/>
                    <w:color w:val="000000"/>
                    <w:sz w:val="20"/>
                    <w:shd w:val="clear" w:color="auto" w:fill="FFFFFF"/>
                    <w:lang w:eastAsia="en-GB"/>
                  </w:rPr>
                  <w:t>– fizinis asmuo, įgijęs aukštąjį išsilavinimą ar kvalifikaciją srities, kuri atitinka rengiamų poveikio aplinkai vertinimo dokumentų ar jų dalių specifiką, arba juridinis asmuo ar jo padalinys (įskaitant užsienio valstybės juridinį asmenį ar kitą organizaciją, taip pat jų padalinį), turintis specialistų, įgijusių aukštąjį išsilavinimą ar kvalifikaciją srities, kuri atitinka rengiamų poveikio aplinkai vertinimo dokumentų ar jų dalių specifiką, rengiantis poveikio aplinkai vertinimo dokumentus ir atliekantis kitas šiame įstatyme poveikio aplinkai vertinimo dokumentų rengėjui nustatytas funkcijas.</w:t>
                </w:r>
                <w:r>
                  <w:rPr>
                    <w:b/>
                    <w:sz w:val="20"/>
                  </w:rPr>
                  <w:t>“</w:t>
                </w:r>
              </w:p>
              <w:p>
                <w:pPr>
                  <w:jc w:val="both"/>
                  <w:rPr>
                    <w:b/>
                    <w:sz w:val="20"/>
                  </w:rPr>
                </w:pPr>
              </w:p>
              <w:p>
                <w:pPr>
                  <w:jc w:val="both"/>
                  <w:rPr>
                    <w:b/>
                    <w:sz w:val="20"/>
                  </w:rPr>
                </w:pPr>
                <w:r>
                  <w:rPr>
                    <w:b/>
                    <w:sz w:val="20"/>
                  </w:rPr>
                  <w:t xml:space="preserve">6 straipsnio 2-3 dalys </w:t>
                </w:r>
              </w:p>
              <w:p>
                <w:pPr>
                  <w:jc w:val="both"/>
                  <w:textAlignment w:val="baseline"/>
                  <w:rPr>
                    <w:rFonts w:ascii="Segoe UI" w:hAnsi="Segoe UI" w:cs="Segoe UI"/>
                    <w:b/>
                    <w:sz w:val="20"/>
                    <w:lang w:eastAsia="lt-LT"/>
                  </w:rPr>
                </w:pPr>
                <w:r>
                  <w:rPr>
                    <w:b/>
                    <w:sz w:val="20"/>
                  </w:rPr>
                  <w:t>„</w:t>
                </w:r>
                <w:r>
                  <w:rPr>
                    <w:b/>
                    <w:sz w:val="20"/>
                    <w:lang w:eastAsia="lt-LT"/>
                  </w:rPr>
                  <w:t>2. Planuojamos ūkinės veiklos organizatorius (užsakovas) savo lėšomis organizuoja atrankos dėl poveikio aplinkai vertinimo ir (ar) poveikio aplinkai vertinimo procedūras, rengia atrankos informaciją, pranešimą apie poveikio aplinkai vertinimo pradžią, dalyvauja atrankos dėl poveikio aplinkai vertinimo ir poveikio aplinkai vertinimo procesuose šio įstatymo ir aplinkos ministro nustatyta tvarka. </w:t>
                </w:r>
              </w:p>
              <w:p>
                <w:pPr>
                  <w:jc w:val="both"/>
                  <w:textAlignment w:val="baseline"/>
                  <w:rPr>
                    <w:rFonts w:ascii="Segoe UI" w:hAnsi="Segoe UI" w:cs="Segoe UI"/>
                    <w:b/>
                    <w:sz w:val="20"/>
                    <w:lang w:eastAsia="lt-LT"/>
                  </w:rPr>
                </w:pPr>
                <w:r>
                  <w:rPr>
                    <w:b/>
                    <w:sz w:val="20"/>
                    <w:lang w:eastAsia="lt-LT"/>
                  </w:rPr>
                  <w:t>3. Poveikio aplinkai vertinimo dokumentų rengėjas rengia atrankos informaciją; nustato, apibūdina ir įvertina planuojamos ūkinės veiklos galimą poveikį aplinkai, rengia pranešimą apie poveikio aplinkai vertinimo pradžią, poveikio aplinkai vertinimo dokumentus ir atlieka šiame įstatyme jam nustatytas atrankos dėl poveikio aplinkai vertinimo, poveikio aplinkai vertinimo ir visuomenės informavimo procedūras šio įstatymo ir aplinkos ministro nustatyta tvarka.“</w:t>
                </w:r>
              </w:p>
              <w:p>
                <w:pPr>
                  <w:jc w:val="both"/>
                  <w:rPr>
                    <w:b/>
                    <w:sz w:val="20"/>
                  </w:rPr>
                </w:pPr>
              </w:p>
              <w:p>
                <w:pPr>
                  <w:jc w:val="both"/>
                  <w:rPr>
                    <w:b/>
                    <w:sz w:val="20"/>
                  </w:rPr>
                </w:pPr>
                <w:r>
                  <w:rPr>
                    <w:b/>
                    <w:sz w:val="20"/>
                  </w:rPr>
                  <w:t xml:space="preserve">11 straipsnio 1 dalis </w:t>
                </w:r>
              </w:p>
              <w:p>
                <w:pPr>
                  <w:jc w:val="both"/>
                  <w:rPr>
                    <w:b/>
                    <w:sz w:val="20"/>
                    <w:lang w:eastAsia="en-GB"/>
                  </w:rPr>
                </w:pPr>
                <w:r>
                  <w:rPr>
                    <w:b/>
                    <w:sz w:val="20"/>
                  </w:rPr>
                  <w:t>„</w:t>
                </w:r>
                <w:r>
                  <w:rPr>
                    <w:b/>
                    <w:color w:val="000000"/>
                    <w:sz w:val="20"/>
                    <w:shd w:val="clear" w:color="auto" w:fill="FFFFFF"/>
                    <w:lang w:eastAsia="en-GB"/>
                  </w:rPr>
                  <w:t>1. Poveikio aplinkai vertinimo dokumentų rengėjas rengia ataskaitą, vadovaudamasis atsakingosios institucijos patvirtinta programa arba, jeigu buvo teiktas pranešimas apie PAV pradžią, atsižvelgdamas į gautus pasiūlymus. Ataskaitos rengimo reikalavimus tvirtina aplinkos ministras.</w:t>
                </w:r>
                <w:r>
                  <w:rPr>
                    <w:b/>
                    <w:sz w:val="20"/>
                    <w:lang w:eastAsia="en-GB"/>
                  </w:rPr>
                  <w:t>”</w:t>
                </w:r>
              </w:p>
              <w:p>
                <w:pPr>
                  <w:jc w:val="both"/>
                  <w:rPr>
                    <w:b/>
                    <w:sz w:val="20"/>
                  </w:rPr>
                </w:pPr>
              </w:p>
              <w:p>
                <w:pPr>
                  <w:jc w:val="both"/>
                  <w:rPr>
                    <w:b/>
                    <w:sz w:val="20"/>
                  </w:rPr>
                </w:pPr>
                <w:r>
                  <w:rPr>
                    <w:b/>
                    <w:sz w:val="20"/>
                  </w:rPr>
                  <w:t xml:space="preserve">11 straipsnio 9 dalis </w:t>
                </w:r>
              </w:p>
              <w:p>
                <w:pPr>
                  <w:jc w:val="both"/>
                  <w:rPr>
                    <w:b/>
                    <w:sz w:val="20"/>
                  </w:rPr>
                </w:pPr>
                <w:r>
                  <w:rPr>
                    <w:b/>
                    <w:sz w:val="20"/>
                  </w:rPr>
                  <w:t>„</w:t>
                </w:r>
                <w:r>
                  <w:rPr>
                    <w:b/>
                    <w:color w:val="000000"/>
                    <w:sz w:val="20"/>
                    <w:shd w:val="clear" w:color="auto" w:fill="FFFFFF"/>
                    <w:lang w:eastAsia="en-GB"/>
                  </w:rPr>
                  <w:t>9. Poveikio aplinkai vertinimo dokumentų rengėjas atsakingajai institucijai pateikia pagal poveikio aplinkai vertinimo subjektų išvadas pataisytą ir (ar) papildytą ataskaitą, poveikio aplinkai vertinimo subjektų išvadas dėl ataskaitos ir planuojamos ūkinės veiklos poveikio aplinkai ir suinteresuotos visuomenės pasiūlymų įvertinimą. </w:t>
                </w:r>
                <w:r>
                  <w:rPr>
                    <w:b/>
                    <w:sz w:val="20"/>
                  </w:rPr>
                  <w:t xml:space="preserve">“ </w:t>
                </w:r>
              </w:p>
              <w:p>
                <w:pPr>
                  <w:suppressAutoHyphens/>
                  <w:jc w:val="both"/>
                  <w:rPr>
                    <w:b/>
                    <w:sz w:val="20"/>
                    <w:lang w:eastAsia="lt-LT"/>
                  </w:rPr>
                </w:pPr>
              </w:p>
            </w:tc>
            <w:tc>
              <w:tcPr>
                <w:tcW w:w="1421" w:type="dxa"/>
              </w:tcPr>
              <w:p>
                <w:pPr>
                  <w:jc w:val="center"/>
                  <w:rPr>
                    <w:sz w:val="20"/>
                  </w:rPr>
                </w:pPr>
                <w:r>
                  <w:rPr>
                    <w:b/>
                    <w:sz w:val="20"/>
                  </w:rPr>
                  <w:t>Visiškas.</w:t>
                </w:r>
              </w:p>
            </w:tc>
          </w:tr>
          <w:tr>
            <w:tc>
              <w:tcPr>
                <w:tcW w:w="3652" w:type="dxa"/>
              </w:tcPr>
              <w:p>
                <w:pPr>
                  <w:jc w:val="both"/>
                  <w:rPr>
                    <w:b/>
                    <w:sz w:val="20"/>
                    <w:highlight w:val="green"/>
                    <w:lang w:eastAsia="en-GB"/>
                  </w:rPr>
                </w:pPr>
                <w:r>
                  <w:rPr>
                    <w:sz w:val="20"/>
                    <w:lang w:eastAsia="en-GB"/>
                  </w:rPr>
                  <w:t>Kai nuomonė pateikiama pagal 2 dalį, poveikio aplinkai vertinimo ataskaita rengiama remiantis ta nuomone ir joje pateikiama informacija, kurios gali būti pagrįstai reikalaujama, kad būtų galima padaryti pagrįstas išvadas apie projekto reikšmingą poveikį aplinkai, atsižvelgiant į naujausias žinias ir vertinimo metodus. Siekdamas išvengti dvigubo vertinimo užsakovas, rengdamas poveikio aplinkai vertinimo ataskaitą, gali atsižvelgti į jam prieinamų kitų svarbių vertinimų, atliktų pagal Sąjungos ar nacionalinės teisės aktus, rezultatus.</w:t>
                </w:r>
              </w:p>
            </w:tc>
            <w:tc>
              <w:tcPr>
                <w:tcW w:w="9639" w:type="dxa"/>
              </w:tcPr>
              <w:p>
                <w:pPr>
                  <w:jc w:val="both"/>
                  <w:rPr>
                    <w:b/>
                    <w:sz w:val="20"/>
                  </w:rPr>
                </w:pPr>
                <w:r>
                  <w:rPr>
                    <w:b/>
                    <w:sz w:val="20"/>
                  </w:rPr>
                  <w:t>Projektas</w:t>
                </w:r>
              </w:p>
              <w:p>
                <w:pPr>
                  <w:jc w:val="both"/>
                  <w:rPr>
                    <w:b/>
                    <w:sz w:val="20"/>
                  </w:rPr>
                </w:pPr>
                <w:r>
                  <w:rPr>
                    <w:b/>
                    <w:sz w:val="20"/>
                  </w:rPr>
                  <w:t xml:space="preserve">11 straipsnio 1-2 dalys </w:t>
                </w:r>
              </w:p>
              <w:p>
                <w:pPr>
                  <w:jc w:val="both"/>
                  <w:rPr>
                    <w:b/>
                    <w:color w:val="000000"/>
                    <w:sz w:val="20"/>
                    <w:shd w:val="clear" w:color="auto" w:fill="FFFFFF"/>
                    <w:lang w:eastAsia="en-GB"/>
                  </w:rPr>
                </w:pPr>
                <w:r>
                  <w:rPr>
                    <w:b/>
                    <w:sz w:val="20"/>
                  </w:rPr>
                  <w:t>„</w:t>
                </w:r>
                <w:r>
                  <w:rPr>
                    <w:b/>
                    <w:color w:val="000000"/>
                    <w:sz w:val="20"/>
                    <w:shd w:val="clear" w:color="auto" w:fill="FFFFFF"/>
                    <w:lang w:eastAsia="en-GB"/>
                  </w:rPr>
                  <w:t>1. Poveikio aplinkai vertinimo dokumentų rengėjas rengia ataskaitą, vadovaudamasis atsakingosios institucijos patvirtinta programa arba, jeigu buvo teiktas pranešimas apie PAV pradžią, atsižvelgdamas į gautus pasiūlymus. Ataskaitos rengimo reikalavimus tvirtina aplinkos ministras.</w:t>
                </w:r>
              </w:p>
              <w:p>
                <w:pPr>
                  <w:jc w:val="both"/>
                  <w:rPr>
                    <w:b/>
                    <w:sz w:val="20"/>
                    <w:lang w:eastAsia="en-GB"/>
                  </w:rPr>
                </w:pPr>
                <w:r>
                  <w:rPr>
                    <w:b/>
                    <w:color w:val="000000"/>
                    <w:sz w:val="20"/>
                    <w:bdr w:val="none" w:sz="0" w:space="0" w:color="auto" w:frame="1"/>
                    <w:lang w:eastAsia="en-GB"/>
                  </w:rPr>
                  <w:t>2. Poveikio aplinkai vertinimo dokumentų rengėjas rengiamai ataskaitai gali naudoti aktualią informaciją, gautą atliekant strateginį pasekmių aplinkai vertinimą ar kitą vertinimą, atliktą pagal kitų teisės aktų reikalavimus.</w:t>
                </w:r>
                <w:r>
                  <w:rPr>
                    <w:b/>
                    <w:sz w:val="20"/>
                    <w:lang w:eastAsia="en-GB"/>
                  </w:rPr>
                  <w:t>”</w:t>
                </w:r>
              </w:p>
              <w:p>
                <w:pPr>
                  <w:ind w:firstLine="53"/>
                  <w:rPr>
                    <w:b/>
                    <w:sz w:val="20"/>
                    <w:highlight w:val="green"/>
                    <w:lang w:eastAsia="lt-LT"/>
                  </w:rPr>
                </w:pPr>
              </w:p>
            </w:tc>
            <w:tc>
              <w:tcPr>
                <w:tcW w:w="1421" w:type="dxa"/>
              </w:tcPr>
              <w:p>
                <w:pPr>
                  <w:jc w:val="center"/>
                  <w:rPr>
                    <w:b/>
                    <w:sz w:val="20"/>
                    <w:highlight w:val="green"/>
                  </w:rPr>
                </w:pPr>
                <w:r>
                  <w:rPr>
                    <w:b/>
                    <w:sz w:val="20"/>
                  </w:rPr>
                  <w:t>Visiškas.</w:t>
                </w:r>
              </w:p>
            </w:tc>
          </w:tr>
          <w:tr>
            <w:tc>
              <w:tcPr>
                <w:tcW w:w="3652" w:type="dxa"/>
              </w:tcPr>
              <w:p>
                <w:pPr>
                  <w:jc w:val="both"/>
                  <w:rPr>
                    <w:b/>
                    <w:sz w:val="20"/>
                    <w:lang w:eastAsia="en-GB"/>
                  </w:rPr>
                </w:pPr>
                <w:r>
                  <w:rPr>
                    <w:b/>
                    <w:sz w:val="20"/>
                    <w:lang w:eastAsia="en-GB"/>
                  </w:rPr>
                  <w:t>M1</w:t>
                </w:r>
              </w:p>
              <w:p>
                <w:pPr>
                  <w:jc w:val="both"/>
                  <w:rPr>
                    <w:color w:val="000000"/>
                    <w:sz w:val="20"/>
                    <w:lang w:eastAsia="lt-LT"/>
                  </w:rPr>
                </w:pPr>
                <w:r>
                  <w:rPr>
                    <w:color w:val="000000"/>
                    <w:sz w:val="20"/>
                    <w:lang w:eastAsia="lt-LT"/>
                  </w:rPr>
                  <w:t>2. Užsakovo prašymu kompetentinga institucija, atsižvelgdama į užsakovo pateiktą informaciją, visų pirma apie projekto specifines charakteristikas, įskaitant jo vietą ir techninį pajėgumą, ir tikėtiną jo poveikį aplinkai, pateikia nuomonę dėl informacijos, kurią užsakovas turi įtraukti į poveikio aplinkai vertinimo ataskaitą pagal šio straipsnio 1 dalį, apimties ir išsamumo. Prieš pateikdama savo nuomonę kompetentinga institucija konsultuojasi su institucijomis, nurodytomis 6 straipsnio 1 dalyje. Valstybės narės taip pat gali reikalauti, kad kompetentinga institucija pareikštų savo nuomonę, kaip nurodyta pirmoje pastraipoje, neatsižvelgiant į tai, ar užsakovas to pageidauja.</w:t>
                </w:r>
              </w:p>
              <w:p>
                <w:pPr>
                  <w:jc w:val="both"/>
                  <w:rPr>
                    <w:rFonts w:ascii="EUAlbertina" w:hAnsi="EUAlbertina" w:cs="EUAlbertina"/>
                    <w:color w:val="000000"/>
                    <w:sz w:val="19"/>
                    <w:szCs w:val="19"/>
                    <w:lang w:eastAsia="lt-LT"/>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jc w:val="both"/>
                  <w:rPr>
                    <w:b/>
                    <w:sz w:val="20"/>
                    <w:lang w:eastAsia="en-GB"/>
                  </w:rPr>
                </w:pPr>
                <w:r>
                  <w:rPr>
                    <w:b/>
                    <w:sz w:val="20"/>
                    <w:lang w:eastAsia="en-GB"/>
                  </w:rPr>
                  <w:t>8 straipsnio 1-5 dalys</w:t>
                </w:r>
              </w:p>
              <w:p>
                <w:pPr>
                  <w:jc w:val="both"/>
                  <w:textAlignment w:val="baseline"/>
                  <w:rPr>
                    <w:rFonts w:ascii="Segoe UI" w:hAnsi="Segoe UI" w:cs="Segoe UI"/>
                    <w:b/>
                    <w:sz w:val="20"/>
                    <w:lang w:eastAsia="lt-LT"/>
                  </w:rPr>
                </w:pPr>
                <w:r>
                  <w:rPr>
                    <w:b/>
                    <w:sz w:val="20"/>
                  </w:rPr>
                  <w:t>„</w:t>
                </w:r>
                <w:r>
                  <w:rPr>
                    <w:b/>
                    <w:sz w:val="20"/>
                    <w:lang w:eastAsia="lt-LT"/>
                  </w:rPr>
                  <w:t>1. Šio įstatymo 3 straipsnio 1 dalyje nurodytais atvejais planuojamos ūkinės veiklos organizatorius (užsakovas) turi teisę nuspręsti, ar rengti programą, ar rengti pranešimą apie poveikio aplinkai vertinimo pradžią. Programa privaloma, jeigu turi būti atliktas planuojamos ūkinės veiklos tarpvalstybinis poveikio aplinkai vertinimas šio įstatymo 10 straipsnio 3 dalyje nurodytais pagrindais, o programos pateikimas kitai valstybei yra nustatytas tarptautinėmis sutartimis, kurias Lietuvos Respublika ir kita valstybė yra sudariusios.  </w:t>
                </w:r>
              </w:p>
              <w:p>
                <w:pPr>
                  <w:jc w:val="both"/>
                  <w:textAlignment w:val="baseline"/>
                  <w:rPr>
                    <w:rFonts w:ascii="Segoe UI" w:hAnsi="Segoe UI" w:cs="Segoe UI"/>
                    <w:b/>
                    <w:sz w:val="20"/>
                    <w:lang w:eastAsia="lt-LT"/>
                  </w:rPr>
                </w:pPr>
                <w:r>
                  <w:rPr>
                    <w:b/>
                    <w:sz w:val="20"/>
                    <w:lang w:eastAsia="lt-LT"/>
                  </w:rPr>
                  <w:t>2. Programa nustato ataskaitos turinį ir joje privalomus išnagrinėti klausimus.  </w:t>
                </w:r>
              </w:p>
              <w:p>
                <w:pPr>
                  <w:jc w:val="both"/>
                  <w:textAlignment w:val="baseline"/>
                  <w:rPr>
                    <w:rFonts w:ascii="Segoe UI" w:hAnsi="Segoe UI" w:cs="Segoe UI"/>
                    <w:b/>
                    <w:sz w:val="20"/>
                    <w:lang w:eastAsia="lt-LT"/>
                  </w:rPr>
                </w:pPr>
                <w:r>
                  <w:rPr>
                    <w:b/>
                    <w:sz w:val="20"/>
                    <w:lang w:eastAsia="lt-LT"/>
                  </w:rPr>
                  <w:t>3. Poveikio aplinkai vertinimo dokumentų rengėjas aplinkos ministro nustatyta tvarka: parengtą programą teikia poveikio aplinkai vertinimo subjektams išvadoms gauti, apie parengtą programą informuoja visuomenę ir atsakingąją instituciją.  </w:t>
                </w:r>
              </w:p>
              <w:p>
                <w:pPr>
                  <w:jc w:val="both"/>
                  <w:textAlignment w:val="baseline"/>
                  <w:rPr>
                    <w:rFonts w:ascii="Segoe UI" w:hAnsi="Segoe UI" w:cs="Segoe UI"/>
                    <w:b/>
                    <w:sz w:val="20"/>
                    <w:lang w:eastAsia="lt-LT"/>
                  </w:rPr>
                </w:pPr>
                <w:r>
                  <w:rPr>
                    <w:b/>
                    <w:sz w:val="20"/>
                    <w:lang w:eastAsia="lt-LT"/>
                  </w:rPr>
                  <w:t>4. Atsakingoji institucija informaciją apie parengtą programą per 3 darbo dienas nuo jos gavimo dienos paskelbia aplinkos ministro nustatyta tvarka. Informacijos apie programą gavimo atsakingojoje institucijoje diena laikoma poveikio aplinkai vertinimo pradžia, išskyrus atvejus, kai iki šios informacijos gavimo atsakingojoje institucijoje dienos buvo gautas pranešimas apie poveikio aplinkai vertinimo pradžią šio įstatymo 9 straipsnyje nustatyta tvarka. </w:t>
                </w:r>
              </w:p>
              <w:p>
                <w:pPr>
                  <w:jc w:val="both"/>
                  <w:textAlignment w:val="baseline"/>
                  <w:rPr>
                    <w:rFonts w:ascii="Segoe UI" w:hAnsi="Segoe UI" w:cs="Segoe UI"/>
                    <w:b/>
                    <w:sz w:val="20"/>
                    <w:lang w:eastAsia="lt-LT"/>
                  </w:rPr>
                </w:pPr>
                <w:r>
                  <w:rPr>
                    <w:b/>
                    <w:sz w:val="20"/>
                    <w:lang w:eastAsia="lt-LT"/>
                  </w:rPr>
                  <w:t>5. Poveikio aplinkai vertinimo subjektai programą išnagrinėja, įvertina joje pateiktą informaciją ir per 10 darbo dienų nuo jos gavimo dienos pateikia motyvuotas išvadas poveikio aplinkai vertinimo dokumentų rengėjui. Poveikio aplinkai vertinimo subjektai, atsakingi už gaisrinę ir civilinę saugą, nekilnojamųjų kultūros vertybių apsaugą, atsižvelgę į planuojamos ūkinės veiklos mastą, pobūdį ar vietos ypatumus, teikdami išvadas dėl programos, turi teisę nurodyti, ar jie nagrinės ataskaitą. Jeigu poveikio aplinkai vertinimo subjektai, atsakingi už gaisrinę ir civilinę saugą, nekilnojamųjų kultūros vertybių apsaugą, nurodo, kad nenagrinės ataskaitos, ataskaita jiems neteikiama.“</w:t>
                </w:r>
              </w:p>
              <w:p>
                <w:pPr>
                  <w:ind w:firstLine="720"/>
                  <w:jc w:val="both"/>
                  <w:textAlignment w:val="baseline"/>
                  <w:rPr>
                    <w:b/>
                    <w:sz w:val="20"/>
                    <w:lang w:eastAsia="lt-LT"/>
                  </w:rPr>
                </w:pPr>
              </w:p>
              <w:p>
                <w:pPr>
                  <w:jc w:val="both"/>
                  <w:rPr>
                    <w:b/>
                    <w:sz w:val="20"/>
                    <w:lang w:eastAsia="en-GB"/>
                  </w:rPr>
                </w:pPr>
                <w:r>
                  <w:rPr>
                    <w:b/>
                    <w:sz w:val="20"/>
                    <w:lang w:eastAsia="en-GB"/>
                  </w:rPr>
                  <w:t>8 straipsnio 8-12 dalys</w:t>
                </w:r>
              </w:p>
              <w:p>
                <w:pPr>
                  <w:jc w:val="both"/>
                  <w:textAlignment w:val="baseline"/>
                  <w:rPr>
                    <w:rFonts w:ascii="Segoe UI" w:hAnsi="Segoe UI" w:cs="Segoe UI"/>
                    <w:b/>
                    <w:sz w:val="20"/>
                    <w:lang w:eastAsia="lt-LT"/>
                  </w:rPr>
                </w:pPr>
                <w:r>
                  <w:rPr>
                    <w:b/>
                    <w:sz w:val="20"/>
                    <w:lang w:eastAsia="lt-LT"/>
                  </w:rPr>
                  <w:t>„8. Poveikio aplinkai vertinimo subjektai turi teisę pateikti motyvuotus reikalavimus poveikio aplinkai vertinimo dokumentų rengėjui papildyti ar pataisyti programą. Tokiais atvejais poveikio aplinkai vertinimo dokumentų rengėjas papildo ar pataiso programą ir pakartotinai teikia ją poveikio aplinkai vertinimo subjektams, kurie per 5 darbo dienas nuo jos gavimo dienos programą išnagrinėja, įvertina joje pateiktą informaciją ir pateikia motyvuotas išvadas poveikio aplinkai vertinimo dokumentų rengėjui.  </w:t>
                </w:r>
              </w:p>
              <w:p>
                <w:pPr>
                  <w:jc w:val="both"/>
                  <w:textAlignment w:val="baseline"/>
                  <w:rPr>
                    <w:rFonts w:ascii="Segoe UI" w:hAnsi="Segoe UI" w:cs="Segoe UI"/>
                    <w:b/>
                    <w:sz w:val="20"/>
                    <w:lang w:eastAsia="lt-LT"/>
                  </w:rPr>
                </w:pPr>
                <w:r>
                  <w:rPr>
                    <w:b/>
                    <w:sz w:val="20"/>
                    <w:lang w:eastAsia="lt-LT"/>
                  </w:rPr>
                  <w:t>9. Jeigu poveikio aplinkai vertinimo subjektai ar savivaldybės, kurios teritorijoje planuojama ūkinė veikla, taryba per šio straipsnio 5, 6 ar 8 dalyje nustatytą terminą nepateikia išvadų dėl programos, laikoma, kad jie pritaria programai. </w:t>
                </w:r>
              </w:p>
              <w:p>
                <w:pPr>
                  <w:jc w:val="both"/>
                  <w:textAlignment w:val="baseline"/>
                  <w:rPr>
                    <w:rFonts w:ascii="Segoe UI" w:hAnsi="Segoe UI" w:cs="Segoe UI"/>
                    <w:b/>
                    <w:sz w:val="20"/>
                    <w:lang w:eastAsia="lt-LT"/>
                  </w:rPr>
                </w:pPr>
                <w:r>
                  <w:rPr>
                    <w:b/>
                    <w:sz w:val="20"/>
                    <w:lang w:eastAsia="lt-LT"/>
                  </w:rPr>
                  <w:t>10. Poveikio aplinkai vertinimo dokumentų rengėjas kartu su planuojamos ūkinės veiklos organizatoriumi (užsakovu) parengtą suinteresuotos visuomenės pasiūlymų įvertinimą, poveikio aplinkai vertinimo subjektų išvadas ir programą pateikia atsakingajai institucijai nagrinėti. </w:t>
                </w:r>
              </w:p>
              <w:p>
                <w:pPr>
                  <w:jc w:val="both"/>
                  <w:textAlignment w:val="baseline"/>
                  <w:rPr>
                    <w:rFonts w:ascii="Segoe UI" w:hAnsi="Segoe UI" w:cs="Segoe UI"/>
                    <w:b/>
                    <w:sz w:val="20"/>
                    <w:lang w:eastAsia="lt-LT"/>
                  </w:rPr>
                </w:pPr>
                <w:r>
                  <w:rPr>
                    <w:b/>
                    <w:sz w:val="20"/>
                    <w:lang w:eastAsia="lt-LT"/>
                  </w:rPr>
                  <w:t>11. Atsakingoji institucija, išnagrinėjusi ir įvertinusi programą ir kartu su ja pateiktus suinteresuotos visuomenės pasiūlymus ir pasiūlymų įvertinimą ir remdamasi poveikio aplinkai vertinimo subjektų išvadomis, per 10 darbo dienų nuo programos gavimo dienos patvirtina programą arba pateikia motyvuotus reikalavimus poveikio aplinkai vertinimo dokumentų rengėjui papildyti ir (ar) pataisyti programą. Informaciją apie patvirtintą programą atsakingoji institucija paskelbia aplinkos ministro nustatyta tvarka. Programa galioja 3 metus nuo jos patvirtinimo dienos. Ataskaita pateikiama poveikio aplinkai vertinimo subjektams nepasibaigus programos galiojimui.  </w:t>
                </w:r>
              </w:p>
              <w:p>
                <w:pPr>
                  <w:jc w:val="both"/>
                  <w:textAlignment w:val="baseline"/>
                  <w:rPr>
                    <w:rFonts w:ascii="Segoe UI" w:hAnsi="Segoe UI" w:cs="Segoe UI"/>
                    <w:b/>
                    <w:sz w:val="20"/>
                    <w:lang w:eastAsia="lt-LT"/>
                  </w:rPr>
                </w:pPr>
                <w:r>
                  <w:rPr>
                    <w:b/>
                    <w:sz w:val="20"/>
                    <w:lang w:eastAsia="lt-LT"/>
                  </w:rPr>
                  <w:t>12. Jeigu atsakingoji institucija pagal šio straipsnio 11 dalį buvo pateikusi motyvuotus reikalavimus pataisyti ar papildyti programą, atsakingoji institucija, išnagrinėjusi ir įvertinusi programą, ją patvirtina per 5 darbo dienas nuo pataisytos ar papildytos programos gavimo dienos.“ </w:t>
                </w:r>
              </w:p>
              <w:p>
                <w:pPr>
                  <w:jc w:val="both"/>
                  <w:rPr>
                    <w:b/>
                    <w:sz w:val="20"/>
                  </w:rPr>
                </w:pPr>
              </w:p>
              <w:p>
                <w:pPr>
                  <w:jc w:val="both"/>
                  <w:rPr>
                    <w:b/>
                    <w:sz w:val="20"/>
                  </w:rPr>
                </w:pPr>
                <w:r>
                  <w:rPr>
                    <w:b/>
                    <w:sz w:val="20"/>
                  </w:rPr>
                  <w:t>9 straipsnio 1-4 dalys</w:t>
                </w:r>
              </w:p>
              <w:p>
                <w:pPr>
                  <w:jc w:val="both"/>
                  <w:textAlignment w:val="baseline"/>
                  <w:rPr>
                    <w:rFonts w:ascii="Segoe UI" w:hAnsi="Segoe UI" w:cs="Segoe UI"/>
                    <w:b/>
                    <w:sz w:val="20"/>
                    <w:lang w:eastAsia="lt-LT"/>
                  </w:rPr>
                </w:pPr>
                <w:r>
                  <w:rPr>
                    <w:b/>
                    <w:sz w:val="20"/>
                    <w:lang w:eastAsia="lt-LT"/>
                  </w:rPr>
                  <w:t>„1. Pranešimas apie poveikio aplinkai vertinimo pradžią (toliau – pranešimas apie PAV pradžią) privalomas, kai pagal šio įstatymo 3 straipsnio 1 dalies nuostatas privaloma vertinti planuojamos ūkinės veiklos poveikį aplinkai ir nerengiama programa. </w:t>
                </w:r>
              </w:p>
              <w:p>
                <w:pPr>
                  <w:jc w:val="both"/>
                  <w:textAlignment w:val="baseline"/>
                  <w:rPr>
                    <w:rFonts w:ascii="Segoe UI" w:hAnsi="Segoe UI" w:cs="Segoe UI"/>
                    <w:b/>
                    <w:sz w:val="20"/>
                    <w:lang w:eastAsia="lt-LT"/>
                  </w:rPr>
                </w:pPr>
                <w:r>
                  <w:rPr>
                    <w:b/>
                    <w:sz w:val="20"/>
                    <w:lang w:eastAsia="lt-LT"/>
                  </w:rPr>
                  <w:t>2. Pranešimą apie PAV pradžią rengia planuojamos ūkinės veiklos organizatorius (užsakovas) arba poveikio aplinkai vertinimo dokumentų rengėjas. Pranešimo apie PAV pradžią formą ir turinį tvirtina aplinkos ministras. </w:t>
                </w:r>
              </w:p>
              <w:p>
                <w:pPr>
                  <w:jc w:val="both"/>
                  <w:textAlignment w:val="baseline"/>
                  <w:rPr>
                    <w:rFonts w:ascii="Segoe UI" w:hAnsi="Segoe UI" w:cs="Segoe UI"/>
                    <w:b/>
                    <w:sz w:val="20"/>
                    <w:lang w:eastAsia="lt-LT"/>
                  </w:rPr>
                </w:pPr>
                <w:r>
                  <w:rPr>
                    <w:b/>
                    <w:sz w:val="20"/>
                    <w:lang w:eastAsia="lt-LT"/>
                  </w:rPr>
                  <w:t>3. Planuojamos ūkinės veiklos organizatorius (užsakovas) arba poveikio aplinkai vertinimo dokumentų rengėjas pranešimą apie PAV pradžią ne vėliau kaip per 15 darbo dienų iki visuomenės informavimo apie viešą visuomenės supažindinimą su ataskaita šio įstatymo 11 straipsnio 3 dalyje nustatyta tvarka pateikia poveikio aplinkai vertinimo subjektams ir atsakingajai institucijai (kuri gautą informaciją per 3 darbo dienas nuo pranešimo apie PAV pradžią gavimo dienos paskelbia aplinkos ministro nustatyta tvarka) ir aplinkos ministro nustatyta tvarka informuoja visuomenę. Pranešimo apie PAV pradžią gavimo atsakingojoje institucijoje diena laikoma poveikio aplinkai vertinimo pradžia. </w:t>
                </w:r>
              </w:p>
              <w:p>
                <w:pPr>
                  <w:jc w:val="both"/>
                  <w:textAlignment w:val="baseline"/>
                  <w:rPr>
                    <w:rFonts w:ascii="Segoe UI" w:hAnsi="Segoe UI" w:cs="Segoe UI"/>
                    <w:b/>
                    <w:sz w:val="20"/>
                    <w:lang w:eastAsia="lt-LT"/>
                  </w:rPr>
                </w:pPr>
                <w:r>
                  <w:rPr>
                    <w:b/>
                    <w:sz w:val="20"/>
                    <w:lang w:eastAsia="lt-LT"/>
                  </w:rPr>
                  <w:t>4. Atsakingoji institucija ir poveikio aplinkai vertinimo subjektai turi teisę pateikti motyvuotus pasiūlymus planuojamos ūkinės veiklos organizatoriui (užsakovui) arba poveikio aplinkai vertinimo dokumentų rengėjui per 10 darbo dienų nuo pranešimo apie PAV pradžią gavimo dienos. Suinteresuotoji visuomenė turi teisę pateikti pasiūlymus atsakingajai institucijai ir planuojamos ūkinės veiklos organizatoriui (užsakovui) arba poveikio aplinkai vertinimo dokumentų rengėjui per 10 darbo dienų nuo tos dienos, kai gautą pranešimą apie PAV pradžią paskelbia atsakingoji institucija. Poveikio aplinkai vertinimo dokumentų rengėjas kartu su planuojamos ūkinės veiklos organizatoriumi (užsakovu) gautų pasiūlymų įvertinimą pateikia ataskaitoje.“</w:t>
                </w:r>
              </w:p>
              <w:p>
                <w:pPr>
                  <w:ind w:firstLine="53"/>
                  <w:jc w:val="both"/>
                  <w:rPr>
                    <w:b/>
                    <w:sz w:val="20"/>
                    <w:lang w:eastAsia="lt-LT"/>
                  </w:rPr>
                </w:pPr>
              </w:p>
            </w:tc>
            <w:tc>
              <w:tcPr>
                <w:tcW w:w="1421" w:type="dxa"/>
              </w:tcPr>
              <w:p>
                <w:pPr>
                  <w:jc w:val="center"/>
                  <w:rPr>
                    <w:sz w:val="20"/>
                  </w:rPr>
                </w:pPr>
                <w:r>
                  <w:rPr>
                    <w:b/>
                    <w:sz w:val="20"/>
                  </w:rPr>
                  <w:t>Visiškas.</w:t>
                </w:r>
              </w:p>
            </w:tc>
          </w:tr>
          <w:tr>
            <w:tc>
              <w:tcPr>
                <w:tcW w:w="3652" w:type="dxa"/>
              </w:tcPr>
              <w:p>
                <w:pPr>
                  <w:jc w:val="both"/>
                  <w:rPr>
                    <w:b/>
                    <w:sz w:val="20"/>
                    <w:lang w:eastAsia="en-GB"/>
                  </w:rPr>
                </w:pPr>
                <w:r>
                  <w:rPr>
                    <w:b/>
                    <w:sz w:val="20"/>
                    <w:lang w:eastAsia="en-GB"/>
                  </w:rPr>
                  <w:t>M1</w:t>
                </w:r>
              </w:p>
              <w:p>
                <w:pPr>
                  <w:jc w:val="both"/>
                  <w:rPr>
                    <w:color w:val="000000"/>
                    <w:sz w:val="20"/>
                    <w:lang w:eastAsia="lt-LT"/>
                  </w:rPr>
                </w:pPr>
                <w:r>
                  <w:rPr>
                    <w:color w:val="000000"/>
                    <w:sz w:val="20"/>
                    <w:lang w:eastAsia="lt-LT"/>
                  </w:rPr>
                  <w:t xml:space="preserve">3. Siekiant užtikrinti, kad poveikio aplinkai vertinimo ataskaitos būtų išsamios ir kokybiškos: </w:t>
                </w:r>
              </w:p>
              <w:p>
                <w:pPr>
                  <w:jc w:val="both"/>
                  <w:rPr>
                    <w:color w:val="000000"/>
                    <w:sz w:val="20"/>
                    <w:lang w:eastAsia="lt-LT"/>
                  </w:rPr>
                </w:pPr>
                <w:r>
                  <w:rPr>
                    <w:color w:val="000000"/>
                    <w:sz w:val="20"/>
                    <w:lang w:eastAsia="lt-LT"/>
                  </w:rPr>
                  <w:t xml:space="preserve">a) užsakovas užtikrina, kad poveikio aplinkai vertinimo ataskaitą rengtų kompetentingi ekspertai; </w:t>
                </w:r>
              </w:p>
              <w:p>
                <w:pPr>
                  <w:jc w:val="both"/>
                  <w:rPr>
                    <w:color w:val="000000"/>
                    <w:sz w:val="20"/>
                    <w:lang w:eastAsia="lt-LT"/>
                  </w:rPr>
                </w:pPr>
              </w:p>
              <w:p>
                <w:pPr>
                  <w:jc w:val="both"/>
                  <w:rPr>
                    <w:b/>
                    <w:sz w:val="20"/>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jc w:val="both"/>
                  <w:rPr>
                    <w:b/>
                    <w:sz w:val="20"/>
                  </w:rPr>
                </w:pPr>
                <w:r>
                  <w:rPr>
                    <w:b/>
                    <w:sz w:val="20"/>
                  </w:rPr>
                  <w:t>2 straipsnio 10 dalis</w:t>
                </w:r>
              </w:p>
              <w:p>
                <w:pPr>
                  <w:jc w:val="both"/>
                  <w:rPr>
                    <w:b/>
                    <w:bCs/>
                    <w:sz w:val="20"/>
                  </w:rPr>
                </w:pPr>
                <w:r>
                  <w:rPr>
                    <w:b/>
                    <w:sz w:val="20"/>
                  </w:rPr>
                  <w:t>„</w:t>
                </w:r>
                <w:r>
                  <w:rPr>
                    <w:b/>
                    <w:color w:val="000000"/>
                    <w:sz w:val="20"/>
                    <w:shd w:val="clear" w:color="auto" w:fill="FFFFFF"/>
                    <w:lang w:eastAsia="en-GB"/>
                  </w:rPr>
                  <w:t xml:space="preserve">10. </w:t>
                </w:r>
                <w:r>
                  <w:rPr>
                    <w:b/>
                    <w:bCs/>
                    <w:color w:val="000000"/>
                    <w:sz w:val="20"/>
                    <w:shd w:val="clear" w:color="auto" w:fill="FFFFFF"/>
                    <w:lang w:eastAsia="en-GB"/>
                  </w:rPr>
                  <w:t xml:space="preserve">Poveikio aplinkai vertinimo dokumentų rengėjas </w:t>
                </w:r>
                <w:r>
                  <w:rPr>
                    <w:b/>
                    <w:color w:val="000000"/>
                    <w:sz w:val="20"/>
                    <w:shd w:val="clear" w:color="auto" w:fill="FFFFFF"/>
                    <w:lang w:eastAsia="en-GB"/>
                  </w:rPr>
                  <w:t>– fizinis asmuo, įgijęs aukštąjį išsilavinimą ar kvalifikaciją srities, kuri atitinka rengiamų poveikio aplinkai vertinimo dokumentų ar jų dalių specifiką, arba juridinis asmuo ar jo padalinys (įskaitant užsienio valstybės juridinį asmenį ar kitą organizaciją, taip pat jų padalinį), turintis specialistų, įgijusių aukštąjį išsilavinimą ar kvalifikaciją srities, kuri atitinka rengiamų poveikio aplinkai vertinimo dokumentų ar jų dalių specifiką, rengiantis poveikio aplinkai vertinimo dokumentus ir atliekantis kitas šiame įstatyme poveikio aplinkai vertinimo dokumentų rengėjui nustatytas funkcijas.“</w:t>
                </w:r>
              </w:p>
              <w:p>
                <w:pPr>
                  <w:jc w:val="both"/>
                  <w:rPr>
                    <w:b/>
                    <w:bCs/>
                    <w:sz w:val="20"/>
                  </w:rPr>
                </w:pPr>
              </w:p>
              <w:p>
                <w:pPr>
                  <w:jc w:val="both"/>
                  <w:rPr>
                    <w:b/>
                    <w:sz w:val="20"/>
                  </w:rPr>
                </w:pPr>
                <w:r>
                  <w:rPr>
                    <w:b/>
                    <w:sz w:val="20"/>
                  </w:rPr>
                  <w:t>6 straipsnio 3 dalis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rPr>
                  <w:t>„</w:t>
                </w:r>
                <w:r>
                  <w:rPr>
                    <w:b/>
                    <w:color w:val="000000"/>
                    <w:sz w:val="20"/>
                    <w:shd w:val="clear" w:color="auto" w:fill="FFFFFF"/>
                    <w:lang w:eastAsia="en-GB"/>
                  </w:rPr>
                  <w:t>3. Poveikio aplinkai vertinimo dokumentų rengėjas rengia atrankos informaciją; nustato, apibūdina ir įvertina planuojamos ūkinės veiklos galimą poveikį aplinkai, rengia pranešimą apie poveikio aplinkai vertinimo pradžią, poveikio aplinkai vertinimo dokumentus ir atlieka šiame įstatyme jam nustatytas atrankos dėl poveikio aplinkai vertinimo, poveikio aplinkai vertinimo ir visuomenės informavimo procedūras šio įstatymo ir aplinkos ministro nustatyta tvarka.“</w:t>
                </w:r>
              </w:p>
            </w:tc>
            <w:tc>
              <w:tcPr>
                <w:tcW w:w="1421" w:type="dxa"/>
              </w:tcPr>
              <w:p>
                <w:pPr>
                  <w:jc w:val="center"/>
                  <w:rPr>
                    <w:b/>
                    <w:sz w:val="20"/>
                  </w:rPr>
                </w:pPr>
                <w:r>
                  <w:rPr>
                    <w:b/>
                    <w:sz w:val="20"/>
                  </w:rPr>
                  <w:t>Visiškas.</w:t>
                </w:r>
              </w:p>
            </w:tc>
          </w:tr>
          <w:tr>
            <w:tc>
              <w:tcPr>
                <w:tcW w:w="3652" w:type="dxa"/>
              </w:tcPr>
              <w:p>
                <w:pPr>
                  <w:jc w:val="both"/>
                  <w:rPr>
                    <w:color w:val="000000"/>
                    <w:sz w:val="20"/>
                    <w:lang w:eastAsia="lt-LT"/>
                  </w:rPr>
                </w:pPr>
                <w:r>
                  <w:rPr>
                    <w:color w:val="000000"/>
                    <w:sz w:val="20"/>
                    <w:lang w:eastAsia="lt-LT"/>
                  </w:rPr>
                  <w:t xml:space="preserve">b) kompetentinga institucija turi turėti pakankamai ekspertinių žinių arba prireikus galimybę jomis naudotis tam, kad ji galėtų patikrinti poveikio aplinkai vertinimo ataskaitą, ir </w:t>
                </w:r>
              </w:p>
              <w:p>
                <w:pPr>
                  <w:jc w:val="both"/>
                  <w:rPr>
                    <w:color w:val="000000"/>
                    <w:sz w:val="20"/>
                    <w:lang w:eastAsia="lt-LT"/>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jc w:val="both"/>
                  <w:rPr>
                    <w:b/>
                    <w:sz w:val="20"/>
                    <w:lang w:eastAsia="en-GB"/>
                  </w:rPr>
                </w:pPr>
                <w:r>
                  <w:rPr>
                    <w:b/>
                    <w:sz w:val="20"/>
                    <w:lang w:eastAsia="en-GB"/>
                  </w:rPr>
                  <w:t>6 straipsnio 1 dalies 3 punktas</w:t>
                </w:r>
              </w:p>
              <w:p>
                <w:pPr>
                  <w:jc w:val="both"/>
                  <w:rPr>
                    <w:b/>
                    <w:sz w:val="20"/>
                    <w:lang w:eastAsia="en-GB"/>
                  </w:rPr>
                </w:pPr>
                <w:r>
                  <w:rPr>
                    <w:b/>
                    <w:sz w:val="20"/>
                  </w:rPr>
                  <w:t>„</w:t>
                </w:r>
                <w:r>
                  <w:rPr>
                    <w:b/>
                    <w:sz w:val="20"/>
                    <w:lang w:eastAsia="en-GB"/>
                  </w:rPr>
                  <w:t>1. Atsakingoji institucija:</w:t>
                </w:r>
              </w:p>
              <w:p>
                <w:pPr>
                  <w:jc w:val="both"/>
                  <w:rPr>
                    <w:b/>
                    <w:sz w:val="20"/>
                    <w:lang w:eastAsia="en-GB"/>
                  </w:rPr>
                </w:pPr>
                <w:r>
                  <w:rPr>
                    <w:b/>
                    <w:sz w:val="20"/>
                    <w:lang w:eastAsia="en-GB"/>
                  </w:rPr>
                  <w:t>&lt;…&gt;</w:t>
                </w:r>
              </w:p>
              <w:p>
                <w:pPr>
                  <w:jc w:val="both"/>
                  <w:rPr>
                    <w:b/>
                    <w:sz w:val="20"/>
                    <w:lang w:eastAsia="lt-LT"/>
                  </w:rPr>
                </w:pPr>
                <w:r>
                  <w:rPr>
                    <w:b/>
                    <w:color w:val="000000"/>
                    <w:sz w:val="20"/>
                    <w:shd w:val="clear" w:color="auto" w:fill="FFFFFF"/>
                    <w:lang w:eastAsia="en-GB"/>
                  </w:rPr>
                  <w:t xml:space="preserve">3) prireikus aplinkos ministro nustatyta tvarka pasitelkia konsultantus ataskaitai ir (ar) kartu su ja pateiktoms poveikio aplinkai vertinimo subjektų išvadoms, suinteresuotos visuomenės pasiūlymams ir jų įvertinimams vertinti ir išvadoms pateikti, kai šiems dokumentams nagrinėti ji neturi pakankamų ekspertinių žinių. </w:t>
                </w:r>
                <w:r>
                  <w:rPr>
                    <w:b/>
                    <w:color w:val="000000"/>
                    <w:sz w:val="20"/>
                    <w:shd w:val="clear" w:color="auto" w:fill="FFFFFF"/>
                    <w:lang w:val="en-GB" w:eastAsia="en-GB"/>
                  </w:rPr>
                  <w:t>Konsultantų dalyvavimą savo lėšomis organizuoja atsakingoji institucija.</w:t>
                </w:r>
                <w:r>
                  <w:rPr>
                    <w:b/>
                    <w:sz w:val="20"/>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p>
            </w:tc>
            <w:tc>
              <w:tcPr>
                <w:tcW w:w="1421" w:type="dxa"/>
              </w:tcPr>
              <w:p>
                <w:pPr>
                  <w:jc w:val="center"/>
                  <w:rPr>
                    <w:b/>
                    <w:sz w:val="20"/>
                  </w:rPr>
                </w:pPr>
                <w:r>
                  <w:rPr>
                    <w:b/>
                    <w:sz w:val="20"/>
                  </w:rPr>
                  <w:t>Visiškas.</w:t>
                </w:r>
              </w:p>
            </w:tc>
          </w:tr>
          <w:tr>
            <w:tc>
              <w:tcPr>
                <w:tcW w:w="3652" w:type="dxa"/>
              </w:tcPr>
              <w:p>
                <w:pPr>
                  <w:jc w:val="both"/>
                  <w:rPr>
                    <w:color w:val="000000"/>
                    <w:sz w:val="19"/>
                    <w:szCs w:val="19"/>
                    <w:lang w:eastAsia="lt-LT"/>
                  </w:rPr>
                </w:pPr>
                <w:r>
                  <w:rPr>
                    <w:color w:val="000000"/>
                    <w:sz w:val="19"/>
                    <w:szCs w:val="19"/>
                    <w:lang w:eastAsia="lt-LT"/>
                  </w:rPr>
                  <w:t>c) prireikus kompetentinga institucija prašo užsakovo pateikti papildomos informacijos pagal IV priedą, kuri tiesiogiai svarbi siekiant padaryti pagrįstą išvadą apie projekto reikšmingą poveikį aplinkai.“;</w:t>
                </w:r>
              </w:p>
            </w:tc>
            <w:tc>
              <w:tcPr>
                <w:tcW w:w="9639" w:type="dxa"/>
              </w:tcPr>
              <w:p>
                <w:pPr>
                  <w:jc w:val="both"/>
                  <w:rPr>
                    <w:b/>
                    <w:sz w:val="20"/>
                  </w:rPr>
                </w:pPr>
                <w:r>
                  <w:rPr>
                    <w:b/>
                    <w:sz w:val="20"/>
                  </w:rPr>
                  <w:t>Projektas</w:t>
                </w:r>
              </w:p>
              <w:p>
                <w:pPr>
                  <w:jc w:val="both"/>
                  <w:rPr>
                    <w:b/>
                    <w:sz w:val="20"/>
                  </w:rPr>
                </w:pPr>
                <w:r>
                  <w:rPr>
                    <w:b/>
                    <w:sz w:val="20"/>
                  </w:rPr>
                  <w:t xml:space="preserve">12 straipsnio 1 dalis </w:t>
                </w:r>
              </w:p>
              <w:p>
                <w:pPr>
                  <w:jc w:val="both"/>
                  <w:textAlignment w:val="baseline"/>
                  <w:rPr>
                    <w:rFonts w:ascii="Segoe UI" w:hAnsi="Segoe UI" w:cs="Segoe UI"/>
                    <w:b/>
                    <w:sz w:val="20"/>
                    <w:lang w:eastAsia="lt-LT"/>
                  </w:rPr>
                </w:pPr>
                <w:r>
                  <w:rPr>
                    <w:b/>
                    <w:sz w:val="20"/>
                    <w:lang w:eastAsia="lt-LT"/>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 </w:t>
                </w:r>
              </w:p>
              <w:p>
                <w:pPr>
                  <w:jc w:val="both"/>
                  <w:textAlignment w:val="baseline"/>
                  <w:rPr>
                    <w:rFonts w:ascii="Segoe UI" w:hAnsi="Segoe UI" w:cs="Segoe UI"/>
                    <w:b/>
                    <w:sz w:val="20"/>
                    <w:lang w:eastAsia="lt-LT"/>
                  </w:rPr>
                </w:pPr>
                <w:r>
                  <w:rPr>
                    <w:b/>
                    <w:sz w:val="20"/>
                    <w:lang w:eastAsia="lt-LT"/>
                  </w:rPr>
                  <w:t>1) teikia motyvuotus reikalavimus ataskaitą pataisyti ar papildyti arba </w:t>
                </w:r>
              </w:p>
              <w:p>
                <w:pPr>
                  <w:jc w:val="both"/>
                  <w:textAlignment w:val="baseline"/>
                  <w:rPr>
                    <w:b/>
                    <w:sz w:val="20"/>
                    <w:lang w:eastAsia="lt-LT"/>
                  </w:rPr>
                </w:pPr>
                <w:r>
                  <w:rPr>
                    <w:b/>
                    <w:sz w:val="20"/>
                    <w:lang w:eastAsia="lt-LT"/>
                  </w:rPr>
                  <w:t>2) priima sprendimą dėl planuojamos ūkinės veiklos poveikio aplinkai. Sprendimo dėl planuojamos ūkinės veiklos poveikio aplinkai turinį nustato aplinkos ministras.“</w:t>
                </w:r>
              </w:p>
              <w:p>
                <w:pPr>
                  <w:jc w:val="both"/>
                  <w:textAlignment w:val="baseline"/>
                  <w:rPr>
                    <w:b/>
                    <w:sz w:val="20"/>
                    <w:lang w:eastAsia="lt-LT"/>
                  </w:rPr>
                </w:pPr>
              </w:p>
              <w:p>
                <w:pPr>
                  <w:jc w:val="both"/>
                  <w:rPr>
                    <w:b/>
                    <w:sz w:val="20"/>
                  </w:rPr>
                </w:pPr>
                <w:r>
                  <w:rPr>
                    <w:b/>
                    <w:sz w:val="20"/>
                  </w:rPr>
                  <w:t xml:space="preserve">12 straipsnio 4 dalis </w:t>
                </w:r>
              </w:p>
              <w:p>
                <w:pPr>
                  <w:jc w:val="both"/>
                  <w:rPr>
                    <w:b/>
                    <w:sz w:val="20"/>
                  </w:rPr>
                </w:pPr>
                <w:r>
                  <w:rPr>
                    <w:b/>
                    <w:sz w:val="20"/>
                  </w:rPr>
                  <w:t>„</w:t>
                </w:r>
                <w:r>
                  <w:rPr>
                    <w:bCs/>
                    <w:color w:val="000000"/>
                    <w:sz w:val="20"/>
                    <w:shd w:val="clear" w:color="auto" w:fill="FFFFFF"/>
                    <w:lang w:eastAsia="en-GB"/>
                  </w:rPr>
                  <w:t xml:space="preserve"> </w:t>
                </w:r>
                <w:r>
                  <w:rPr>
                    <w:b/>
                    <w:color w:val="000000"/>
                    <w:sz w:val="20"/>
                    <w:shd w:val="clear" w:color="auto" w:fill="FFFFFF"/>
                    <w:lang w:eastAsia="en-GB"/>
                  </w:rPr>
                  <w:t>4. Kai atsakingoji institucija pateikia motyvuotus reikalavimus ataskaitą pataisyti ir (ar) papildyti, poveikio aplinkai vertinimo dokumentų rengėjas turi papildyti ar pataisyti ataskaitą ir pakartotinai pateikti ją atsakingajai institucijai. Atsakingoji institucija ataskaitą išnagrinėja ir per 15 darbo dienų nuo ataskaitos gavimo dienos priima sprendimą arba, nepažeisdama šio įstatymo 6 straipsnio 7 dalies nuostatų, dar kartą teikia motyvuotus reikalavimus ataskaitą pataisyti ar papildyti.</w:t>
                </w:r>
                <w:r>
                  <w:rPr>
                    <w:b/>
                    <w:sz w:val="20"/>
                  </w:rPr>
                  <w:t>“</w:t>
                </w:r>
              </w:p>
              <w:p>
                <w:pPr>
                  <w:jc w:val="both"/>
                  <w:rPr>
                    <w:b/>
                    <w:sz w:val="20"/>
                    <w:lang w:eastAsia="lt-LT"/>
                  </w:rPr>
                </w:pPr>
              </w:p>
            </w:tc>
            <w:tc>
              <w:tcPr>
                <w:tcW w:w="1421" w:type="dxa"/>
              </w:tcPr>
              <w:p>
                <w:pPr>
                  <w:jc w:val="center"/>
                  <w:rPr>
                    <w:b/>
                    <w:sz w:val="20"/>
                  </w:rPr>
                </w:pPr>
                <w:r>
                  <w:rPr>
                    <w:b/>
                    <w:sz w:val="20"/>
                  </w:rPr>
                  <w:t>Visiškas.</w:t>
                </w:r>
              </w:p>
              <w:p>
                <w:pPr>
                  <w:jc w:val="center"/>
                  <w:rPr>
                    <w:sz w:val="20"/>
                  </w:rPr>
                </w:pPr>
              </w:p>
            </w:tc>
          </w:tr>
          <w:tr>
            <w:tc>
              <w:tcPr>
                <w:tcW w:w="3652" w:type="dxa"/>
              </w:tcPr>
              <w:p>
                <w:pPr>
                  <w:suppressLineNumbers/>
                  <w:suppressAutoHyphens/>
                  <w:snapToGrid w:val="0"/>
                  <w:jc w:val="both"/>
                  <w:rPr>
                    <w:b/>
                    <w:sz w:val="20"/>
                    <w:lang w:eastAsia="ar-SA"/>
                  </w:rPr>
                </w:pPr>
                <w:r>
                  <w:rPr>
                    <w:b/>
                    <w:sz w:val="20"/>
                    <w:lang w:eastAsia="ar-SA"/>
                  </w:rPr>
                  <w:t>B</w:t>
                </w:r>
              </w:p>
              <w:p>
                <w:pPr>
                  <w:suppressLineNumbers/>
                  <w:suppressAutoHyphens/>
                  <w:snapToGrid w:val="0"/>
                  <w:jc w:val="both"/>
                  <w:rPr>
                    <w:i/>
                    <w:sz w:val="20"/>
                    <w:lang w:eastAsia="ar-SA"/>
                  </w:rPr>
                </w:pPr>
                <w:r>
                  <w:rPr>
                    <w:i/>
                    <w:sz w:val="20"/>
                    <w:lang w:eastAsia="ar-SA"/>
                  </w:rPr>
                  <w:t xml:space="preserve">6 straipsnis </w:t>
                </w:r>
              </w:p>
              <w:p>
                <w:pPr>
                  <w:numPr>
                    <w:ilvl w:val="255"/>
                    <w:numId w:val="0"/>
                  </w:numPr>
                  <w:suppressLineNumbers/>
                  <w:suppressAutoHyphens/>
                  <w:snapToGrid w:val="0"/>
                  <w:jc w:val="both"/>
                  <w:rPr>
                    <w:b/>
                    <w:bCs/>
                    <w:sz w:val="20"/>
                    <w:lang w:eastAsia="ar-SA"/>
                  </w:rPr>
                </w:pPr>
                <w:r>
                  <w:rPr>
                    <w:b/>
                    <w:bCs/>
                    <w:sz w:val="20"/>
                    <w:lang w:eastAsia="ar-SA"/>
                  </w:rPr>
                  <w:t>M1</w:t>
                </w:r>
              </w:p>
              <w:p>
                <w:pPr>
                  <w:suppressLineNumbers/>
                  <w:suppressAutoHyphens/>
                  <w:snapToGrid w:val="0"/>
                  <w:jc w:val="both"/>
                  <w:rPr>
                    <w:sz w:val="20"/>
                    <w:lang w:eastAsia="ar-SA"/>
                  </w:rPr>
                </w:pPr>
                <w:r>
                  <w:rPr>
                    <w:sz w:val="20"/>
                    <w:lang w:eastAsia="ar-SA"/>
                  </w:rPr>
                  <w:t xml:space="preserve">1. Valstybės narės privalo imtis priemonių, būtinų užtikrinti, kad projektu suinteresuotoms institucijoms, kai dėl jų prisiimtos specialios atsakomybės už aplinkos apsaugą arba joms priskirtos vietos ir regioninio lygmenų kompetencijos būtų suteikta galimybė pareikšti nuomonę dėl užsakovo pateiktos informacijos ir dėl sutikimo dėl planuojamos veiklos, kai tinkama, atsižvelgiant į atvejus, išvardytus 8a straipsnio 3 dalyje. Tuo tikslu valstybės narės paskiria institucijas, su kuriomis konsultuojamasi bendrais arba konkrečiais atvejais. Informacija, surinkta pagal 5 straipsnį, perduodama toms institucijoms. Išsamią konsultacijos tvarką nustato valstybės narės.“; </w:t>
                </w:r>
              </w:p>
              <w:p>
                <w:pPr>
                  <w:suppressLineNumbers/>
                  <w:suppressAutoHyphens/>
                  <w:snapToGrid w:val="0"/>
                  <w:jc w:val="both"/>
                  <w:rPr>
                    <w:sz w:val="20"/>
                    <w:lang w:eastAsia="ar-SA"/>
                  </w:rPr>
                </w:pPr>
              </w:p>
            </w:tc>
            <w:tc>
              <w:tcPr>
                <w:tcW w:w="9639" w:type="dxa"/>
              </w:tcPr>
              <w:p>
                <w:pPr>
                  <w:rPr>
                    <w:b/>
                    <w:sz w:val="20"/>
                  </w:rPr>
                </w:pPr>
                <w:r>
                  <w:rPr>
                    <w:b/>
                    <w:sz w:val="20"/>
                  </w:rPr>
                  <w:t>Projektas</w:t>
                </w:r>
              </w:p>
              <w:p>
                <w:pPr>
                  <w:jc w:val="both"/>
                  <w:rPr>
                    <w:b/>
                    <w:sz w:val="20"/>
                  </w:rPr>
                </w:pPr>
                <w:r>
                  <w:rPr>
                    <w:b/>
                    <w:sz w:val="20"/>
                  </w:rPr>
                  <w:t>2 straipsnio 1 dalis</w:t>
                </w:r>
              </w:p>
              <w:p>
                <w:pPr>
                  <w:jc w:val="both"/>
                  <w:rPr>
                    <w:b/>
                    <w:sz w:val="20"/>
                  </w:rPr>
                </w:pPr>
                <w:r>
                  <w:rPr>
                    <w:b/>
                    <w:sz w:val="20"/>
                  </w:rPr>
                  <w:t>„</w:t>
                </w:r>
                <w:r>
                  <w:rPr>
                    <w:b/>
                    <w:bCs/>
                    <w:sz w:val="20"/>
                  </w:rPr>
                  <w:t>1. Atsakingoji institucija</w:t>
                </w:r>
                <w:r>
                  <w:rPr>
                    <w:b/>
                    <w:sz w:val="20"/>
                  </w:rPr>
                  <w:t xml:space="preserve"> – Lietuvos Respublikos Vyriausybės (toliau – Vyriausybė) įgaliota institucija, koordinuojanti planuojamos ūkinės veiklos atrankos dėl poveikio aplinkai vertinimo ir poveikio aplinkai vertinimo procesus, priimanti atrankos išvadą ir sprendimą dėl planuojamos ūkinės veiklos poveikio aplinkai ir atliekanti kitas šiame įstatyme nustatytas funkcijas.“</w:t>
                </w:r>
              </w:p>
              <w:p>
                <w:pPr>
                  <w:jc w:val="both"/>
                  <w:rPr>
                    <w:b/>
                    <w:sz w:val="20"/>
                  </w:rPr>
                </w:pPr>
              </w:p>
              <w:p>
                <w:pPr>
                  <w:jc w:val="both"/>
                  <w:rPr>
                    <w:b/>
                    <w:sz w:val="20"/>
                  </w:rPr>
                </w:pPr>
                <w:r>
                  <w:rPr>
                    <w:b/>
                    <w:sz w:val="20"/>
                  </w:rPr>
                  <w:t>2 straipsnio 11 dalis</w:t>
                </w:r>
              </w:p>
              <w:p>
                <w:pPr>
                  <w:jc w:val="both"/>
                  <w:rPr>
                    <w:b/>
                    <w:sz w:val="20"/>
                  </w:rPr>
                </w:pPr>
                <w:r>
                  <w:rPr>
                    <w:b/>
                    <w:sz w:val="20"/>
                  </w:rPr>
                  <w:t>„</w:t>
                </w:r>
                <w:r>
                  <w:rPr>
                    <w:b/>
                    <w:color w:val="000000"/>
                    <w:sz w:val="20"/>
                    <w:shd w:val="clear" w:color="auto" w:fill="FFFFFF"/>
                    <w:lang w:eastAsia="en-GB"/>
                  </w:rPr>
                  <w:t xml:space="preserve">11. </w:t>
                </w:r>
                <w:r>
                  <w:rPr>
                    <w:b/>
                    <w:bCs/>
                    <w:color w:val="000000"/>
                    <w:sz w:val="20"/>
                    <w:shd w:val="clear" w:color="auto" w:fill="FFFFFF"/>
                    <w:lang w:eastAsia="en-GB"/>
                  </w:rPr>
                  <w:t>Poveikio aplinkai vertinimo subjektas</w:t>
                </w:r>
                <w:r>
                  <w:rPr>
                    <w:b/>
                    <w:color w:val="000000"/>
                    <w:sz w:val="20"/>
                    <w:shd w:val="clear" w:color="auto" w:fill="FFFFFF"/>
                    <w:lang w:eastAsia="en-GB"/>
                  </w:rPr>
                  <w:t xml:space="preserve"> – valstybės institucija ar savivaldybės vykdomoji institucija, nagrinėjanti poveikio aplinkai vertinimo dokumentus, pagal kompetenciją teikianti išvadas ir dalyvaujanti atrankos dėl poveikio aplinkai vertinimo procese.“</w:t>
                </w:r>
              </w:p>
              <w:p>
                <w:pPr>
                  <w:jc w:val="both"/>
                  <w:rPr>
                    <w:b/>
                    <w:sz w:val="20"/>
                  </w:rPr>
                </w:pPr>
              </w:p>
              <w:p>
                <w:pPr>
                  <w:jc w:val="both"/>
                  <w:rPr>
                    <w:b/>
                    <w:sz w:val="20"/>
                  </w:rPr>
                </w:pPr>
                <w:r>
                  <w:rPr>
                    <w:b/>
                    <w:sz w:val="20"/>
                  </w:rPr>
                  <w:t xml:space="preserve">5 straipsnio 1 dalies 1-2 punktai </w:t>
                </w:r>
              </w:p>
              <w:p>
                <w:pPr>
                  <w:jc w:val="both"/>
                  <w:textAlignment w:val="baseline"/>
                  <w:rPr>
                    <w:b/>
                    <w:sz w:val="20"/>
                    <w:lang w:eastAsia="lt-LT"/>
                  </w:rPr>
                </w:pPr>
                <w:r>
                  <w:rPr>
                    <w:b/>
                    <w:sz w:val="20"/>
                  </w:rPr>
                  <w:t>„</w:t>
                </w:r>
                <w:r>
                  <w:rPr>
                    <w:b/>
                    <w:sz w:val="20"/>
                    <w:lang w:eastAsia="lt-LT"/>
                  </w:rPr>
                  <w:t>1. Atrankos dėl poveikio aplinkai vertinimo ir poveikio aplinkai vertinimo procesų dalyviai yra: </w:t>
                </w:r>
              </w:p>
              <w:p>
                <w:pPr>
                  <w:jc w:val="both"/>
                  <w:textAlignment w:val="baseline"/>
                  <w:rPr>
                    <w:b/>
                    <w:sz w:val="20"/>
                    <w:lang w:eastAsia="lt-LT"/>
                  </w:rPr>
                </w:pPr>
                <w:r>
                  <w:rPr>
                    <w:b/>
                    <w:sz w:val="20"/>
                    <w:lang w:eastAsia="lt-LT"/>
                  </w:rPr>
                  <w:t>1) atsakingoji institucija – Vyriausybės įgaliota institucija; </w:t>
                </w:r>
              </w:p>
              <w:p>
                <w:pPr>
                  <w:jc w:val="both"/>
                  <w:textAlignment w:val="baseline"/>
                  <w:rPr>
                    <w:b/>
                    <w:sz w:val="20"/>
                    <w:lang w:eastAsia="lt-LT"/>
                  </w:rPr>
                </w:pPr>
                <w:r>
                  <w:rPr>
                    <w:b/>
                    <w:sz w:val="20"/>
                    <w:lang w:eastAsia="lt-LT"/>
                  </w:rPr>
                  <w:t>2) poveikio aplinkai vertinimo subjektai: savivaldybės, kurios teritorijoje planuojama ūkinė veikla vykdomoji institucija, sveikatos apsaugos ministro įgaliotos institucijos, vidaus reikalų ministro įgaliotos institucijos, atsakingos už gaisrinę ir civilinę saugą, kultūros ministro įgaliotos institucijos, atsakingos už kultūros vertybių apsaugą, o tais atvejais, kai planuojamos ūkinės veiklos įgyvendinimas gali daryti poveikį saugomoms teritorijoms, Europos ekologinio tinklo „Natura 2000“ teritorijoms, vertingiausiam kraštovaizdžiui, saugomų rūšių radavietiems ar augavietėms, esančioms už saugomų teritorijų ribų – saugomų teritorijų institucijos, savivaldybių vykdomosios institucijos ir kitos valstybės institucijos, įtrauktos į poveikio aplinkai vertinimo procesą šio straipsnio 2 dalyje nustatyta tvarka;“</w:t>
                </w:r>
              </w:p>
              <w:p>
                <w:pPr>
                  <w:jc w:val="both"/>
                  <w:rPr>
                    <w:b/>
                    <w:sz w:val="20"/>
                  </w:rPr>
                </w:pPr>
              </w:p>
              <w:p>
                <w:pPr>
                  <w:jc w:val="both"/>
                  <w:rPr>
                    <w:b/>
                    <w:sz w:val="20"/>
                  </w:rPr>
                </w:pPr>
                <w:r>
                  <w:rPr>
                    <w:b/>
                    <w:sz w:val="20"/>
                  </w:rPr>
                  <w:t xml:space="preserve">5 straipsnio 2 dalis </w:t>
                </w:r>
              </w:p>
              <w:p>
                <w:pPr>
                  <w:jc w:val="both"/>
                  <w:rPr>
                    <w:b/>
                    <w:sz w:val="20"/>
                  </w:rPr>
                </w:pPr>
                <w:r>
                  <w:rPr>
                    <w:b/>
                    <w:sz w:val="20"/>
                  </w:rPr>
                  <w:t>„</w:t>
                </w:r>
                <w:r>
                  <w:rPr>
                    <w:b/>
                    <w:color w:val="000000"/>
                    <w:sz w:val="20"/>
                    <w:shd w:val="clear" w:color="auto" w:fill="FFFFFF"/>
                    <w:lang w:eastAsia="en-GB"/>
                  </w:rPr>
                  <w:t xml:space="preserve">2. Poveikio aplinkai vertinimo subjektai gali būti ir kitos šio straipsnio 1 dalies 2 punkte nenurodytos </w:t>
                </w:r>
                <w:r>
                  <w:rPr>
                    <w:b/>
                    <w:bCs/>
                    <w:color w:val="000000"/>
                    <w:sz w:val="20"/>
                    <w:shd w:val="clear" w:color="auto" w:fill="FFFFFF"/>
                    <w:lang w:eastAsia="en-GB"/>
                  </w:rPr>
                  <w:t>s</w:t>
                </w:r>
                <w:r>
                  <w:rPr>
                    <w:b/>
                    <w:color w:val="000000"/>
                    <w:sz w:val="20"/>
                    <w:shd w:val="clear" w:color="auto" w:fill="FFFFFF"/>
                    <w:lang w:eastAsia="en-GB"/>
                  </w:rPr>
                  <w:t>avivaldybių vykdomosios institucijos ir valstybės institucijos, jeigu atsakingoji institucija poveikio aplinkai vertinimo dokumentų nagrinėjimo metu, atsižvelgdama į planuojamos ūkinės veiklos pobūdį, mastą ar vietos ypatumus, aplinkos ministro nustatyta tvarka jas pakviečia dalyvauti poveikio aplinkai vertinimo procese. Tokiais atvejais atsakingoji institucija raštu praneša planuojamos ūkinės veiklos organizatoriui (užsakovui) ir poveikio aplinkai vertinimo dokumentų rengėjui, kokios kitos savivaldybių vykdomosios institucijos ir valstybės institucijos dalyvauja poveikio aplinkai vertinimo procese.</w:t>
                </w:r>
                <w:r>
                  <w:rPr>
                    <w:b/>
                    <w:sz w:val="20"/>
                  </w:rPr>
                  <w:t>“</w:t>
                </w:r>
              </w:p>
              <w:p>
                <w:pPr>
                  <w:jc w:val="both"/>
                  <w:rPr>
                    <w:b/>
                    <w:sz w:val="20"/>
                  </w:rPr>
                </w:pPr>
              </w:p>
              <w:p>
                <w:pPr>
                  <w:jc w:val="both"/>
                  <w:rPr>
                    <w:b/>
                    <w:sz w:val="20"/>
                  </w:rPr>
                </w:pPr>
                <w:r>
                  <w:rPr>
                    <w:b/>
                    <w:sz w:val="20"/>
                  </w:rPr>
                  <w:t>6 straipsnio 1 dalis</w:t>
                </w:r>
              </w:p>
              <w:p>
                <w:pPr>
                  <w:jc w:val="both"/>
                  <w:textAlignment w:val="baseline"/>
                  <w:rPr>
                    <w:b/>
                    <w:sz w:val="20"/>
                    <w:lang w:eastAsia="lt-LT"/>
                  </w:rPr>
                </w:pPr>
                <w:r>
                  <w:rPr>
                    <w:b/>
                    <w:sz w:val="20"/>
                  </w:rPr>
                  <w:t>„</w:t>
                </w:r>
                <w:r>
                  <w:rPr>
                    <w:b/>
                    <w:sz w:val="20"/>
                    <w:lang w:eastAsia="lt-LT"/>
                  </w:rPr>
                  <w:t>1. Atsakingoji institucija: </w:t>
                </w:r>
              </w:p>
              <w:p>
                <w:pPr>
                  <w:jc w:val="both"/>
                  <w:textAlignment w:val="baseline"/>
                  <w:rPr>
                    <w:b/>
                    <w:sz w:val="20"/>
                    <w:lang w:eastAsia="lt-LT"/>
                  </w:rPr>
                </w:pPr>
                <w:r>
                  <w:rPr>
                    <w:b/>
                    <w:sz w:val="20"/>
                    <w:lang w:eastAsia="lt-LT"/>
                  </w:rPr>
                  <w:t>1) koordinuoja atrankos dėl poveikio aplinkai vertinimo ir poveikio aplinkai vertinimo procesus; </w:t>
                </w:r>
              </w:p>
              <w:p>
                <w:pPr>
                  <w:jc w:val="both"/>
                  <w:textAlignment w:val="baseline"/>
                  <w:rPr>
                    <w:b/>
                    <w:sz w:val="20"/>
                    <w:lang w:eastAsia="lt-LT"/>
                  </w:rPr>
                </w:pPr>
                <w:r>
                  <w:rPr>
                    <w:b/>
                    <w:sz w:val="20"/>
                    <w:lang w:eastAsia="lt-LT"/>
                  </w:rPr>
                  <w:t>2) nagrinėja atrankos informaciją, poveikio aplinkai vertinimo subjektų, suinteresuotos visuomenės pasiūlymus dėl atrankos informacijos ir (ar) poveikio aplinkai vertinimo atlikimo ir priima atrankos išvadą dėl poveikio aplinkai vertinimo, nagrinėja, vertina ir tvirtina programas, nagrinėja ir vertina suinteresuotos visuomenės pasiūlymų įvertinimą, suinteresuotos visuomenės pasiūlymus, ataskaitas, priima sprendimą dėl planuojamos ūkinės veiklos poveikio aplinkai, informuoja visuomenę. Šiame punkte nurodytų dokumentų nagrinėjimo tvarką nustato aplinkos ministras;  </w:t>
                </w:r>
              </w:p>
              <w:p>
                <w:pPr>
                  <w:jc w:val="both"/>
                  <w:textAlignment w:val="baseline"/>
                  <w:rPr>
                    <w:b/>
                    <w:sz w:val="20"/>
                    <w:lang w:eastAsia="lt-LT"/>
                  </w:rPr>
                </w:pPr>
                <w:r>
                  <w:rPr>
                    <w:b/>
                    <w:sz w:val="20"/>
                    <w:lang w:eastAsia="lt-LT"/>
                  </w:rPr>
                  <w:t>3) prireikus aplinkos ministro nustatyta tvarka pasitelkia konsultantus ataskaitai ir (ar) kartu su ja pateiktoms poveikio aplinkai vertinimo subjektų išvadoms, suinteresuotos visuomenės pasiūlymams ir jų įvertinimams vertinti ir išvadoms pateikti, kai šiems dokumentams nagrinėti ji neturi pakankamų ekspertinių žinių. Konsultantų dalyvavimą savo lėšomis organizuoja atsakingoji institucija.“</w:t>
                </w:r>
              </w:p>
              <w:p>
                <w:pPr>
                  <w:jc w:val="both"/>
                  <w:rPr>
                    <w:b/>
                    <w:sz w:val="20"/>
                  </w:rPr>
                </w:pPr>
              </w:p>
              <w:p>
                <w:pPr>
                  <w:jc w:val="both"/>
                  <w:rPr>
                    <w:b/>
                    <w:sz w:val="20"/>
                  </w:rPr>
                </w:pPr>
                <w:r>
                  <w:rPr>
                    <w:b/>
                    <w:sz w:val="20"/>
                  </w:rPr>
                  <w:t>6 straipsnio 4-5 dalys</w:t>
                </w:r>
              </w:p>
              <w:p>
                <w:pPr>
                  <w:jc w:val="both"/>
                  <w:textAlignment w:val="baseline"/>
                  <w:rPr>
                    <w:b/>
                    <w:sz w:val="20"/>
                    <w:lang w:eastAsia="lt-LT"/>
                  </w:rPr>
                </w:pPr>
                <w:r>
                  <w:rPr>
                    <w:b/>
                    <w:sz w:val="20"/>
                  </w:rPr>
                  <w:t>„</w:t>
                </w:r>
                <w:r>
                  <w:rPr>
                    <w:b/>
                    <w:sz w:val="20"/>
                    <w:lang w:eastAsia="lt-LT"/>
                  </w:rPr>
                  <w:t>4. Poveikio aplinkai vertinimo subjektai pagal kompetenciją, nurodytą šio straipsnio 5 dalyje, nagrinėja suinteresuotos visuomenės pasiūlymus ir suinteresuotos visuomenės pasiūlymų įvertinimą, nagrinėja ir vertina poveikio aplinkai vertinimo dokumentus, teikia motyvuotas išvadas dėl poveikio aplinkai vertinimo dokumentų ir planuojamos ūkinės veiklos poveikio aplinkai</w:t>
                </w:r>
                <w:r>
                  <w:rPr>
                    <w:b/>
                    <w:bCs/>
                    <w:sz w:val="20"/>
                    <w:lang w:eastAsia="lt-LT"/>
                  </w:rPr>
                  <w:t>,</w:t>
                </w:r>
                <w:r>
                  <w:rPr>
                    <w:b/>
                    <w:sz w:val="20"/>
                    <w:lang w:eastAsia="lt-LT"/>
                  </w:rPr>
                  <w:t xml:space="preserve"> šio įstatymo ir aplinkos ministro nustatyta tvarka dalyvauja atrankos dėl poveikio aplinkai vertinimo procese. </w:t>
                </w:r>
              </w:p>
              <w:p>
                <w:pPr>
                  <w:jc w:val="both"/>
                  <w:textAlignment w:val="baseline"/>
                  <w:rPr>
                    <w:b/>
                    <w:sz w:val="20"/>
                    <w:lang w:eastAsia="lt-LT"/>
                  </w:rPr>
                </w:pPr>
                <w:r>
                  <w:rPr>
                    <w:b/>
                    <w:sz w:val="20"/>
                    <w:lang w:eastAsia="lt-LT"/>
                  </w:rPr>
                  <w:t>5. Poveikio aplinkai vertinimo subjektai, atlikdami šio straipsnio 4 dalyje nustatytas funkcijas, teikia išvadas:  </w:t>
                </w:r>
              </w:p>
              <w:p>
                <w:pPr>
                  <w:jc w:val="both"/>
                  <w:textAlignment w:val="baseline"/>
                  <w:rPr>
                    <w:b/>
                    <w:sz w:val="20"/>
                    <w:lang w:eastAsia="lt-LT"/>
                  </w:rPr>
                </w:pPr>
                <w:r>
                  <w:rPr>
                    <w:b/>
                    <w:sz w:val="20"/>
                    <w:lang w:eastAsia="lt-LT"/>
                  </w:rPr>
                  <w:t>1) sveikatos apsaugos ministro įgaliotos institucijos – dėl planuojamos ūkinės veiklos veiksnių, darančių įtaką visuomenės sveikatai, galimo poveikio visuomenės sveikatai; </w:t>
                </w:r>
              </w:p>
              <w:p>
                <w:pPr>
                  <w:jc w:val="both"/>
                  <w:textAlignment w:val="baseline"/>
                  <w:rPr>
                    <w:b/>
                    <w:sz w:val="20"/>
                    <w:lang w:eastAsia="lt-LT"/>
                  </w:rPr>
                </w:pPr>
                <w:r>
                  <w:rPr>
                    <w:b/>
                    <w:sz w:val="20"/>
                    <w:lang w:eastAsia="lt-LT"/>
                  </w:rPr>
                  <w:t>2) kultūros ministro įgaliotos institucijos, atsakingos už kultūros vertybių apsaugą, – nekilnojamojo kultūros paveldo apsaugos srityje dėl galimo planuojamos ūkinės veiklos poveikio nekilnojamajam kultūros paveldui; </w:t>
                </w:r>
              </w:p>
              <w:p>
                <w:pPr>
                  <w:jc w:val="both"/>
                  <w:textAlignment w:val="baseline"/>
                  <w:rPr>
                    <w:b/>
                    <w:sz w:val="20"/>
                    <w:lang w:eastAsia="lt-LT"/>
                  </w:rPr>
                </w:pPr>
                <w:r>
                  <w:rPr>
                    <w:b/>
                    <w:sz w:val="20"/>
                    <w:lang w:eastAsia="lt-LT"/>
                  </w:rPr>
                  <w:t>3) vidaus reikalų ministro įgaliotos institucijos, atsakingos už gaisrinę ir civilinę saugą, – dėl planuojamos ūkinės veiklos vykdymo metu galimų įvykių, ekstremaliųjų įvykių, ekstremaliųjų situacijų, numatomų priemonių joms išvengti ar sušvelninti ir padariniams likviduoti;  </w:t>
                </w:r>
              </w:p>
              <w:p>
                <w:pPr>
                  <w:jc w:val="both"/>
                  <w:textAlignment w:val="baseline"/>
                  <w:rPr>
                    <w:b/>
                    <w:sz w:val="20"/>
                    <w:lang w:eastAsia="lt-LT"/>
                  </w:rPr>
                </w:pPr>
                <w:r>
                  <w:rPr>
                    <w:b/>
                    <w:sz w:val="20"/>
                    <w:lang w:eastAsia="lt-LT"/>
                  </w:rPr>
                  <w:t>4) saugomų teritorijų institucija – dėl planuojamos ūkinės veiklos įgyvendinimo poveikio valstybės saugomoms, įskaitant Europos ekologinio tinklo „Natura 2000“, teritorijoms, vertingiausiam kraštovaizdžiui, saugomų rūšių radavietiems ar augavietėms, esančioms už valstybės saugomų teritorijų ribų; </w:t>
                </w:r>
              </w:p>
              <w:p>
                <w:pPr>
                  <w:jc w:val="both"/>
                  <w:textAlignment w:val="baseline"/>
                  <w:rPr>
                    <w:b/>
                    <w:sz w:val="20"/>
                    <w:lang w:eastAsia="lt-LT"/>
                  </w:rPr>
                </w:pPr>
                <w:r>
                  <w:rPr>
                    <w:b/>
                    <w:sz w:val="20"/>
                    <w:lang w:eastAsia="lt-LT"/>
                  </w:rPr>
                  <w:t>5) savivaldybės vykdomoji institucija – dėl planuojamos ūkinės veiklos poveikio aplinkai vertinimo ir šios veiklos galimo poveikio aplinkai, atsižvelgdama į patvirtintų ir galiojančių teritorijų planavimo dokumentų sprendinius bei galimybes pagal teisės aktų reikalavimus juos keisti, galimą poveikį savivaldybės įsteigtoms saugomoms teritorijoms ir į pagal įstatymus vykdomo savivaldybės aplinkos stebėsenos (monitoringo) duomenis.“</w:t>
                </w:r>
              </w:p>
              <w:p>
                <w:pPr>
                  <w:rPr>
                    <w:b/>
                    <w:sz w:val="20"/>
                  </w:rPr>
                </w:pPr>
              </w:p>
              <w:p>
                <w:pPr>
                  <w:jc w:val="both"/>
                  <w:rPr>
                    <w:b/>
                    <w:sz w:val="20"/>
                    <w:lang w:eastAsia="en-GB"/>
                  </w:rPr>
                </w:pPr>
                <w:r>
                  <w:rPr>
                    <w:b/>
                    <w:sz w:val="20"/>
                    <w:lang w:eastAsia="en-GB"/>
                  </w:rPr>
                  <w:t>8 straipsnio 3 dalis</w:t>
                </w:r>
              </w:p>
              <w:p>
                <w:pPr>
                  <w:jc w:val="both"/>
                  <w:textAlignment w:val="baseline"/>
                  <w:rPr>
                    <w:b/>
                    <w:sz w:val="20"/>
                    <w:lang w:eastAsia="lt-LT"/>
                  </w:rPr>
                </w:pPr>
                <w:r>
                  <w:rPr>
                    <w:b/>
                    <w:sz w:val="20"/>
                    <w:lang w:eastAsia="lt-LT"/>
                  </w:rPr>
                  <w:t>„3. Poveikio aplinkai vertinimo dokumentų rengėjas aplinkos ministro nustatyta tvarka: parengtą programą teikia poveikio aplinkai vertinimo subjektams išvadoms gauti, apie parengtą programą informuoja visuomenę ir atsakingąją instituciją.“</w:t>
                </w:r>
              </w:p>
              <w:p>
                <w:pPr>
                  <w:ind w:firstLine="720"/>
                  <w:jc w:val="both"/>
                  <w:textAlignment w:val="baseline"/>
                  <w:rPr>
                    <w:b/>
                    <w:sz w:val="20"/>
                    <w:lang w:eastAsia="lt-LT"/>
                  </w:rPr>
                </w:pPr>
              </w:p>
              <w:p>
                <w:pPr>
                  <w:jc w:val="both"/>
                  <w:rPr>
                    <w:b/>
                    <w:sz w:val="20"/>
                    <w:lang w:eastAsia="en-GB"/>
                  </w:rPr>
                </w:pPr>
                <w:r>
                  <w:rPr>
                    <w:b/>
                    <w:sz w:val="20"/>
                    <w:lang w:eastAsia="en-GB"/>
                  </w:rPr>
                  <w:t>8 straipsnio 5 dalis</w:t>
                </w:r>
              </w:p>
              <w:p>
                <w:pPr>
                  <w:jc w:val="both"/>
                  <w:textAlignment w:val="baseline"/>
                  <w:rPr>
                    <w:b/>
                    <w:sz w:val="20"/>
                    <w:lang w:eastAsia="lt-LT"/>
                  </w:rPr>
                </w:pPr>
                <w:r>
                  <w:rPr>
                    <w:b/>
                    <w:sz w:val="20"/>
                    <w:lang w:eastAsia="lt-LT"/>
                  </w:rPr>
                  <w:t>„5. Poveikio aplinkai vertinimo subjektai programą išnagrinėja, įvertina joje pateiktą informaciją ir per 10 darbo dienų nuo jos gavimo dienos pateikia motyvuotas išvadas poveikio aplinkai vertinimo dokumentų rengėjui. Poveikio aplinkai vertinimo subjektai, atsakingi už gaisrinę ir civilinę saugą, nekilnojamųjų kultūros vertybių apsaugą, atsižvelgę į planuojamos ūkinės veiklos mastą, pobūdį ar vietos ypatumus, teikdami išvadas dėl programos, turi teisę nurodyti, ar jie nagrinės ataskaitą. Jeigu poveikio aplinkai vertinimo subjektai, atsakingi už gaisrinę ir civilinę saugą, nekilnojamųjų kultūros vertybių apsaugą, nurodo, kad nenagrinės ataskaitos, ataskaita jiems neteikiama.“</w:t>
                </w:r>
              </w:p>
              <w:p>
                <w:pPr>
                  <w:ind w:firstLine="720"/>
                  <w:jc w:val="both"/>
                  <w:textAlignment w:val="baseline"/>
                  <w:rPr>
                    <w:b/>
                    <w:sz w:val="20"/>
                    <w:lang w:eastAsia="lt-LT"/>
                  </w:rPr>
                </w:pPr>
              </w:p>
              <w:p>
                <w:pPr>
                  <w:jc w:val="both"/>
                  <w:rPr>
                    <w:b/>
                    <w:sz w:val="20"/>
                    <w:lang w:eastAsia="en-GB"/>
                  </w:rPr>
                </w:pPr>
                <w:r>
                  <w:rPr>
                    <w:b/>
                    <w:sz w:val="20"/>
                    <w:lang w:eastAsia="en-GB"/>
                  </w:rPr>
                  <w:t>8 straipsnio 8-12 dalys</w:t>
                </w:r>
              </w:p>
              <w:p>
                <w:pPr>
                  <w:jc w:val="both"/>
                  <w:textAlignment w:val="baseline"/>
                  <w:rPr>
                    <w:b/>
                    <w:sz w:val="20"/>
                    <w:lang w:eastAsia="lt-LT"/>
                  </w:rPr>
                </w:pPr>
                <w:r>
                  <w:rPr>
                    <w:b/>
                    <w:sz w:val="20"/>
                    <w:lang w:eastAsia="lt-LT"/>
                  </w:rPr>
                  <w:t>„8. Poveikio aplinkai vertinimo subjektai turi teisę pateikti motyvuotus reikalavimus poveikio aplinkai vertinimo dokumentų rengėjui papildyti ar pataisyti programą. Tokiais atvejais poveikio aplinkai vertinimo dokumentų rengėjas papildo ar pataiso programą ir pakartotinai teikia ją poveikio aplinkai vertinimo subjektams, kurie per 5 darbo dienas nuo jos gavimo dienos programą išnagrinėja, įvertina joje pateiktą informaciją ir pateikia motyvuotas išvadas poveikio aplinkai vertinimo dokumentų rengėjui.  </w:t>
                </w:r>
              </w:p>
              <w:p>
                <w:pPr>
                  <w:jc w:val="both"/>
                  <w:textAlignment w:val="baseline"/>
                  <w:rPr>
                    <w:b/>
                    <w:sz w:val="20"/>
                    <w:lang w:eastAsia="lt-LT"/>
                  </w:rPr>
                </w:pPr>
                <w:r>
                  <w:rPr>
                    <w:b/>
                    <w:sz w:val="20"/>
                    <w:lang w:eastAsia="lt-LT"/>
                  </w:rPr>
                  <w:t>9. Jeigu poveikio aplinkai vertinimo subjektai ar savivaldybės, kurios teritorijoje planuojama ūkinė veikla, taryba per šio straipsnio 5, 6 ar 8 dalyje nustatytą terminą nepateikia išvadų dėl programos, laikoma, kad jie pritaria programai. </w:t>
                </w:r>
              </w:p>
              <w:p>
                <w:pPr>
                  <w:jc w:val="both"/>
                  <w:textAlignment w:val="baseline"/>
                  <w:rPr>
                    <w:b/>
                    <w:sz w:val="20"/>
                    <w:lang w:eastAsia="lt-LT"/>
                  </w:rPr>
                </w:pPr>
                <w:r>
                  <w:rPr>
                    <w:b/>
                    <w:sz w:val="20"/>
                    <w:lang w:eastAsia="lt-LT"/>
                  </w:rPr>
                  <w:t>10. Poveikio aplinkai vertinimo dokumentų rengėjas kartu su planuojamos ūkinės veiklos organizatoriumi (užsakovu) parengtą suinteresuotos visuomenės pasiūlymų įvertinimą, poveikio aplinkai vertinimo subjektų išvadas ir programą pateikia atsakingajai institucijai nagrinėti. </w:t>
                </w:r>
              </w:p>
              <w:p>
                <w:pPr>
                  <w:jc w:val="both"/>
                  <w:textAlignment w:val="baseline"/>
                  <w:rPr>
                    <w:b/>
                    <w:sz w:val="20"/>
                    <w:lang w:eastAsia="lt-LT"/>
                  </w:rPr>
                </w:pPr>
                <w:r>
                  <w:rPr>
                    <w:b/>
                    <w:sz w:val="20"/>
                    <w:lang w:eastAsia="lt-LT"/>
                  </w:rPr>
                  <w:t>11. Atsakingoji institucija, išnagrinėjusi ir įvertinusi programą ir kartu su ja pateiktus suinteresuotos visuomenės pasiūlymus ir pasiūlymų įvertinimą ir remdamasi poveikio aplinkai vertinimo subjektų išvadomis, per 10 darbo dienų nuo programos gavimo dienos patvirtina programą arba pateikia motyvuotus reikalavimus poveikio aplinkai vertinimo dokumentų rengėjui papildyti ir (ar) pataisyti programą. Informaciją apie patvirtintą programą atsakingoji institucija paskelbia aplinkos ministro nustatyta tvarka. Programa galioja 3 metus nuo jos patvirtinimo dienos. Ataskaita pateikiama poveikio aplinkai vertinimo subjektams nepasibaigus programos galiojimui.  </w:t>
                </w:r>
              </w:p>
              <w:p>
                <w:pPr>
                  <w:jc w:val="both"/>
                  <w:textAlignment w:val="baseline"/>
                  <w:rPr>
                    <w:b/>
                    <w:sz w:val="20"/>
                    <w:lang w:eastAsia="lt-LT"/>
                  </w:rPr>
                </w:pPr>
                <w:r>
                  <w:rPr>
                    <w:b/>
                    <w:sz w:val="20"/>
                    <w:lang w:eastAsia="lt-LT"/>
                  </w:rPr>
                  <w:t>12. Jeigu atsakingoji institucija pagal šio straipsnio 11 dalį buvo pateikusi motyvuotus reikalavimus pataisyti ar papildyti programą, atsakingoji institucija, išnagrinėjusi ir įvertinusi programą, ją patvirtina per 5 darbo dienas nuo pataisytos ar papildytos programos gavimo dienos.“</w:t>
                </w:r>
              </w:p>
              <w:p>
                <w:pPr>
                  <w:ind w:firstLine="53"/>
                  <w:textAlignment w:val="baseline"/>
                  <w:rPr>
                    <w:b/>
                    <w:sz w:val="20"/>
                    <w:lang w:eastAsia="lt-LT"/>
                  </w:rPr>
                </w:pPr>
              </w:p>
              <w:p>
                <w:pPr>
                  <w:ind w:firstLine="53"/>
                  <w:jc w:val="both"/>
                  <w:rPr>
                    <w:b/>
                    <w:sz w:val="20"/>
                  </w:rPr>
                </w:pPr>
              </w:p>
              <w:p>
                <w:pPr>
                  <w:jc w:val="both"/>
                  <w:rPr>
                    <w:b/>
                    <w:sz w:val="20"/>
                  </w:rPr>
                </w:pPr>
                <w:r>
                  <w:rPr>
                    <w:b/>
                    <w:sz w:val="20"/>
                  </w:rPr>
                  <w:t>11 straipsnio 3 dalis</w:t>
                </w:r>
              </w:p>
              <w:p>
                <w:pPr>
                  <w:jc w:val="both"/>
                  <w:textAlignment w:val="baseline"/>
                  <w:rPr>
                    <w:b/>
                    <w:sz w:val="20"/>
                    <w:lang w:eastAsia="lt-LT"/>
                  </w:rPr>
                </w:pPr>
                <w:r>
                  <w:rPr>
                    <w:b/>
                    <w:sz w:val="20"/>
                    <w:lang w:eastAsia="lt-LT"/>
                  </w:rPr>
                  <w:t>„3. Parengęs ataskaitą, poveikio aplinkai vertinimo dokumentų rengėjas organizuoja viešą visuomenės supažindinimą su ataskaita aplinkos ministro nustatyta tvarka, informuodamas apie jį visuomenę ne vėliau kaip prieš 20 darbo dienų iki jo. Visuomenė turi teisę susipažinti su ataskaita ir teikti pasiūlymus atsakingajai institucijai ir poveikio aplinkai vertinimo dokumentų rengėjui, iki viešo visuomenės supažindinimo su ataskaita, šio supažindinimo metu ir iki šio straipsnio 10 dalyje nurodyto termino.“</w:t>
                </w:r>
              </w:p>
              <w:p>
                <w:pPr>
                  <w:jc w:val="both"/>
                  <w:textAlignment w:val="baseline"/>
                  <w:rPr>
                    <w:b/>
                    <w:sz w:val="20"/>
                    <w:lang w:eastAsia="lt-LT"/>
                  </w:rPr>
                </w:pPr>
              </w:p>
              <w:p>
                <w:pPr>
                  <w:jc w:val="both"/>
                  <w:rPr>
                    <w:b/>
                    <w:sz w:val="20"/>
                  </w:rPr>
                </w:pPr>
                <w:r>
                  <w:rPr>
                    <w:b/>
                    <w:sz w:val="20"/>
                  </w:rPr>
                  <w:t>11 straipsnio 5 dalis</w:t>
                </w:r>
              </w:p>
              <w:p>
                <w:pPr>
                  <w:jc w:val="both"/>
                  <w:textAlignment w:val="baseline"/>
                  <w:rPr>
                    <w:b/>
                    <w:sz w:val="20"/>
                    <w:lang w:eastAsia="lt-LT"/>
                  </w:rPr>
                </w:pPr>
                <w:r>
                  <w:rPr>
                    <w:b/>
                    <w:sz w:val="20"/>
                    <w:lang w:eastAsia="lt-LT"/>
                  </w:rPr>
                  <w:t>„5. Poveikio aplinkai vertinimo subjektai išnagrinėja, įvertina ataskaitą, suinteresuotos visuomenės pasiūlymus ir suinteresuotos visuomenės pasiūlymų įvertinimą ir per 20 darbo dienų nuo jų gavimo dienos pagal šio įstatymo 6 straipsnio 5 dalyje nurodytą kompetenciją pateikia poveikio aplinkai vertinimo dokumentų rengėjui motyvuotas išvadas dėl ataskaitos ir planuojamos ūkinės veiklos poveikio aplinkai arba pastabas ir pasiūlymus šio straipsnio 7 dalyje nustatyta tvarka. Motyvuotose išvadose poveikio aplinkai vertinimo subjektai turi nurodyti: teisės aktų reikalavimais pagrįstus motyvus dėl pritarimo ar nepritarimo planuojamai ūkinei veiklai; kokiai (-oms) konkrečiai (-oms) alternatyvai (-oms)  pritaria ar nepritaria, jeigu ataskaitoje buvo nagrinėtos alternatyvos; konkrečių teisės aktų reikalavimais pagrįstas sąlygas, kurios turi būti įgyvendintos iki veiklos vykdymo pradžios ir (ar)</w:t>
                </w:r>
                <w:r>
                  <w:rPr>
                    <w:b/>
                    <w:color w:val="000000"/>
                    <w:sz w:val="20"/>
                    <w:lang w:eastAsia="lt-LT"/>
                  </w:rPr>
                  <w:t xml:space="preserve"> ūkinės veiklos vykdymo ir (ar) ūkinės veiklos užbaigimo</w:t>
                </w:r>
                <w:r>
                  <w:rPr>
                    <w:b/>
                    <w:sz w:val="20"/>
                    <w:lang w:eastAsia="lt-LT"/>
                  </w:rPr>
                  <w:t xml:space="preserve"> metu, ir pateikti pagrįstą nuomonę dėl vertinimo metodų, rezultatų, ataskaitos kokybės ir siūlomų priemonių numatomam reikšmingam neigiamam poveikiui aplinkai išvengti, sumažinti ir (ar) jį kompensuoti.“</w:t>
                </w:r>
              </w:p>
              <w:p>
                <w:pPr>
                  <w:ind w:firstLine="720"/>
                  <w:jc w:val="both"/>
                  <w:textAlignment w:val="baseline"/>
                  <w:rPr>
                    <w:b/>
                    <w:sz w:val="20"/>
                    <w:lang w:eastAsia="lt-LT"/>
                  </w:rPr>
                </w:pPr>
              </w:p>
              <w:p>
                <w:pPr>
                  <w:jc w:val="both"/>
                  <w:rPr>
                    <w:b/>
                    <w:sz w:val="20"/>
                  </w:rPr>
                </w:pPr>
                <w:r>
                  <w:rPr>
                    <w:b/>
                    <w:sz w:val="20"/>
                  </w:rPr>
                  <w:t>11 straipsnio 7-12 dalys</w:t>
                </w:r>
              </w:p>
              <w:p>
                <w:pPr>
                  <w:jc w:val="both"/>
                  <w:textAlignment w:val="baseline"/>
                  <w:rPr>
                    <w:b/>
                    <w:sz w:val="20"/>
                    <w:lang w:eastAsia="lt-LT"/>
                  </w:rPr>
                </w:pPr>
                <w:r>
                  <w:rPr>
                    <w:b/>
                    <w:sz w:val="20"/>
                    <w:lang w:eastAsia="lt-LT"/>
                  </w:rPr>
                  <w:t>„7. Poveikio aplinkai vertinimo subjektai turi teisę pateikti motyvuotus reikalavimus, kad poveikio aplinkai vertinimo dokumentų rengėjas papildytų ar pataisytų ataskaitą. Poveikio aplinkai vertinimo dokumentų rengėjas turi papildyti ar pataisyti ataskaitą ir pakartotinai pateikti ją pastabas ir (ar) pasiūlymus pateikusiems poveikio aplinkai vertinimo subjektams. Šie ataskaitą išnagrinėja, įvertina ir per 10 darbo dienų nuo jos gavimo dienos pateikia motyvuotas išvadas dėl ataskaitos ir planuojamos ūkinės veiklos poveikio aplinkai poveikio aplinkai vertinimo dokumentų rengėjui.  </w:t>
                </w:r>
              </w:p>
              <w:p>
                <w:pPr>
                  <w:jc w:val="both"/>
                  <w:textAlignment w:val="baseline"/>
                  <w:rPr>
                    <w:b/>
                    <w:sz w:val="20"/>
                    <w:lang w:eastAsia="lt-LT"/>
                  </w:rPr>
                </w:pPr>
                <w:r>
                  <w:rPr>
                    <w:b/>
                    <w:sz w:val="20"/>
                    <w:lang w:eastAsia="lt-LT"/>
                  </w:rPr>
                  <w:t>8. Jeigu poveikio aplinkai vertinimo subjektai per šio straipsnio 5, 6 ar 7 dalyje nustatytą terminą nepateikia išvadų dėl ataskaitos ir planuojamos ūkinės veiklos poveikio aplinkai, laikoma, kad jie pritaria ataskaitai ir planuojamai ūkinei veiklai.  </w:t>
                </w:r>
              </w:p>
              <w:p>
                <w:pPr>
                  <w:jc w:val="both"/>
                  <w:textAlignment w:val="baseline"/>
                  <w:rPr>
                    <w:b/>
                    <w:sz w:val="20"/>
                    <w:lang w:eastAsia="lt-LT"/>
                  </w:rPr>
                </w:pPr>
                <w:r>
                  <w:rPr>
                    <w:b/>
                    <w:sz w:val="20"/>
                    <w:lang w:eastAsia="lt-LT"/>
                  </w:rPr>
                  <w:t>9. Poveikio aplinkai vertinimo dokumentų rengėjas atsakingajai institucijai pateikia pagal poveikio aplinkai vertinimo subjektų išvadas pataisytą ir (ar) papildytą ataskaitą, poveikio aplinkai vertinimo subjektų išvadas dėl ataskaitos ir planuojamos ūkinės veiklos poveikio aplinkai ir suinteresuotos visuomenės pasiūlymų įvertinimą.  </w:t>
                </w:r>
              </w:p>
              <w:p>
                <w:pPr>
                  <w:jc w:val="both"/>
                  <w:textAlignment w:val="baseline"/>
                  <w:rPr>
                    <w:b/>
                    <w:sz w:val="20"/>
                    <w:lang w:eastAsia="lt-LT"/>
                  </w:rPr>
                </w:pPr>
                <w:r>
                  <w:rPr>
                    <w:b/>
                    <w:sz w:val="20"/>
                    <w:lang w:eastAsia="lt-LT"/>
                  </w:rPr>
                  <w:t>10.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 </w:t>
                </w:r>
              </w:p>
              <w:p>
                <w:pPr>
                  <w:jc w:val="both"/>
                  <w:textAlignment w:val="baseline"/>
                  <w:rPr>
                    <w:b/>
                    <w:sz w:val="20"/>
                    <w:lang w:eastAsia="lt-LT"/>
                  </w:rPr>
                </w:pPr>
                <w:r>
                  <w:rPr>
                    <w:b/>
                    <w:color w:val="000000"/>
                    <w:sz w:val="20"/>
                    <w:lang w:eastAsia="lt-LT"/>
                  </w:rPr>
                  <w:t xml:space="preserve">11. Jeigu ataskaita iš esmės keičiama </w:t>
                </w:r>
                <w:r>
                  <w:rPr>
                    <w:b/>
                    <w:color w:val="000000"/>
                    <w:sz w:val="20"/>
                    <w:shd w:val="clear" w:color="auto" w:fill="FFFFFF"/>
                    <w:lang w:eastAsia="lt-LT"/>
                  </w:rPr>
                  <w:t>(pvz., keičiamas veiklos mastas, numatomos naujos technologinės ir (ar) vietos alternatyvos)</w:t>
                </w:r>
                <w:r>
                  <w:rPr>
                    <w:b/>
                    <w:color w:val="000000"/>
                    <w:sz w:val="20"/>
                    <w:lang w:eastAsia="lt-LT"/>
                  </w:rPr>
                  <w:t xml:space="preserve"> </w:t>
                </w:r>
                <w:r>
                  <w:rPr>
                    <w:b/>
                    <w:color w:val="000000"/>
                    <w:sz w:val="20"/>
                    <w:shd w:val="clear" w:color="auto" w:fill="FFFFFF"/>
                    <w:lang w:eastAsia="lt-LT"/>
                  </w:rPr>
                  <w:t xml:space="preserve">ar </w:t>
                </w:r>
                <w:r>
                  <w:rPr>
                    <w:b/>
                    <w:color w:val="000000"/>
                    <w:sz w:val="20"/>
                    <w:lang w:eastAsia="lt-LT"/>
                  </w:rPr>
                  <w:t xml:space="preserve">iš esmės taisoma </w:t>
                </w:r>
                <w:r>
                  <w:rPr>
                    <w:b/>
                    <w:color w:val="000000"/>
                    <w:sz w:val="20"/>
                    <w:shd w:val="clear" w:color="auto" w:fill="FFFFFF"/>
                    <w:lang w:eastAsia="lt-LT"/>
                  </w:rPr>
                  <w:t xml:space="preserve">(pvz., kai ataskaitoje netinkamai ar nepilnai įvertintas galimas poveikis) </w:t>
                </w:r>
                <w:r>
                  <w:rPr>
                    <w:b/>
                    <w:color w:val="000000"/>
                    <w:sz w:val="20"/>
                    <w:lang w:eastAsia="lt-LT"/>
                  </w:rPr>
                  <w:t>planuojamos ūkinės veiklos organizatoriaus iniciatyva,</w:t>
                </w:r>
                <w:r>
                  <w:rPr>
                    <w:b/>
                    <w:color w:val="000000"/>
                    <w:sz w:val="20"/>
                    <w:shd w:val="clear" w:color="auto" w:fill="FFFFFF"/>
                    <w:lang w:eastAsia="lt-LT"/>
                  </w:rPr>
                  <w:t xml:space="preserve"> </w:t>
                </w:r>
                <w:r>
                  <w:rPr>
                    <w:b/>
                    <w:color w:val="000000"/>
                    <w:sz w:val="20"/>
                    <w:lang w:eastAsia="lt-LT"/>
                  </w:rPr>
                  <w:t xml:space="preserve">dėl gautų poveikio </w:t>
                </w:r>
                <w:r>
                  <w:rPr>
                    <w:b/>
                    <w:sz w:val="20"/>
                    <w:lang w:eastAsia="lt-LT"/>
                  </w:rPr>
                  <w:t xml:space="preserve">aplinkai vertinimo subjektų motyvuotų išvadų ir (ar) atsakingosios institucijos motyvuotų </w:t>
                </w:r>
                <w:r>
                  <w:rPr>
                    <w:b/>
                    <w:color w:val="000000"/>
                    <w:sz w:val="20"/>
                    <w:lang w:eastAsia="lt-LT"/>
                  </w:rPr>
                  <w:t>reikalavimų pataisyti ar papildyti ataskaitą, atsakingoji institucija turi įpareigoti poveikio aplinkai vertinimo dokumentų rengėją organizuoti pakartotinį viešą visuomenės supažindinimą su ataskaita. </w:t>
                </w:r>
              </w:p>
              <w:p>
                <w:pPr>
                  <w:jc w:val="both"/>
                  <w:textAlignment w:val="baseline"/>
                  <w:rPr>
                    <w:b/>
                    <w:sz w:val="20"/>
                    <w:lang w:eastAsia="lt-LT"/>
                  </w:rPr>
                </w:pPr>
                <w:r>
                  <w:rPr>
                    <w:b/>
                    <w:color w:val="000000"/>
                    <w:sz w:val="20"/>
                    <w:lang w:eastAsia="lt-LT"/>
                  </w:rPr>
                  <w:t xml:space="preserve">12. Kai </w:t>
                </w:r>
                <w:r>
                  <w:rPr>
                    <w:b/>
                    <w:color w:val="000000"/>
                    <w:sz w:val="20"/>
                    <w:shd w:val="clear" w:color="auto" w:fill="FFFFFF"/>
                    <w:lang w:eastAsia="lt-LT"/>
                  </w:rPr>
                  <w:t xml:space="preserve">šio straipsnio 11 dalyje nustatytais atvejais ataskaita iš esmės keičiama ar </w:t>
                </w:r>
                <w:r>
                  <w:rPr>
                    <w:b/>
                    <w:color w:val="000000"/>
                    <w:sz w:val="20"/>
                    <w:lang w:eastAsia="lt-LT"/>
                  </w:rPr>
                  <w:t xml:space="preserve">iš esmės </w:t>
                </w:r>
                <w:r>
                  <w:rPr>
                    <w:b/>
                    <w:color w:val="000000"/>
                    <w:sz w:val="20"/>
                    <w:shd w:val="clear" w:color="auto" w:fill="FFFFFF"/>
                    <w:lang w:eastAsia="lt-LT"/>
                  </w:rPr>
                  <w:t xml:space="preserve">taisoma, poveikio aplinkai vertinimo dokumentų rengėjas </w:t>
                </w:r>
                <w:r>
                  <w:rPr>
                    <w:b/>
                    <w:color w:val="000000"/>
                    <w:sz w:val="20"/>
                    <w:lang w:eastAsia="lt-LT"/>
                  </w:rPr>
                  <w:t>po pakartotinio viešo visuomenės supažindinimo su ataskaita turi gauti naujas poveikio aplinkai vertinimo subjektų išvadas šio straipsnio 4, 5 ir 7 dalyse nustatyta tvarka</w:t>
                </w:r>
                <w:r>
                  <w:rPr>
                    <w:b/>
                    <w:color w:val="000000"/>
                    <w:sz w:val="20"/>
                    <w:shd w:val="clear" w:color="auto" w:fill="FFFFFF"/>
                    <w:lang w:eastAsia="lt-LT"/>
                  </w:rPr>
                  <w:t xml:space="preserve"> ir pateikti atsakingajai institucijai šio straipsnio 9 dalyje nustatyta tvarka</w:t>
                </w:r>
                <w:r>
                  <w:rPr>
                    <w:b/>
                    <w:color w:val="000000"/>
                    <w:sz w:val="20"/>
                    <w:lang w:eastAsia="lt-LT"/>
                  </w:rPr>
                  <w:t>.“</w:t>
                </w:r>
              </w:p>
              <w:p>
                <w:pPr>
                  <w:jc w:val="both"/>
                  <w:rPr>
                    <w:b/>
                    <w:sz w:val="20"/>
                    <w:lang w:eastAsia="en-GB"/>
                  </w:rPr>
                </w:pPr>
              </w:p>
              <w:p>
                <w:pPr>
                  <w:jc w:val="both"/>
                  <w:rPr>
                    <w:b/>
                    <w:sz w:val="20"/>
                    <w:lang w:eastAsia="en-GB"/>
                  </w:rPr>
                </w:pPr>
                <w:r>
                  <w:rPr>
                    <w:b/>
                    <w:sz w:val="20"/>
                    <w:lang w:eastAsia="en-GB"/>
                  </w:rPr>
                  <w:t>12 straipsnio 1 dalis</w:t>
                </w:r>
              </w:p>
              <w:p>
                <w:pPr>
                  <w:jc w:val="both"/>
                  <w:textAlignment w:val="baseline"/>
                  <w:rPr>
                    <w:b/>
                    <w:sz w:val="20"/>
                    <w:lang w:eastAsia="lt-LT"/>
                  </w:rPr>
                </w:pPr>
                <w:r>
                  <w:rPr>
                    <w:b/>
                    <w:sz w:val="20"/>
                  </w:rPr>
                  <w:t>„</w:t>
                </w:r>
                <w:r>
                  <w:rPr>
                    <w:b/>
                    <w:sz w:val="20"/>
                    <w:lang w:eastAsia="lt-LT"/>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 </w:t>
                </w:r>
              </w:p>
              <w:p>
                <w:pPr>
                  <w:jc w:val="both"/>
                  <w:textAlignment w:val="baseline"/>
                  <w:rPr>
                    <w:b/>
                    <w:sz w:val="20"/>
                    <w:lang w:eastAsia="lt-LT"/>
                  </w:rPr>
                </w:pPr>
                <w:r>
                  <w:rPr>
                    <w:b/>
                    <w:sz w:val="20"/>
                    <w:lang w:eastAsia="lt-LT"/>
                  </w:rPr>
                  <w:t>1) teikia motyvuotus reikalavimus ataskaitą pataisyti ar papildyti arba </w:t>
                </w:r>
              </w:p>
              <w:p>
                <w:pPr>
                  <w:jc w:val="both"/>
                  <w:textAlignment w:val="baseline"/>
                  <w:rPr>
                    <w:b/>
                    <w:sz w:val="20"/>
                    <w:lang w:eastAsia="lt-LT"/>
                  </w:rPr>
                </w:pPr>
                <w:r>
                  <w:rPr>
                    <w:b/>
                    <w:sz w:val="20"/>
                    <w:lang w:eastAsia="lt-LT"/>
                  </w:rPr>
                  <w:t>2) priima sprendimą dėl planuojamos ūkinės veiklos poveikio aplinkai. Sprendimo dėl planuojamos ūkinės veiklos poveikio aplinkai turinį nustato aplinkos ministras.“</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b/>
                    <w:sz w:val="20"/>
                    <w:lang w:eastAsia="en-GB"/>
                  </w:rPr>
                </w:pPr>
                <w:r>
                  <w:rPr>
                    <w:b/>
                    <w:sz w:val="20"/>
                    <w:lang w:eastAsia="en-GB"/>
                  </w:rPr>
                  <w:t>M1</w:t>
                </w:r>
              </w:p>
              <w:p>
                <w:pPr>
                  <w:suppressLineNumbers/>
                  <w:suppressAutoHyphens/>
                  <w:snapToGrid w:val="0"/>
                  <w:ind w:firstLine="53"/>
                  <w:jc w:val="both"/>
                  <w:rPr>
                    <w:sz w:val="20"/>
                    <w:lang w:eastAsia="ar-SA"/>
                  </w:rPr>
                </w:pPr>
                <w:r>
                  <w:rPr>
                    <w:sz w:val="20"/>
                    <w:lang w:eastAsia="ar-SA"/>
                  </w:rPr>
                  <w:t>2. Siekiant užtikrinti veiksmingą suinteresuotos visuomenės dalyvavimą sprendimų priėmimo procedūrose, atliekant 2 straipsnio 2 dalyje nurodytas sprendimo aplinkos klausimais priėmimo procedūras visuomenė elektroniniu būdu ir viešais skelbimais arba kitomis tinkamomis priemonėmis iš anksto informuojama ne vėliau kaip tada, kai tik informacija gali būti pagrįstai teikiama, yra informuojama apie:</w:t>
                </w:r>
              </w:p>
              <w:p>
                <w:pPr>
                  <w:jc w:val="both"/>
                  <w:rPr>
                    <w:rFonts w:eastAsia="Calibri"/>
                    <w:color w:val="000000"/>
                    <w:szCs w:val="24"/>
                    <w:lang w:eastAsia="lt-LT"/>
                  </w:rPr>
                </w:pPr>
              </w:p>
              <w:p>
                <w:pPr>
                  <w:jc w:val="both"/>
                  <w:rPr>
                    <w:rFonts w:eastAsia="Calibri"/>
                    <w:b/>
                    <w:bCs/>
                    <w:color w:val="000000"/>
                    <w:szCs w:val="24"/>
                    <w:lang w:eastAsia="lt-LT"/>
                  </w:rPr>
                </w:pPr>
                <w:r>
                  <w:rPr>
                    <w:rFonts w:eastAsia="Calibri"/>
                    <w:b/>
                    <w:bCs/>
                    <w:color w:val="000000"/>
                    <w:szCs w:val="24"/>
                    <w:lang w:eastAsia="lt-LT"/>
                  </w:rPr>
                  <w:t>B</w:t>
                </w:r>
              </w:p>
              <w:p>
                <w:pPr>
                  <w:jc w:val="both"/>
                  <w:rPr>
                    <w:rFonts w:eastAsia="Calibri"/>
                    <w:color w:val="000000"/>
                    <w:sz w:val="20"/>
                    <w:lang w:eastAsia="lt-LT"/>
                  </w:rPr>
                </w:pPr>
                <w:r>
                  <w:rPr>
                    <w:rFonts w:eastAsia="Calibri"/>
                    <w:color w:val="000000"/>
                    <w:sz w:val="20"/>
                    <w:lang w:eastAsia="lt-LT"/>
                  </w:rPr>
                  <w:t xml:space="preserve">a) prašymą dėl leidimo vykdyti planuojamą veiklą; </w:t>
                </w:r>
              </w:p>
              <w:p>
                <w:pPr>
                  <w:jc w:val="both"/>
                  <w:rPr>
                    <w:rFonts w:eastAsia="Calibri"/>
                    <w:color w:val="000000"/>
                    <w:sz w:val="20"/>
                    <w:lang w:eastAsia="lt-LT"/>
                  </w:rPr>
                </w:pPr>
                <w:r>
                  <w:rPr>
                    <w:rFonts w:eastAsia="Calibri"/>
                    <w:color w:val="000000"/>
                    <w:sz w:val="20"/>
                    <w:lang w:eastAsia="lt-LT"/>
                  </w:rPr>
                  <w:t xml:space="preserve">b) tai, kad projektui taikoma poveikio aplinkai vertinimo procedūra ir atitinkamais atvejais apie tai, kad taikomas 7 straipsnis; </w:t>
                </w:r>
              </w:p>
              <w:p>
                <w:pPr>
                  <w:jc w:val="both"/>
                  <w:rPr>
                    <w:rFonts w:eastAsia="Calibri"/>
                    <w:color w:val="000000"/>
                    <w:sz w:val="20"/>
                    <w:lang w:eastAsia="lt-LT"/>
                  </w:rPr>
                </w:pPr>
                <w:r>
                  <w:rPr>
                    <w:rFonts w:eastAsia="Calibri"/>
                    <w:color w:val="000000"/>
                    <w:sz w:val="20"/>
                    <w:lang w:eastAsia="lt-LT"/>
                  </w:rPr>
                  <w:t xml:space="preserve">c) duomenis apie institucijas, atsakingas už sprendimo priėmimą, tas, iš kurių gali būti gaunama atitinkama informacija, tas, kurioms gali būti teikiamos pastabos ar klausimai, ir pastabų ar klausimų pateikimo tvarkaraščio duomenis; </w:t>
                </w:r>
              </w:p>
              <w:p>
                <w:pPr>
                  <w:jc w:val="both"/>
                  <w:rPr>
                    <w:rFonts w:eastAsia="Calibri"/>
                    <w:color w:val="000000"/>
                    <w:sz w:val="20"/>
                    <w:lang w:eastAsia="lt-LT"/>
                  </w:rPr>
                </w:pPr>
                <w:r>
                  <w:rPr>
                    <w:rFonts w:eastAsia="Calibri"/>
                    <w:color w:val="000000"/>
                    <w:sz w:val="20"/>
                  </w:rPr>
                  <w:t>d) galimų sprendimų pobūdį arba, jei jau toks yra, sprendimo projektą;</w:t>
                </w:r>
              </w:p>
              <w:p>
                <w:pPr>
                  <w:jc w:val="both"/>
                  <w:rPr>
                    <w:rFonts w:eastAsia="Calibri"/>
                    <w:color w:val="000000"/>
                    <w:sz w:val="20"/>
                    <w:lang w:eastAsia="lt-LT"/>
                  </w:rPr>
                </w:pPr>
                <w:r>
                  <w:rPr>
                    <w:rFonts w:eastAsia="Calibri"/>
                    <w:color w:val="000000"/>
                    <w:sz w:val="20"/>
                    <w:lang w:eastAsia="lt-LT"/>
                  </w:rPr>
                  <w:t xml:space="preserve">e) apie pagal 5 straipsnį surinktos informacijos prieinamumą; </w:t>
                </w:r>
              </w:p>
              <w:p>
                <w:pPr>
                  <w:jc w:val="both"/>
                  <w:rPr>
                    <w:rFonts w:eastAsia="Calibri"/>
                    <w:color w:val="000000"/>
                    <w:sz w:val="20"/>
                    <w:lang w:eastAsia="lt-LT"/>
                  </w:rPr>
                </w:pPr>
                <w:r>
                  <w:rPr>
                    <w:rFonts w:eastAsia="Calibri"/>
                    <w:color w:val="000000"/>
                    <w:sz w:val="20"/>
                    <w:lang w:eastAsia="lt-LT"/>
                  </w:rPr>
                  <w:t xml:space="preserve">f) atitinkamos informacijos gavimo laiką, vietą ir būdą; </w:t>
                </w:r>
              </w:p>
              <w:p>
                <w:pPr>
                  <w:jc w:val="both"/>
                  <w:rPr>
                    <w:sz w:val="19"/>
                    <w:szCs w:val="19"/>
                    <w:lang w:eastAsia="en-GB"/>
                  </w:rPr>
                </w:pPr>
                <w:r>
                  <w:rPr>
                    <w:rFonts w:eastAsia="Calibri"/>
                    <w:color w:val="000000"/>
                    <w:sz w:val="20"/>
                  </w:rPr>
                  <w:t>g) duomenis apie visuomenės dalyvavimo priemones, parengtas pagal šio straipsnio 5 dalį.</w:t>
                </w: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2 straipsnio 13-14 dalys</w:t>
                </w:r>
              </w:p>
              <w:p>
                <w:pPr>
                  <w:jc w:val="both"/>
                  <w:rPr>
                    <w:b/>
                    <w:sz w:val="20"/>
                    <w:lang w:eastAsia="lt-LT"/>
                  </w:rPr>
                </w:pPr>
                <w:r>
                  <w:rPr>
                    <w:b/>
                    <w:sz w:val="20"/>
                  </w:rPr>
                  <w:t>„</w:t>
                </w:r>
                <w:r>
                  <w:rPr>
                    <w:b/>
                    <w:sz w:val="20"/>
                    <w:lang w:eastAsia="lt-LT"/>
                  </w:rPr>
                  <w:t>13. Pranešimas apie poveikio aplinkai vertinimo pradžią – planuojamos ūkinės veiklos organizatoriaus (užsakovo) arba poveikio aplinkai vertinimo dokumentų rengėjo pranešimas, kad pradedamas planuojamos ūkinės veiklos poveikio aplinkai vertinimas.</w:t>
                </w:r>
              </w:p>
              <w:p>
                <w:pPr>
                  <w:jc w:val="both"/>
                  <w:rPr>
                    <w:b/>
                    <w:sz w:val="20"/>
                    <w:lang w:eastAsia="en-GB"/>
                  </w:rPr>
                </w:pPr>
                <w:r>
                  <w:rPr>
                    <w:b/>
                    <w:sz w:val="20"/>
                    <w:lang w:eastAsia="en-GB"/>
                  </w:rPr>
                  <w:t>14. Sprendimas dėl planuojamos ūkinės veiklos poveikio aplinkai – atsakingosios institucijos motyvuotas nustatyta tvarka priimtas dokumentas, kuriame nurodoma, ar planuojama ūkinė veikla, atsižvelgiant į jos pobūdį, mastą, vietą ir (ar) poveikį aplinkai, planuojamas įgyvendinti numatomo reikšmingo neigiamo poveikio aplinkai mažinimo ir (ar) kompensavimo priemones, atitinka teisės aktų reikalavimus, ar ji nedarys reikšmingo neigiamo poveikio aplinkai, ir</w:t>
                </w:r>
                <w:r>
                  <w:rPr>
                    <w:b/>
                    <w:sz w:val="20"/>
                    <w:lang w:eastAsia="lt-LT"/>
                  </w:rPr>
                  <w:t xml:space="preserve"> </w:t>
                </w:r>
                <w:r>
                  <w:rPr>
                    <w:b/>
                    <w:sz w:val="20"/>
                    <w:lang w:eastAsia="en-GB"/>
                  </w:rPr>
                  <w:t>kuriame nustatomos planuojamos ūkinės veiklos įgyvendinimo sąlygos, susijusios su atliktu poveikio aplinkai vertinimu.“</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2 straipsnio 16-17 dalys</w:t>
                </w:r>
              </w:p>
              <w:p>
                <w:pPr>
                  <w:jc w:val="both"/>
                  <w:rPr>
                    <w:b/>
                    <w:sz w:val="20"/>
                    <w:lang w:eastAsia="en-GB"/>
                  </w:rPr>
                </w:pPr>
                <w:r>
                  <w:rPr>
                    <w:b/>
                    <w:sz w:val="20"/>
                    <w:lang w:eastAsia="en-GB"/>
                  </w:rPr>
                  <w:t>„16. Suinteresuota visuomenė – visuomenė, kuriai daro arba gali daryti poveikį sprendimai, veiksmai ar neveikimas poveikio aplinkai vertinimo srityje arba kuri yra suinteresuota atrankos dėl poveikio aplinkai vertinimo ir (ar) poveikio aplinkai vertinimo procesu. Pagal šią apibrėžtį viešieji juridiniai asmenys (išskyrus valstybės ar savivaldybės, jų institucijų įsteigtus juridinius asmenis), kurie skatina aplinkos apsaugą, visais atvejais laikomi suinteresuotais asmenimis.</w:t>
                </w:r>
              </w:p>
              <w:p>
                <w:pPr>
                  <w:jc w:val="both"/>
                  <w:rPr>
                    <w:b/>
                    <w:sz w:val="20"/>
                    <w:lang w:eastAsia="en-GB"/>
                  </w:rPr>
                </w:pPr>
                <w:r>
                  <w:rPr>
                    <w:b/>
                    <w:sz w:val="20"/>
                    <w:lang w:eastAsia="en-GB"/>
                  </w:rPr>
                  <w:t>17. Visuomenė – vienas arba daugiau fizinių ir (ar) juridinių asmenų, jų asociacijos, organizacijos arba grupės.“</w:t>
                </w:r>
              </w:p>
              <w:p>
                <w:pPr>
                  <w:jc w:val="both"/>
                  <w:rPr>
                    <w:b/>
                    <w:sz w:val="20"/>
                    <w:lang w:eastAsia="en-GB"/>
                  </w:rPr>
                </w:pPr>
              </w:p>
              <w:p>
                <w:pPr>
                  <w:jc w:val="both"/>
                  <w:rPr>
                    <w:b/>
                    <w:sz w:val="20"/>
                    <w:lang w:eastAsia="en-GB"/>
                  </w:rPr>
                </w:pPr>
                <w:r>
                  <w:rPr>
                    <w:b/>
                    <w:sz w:val="20"/>
                    <w:lang w:eastAsia="en-GB"/>
                  </w:rPr>
                  <w:t>8 straipsnio 1 dalis</w:t>
                </w:r>
              </w:p>
              <w:p>
                <w:pPr>
                  <w:jc w:val="both"/>
                  <w:rPr>
                    <w:b/>
                    <w:sz w:val="20"/>
                    <w:lang w:eastAsia="en-GB"/>
                  </w:rPr>
                </w:pPr>
                <w:r>
                  <w:rPr>
                    <w:b/>
                    <w:sz w:val="20"/>
                    <w:lang w:eastAsia="en-GB"/>
                  </w:rPr>
                  <w:t>„</w:t>
                </w:r>
                <w:r>
                  <w:rPr>
                    <w:b/>
                    <w:sz w:val="20"/>
                    <w:lang w:eastAsia="lt-LT"/>
                  </w:rPr>
                  <w:t>1. Šio įstatymo 3 straipsnio 1 dalyje nurodytais atvejais planuojamos ūkinės veiklos organizatorius (užsakovas) turi teisę nuspręsti, ar rengti programą, ar rengti pranešimą apie poveikio aplinkai vertinimo pradžią. Programa privaloma, jeigu turi būti atliktas planuojamos ūkinės veiklos tarpvalstybinis poveikio aplinkai vertinimas šio įstatymo 10 straipsnio 3 dalyje nurodytais pagrindais, o programos pateikimas kitai valstybei yra nustatytas tarptautinėmis sutartimis, kurias Lietuvos Respublika ir kita valstybė yra sudariusios.</w:t>
                </w:r>
                <w:r>
                  <w:rPr>
                    <w:b/>
                    <w:sz w:val="20"/>
                    <w:lang w:eastAsia="en-GB"/>
                  </w:rPr>
                  <w:t>“</w:t>
                </w:r>
              </w:p>
              <w:p>
                <w:pPr>
                  <w:jc w:val="both"/>
                  <w:rPr>
                    <w:b/>
                    <w:sz w:val="20"/>
                    <w:lang w:eastAsia="en-GB"/>
                  </w:rPr>
                </w:pPr>
                <w:r>
                  <w:rPr>
                    <w:b/>
                    <w:sz w:val="20"/>
                    <w:lang w:eastAsia="en-GB"/>
                  </w:rPr>
                  <w:t>8 straipsnio 3 dalis</w:t>
                </w:r>
              </w:p>
              <w:p>
                <w:pPr>
                  <w:jc w:val="both"/>
                  <w:rPr>
                    <w:b/>
                    <w:sz w:val="20"/>
                    <w:lang w:eastAsia="en-GB"/>
                  </w:rPr>
                </w:pPr>
                <w:r>
                  <w:rPr>
                    <w:b/>
                    <w:sz w:val="20"/>
                    <w:lang w:eastAsia="en-GB"/>
                  </w:rPr>
                  <w:t>„</w:t>
                </w:r>
                <w:r>
                  <w:rPr>
                    <w:b/>
                    <w:sz w:val="20"/>
                    <w:lang w:eastAsia="lt-LT"/>
                  </w:rPr>
                  <w:t>3. Poveikio aplinkai vertinimo dokumentų rengėjas aplinkos ministro nustatyta tvarka: parengtą programą teikia poveikio aplinkai vertinimo subjektams išvadoms gauti, apie parengtą programą informuoja visuomenę ir atsakingąją instituciją.</w:t>
                </w:r>
                <w:r>
                  <w:rPr>
                    <w:b/>
                    <w:sz w:val="20"/>
                    <w:lang w:eastAsia="en-GB"/>
                  </w:rPr>
                  <w:t>“</w:t>
                </w:r>
              </w:p>
              <w:p>
                <w:pPr>
                  <w:jc w:val="both"/>
                  <w:rPr>
                    <w:b/>
                    <w:sz w:val="20"/>
                    <w:lang w:eastAsia="en-GB"/>
                  </w:rPr>
                </w:pPr>
              </w:p>
              <w:p>
                <w:pPr>
                  <w:jc w:val="both"/>
                  <w:rPr>
                    <w:b/>
                    <w:color w:val="000000"/>
                    <w:sz w:val="20"/>
                    <w:lang w:eastAsia="en-GB"/>
                  </w:rPr>
                </w:pPr>
                <w:r>
                  <w:rPr>
                    <w:b/>
                    <w:color w:val="000000"/>
                    <w:sz w:val="20"/>
                    <w:lang w:eastAsia="en-GB"/>
                  </w:rPr>
                  <w:t>9 straipsnio 1-3 dalys</w:t>
                </w:r>
              </w:p>
              <w:p>
                <w:pPr>
                  <w:jc w:val="both"/>
                  <w:rPr>
                    <w:b/>
                    <w:sz w:val="20"/>
                    <w:lang w:eastAsia="lt-LT"/>
                  </w:rPr>
                </w:pPr>
                <w:r>
                  <w:rPr>
                    <w:b/>
                    <w:color w:val="000000"/>
                    <w:sz w:val="20"/>
                    <w:lang w:eastAsia="en-GB"/>
                  </w:rPr>
                  <w:t>„</w:t>
                </w:r>
                <w:r>
                  <w:rPr>
                    <w:b/>
                    <w:sz w:val="20"/>
                    <w:lang w:eastAsia="lt-LT"/>
                  </w:rPr>
                  <w:t>1. Pranešimas apie poveikio aplinkai vertinimo pradžią (toliau – pranešimas apie PAV pradžią) privalomas, kai pagal šio įstatymo 3 straipsnio 1 dalies nuostatas privaloma vertinti planuojamos ūkinės veiklos poveikį aplinkai ir nerengiama programa.</w:t>
                </w:r>
              </w:p>
              <w:p>
                <w:pPr>
                  <w:jc w:val="both"/>
                  <w:rPr>
                    <w:b/>
                    <w:sz w:val="20"/>
                    <w:lang w:eastAsia="lt-LT"/>
                  </w:rPr>
                </w:pPr>
                <w:r>
                  <w:rPr>
                    <w:b/>
                    <w:sz w:val="20"/>
                    <w:lang w:eastAsia="lt-LT"/>
                  </w:rPr>
                  <w:t>2. Pranešimą apie PAV pradžią rengia planuojamos ūkinės veiklos organizatorius (užsakovas) arba poveikio aplinkai vertinimo dokumentų rengėjas. Pranešimo apie PAV pradžią formą ir turinį tvirtina aplinkos ministras.</w:t>
                </w:r>
              </w:p>
              <w:p>
                <w:pPr>
                  <w:jc w:val="both"/>
                  <w:rPr>
                    <w:b/>
                    <w:sz w:val="20"/>
                    <w:lang w:eastAsia="lt-LT"/>
                  </w:rPr>
                </w:pPr>
                <w:r>
                  <w:rPr>
                    <w:b/>
                    <w:sz w:val="20"/>
                    <w:lang w:eastAsia="lt-LT"/>
                  </w:rPr>
                  <w:t>3. Planuojamos ūkinės veiklos organizatorius (užsakovas) arba poveikio aplinkai vertinimo dokumentų rengėjas pranešimą apie PAV pradžią ne vėliau kaip per 15 darbo dienų iki visuomenės informavimo apie viešą visuomenės supažindinimą su ataskaita šio įstatymo 11 straipsnio 3 dalyje nustatyta tvarka pateikia poveikio aplinkai vertinimo subjektams ir atsakingajai institucijai (kuri gautą informaciją per 3 darbo dienas nuo pranešimo apie PAV pradžią gavimo dienos paskelbia aplinkos ministro nustatyta tvarka) ir aplinkos ministro nustatyta tvarka informuoja visuomenę. Pranešimo apie PAV pradžią gavimo atsakingojoje institucijoje diena laikoma poveikio aplinkai vertinimo pradžia.“</w:t>
                </w:r>
              </w:p>
              <w:p>
                <w:pPr>
                  <w:jc w:val="both"/>
                  <w:rPr>
                    <w:b/>
                    <w:color w:val="000000"/>
                    <w:sz w:val="20"/>
                    <w:lang w:eastAsia="en-GB"/>
                  </w:rPr>
                </w:pPr>
              </w:p>
              <w:p>
                <w:pPr>
                  <w:jc w:val="both"/>
                  <w:rPr>
                    <w:b/>
                    <w:sz w:val="20"/>
                  </w:rPr>
                </w:pPr>
                <w:r>
                  <w:rPr>
                    <w:b/>
                    <w:sz w:val="20"/>
                  </w:rPr>
                  <w:t>10 straipsnio 6 dalis</w:t>
                </w:r>
              </w:p>
              <w:p>
                <w:pPr>
                  <w:jc w:val="both"/>
                  <w:rPr>
                    <w:b/>
                    <w:sz w:val="20"/>
                    <w:lang w:eastAsia="lt-LT"/>
                  </w:rPr>
                </w:pPr>
                <w:r>
                  <w:rPr>
                    <w:b/>
                    <w:sz w:val="20"/>
                  </w:rPr>
                  <w:t>„</w:t>
                </w:r>
                <w:r>
                  <w:rPr>
                    <w:b/>
                    <w:sz w:val="20"/>
                    <w:lang w:eastAsia="lt-LT"/>
                  </w:rPr>
                  <w:t xml:space="preserve">6. Koordinuojančioji institucija, gavusi šio straipsnio 5 dalyje nurodytą informaciją iš poveikio aplinkai vertinimo dokumentų rengėjo ar </w:t>
                </w:r>
                <w:r>
                  <w:rPr>
                    <w:b/>
                    <w:sz w:val="20"/>
                    <w:lang w:eastAsia="en-GB"/>
                  </w:rPr>
                  <w:t>planuojamos ūkinės veiklos organizatoriaus (užsakovo)</w:t>
                </w:r>
                <w:r>
                  <w:rPr>
                    <w:b/>
                    <w:sz w:val="20"/>
                    <w:lang w:eastAsia="lt-LT"/>
                  </w:rPr>
                  <w:t>, siunčia pranešimą poveikį aplinkai patiriančiai valstybei, kartu su juo pateikdama planuojamos ūkinės veiklos aprašymą, turimą informaciją apie galimą planuojamos ūkinės veiklos reikšmingą tarpvalstybinį poveikį aplinkai, informaciją apie galimų sprendimų pobūdį; prašo poveikį aplinkai patiriančios valstybės informuoti savo valstybės visuomenę ir kompetentingas institucijas, nurodydama laikotarpį (ne trumpesnį kaip 25 darbo dienos), per kurį poveikį aplinkai patirianti valstybė pageidauja dalyvauti tarpvalstybinio poveikio aplinkai vertinimo procese, ir prašo poveikį aplinkai patirianti valstybė gali pranešti, ar ji pageidauja dalyvauti tarpvalstybinio poveikio aplinkai vertinimo procese.“</w:t>
                </w:r>
              </w:p>
              <w:p>
                <w:pPr>
                  <w:jc w:val="both"/>
                  <w:rPr>
                    <w:b/>
                    <w:sz w:val="20"/>
                  </w:rPr>
                </w:pPr>
              </w:p>
              <w:p>
                <w:pPr>
                  <w:jc w:val="both"/>
                  <w:rPr>
                    <w:b/>
                    <w:sz w:val="20"/>
                  </w:rPr>
                </w:pPr>
                <w:r>
                  <w:rPr>
                    <w:b/>
                    <w:sz w:val="20"/>
                  </w:rPr>
                  <w:t>10 straipsnio 10 dalis</w:t>
                </w:r>
              </w:p>
              <w:p>
                <w:pPr>
                  <w:jc w:val="both"/>
                  <w:rPr>
                    <w:b/>
                    <w:sz w:val="20"/>
                    <w:lang w:eastAsia="en-GB"/>
                  </w:rPr>
                </w:pPr>
                <w:r>
                  <w:rPr>
                    <w:b/>
                    <w:sz w:val="20"/>
                  </w:rPr>
                  <w:t>„</w:t>
                </w:r>
                <w:r>
                  <w:rPr>
                    <w:b/>
                    <w:sz w:val="20"/>
                    <w:lang w:eastAsia="en-GB"/>
                  </w:rPr>
                  <w:t xml:space="preserve">10. </w:t>
                </w:r>
                <w:r>
                  <w:rPr>
                    <w:b/>
                    <w:sz w:val="20"/>
                    <w:lang w:eastAsia="lt-LT"/>
                  </w:rPr>
                  <w:t xml:space="preserve">Koordinuojančioji </w:t>
                </w:r>
                <w:r>
                  <w:rPr>
                    <w:b/>
                    <w:sz w:val="20"/>
                    <w:lang w:eastAsia="en-GB"/>
                  </w:rPr>
                  <w:t>institucija, gavusi iš</w:t>
                </w:r>
                <w:r>
                  <w:rPr>
                    <w:b/>
                    <w:color w:val="7030A0"/>
                    <w:sz w:val="20"/>
                    <w:lang w:eastAsia="en-GB"/>
                  </w:rPr>
                  <w:t xml:space="preserve"> </w:t>
                </w:r>
                <w:r>
                  <w:rPr>
                    <w:b/>
                    <w:sz w:val="20"/>
                    <w:lang w:eastAsia="en-GB"/>
                  </w:rPr>
                  <w:t>poveikio aplinkai vertinimo dokumentų rengėjo informaciją, nurodytus šio straipsnio 8 dalyje, per 10 darbo dienų pateikia ją poveikį aplinkai patiriančiai valstybei, kartu pateikdama informaciją apie tolesnes poveikio aplinkai vertinimo procedūras ir siūlomas tarpvalstybines konsultacijas, įskaitant galimybę organizuoti dvišalį ar daugiašalį susitikimą, ir prašo informuoti poveikį aplinkai patiriančios valstybės visuomenę ir kompetentingas institucijas, nurodydama atsakymo pateikimo laikotarpį, ne trumpesnį kaip 30 darbo dienų nuo išsiuntimo dienos.“</w:t>
                </w:r>
              </w:p>
              <w:p>
                <w:pPr>
                  <w:jc w:val="both"/>
                  <w:rPr>
                    <w:b/>
                    <w:sz w:val="20"/>
                  </w:rPr>
                </w:pPr>
                <w:r>
                  <w:rPr>
                    <w:b/>
                    <w:sz w:val="20"/>
                  </w:rPr>
                  <w:t>10 straipsnio 13-14 dalys</w:t>
                </w:r>
              </w:p>
              <w:p>
                <w:pPr>
                  <w:jc w:val="both"/>
                  <w:rPr>
                    <w:b/>
                    <w:sz w:val="20"/>
                    <w:lang w:eastAsia="en-GB"/>
                  </w:rPr>
                </w:pPr>
                <w:r>
                  <w:rPr>
                    <w:b/>
                    <w:sz w:val="20"/>
                    <w:lang w:eastAsia="en-GB"/>
                  </w:rPr>
                  <w:t xml:space="preserve">„13. Tais atvejais, kai kitos Europos Sąjungos valstybės narės ir (ar) užsienio valstybės, </w:t>
                </w:r>
                <w:r>
                  <w:rPr>
                    <w:b/>
                    <w:sz w:val="20"/>
                    <w:lang w:eastAsia="lt-LT"/>
                  </w:rPr>
                  <w:t>ne Europos Sąjungos valstybės narės, prisijungusios prie Konvencijos,</w:t>
                </w:r>
                <w:r>
                  <w:rPr>
                    <w:b/>
                    <w:sz w:val="20"/>
                    <w:lang w:eastAsia="en-GB"/>
                  </w:rPr>
                  <w:t xml:space="preserve"> planuojama ūkinė veikla gali daryti reikšmingą tarpvalstybinį poveikį (toliau – poveikį daranti valstybė), koordinuojančioji institucija, vadovaudamasi Konvencijos nuostatomis, gali prašyti tarpvalstybinių konsultacijų. </w:t>
                </w:r>
              </w:p>
              <w:p>
                <w:pPr>
                  <w:jc w:val="both"/>
                  <w:rPr>
                    <w:b/>
                    <w:sz w:val="20"/>
                    <w:lang w:eastAsia="en-GB"/>
                  </w:rPr>
                </w:pPr>
                <w:r>
                  <w:rPr>
                    <w:b/>
                    <w:sz w:val="20"/>
                    <w:lang w:eastAsia="en-GB"/>
                  </w:rPr>
                  <w:t xml:space="preserve">14. </w:t>
                </w:r>
                <w:r>
                  <w:rPr>
                    <w:b/>
                    <w:sz w:val="20"/>
                    <w:lang w:eastAsia="lt-LT"/>
                  </w:rPr>
                  <w:t xml:space="preserve">Koordinuojančioji </w:t>
                </w:r>
                <w:r>
                  <w:rPr>
                    <w:b/>
                    <w:sz w:val="20"/>
                    <w:lang w:eastAsia="en-GB"/>
                  </w:rPr>
                  <w:t>institucija, gavusi iš poveikį darančios valstybės informaciją, susijusią su jos teritorijoje planuojamos ūkinės veiklos, poveikio aplinkai vertinimu, aplinkos ministro nustatyta tvarka organizuoja visuomenės ir suinteresuotų valstybės ir (ar) savivaldybės institucijų informavimą, išvadų ir pasiūlymų iš jų gavimą ir pateikimą poveikį darančiai valstybei. Informacijai, gautai iš poveikį darančios valstybės apie jos teritorijoje planuojamą ūkinę veiklą, viešinti taikomi tokie apribojimai, kurie galioja toje valstybėje.“</w:t>
                </w:r>
              </w:p>
              <w:p>
                <w:pPr>
                  <w:jc w:val="both"/>
                  <w:rPr>
                    <w:b/>
                    <w:sz w:val="20"/>
                  </w:rPr>
                </w:pPr>
                <w:r>
                  <w:rPr>
                    <w:b/>
                    <w:sz w:val="20"/>
                  </w:rPr>
                  <w:t>11 straipsnio 3-4 dalys</w:t>
                </w:r>
              </w:p>
              <w:p>
                <w:pPr>
                  <w:jc w:val="both"/>
                  <w:rPr>
                    <w:b/>
                    <w:sz w:val="20"/>
                    <w:lang w:eastAsia="en-GB"/>
                  </w:rPr>
                </w:pPr>
                <w:r>
                  <w:rPr>
                    <w:b/>
                    <w:sz w:val="20"/>
                  </w:rPr>
                  <w:t>„</w:t>
                </w:r>
                <w:r>
                  <w:rPr>
                    <w:b/>
                    <w:sz w:val="20"/>
                    <w:lang w:eastAsia="en-GB"/>
                  </w:rPr>
                  <w:t>3. Parengęs ataskaitą, poveikio aplinkai vertinimo dokumentų rengėjas organizuoja viešą visuomenės supažindinimą su ataskaita aplinkos ministro nustatyta tvarka, informuodamas apie jį visuomenę ne vėliau kaip prieš 20 darbo dienų iki jo. Visuomenė turi teisę susipažinti su ataskaita ir teikti pasiūlymus atsakingajai institucijai ir poveikio aplinkai vertinimo dokumentų rengėjui, iki viešo visuomenės supažindinimo su ataskaita, šio supažindinimo metu ir iki šio straipsnio 10 dalyje nurodyto termino.</w:t>
                </w:r>
              </w:p>
              <w:p>
                <w:pPr>
                  <w:jc w:val="both"/>
                  <w:rPr>
                    <w:b/>
                    <w:sz w:val="20"/>
                    <w:lang w:eastAsia="en-GB"/>
                  </w:rPr>
                </w:pPr>
                <w:r>
                  <w:rPr>
                    <w:b/>
                    <w:sz w:val="20"/>
                    <w:lang w:eastAsia="en-GB"/>
                  </w:rPr>
                  <w:t>4. Poveikio aplinkai vertinimo dokumentų rengėjas kartu su planuojamos ūkinės veiklos organizatoriumi (užsakovu) aplinkos ministro nustatyta tvarka įvertina suinteresuotos visuomenės pasiūlymus, prireikus pagal juos patikslina ataskaitą ir pateikia ją poveikio aplinkai vertinimo subjektams kartu su suinteresuotos visuomenės pasiūlymų įvertinimu.“</w:t>
                </w:r>
              </w:p>
              <w:p>
                <w:pPr>
                  <w:jc w:val="both"/>
                  <w:rPr>
                    <w:b/>
                    <w:sz w:val="20"/>
                  </w:rPr>
                </w:pPr>
                <w:r>
                  <w:rPr>
                    <w:b/>
                    <w:sz w:val="20"/>
                  </w:rPr>
                  <w:t>11 straipsnio 9-11 dalys</w:t>
                </w:r>
              </w:p>
              <w:p>
                <w:pPr>
                  <w:jc w:val="both"/>
                  <w:rPr>
                    <w:b/>
                    <w:sz w:val="20"/>
                    <w:lang w:eastAsia="en-GB"/>
                  </w:rPr>
                </w:pPr>
                <w:r>
                  <w:rPr>
                    <w:b/>
                    <w:sz w:val="20"/>
                  </w:rPr>
                  <w:t>„</w:t>
                </w:r>
                <w:r>
                  <w:rPr>
                    <w:b/>
                    <w:sz w:val="20"/>
                    <w:lang w:eastAsia="en-GB"/>
                  </w:rPr>
                  <w:t xml:space="preserve">9. Poveikio aplinkai vertinimo dokumentų rengėjas atsakingajai institucijai pateikia pagal poveikio aplinkai vertinimo subjektų išvadas pataisytą ir (ar) papildytą ataskaitą, poveikio aplinkai vertinimo subjektų išvadas dėl ataskaitos ir planuojamos ūkinės veiklos poveikio aplinkai ir suinteresuotos visuomenės pasiūlymų įvertinimą. </w:t>
                </w:r>
              </w:p>
              <w:p>
                <w:pPr>
                  <w:jc w:val="both"/>
                  <w:rPr>
                    <w:b/>
                    <w:sz w:val="20"/>
                    <w:lang w:eastAsia="en-GB"/>
                  </w:rPr>
                </w:pPr>
                <w:r>
                  <w:rPr>
                    <w:b/>
                    <w:sz w:val="20"/>
                    <w:lang w:eastAsia="en-GB"/>
                  </w:rPr>
                  <w:t>10.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p>
                <w:pPr>
                  <w:jc w:val="both"/>
                  <w:rPr>
                    <w:b/>
                    <w:sz w:val="20"/>
                    <w:lang w:eastAsia="en-GB"/>
                  </w:rPr>
                </w:pPr>
                <w:r>
                  <w:rPr>
                    <w:b/>
                    <w:color w:val="000000"/>
                    <w:sz w:val="20"/>
                    <w:lang w:eastAsia="en-GB"/>
                  </w:rPr>
                  <w:t xml:space="preserve">11. Jeigu ataskaita iš esmės keičiama </w:t>
                </w:r>
                <w:r>
                  <w:rPr>
                    <w:b/>
                    <w:color w:val="000000"/>
                    <w:sz w:val="20"/>
                    <w:shd w:val="clear" w:color="auto" w:fill="FFFFFF"/>
                    <w:lang w:eastAsia="en-GB"/>
                  </w:rPr>
                  <w:t>(pvz., keičiamas veiklos mastas, numatomos naujos technologinės ir (ar) vietos alternatyvos)</w:t>
                </w:r>
                <w:r>
                  <w:rPr>
                    <w:b/>
                    <w:color w:val="000000"/>
                    <w:sz w:val="20"/>
                    <w:lang w:eastAsia="en-GB"/>
                  </w:rPr>
                  <w:t xml:space="preserve"> </w:t>
                </w:r>
                <w:r>
                  <w:rPr>
                    <w:b/>
                    <w:color w:val="000000"/>
                    <w:sz w:val="20"/>
                    <w:shd w:val="clear" w:color="auto" w:fill="FFFFFF"/>
                    <w:lang w:eastAsia="en-GB"/>
                  </w:rPr>
                  <w:t xml:space="preserve">ar </w:t>
                </w:r>
                <w:r>
                  <w:rPr>
                    <w:b/>
                    <w:color w:val="000000"/>
                    <w:sz w:val="20"/>
                    <w:lang w:eastAsia="en-GB"/>
                  </w:rPr>
                  <w:t xml:space="preserve">iš esmės taisoma </w:t>
                </w:r>
                <w:r>
                  <w:rPr>
                    <w:b/>
                    <w:color w:val="000000"/>
                    <w:sz w:val="20"/>
                    <w:shd w:val="clear" w:color="auto" w:fill="FFFFFF"/>
                    <w:lang w:eastAsia="en-GB"/>
                  </w:rPr>
                  <w:t xml:space="preserve">(pvz., kai ataskaitoje netinkamai ar nepilnai įvertintas galimas poveikis) </w:t>
                </w:r>
                <w:r>
                  <w:rPr>
                    <w:b/>
                    <w:color w:val="000000"/>
                    <w:sz w:val="20"/>
                    <w:lang w:eastAsia="en-GB"/>
                  </w:rPr>
                  <w:t>planuojamos ūkinės veiklos organizatoriaus iniciatyva,</w:t>
                </w:r>
                <w:r>
                  <w:rPr>
                    <w:b/>
                    <w:color w:val="000000"/>
                    <w:sz w:val="20"/>
                    <w:shd w:val="clear" w:color="auto" w:fill="FFFFFF"/>
                    <w:lang w:eastAsia="en-GB"/>
                  </w:rPr>
                  <w:t xml:space="preserve"> </w:t>
                </w:r>
                <w:r>
                  <w:rPr>
                    <w:b/>
                    <w:color w:val="000000"/>
                    <w:sz w:val="20"/>
                    <w:lang w:eastAsia="en-GB"/>
                  </w:rPr>
                  <w:t xml:space="preserve">dėl gautų poveikio </w:t>
                </w:r>
                <w:r>
                  <w:rPr>
                    <w:b/>
                    <w:sz w:val="20"/>
                    <w:lang w:eastAsia="en-GB"/>
                  </w:rPr>
                  <w:t xml:space="preserve">aplinkai vertinimo subjektų motyvuotų išvadų ir (ar) atsakingosios institucijos motyvuotų </w:t>
                </w:r>
                <w:r>
                  <w:rPr>
                    <w:b/>
                    <w:color w:val="000000"/>
                    <w:sz w:val="20"/>
                    <w:lang w:eastAsia="en-GB"/>
                  </w:rPr>
                  <w:t>reikalavimų pataisyti ar papildyti ataskaitą, atsakingoji institucija turi įpareigoti poveikio aplinkai vertinimo dokumentų rengėją organizuoti pakartotinį viešą visuomenės supažindinimą su ataskaita</w:t>
                </w:r>
                <w:r>
                  <w:rPr>
                    <w:b/>
                    <w:sz w:val="20"/>
                    <w:lang w:eastAsia="en-GB"/>
                  </w:rPr>
                  <w:t>“</w:t>
                </w:r>
              </w:p>
              <w:p>
                <w:pPr>
                  <w:jc w:val="both"/>
                  <w:rPr>
                    <w:b/>
                    <w:sz w:val="20"/>
                  </w:rPr>
                </w:pPr>
              </w:p>
              <w:p>
                <w:pPr>
                  <w:jc w:val="both"/>
                  <w:rPr>
                    <w:b/>
                    <w:sz w:val="20"/>
                  </w:rPr>
                </w:pPr>
                <w:r>
                  <w:rPr>
                    <w:b/>
                    <w:sz w:val="20"/>
                  </w:rPr>
                  <w:t>12 straipsnio 12 dalis</w:t>
                </w:r>
              </w:p>
              <w:p>
                <w:pPr>
                  <w:jc w:val="both"/>
                  <w:rPr>
                    <w:b/>
                    <w:sz w:val="20"/>
                    <w:lang w:eastAsia="en-GB"/>
                  </w:rPr>
                </w:pPr>
                <w:r>
                  <w:rPr>
                    <w:b/>
                    <w:sz w:val="20"/>
                    <w:lang w:eastAsia="en-GB"/>
                  </w:rPr>
                  <w:t>„12. Atsakingoji institucija poveikio aplinkai vertinimo subjektams, planuojamos ūkinės veiklos organizatoriui (užsakovui), poveikio aplinkai vertinimo dokumentų rengėjui sprendimą dėl planuojamos ūkinės veiklos poveikio aplinkai pateikia raštu. Atsakingoji institucija aplinkos ministro nustatyta tvarka paskelbia visuomenei sprendimą dėl planuojamos ūkinės veiklos poveikio aplinkai. Kai planuojamai ūkinei veiklai atliktos tarpvalstybinio poveikio aplinkai vertinimo procedūros pagal šio įstatymo 10 straipsnio nuostatas, atsakingoji institucija aplinkos ministro nustatyta tvarka teikia informaciją apie sprendimą koordinuojančiajai institucijai.“</w:t>
                </w:r>
              </w:p>
              <w:p>
                <w:pPr>
                  <w:jc w:val="both"/>
                  <w:rPr>
                    <w:b/>
                    <w:sz w:val="20"/>
                  </w:rPr>
                </w:pPr>
              </w:p>
              <w:p>
                <w:pPr>
                  <w:jc w:val="both"/>
                  <w:rPr>
                    <w:b/>
                    <w:color w:val="000000"/>
                    <w:sz w:val="20"/>
                    <w:lang w:eastAsia="lt-LT"/>
                  </w:rPr>
                </w:pPr>
                <w:r>
                  <w:rPr>
                    <w:b/>
                    <w:color w:val="000000"/>
                    <w:sz w:val="20"/>
                    <w:lang w:eastAsia="lt-LT"/>
                  </w:rPr>
                  <w:t>14 straipsnis</w:t>
                </w:r>
              </w:p>
              <w:p>
                <w:pPr>
                  <w:jc w:val="both"/>
                  <w:rPr>
                    <w:b/>
                    <w:sz w:val="20"/>
                    <w:lang w:eastAsia="en-GB"/>
                  </w:rPr>
                </w:pPr>
                <w:r>
                  <w:rPr>
                    <w:b/>
                    <w:sz w:val="20"/>
                  </w:rPr>
                  <w:t>„</w:t>
                </w:r>
                <w:r>
                  <w:rPr>
                    <w:b/>
                    <w:sz w:val="20"/>
                    <w:lang w:eastAsia="en-GB"/>
                  </w:rPr>
                  <w:t xml:space="preserve">14 straipsnis. Atrankos dėl poveikio aplinkai vertinimo ir poveikio aplinkai vertinimo procesų viešumas </w:t>
                </w:r>
              </w:p>
              <w:p>
                <w:pPr>
                  <w:jc w:val="both"/>
                  <w:rPr>
                    <w:b/>
                    <w:sz w:val="20"/>
                    <w:lang w:eastAsia="en-GB"/>
                  </w:rPr>
                </w:pPr>
                <w:r>
                  <w:rPr>
                    <w:b/>
                    <w:sz w:val="20"/>
                    <w:lang w:eastAsia="en-GB"/>
                  </w:rPr>
                  <w:t>1. Atrankos dėl poveikio aplinkai vertinimo ir poveikio aplinkai vertinimo metu suinteresuota visuomenė turi teisę įstatymų nustatyta tvarka gauti iš kitų atrankos dėl poveikio aplinkai vertinimo ir poveikio aplinkai vertinimo procesų dalyvių informaciją apie galimą planuojamos ūkinės veiklos poveikį aplinkai.</w:t>
                </w:r>
              </w:p>
              <w:p>
                <w:pPr>
                  <w:jc w:val="both"/>
                  <w:rPr>
                    <w:b/>
                    <w:sz w:val="20"/>
                    <w:lang w:eastAsia="en-GB"/>
                  </w:rPr>
                </w:pPr>
                <w:r>
                  <w:rPr>
                    <w:b/>
                    <w:sz w:val="20"/>
                    <w:lang w:eastAsia="en-GB"/>
                  </w:rPr>
                  <w:t>2. Visuomenės informavimo ir dalyvavimo planuojamos ūkinės veiklos atrankos dėl poveikio aplinkai vertinimo ir poveikio aplinkai vertinimo procesuose tvarką nustato aplinkos ministras.</w:t>
                </w:r>
              </w:p>
              <w:p>
                <w:pPr>
                  <w:jc w:val="both"/>
                  <w:rPr>
                    <w:b/>
                    <w:sz w:val="20"/>
                  </w:rPr>
                </w:pPr>
                <w:r>
                  <w:rPr>
                    <w:b/>
                    <w:sz w:val="20"/>
                    <w:lang w:eastAsia="en-GB"/>
                  </w:rPr>
                  <w:t>3. Atsakingoji institucija ir poveikio aplinkai vertinimo subjektai saugo planuojamos ūkinės veiklos organizatoriaus (užsakovo) ar poveikio aplinkai vertinimo dokumentų rengėjo pateiktos informacijos konfidencialumą, jeigu tokia informacija, vadovaujantis Lietuvos Respublikos teisės aktais, yra neskelbtina.</w:t>
                </w:r>
                <w:r>
                  <w:rPr>
                    <w:b/>
                    <w:sz w:val="20"/>
                  </w:rPr>
                  <w:t>“</w:t>
                </w:r>
              </w:p>
              <w:p>
                <w:pPr>
                  <w:jc w:val="both"/>
                  <w:rPr>
                    <w:b/>
                    <w:sz w:val="20"/>
                    <w:lang w:eastAsia="lt-LT"/>
                  </w:rPr>
                </w:pPr>
              </w:p>
            </w:tc>
            <w:tc>
              <w:tcPr>
                <w:tcW w:w="1421" w:type="dxa"/>
              </w:tcPr>
              <w:p>
                <w:pPr>
                  <w:ind w:firstLine="312"/>
                  <w:jc w:val="center"/>
                  <w:rPr>
                    <w:b/>
                    <w:sz w:val="20"/>
                  </w:rPr>
                </w:pPr>
                <w:r>
                  <w:rPr>
                    <w:b/>
                    <w:sz w:val="20"/>
                  </w:rPr>
                  <w:t>Visiškas.</w:t>
                </w:r>
              </w:p>
              <w:p>
                <w:pPr>
                  <w:ind w:firstLine="312"/>
                  <w:jc w:val="center"/>
                  <w:rPr>
                    <w:sz w:val="20"/>
                  </w:rPr>
                </w:pPr>
              </w:p>
            </w:tc>
          </w:tr>
          <w:tr>
            <w:tc>
              <w:tcPr>
                <w:tcW w:w="3652" w:type="dxa"/>
              </w:tcPr>
              <w:p>
                <w:pPr>
                  <w:jc w:val="both"/>
                  <w:rPr>
                    <w:rFonts w:eastAsia="Calibri"/>
                    <w:b/>
                    <w:color w:val="000000"/>
                    <w:sz w:val="20"/>
                    <w:lang w:eastAsia="lt-LT"/>
                  </w:rPr>
                </w:pPr>
                <w:r>
                  <w:rPr>
                    <w:rFonts w:eastAsia="Calibri"/>
                    <w:b/>
                    <w:color w:val="000000"/>
                    <w:sz w:val="20"/>
                    <w:lang w:eastAsia="lt-LT"/>
                  </w:rPr>
                  <w:t>B</w:t>
                </w:r>
              </w:p>
              <w:p>
                <w:pPr>
                  <w:jc w:val="both"/>
                  <w:rPr>
                    <w:rFonts w:eastAsia="Calibri"/>
                    <w:color w:val="000000"/>
                    <w:sz w:val="20"/>
                    <w:lang w:eastAsia="lt-LT"/>
                  </w:rPr>
                </w:pPr>
                <w:r>
                  <w:rPr>
                    <w:rFonts w:eastAsia="Calibri"/>
                    <w:color w:val="000000"/>
                    <w:sz w:val="20"/>
                    <w:lang w:eastAsia="lt-LT"/>
                  </w:rPr>
                  <w:t xml:space="preserve">3. Valstybės narės užtikrina, kad tinkamais terminais suinteresuota visuomenė galėtų susipažinti su: </w:t>
                </w:r>
              </w:p>
              <w:p>
                <w:pPr>
                  <w:jc w:val="both"/>
                  <w:rPr>
                    <w:rFonts w:eastAsia="Calibri"/>
                    <w:color w:val="000000"/>
                    <w:sz w:val="20"/>
                    <w:lang w:eastAsia="lt-LT"/>
                  </w:rPr>
                </w:pPr>
                <w:r>
                  <w:rPr>
                    <w:rFonts w:eastAsia="Calibri"/>
                    <w:color w:val="000000"/>
                    <w:sz w:val="20"/>
                    <w:lang w:eastAsia="lt-LT"/>
                  </w:rPr>
                  <w:t xml:space="preserve">a) pagal 5 straipsnį surinkta informacija; </w:t>
                </w:r>
              </w:p>
              <w:p>
                <w:pPr>
                  <w:jc w:val="both"/>
                  <w:rPr>
                    <w:rFonts w:eastAsia="Calibri"/>
                    <w:color w:val="000000"/>
                    <w:sz w:val="20"/>
                  </w:rPr>
                </w:pPr>
                <w:r>
                  <w:rPr>
                    <w:rFonts w:eastAsia="Calibri"/>
                    <w:color w:val="000000"/>
                    <w:sz w:val="20"/>
                  </w:rPr>
                  <w:t>b) pagal nacionalinės teisės aktus – svarbiausiomis ataskaitomis ir pasiūlymais, pateiktais kompetentingai institucijai ar institucijoms tuo metu, kai suinteresuota visuomenė yra informuota pagal šio straipsnio 2 dalį;</w:t>
                </w:r>
              </w:p>
              <w:p>
                <w:pPr>
                  <w:suppressLineNumbers/>
                  <w:suppressAutoHyphens/>
                  <w:snapToGrid w:val="0"/>
                  <w:jc w:val="both"/>
                  <w:rPr>
                    <w:sz w:val="19"/>
                    <w:szCs w:val="19"/>
                    <w:lang w:eastAsia="ar-SA"/>
                  </w:rPr>
                </w:pPr>
                <w:r>
                  <w:rPr>
                    <w:rFonts w:eastAsia="Calibri"/>
                    <w:color w:val="000000"/>
                    <w:sz w:val="20"/>
                  </w:rPr>
                  <w:t xml:space="preserve">c) pagal 2003 m. sausio 28 d. Europos Parlamento ir Tarybos direktyvą </w:t>
                </w:r>
                <w:fldSimple w:instr="HYPERLINK http://eur-lex.europa.eu/legal-content/LIT/TXT/?uri=CELEX:32003L0004&amp;locale=lt \t _blank">
                  <w:r>
                    <w:rPr>
                      <w:rFonts w:eastAsia="Calibri"/>
                      <w:color w:val="0000FF" w:themeColor="hyperlink"/>
                      <w:sz w:val="20"/>
                      <w:u w:val="single"/>
                    </w:rPr>
                    <w:t>2003/4/EB</w:t>
                  </w:r>
                </w:fldSimple>
                <w:r>
                  <w:rPr>
                    <w:rFonts w:eastAsia="Calibri"/>
                    <w:color w:val="000000"/>
                    <w:sz w:val="20"/>
                  </w:rPr>
                  <w:t xml:space="preserve"> dėl visuomenės galimybės susipažinti su informacija apie aplinką (1) – šio straipsnio 2 dalyje nenurodyta informacija, kuri yra svarbi priimant sprendimą pagal šios direktyvos 8 straipsnį ir kuri tampa prieinama po to, kai suinteresuota visuomenė buvo informuota pagal šio straipsnio 2 dalį.</w:t>
                </w:r>
              </w:p>
            </w:tc>
            <w:tc>
              <w:tcPr>
                <w:tcW w:w="9639" w:type="dxa"/>
              </w:tcPr>
              <w:p>
                <w:pPr>
                  <w:jc w:val="both"/>
                  <w:rPr>
                    <w:b/>
                    <w:sz w:val="20"/>
                  </w:rPr>
                </w:pPr>
                <w:r>
                  <w:rPr>
                    <w:b/>
                    <w:sz w:val="20"/>
                  </w:rPr>
                  <w:t>Projektas</w:t>
                </w:r>
              </w:p>
              <w:p>
                <w:pPr>
                  <w:jc w:val="both"/>
                  <w:rPr>
                    <w:b/>
                    <w:sz w:val="20"/>
                  </w:rPr>
                </w:pPr>
                <w:r>
                  <w:rPr>
                    <w:b/>
                    <w:sz w:val="20"/>
                  </w:rPr>
                  <w:t>11 straipsnio 1-3 dalys</w:t>
                </w:r>
              </w:p>
              <w:p>
                <w:pPr>
                  <w:jc w:val="both"/>
                  <w:rPr>
                    <w:b/>
                    <w:sz w:val="20"/>
                    <w:lang w:eastAsia="en-GB"/>
                  </w:rPr>
                </w:pPr>
                <w:r>
                  <w:rPr>
                    <w:b/>
                    <w:sz w:val="20"/>
                  </w:rPr>
                  <w:t>„</w:t>
                </w:r>
                <w:r>
                  <w:rPr>
                    <w:b/>
                    <w:sz w:val="20"/>
                    <w:lang w:eastAsia="lt-LT"/>
                  </w:rPr>
                  <w:t xml:space="preserve">1. Poveikio aplinkai vertinimo dokumentų rengėjas rengia ataskaitą, vadovaudamasis atsakingosios institucijos </w:t>
                </w:r>
                <w:r>
                  <w:rPr>
                    <w:b/>
                    <w:sz w:val="20"/>
                    <w:lang w:eastAsia="en-GB"/>
                  </w:rPr>
                  <w:t>patvirtinta</w:t>
                </w:r>
                <w:r>
                  <w:rPr>
                    <w:b/>
                    <w:sz w:val="20"/>
                    <w:lang w:eastAsia="lt-LT"/>
                  </w:rPr>
                  <w:t xml:space="preserve"> programa arba, jeigu buvo teiktas pranešimas apie PAV pradžią, atsižvelgdamas į gautus pasiūlymus.</w:t>
                </w:r>
                <w:r>
                  <w:rPr>
                    <w:b/>
                    <w:sz w:val="20"/>
                    <w:lang w:eastAsia="en-GB"/>
                  </w:rPr>
                  <w:t xml:space="preserve"> </w:t>
                </w:r>
                <w:r>
                  <w:rPr>
                    <w:b/>
                    <w:sz w:val="20"/>
                    <w:lang w:eastAsia="lt-LT"/>
                  </w:rPr>
                  <w:t>Ataskaitos rengimo reikalavimus tvirtina aplinkos ministras.</w:t>
                </w:r>
              </w:p>
              <w:p>
                <w:pPr>
                  <w:jc w:val="both"/>
                  <w:rPr>
                    <w:b/>
                    <w:sz w:val="20"/>
                    <w:lang w:eastAsia="en-GB"/>
                  </w:rPr>
                </w:pPr>
                <w:r>
                  <w:rPr>
                    <w:b/>
                    <w:sz w:val="20"/>
                    <w:lang w:eastAsia="en-GB"/>
                  </w:rPr>
                  <w:t xml:space="preserve">2. Poveikio aplinkai vertinimo dokumentų rengėjas rengiamai ataskaitai gali naudoti aktualią informaciją, gautą atliekant strateginį pasekmių aplinkai vertinimą ar kitą vertinimą, atliktą pagal kitų teisės aktų reikalavimus. </w:t>
                </w:r>
              </w:p>
              <w:p>
                <w:pPr>
                  <w:jc w:val="both"/>
                  <w:rPr>
                    <w:b/>
                    <w:sz w:val="20"/>
                    <w:lang w:eastAsia="en-GB"/>
                  </w:rPr>
                </w:pPr>
                <w:r>
                  <w:rPr>
                    <w:b/>
                    <w:sz w:val="20"/>
                    <w:lang w:eastAsia="en-GB"/>
                  </w:rPr>
                  <w:t>3. Parengęs ataskaitą, poveikio aplinkai vertinimo dokumentų rengėjas organizuoja viešą visuomenės supažindinimą su ataskaita aplinkos ministro nustatyta tvarka, informuodamas apie jį visuomenę ne vėliau kaip prieš 20 darbo dienų iki jo. Visuomenė turi teisę susipažinti su ataskaita ir teikti pasiūlymus atsakingajai institucijai ir poveikio aplinkai vertinimo dokumentų rengėjui, iki viešo visuomenės supažindinimo su ataskaita, šio supažindinimo metu ir iki šio straipsnio 10 dalyje nurodyto termino.“</w:t>
                </w:r>
              </w:p>
              <w:p>
                <w:pPr>
                  <w:jc w:val="both"/>
                  <w:rPr>
                    <w:b/>
                    <w:sz w:val="20"/>
                  </w:rPr>
                </w:pPr>
                <w:r>
                  <w:rPr>
                    <w:b/>
                    <w:sz w:val="20"/>
                  </w:rPr>
                  <w:t>11 straipsnio 9-11dalys</w:t>
                </w:r>
              </w:p>
              <w:p>
                <w:pPr>
                  <w:jc w:val="both"/>
                  <w:rPr>
                    <w:b/>
                    <w:sz w:val="20"/>
                    <w:lang w:eastAsia="en-GB"/>
                  </w:rPr>
                </w:pPr>
                <w:r>
                  <w:rPr>
                    <w:b/>
                    <w:sz w:val="20"/>
                  </w:rPr>
                  <w:t>„</w:t>
                </w:r>
                <w:r>
                  <w:rPr>
                    <w:b/>
                    <w:sz w:val="20"/>
                    <w:lang w:eastAsia="en-GB"/>
                  </w:rPr>
                  <w:t xml:space="preserve">9. Poveikio aplinkai vertinimo dokumentų rengėjas atsakingajai institucijai pateikia pagal poveikio aplinkai vertinimo subjektų išvadas pataisytą ir (ar) papildytą ataskaitą, poveikio aplinkai vertinimo subjektų išvadas dėl ataskaitos ir planuojamos ūkinės veiklos poveikio aplinkai ir suinteresuotos visuomenės pasiūlymų įvertinimą. </w:t>
                </w:r>
              </w:p>
              <w:p>
                <w:pPr>
                  <w:jc w:val="both"/>
                  <w:rPr>
                    <w:b/>
                    <w:sz w:val="20"/>
                    <w:lang w:eastAsia="en-GB"/>
                  </w:rPr>
                </w:pPr>
                <w:r>
                  <w:rPr>
                    <w:b/>
                    <w:sz w:val="20"/>
                    <w:lang w:eastAsia="en-GB"/>
                  </w:rPr>
                  <w:t>10.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p>
                <w:pPr>
                  <w:jc w:val="both"/>
                  <w:rPr>
                    <w:b/>
                    <w:sz w:val="20"/>
                  </w:rPr>
                </w:pPr>
                <w:r>
                  <w:rPr>
                    <w:b/>
                    <w:color w:val="000000"/>
                    <w:sz w:val="20"/>
                    <w:lang w:eastAsia="en-GB"/>
                  </w:rPr>
                  <w:t xml:space="preserve">11. Jeigu ataskaita iš esmės keičiama </w:t>
                </w:r>
                <w:r>
                  <w:rPr>
                    <w:b/>
                    <w:color w:val="000000"/>
                    <w:sz w:val="20"/>
                    <w:shd w:val="clear" w:color="auto" w:fill="FFFFFF"/>
                    <w:lang w:eastAsia="en-GB"/>
                  </w:rPr>
                  <w:t>(pvz., keičiamas veiklos mastas, numatomos naujos technologinės ir (ar) vietos alternatyvos)</w:t>
                </w:r>
                <w:r>
                  <w:rPr>
                    <w:b/>
                    <w:color w:val="000000"/>
                    <w:sz w:val="20"/>
                    <w:lang w:eastAsia="en-GB"/>
                  </w:rPr>
                  <w:t xml:space="preserve"> </w:t>
                </w:r>
                <w:r>
                  <w:rPr>
                    <w:b/>
                    <w:color w:val="000000"/>
                    <w:sz w:val="20"/>
                    <w:shd w:val="clear" w:color="auto" w:fill="FFFFFF"/>
                    <w:lang w:eastAsia="en-GB"/>
                  </w:rPr>
                  <w:t xml:space="preserve">ar </w:t>
                </w:r>
                <w:r>
                  <w:rPr>
                    <w:b/>
                    <w:color w:val="000000"/>
                    <w:sz w:val="20"/>
                    <w:lang w:eastAsia="en-GB"/>
                  </w:rPr>
                  <w:t xml:space="preserve">iš esmės taisoma </w:t>
                </w:r>
                <w:r>
                  <w:rPr>
                    <w:b/>
                    <w:color w:val="000000"/>
                    <w:sz w:val="20"/>
                    <w:shd w:val="clear" w:color="auto" w:fill="FFFFFF"/>
                    <w:lang w:eastAsia="en-GB"/>
                  </w:rPr>
                  <w:t xml:space="preserve">(pvz., kai ataskaitoje netinkamai ar nepilnai įvertintas galimas poveikis) </w:t>
                </w:r>
                <w:r>
                  <w:rPr>
                    <w:b/>
                    <w:color w:val="000000"/>
                    <w:sz w:val="20"/>
                    <w:lang w:eastAsia="en-GB"/>
                  </w:rPr>
                  <w:t>planuojamos ūkinės veiklos organizatoriaus iniciatyva,</w:t>
                </w:r>
                <w:r>
                  <w:rPr>
                    <w:b/>
                    <w:color w:val="000000"/>
                    <w:sz w:val="20"/>
                    <w:shd w:val="clear" w:color="auto" w:fill="FFFFFF"/>
                    <w:lang w:eastAsia="en-GB"/>
                  </w:rPr>
                  <w:t xml:space="preserve"> </w:t>
                </w:r>
                <w:r>
                  <w:rPr>
                    <w:b/>
                    <w:color w:val="000000"/>
                    <w:sz w:val="20"/>
                    <w:lang w:eastAsia="en-GB"/>
                  </w:rPr>
                  <w:t xml:space="preserve">dėl gautų poveikio </w:t>
                </w:r>
                <w:r>
                  <w:rPr>
                    <w:b/>
                    <w:sz w:val="20"/>
                    <w:lang w:eastAsia="en-GB"/>
                  </w:rPr>
                  <w:t xml:space="preserve">aplinkai vertinimo subjektų motyvuotų išvadų ir (ar) atsakingosios institucijos motyvuotų </w:t>
                </w:r>
                <w:r>
                  <w:rPr>
                    <w:b/>
                    <w:color w:val="000000"/>
                    <w:sz w:val="20"/>
                    <w:lang w:eastAsia="en-GB"/>
                  </w:rPr>
                  <w:t>reikalavimų pataisyti ar papildyti ataskaitą, atsakingoji institucija turi įpareigoti poveikio aplinkai vertinimo dokumentų rengėją organizuoti pakartotinį viešą visuomenės supažindinimą su ataskaita.“</w:t>
                </w:r>
              </w:p>
            </w:tc>
            <w:tc>
              <w:tcPr>
                <w:tcW w:w="1421" w:type="dxa"/>
              </w:tcPr>
              <w:p>
                <w:pPr>
                  <w:ind w:firstLine="312"/>
                  <w:jc w:val="center"/>
                  <w:rPr>
                    <w:b/>
                    <w:sz w:val="20"/>
                  </w:rPr>
                </w:pPr>
                <w:r>
                  <w:rPr>
                    <w:b/>
                    <w:sz w:val="20"/>
                  </w:rPr>
                  <w:t>Visiškas.</w:t>
                </w:r>
              </w:p>
            </w:tc>
          </w:tr>
          <w:tr>
            <w:tc>
              <w:tcPr>
                <w:tcW w:w="3652" w:type="dxa"/>
              </w:tcPr>
              <w:p>
                <w:pPr>
                  <w:jc w:val="both"/>
                  <w:rPr>
                    <w:rFonts w:eastAsia="Calibri"/>
                    <w:b/>
                    <w:color w:val="000000"/>
                    <w:sz w:val="20"/>
                    <w:lang w:eastAsia="lt-LT"/>
                  </w:rPr>
                </w:pPr>
                <w:r>
                  <w:rPr>
                    <w:rFonts w:eastAsia="Calibri"/>
                    <w:b/>
                    <w:color w:val="000000"/>
                    <w:sz w:val="20"/>
                    <w:lang w:eastAsia="lt-LT"/>
                  </w:rPr>
                  <w:t>B</w:t>
                </w:r>
              </w:p>
              <w:p>
                <w:pPr>
                  <w:jc w:val="both"/>
                  <w:rPr>
                    <w:rFonts w:eastAsia="Calibri"/>
                    <w:color w:val="000000"/>
                    <w:sz w:val="20"/>
                    <w:lang w:eastAsia="lt-LT"/>
                  </w:rPr>
                </w:pPr>
                <w:r>
                  <w:rPr>
                    <w:rFonts w:eastAsia="Calibri"/>
                    <w:color w:val="000000"/>
                    <w:sz w:val="20"/>
                    <w:lang w:eastAsia="lt-LT"/>
                  </w:rPr>
                  <w:t xml:space="preserve">4. Suinteresuotai visuomenei sudaromos išankstinės ir veiksmingos palankios galimybės dalyvauti 2 straipsnio 2 dalyje nurodytose sprendimo aplinkos klausimais priėmimo procedūrose ir tuo tikslu ji turi teisę reikšti pastabas ir nuomones, kol kompetentingai institucijai ar institucijoms visos pasirinkimo galimybės yra atviros prieš priimant sprendimą dėl leidimo suteikimo vykdyti planuojamą veiklą. </w:t>
                </w:r>
              </w:p>
              <w:p>
                <w:pPr>
                  <w:suppressLineNumbers/>
                  <w:suppressAutoHyphens/>
                  <w:snapToGrid w:val="0"/>
                  <w:jc w:val="both"/>
                  <w:rPr>
                    <w:sz w:val="19"/>
                    <w:szCs w:val="19"/>
                    <w:lang w:eastAsia="ar-SA"/>
                  </w:rPr>
                </w:pPr>
              </w:p>
            </w:tc>
            <w:tc>
              <w:tcPr>
                <w:tcW w:w="9639" w:type="dxa"/>
              </w:tcPr>
              <w:p>
                <w:pPr>
                  <w:jc w:val="both"/>
                  <w:rPr>
                    <w:b/>
                    <w:sz w:val="20"/>
                  </w:rPr>
                </w:pPr>
                <w:r>
                  <w:rPr>
                    <w:b/>
                    <w:sz w:val="20"/>
                  </w:rPr>
                  <w:t>Projektas</w:t>
                </w:r>
              </w:p>
              <w:p>
                <w:pPr>
                  <w:jc w:val="both"/>
                  <w:rPr>
                    <w:b/>
                    <w:sz w:val="20"/>
                  </w:rPr>
                </w:pPr>
                <w:r>
                  <w:rPr>
                    <w:b/>
                    <w:sz w:val="20"/>
                  </w:rPr>
                  <w:t>7 straipsnio 5 dalis</w:t>
                </w:r>
              </w:p>
              <w:p>
                <w:pPr>
                  <w:jc w:val="both"/>
                  <w:rPr>
                    <w:rFonts w:eastAsia="Calibri"/>
                    <w:b/>
                    <w:sz w:val="20"/>
                    <w:lang w:eastAsia="en-GB"/>
                  </w:rPr>
                </w:pPr>
                <w:r>
                  <w:rPr>
                    <w:b/>
                    <w:sz w:val="20"/>
                  </w:rPr>
                  <w:t>„</w:t>
                </w:r>
                <w:r>
                  <w:rPr>
                    <w:rFonts w:eastAsia="Calibri"/>
                    <w:b/>
                    <w:sz w:val="20"/>
                    <w:lang w:eastAsia="en-GB"/>
                  </w:rPr>
                  <w:t xml:space="preserve">5. Atsakingoji institucija apie gautą atrankos informaciją ir apie galimybę pateikti pasiūlymus dėl atrankos informacijos ir (ar) planuojamos ūkinės veiklos poveikio aplinkai vertinimo ne vėliau kaip per 3 darbo dienas nuo jos gavimo dienos aplinkos ministro nustatyta tvarka informuoja poveikio aplinkai vertinimo subjektus ir visuomenę. Poveikio aplinkai vertinimo subjektai per 10 darbo dienų nuo pateiktos informacijos gavimo dienos, o suinteresuota visuomenė – nuo informacijos paskelbimo dienos, pateikia pasiūlymus dėl atrankos informacijos ir (ar) planuojamos ūkinės veiklos poveikio aplinkai vertinimo atsakingajai institucijai. </w:t>
                </w:r>
                <w:r>
                  <w:rPr>
                    <w:b/>
                    <w:sz w:val="20"/>
                    <w:lang w:eastAsia="lt-LT"/>
                  </w:rPr>
                  <w:t>Per nustatytą laiką nepateikus pasiūlymų dėl atrankos informacijos ir (ar) planuojamos ūkinės veiklos poveikio aplinkai vertinimo atsakingajai institucijai laikoma, kad poveikio aplinkai vertinimo subjektai, suinteresuota visuomenė pasiūlymų dėl atrankos informacijos ir (ar) planuojamos ūkinės veiklos poveikio aplinkai vertinimo neturi.“</w:t>
                </w:r>
              </w:p>
              <w:p>
                <w:pPr>
                  <w:jc w:val="both"/>
                  <w:rPr>
                    <w:b/>
                    <w:sz w:val="20"/>
                  </w:rPr>
                </w:pPr>
                <w:r>
                  <w:rPr>
                    <w:b/>
                    <w:sz w:val="20"/>
                  </w:rPr>
                  <w:t>8 straipsnio 3-4 dalys</w:t>
                </w:r>
              </w:p>
              <w:p>
                <w:pPr>
                  <w:jc w:val="both"/>
                  <w:rPr>
                    <w:b/>
                    <w:sz w:val="20"/>
                    <w:lang w:eastAsia="en-GB"/>
                  </w:rPr>
                </w:pPr>
                <w:r>
                  <w:rPr>
                    <w:b/>
                    <w:sz w:val="20"/>
                  </w:rPr>
                  <w:t>„</w:t>
                </w:r>
                <w:r>
                  <w:rPr>
                    <w:b/>
                    <w:sz w:val="20"/>
                    <w:lang w:eastAsia="lt-LT"/>
                  </w:rPr>
                  <w:t>3. Poveikio aplinkai vertinimo dokumentų rengėjas aplinkos ministro nustatyta tvarka: parengtą programą teikia poveikio aplinkai vertinimo subjektams išvadoms gauti, apie parengtą programą informuoja visuomenę ir atsakingąją instituciją.</w:t>
                </w:r>
                <w:r>
                  <w:rPr>
                    <w:b/>
                    <w:sz w:val="20"/>
                    <w:lang w:eastAsia="en-GB"/>
                  </w:rPr>
                  <w:t xml:space="preserve"> </w:t>
                </w:r>
              </w:p>
              <w:p>
                <w:pPr>
                  <w:jc w:val="both"/>
                  <w:rPr>
                    <w:b/>
                    <w:sz w:val="20"/>
                    <w:lang w:eastAsia="lt-LT"/>
                  </w:rPr>
                </w:pPr>
                <w:r>
                  <w:rPr>
                    <w:b/>
                    <w:sz w:val="20"/>
                    <w:lang w:eastAsia="en-GB"/>
                  </w:rPr>
                  <w:t xml:space="preserve">4. </w:t>
                </w:r>
                <w:r>
                  <w:rPr>
                    <w:b/>
                    <w:sz w:val="20"/>
                    <w:lang w:eastAsia="lt-LT"/>
                  </w:rPr>
                  <w:t>Atsakingoji institucija informaciją apie parengtą programą per 3 darbo dienas nuo jos gavimo dienos paskelbia aplinkos ministro nustatyta tvarka. Informacijos apie programą gavimo atsakingojoje institucijoje diena laikoma poveikio aplinkai vertinimo pradžia, išskyrus atvejus, kai iki šios informacijos gavimo atsakingojoje institucijoje dienos buvo gautas pranešimas apie poveikio aplinkai vertinimo pradžią šio įstatymo 9 straipsnyje nustatyta tvarka.“</w:t>
                </w:r>
              </w:p>
              <w:p>
                <w:pPr>
                  <w:jc w:val="both"/>
                  <w:rPr>
                    <w:b/>
                    <w:sz w:val="20"/>
                  </w:rPr>
                </w:pPr>
                <w:r>
                  <w:rPr>
                    <w:b/>
                    <w:sz w:val="20"/>
                  </w:rPr>
                  <w:t>8 straipsnio 7 dalis</w:t>
                </w:r>
              </w:p>
              <w:p>
                <w:pPr>
                  <w:jc w:val="both"/>
                  <w:rPr>
                    <w:b/>
                    <w:sz w:val="20"/>
                    <w:lang w:eastAsia="lt-LT"/>
                  </w:rPr>
                </w:pPr>
                <w:r>
                  <w:rPr>
                    <w:b/>
                    <w:sz w:val="20"/>
                    <w:lang w:eastAsia="en-GB"/>
                  </w:rPr>
                  <w:t xml:space="preserve">„7. </w:t>
                </w:r>
                <w:r>
                  <w:rPr>
                    <w:b/>
                    <w:sz w:val="20"/>
                    <w:lang w:eastAsia="lt-LT"/>
                  </w:rPr>
                  <w:t>Suinteresuotoji visuomenė turi teisę teikti pasiūlymus dėl programos atsakingajai institucijai ir planuojamos ūkinės veiklos organizatoriui (užsakovui) arba poveikio aplinkai vertinimo dokumentų rengėjui per nustatytą pasiūlymų teikimo terminą, kuris turi būti ne trumpesnis kaip 10 darbo dienų nuo atsakingos institucijos gautos informacijos paskelbimo dienos.“</w:t>
                </w:r>
              </w:p>
              <w:p>
                <w:pPr>
                  <w:jc w:val="both"/>
                  <w:rPr>
                    <w:b/>
                    <w:sz w:val="20"/>
                    <w:lang w:eastAsia="lt-LT"/>
                  </w:rPr>
                </w:pPr>
              </w:p>
              <w:p>
                <w:pPr>
                  <w:jc w:val="both"/>
                  <w:rPr>
                    <w:b/>
                    <w:sz w:val="20"/>
                  </w:rPr>
                </w:pPr>
                <w:r>
                  <w:rPr>
                    <w:b/>
                    <w:sz w:val="20"/>
                  </w:rPr>
                  <w:t>8 straipsnio 11 dalis</w:t>
                </w:r>
              </w:p>
              <w:p>
                <w:pPr>
                  <w:jc w:val="both"/>
                  <w:rPr>
                    <w:b/>
                    <w:sz w:val="20"/>
                    <w:lang w:val="pl-PL" w:eastAsia="en-GB"/>
                  </w:rPr>
                </w:pPr>
                <w:r>
                  <w:rPr>
                    <w:b/>
                    <w:sz w:val="20"/>
                    <w:lang w:eastAsia="en-GB"/>
                  </w:rPr>
                  <w:t>„</w:t>
                </w:r>
                <w:r>
                  <w:rPr>
                    <w:b/>
                    <w:sz w:val="20"/>
                    <w:lang w:eastAsia="lt-LT"/>
                  </w:rPr>
                  <w:t xml:space="preserve">11. Atsakingoji institucija, išnagrinėjusi ir įvertinusi programą ir kartu su ja pateiktus suinteresuotos visuomenės pasiūlymus ir pasiūlymų įvertinimą ir remdamasi poveikio aplinkai vertinimo subjektų išvadomis, per 10 darbo dienų nuo programos gavimo dienos patvirtina programą arba pateikia motyvuotus reikalavimus poveikio aplinkai vertinimo dokumentų rengėjui papildyti ir (ar) pataisyti programą. </w:t>
                </w:r>
                <w:r>
                  <w:rPr>
                    <w:b/>
                    <w:sz w:val="20"/>
                    <w:lang w:val="pl-PL" w:eastAsia="lt-LT"/>
                  </w:rPr>
                  <w:t>Informaciją apie patvirtintą programą atsakingoji institucija paskelbia aplinkos ministro nustatyta tvarka. Programa galioja 3 metus nuo jos patvirtinimo dienos. Ataskaita pateikiama poveikio aplinkai vertinimo subjektams nepasibaigus programos galiojimui.”</w:t>
                </w:r>
                <w:r>
                  <w:rPr>
                    <w:b/>
                    <w:sz w:val="20"/>
                    <w:lang w:val="pl-PL" w:eastAsia="en-GB"/>
                  </w:rPr>
                  <w:t xml:space="preserve"> </w:t>
                </w:r>
              </w:p>
              <w:p>
                <w:pPr>
                  <w:jc w:val="both"/>
                  <w:rPr>
                    <w:b/>
                    <w:sz w:val="20"/>
                    <w:lang w:val="pl-PL" w:eastAsia="en-GB"/>
                  </w:rPr>
                </w:pPr>
              </w:p>
              <w:p>
                <w:pPr>
                  <w:jc w:val="both"/>
                  <w:rPr>
                    <w:b/>
                    <w:sz w:val="20"/>
                    <w:lang w:val="pl-PL" w:eastAsia="en-GB"/>
                  </w:rPr>
                </w:pPr>
                <w:r>
                  <w:rPr>
                    <w:b/>
                    <w:sz w:val="20"/>
                    <w:lang w:val="pl-PL" w:eastAsia="en-GB"/>
                  </w:rPr>
                  <w:t>9 straipsnio 3-4 dalys</w:t>
                </w:r>
              </w:p>
              <w:p>
                <w:pPr>
                  <w:jc w:val="both"/>
                  <w:rPr>
                    <w:b/>
                    <w:sz w:val="20"/>
                    <w:lang w:val="pl-PL" w:eastAsia="lt-LT"/>
                  </w:rPr>
                </w:pPr>
                <w:r>
                  <w:rPr>
                    <w:b/>
                    <w:sz w:val="20"/>
                    <w:lang w:val="pl-PL" w:eastAsia="en-GB"/>
                  </w:rPr>
                  <w:t>„</w:t>
                </w:r>
                <w:r>
                  <w:rPr>
                    <w:b/>
                    <w:sz w:val="20"/>
                    <w:lang w:val="pl-PL" w:eastAsia="lt-LT"/>
                  </w:rPr>
                  <w:t>3. Planuojamos ūkinės veiklos organizatorius (užsakovas) arba poveikio aplinkai vertinimo dokumentų rengėjas pranešimą apie PAV pradžią ne vėliau kaip per 15 darbo dienų iki visuomenės informavimo apie viešą visuomenės supažindinimą su ataskaita šio įstatymo 11 straipsnio 3 dalyje nustatyta tvarka pateikia poveikio aplinkai vertinimo subjektams ir atsakingajai institucijai (kuri gautą informaciją per 3 darbo dienas nuo pranešimo apie PAV pradžią gavimo dienos paskelbia aplinkos ministro nustatyta tvarka) ir aplinkos ministro nustatyta tvarka informuoja visuomenę. Pranešimo apie PAV pradžią gavimo atsakingojoje institucijoje diena laikoma poveikio aplinkai vertinimo pradžia.</w:t>
                </w:r>
              </w:p>
              <w:p>
                <w:pPr>
                  <w:jc w:val="both"/>
                  <w:rPr>
                    <w:b/>
                    <w:sz w:val="20"/>
                    <w:lang w:val="pl-PL" w:eastAsia="lt-LT"/>
                  </w:rPr>
                </w:pPr>
                <w:r>
                  <w:rPr>
                    <w:b/>
                    <w:sz w:val="20"/>
                    <w:lang w:val="pl-PL" w:eastAsia="lt-LT"/>
                  </w:rPr>
                  <w:t>4. Atsakingoji institucija ir poveikio aplinkai vertinimo subjektai turi teisę pateikti motyvuotus pasiūlymus planuojamos ūkinės veiklos organizatoriui (užsakovui) arba poveikio aplinkai vertinimo dokumentų rengėjui per 10 darbo dienų nuo pranešimo apie PAV pradžią gavimo dienos. Suinteresuotoji visuomenė turi teisę pateikti pasiūlymus atsakingajai institucijai ir planuojamos ūkinės veiklos organizatoriui (užsakovui) arba poveikio aplinkai vertinimo dokumentų rengėjui per 10 darbo dienų nuo tos dienos, kai gautą pranešimą apie PAV pradžią paskelbia atsakingoji institucija. Poveikio aplinkai vertinimo dokumentų rengėjas kartu su planuojamos ūkinės veiklos organizatoriumi (užsakovu) gautų pasiūlymų įvertinimą pateikia ataskaitoje.”</w:t>
                </w:r>
              </w:p>
              <w:p>
                <w:pPr>
                  <w:jc w:val="both"/>
                  <w:rPr>
                    <w:b/>
                    <w:sz w:val="20"/>
                    <w:lang w:val="pl-PL" w:eastAsia="en-GB"/>
                  </w:rPr>
                </w:pPr>
              </w:p>
              <w:p>
                <w:pPr>
                  <w:jc w:val="both"/>
                  <w:rPr>
                    <w:b/>
                    <w:sz w:val="20"/>
                    <w:lang w:val="pl-PL" w:eastAsia="en-GB"/>
                  </w:rPr>
                </w:pPr>
                <w:r>
                  <w:rPr>
                    <w:b/>
                    <w:sz w:val="20"/>
                    <w:lang w:val="pl-PL" w:eastAsia="en-GB"/>
                  </w:rPr>
                  <w:t>11 straipsnio 3-4 dalys</w:t>
                </w:r>
              </w:p>
              <w:p>
                <w:pPr>
                  <w:jc w:val="both"/>
                  <w:rPr>
                    <w:b/>
                    <w:sz w:val="20"/>
                    <w:lang w:val="pl-PL" w:eastAsia="en-GB"/>
                  </w:rPr>
                </w:pPr>
                <w:r>
                  <w:rPr>
                    <w:b/>
                    <w:sz w:val="20"/>
                    <w:lang w:val="pl-PL" w:eastAsia="en-GB"/>
                  </w:rPr>
                  <w:t>„3. Parengęs ataskaitą, poveikio aplinkai vertinimo dokumentų rengėjas organizuoja viešą visuomenės supažindinimą su ataskaita aplinkos ministro nustatyta tvarka, informuodamas apie jį visuomenę ne vėliau kaip prieš 20 darbo dienų iki jo. Visuomenė turi teisę susipažinti su ataskaita ir teikti pasiūlymus atsakingajai institucijai ir poveikio aplinkai vertinimo dokumentų rengėjui, iki viešo visuomenės supažindinimo su ataskaita, šio supažindinimo metu ir iki šio straipsnio 10 dalyje nurodyto termino.</w:t>
                </w:r>
              </w:p>
              <w:p>
                <w:pPr>
                  <w:jc w:val="both"/>
                  <w:rPr>
                    <w:b/>
                    <w:sz w:val="20"/>
                    <w:lang w:val="pl-PL" w:eastAsia="en-GB"/>
                  </w:rPr>
                </w:pPr>
                <w:r>
                  <w:rPr>
                    <w:b/>
                    <w:sz w:val="20"/>
                    <w:lang w:val="pl-PL" w:eastAsia="en-GB"/>
                  </w:rPr>
                  <w:t>4. Poveikio aplinkai vertinimo dokumentų rengėjas kartu su planuojamos ūkinės veiklos organizatoriumi (užsakovu) aplinkos ministro nustatyta tvarka įvertina suinteresuotos visuomenės pasiūlymus, prireikus pagal juos patikslina ataskaitą ir pateikia ją poveikio aplinkai vertinimo subjektams kartu su suinteresuotos visuomenės pasiūlymų įvertinimu.”</w:t>
                </w:r>
              </w:p>
              <w:p>
                <w:pPr>
                  <w:jc w:val="both"/>
                  <w:rPr>
                    <w:b/>
                    <w:sz w:val="20"/>
                    <w:lang w:val="pl-PL" w:eastAsia="en-GB"/>
                  </w:rPr>
                </w:pPr>
              </w:p>
              <w:p>
                <w:pPr>
                  <w:jc w:val="both"/>
                  <w:rPr>
                    <w:b/>
                    <w:sz w:val="20"/>
                    <w:lang w:val="pl-PL" w:eastAsia="en-GB"/>
                  </w:rPr>
                </w:pPr>
                <w:r>
                  <w:rPr>
                    <w:b/>
                    <w:sz w:val="20"/>
                    <w:lang w:val="pl-PL" w:eastAsia="en-GB"/>
                  </w:rPr>
                  <w:t>11 straipsnio 10-11 dalys</w:t>
                </w:r>
              </w:p>
              <w:p>
                <w:pPr>
                  <w:jc w:val="both"/>
                  <w:rPr>
                    <w:b/>
                    <w:sz w:val="20"/>
                    <w:lang w:val="pl-PL" w:eastAsia="en-GB"/>
                  </w:rPr>
                </w:pPr>
                <w:r>
                  <w:rPr>
                    <w:b/>
                    <w:sz w:val="20"/>
                    <w:lang w:val="pl-PL" w:eastAsia="en-GB"/>
                  </w:rPr>
                  <w:t>„10.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p>
                <w:pPr>
                  <w:jc w:val="both"/>
                  <w:rPr>
                    <w:b/>
                    <w:color w:val="000000"/>
                    <w:sz w:val="20"/>
                    <w:lang w:val="pl-PL" w:eastAsia="en-GB"/>
                  </w:rPr>
                </w:pPr>
                <w:r>
                  <w:rPr>
                    <w:b/>
                    <w:color w:val="000000"/>
                    <w:sz w:val="20"/>
                    <w:lang w:val="pl-PL" w:eastAsia="en-GB"/>
                  </w:rPr>
                  <w:t xml:space="preserve">11. Jeigu ataskaita iš esmės keičiama </w:t>
                </w:r>
                <w:r>
                  <w:rPr>
                    <w:b/>
                    <w:color w:val="000000"/>
                    <w:sz w:val="20"/>
                    <w:shd w:val="clear" w:color="auto" w:fill="FFFFFF"/>
                    <w:lang w:val="pl-PL" w:eastAsia="en-GB"/>
                  </w:rPr>
                  <w:t>(pvz., keičiamas veiklos mastas, numatomos naujos technologinės ir (ar) vietos alternatyvos)</w:t>
                </w:r>
                <w:r>
                  <w:rPr>
                    <w:b/>
                    <w:color w:val="000000"/>
                    <w:sz w:val="20"/>
                    <w:lang w:val="pl-PL" w:eastAsia="en-GB"/>
                  </w:rPr>
                  <w:t xml:space="preserve"> </w:t>
                </w:r>
                <w:r>
                  <w:rPr>
                    <w:b/>
                    <w:color w:val="000000"/>
                    <w:sz w:val="20"/>
                    <w:shd w:val="clear" w:color="auto" w:fill="FFFFFF"/>
                    <w:lang w:val="pl-PL" w:eastAsia="en-GB"/>
                  </w:rPr>
                  <w:t xml:space="preserve">ar </w:t>
                </w:r>
                <w:r>
                  <w:rPr>
                    <w:b/>
                    <w:color w:val="000000"/>
                    <w:sz w:val="20"/>
                    <w:lang w:val="pl-PL" w:eastAsia="en-GB"/>
                  </w:rPr>
                  <w:t xml:space="preserve">iš esmės taisoma </w:t>
                </w:r>
                <w:r>
                  <w:rPr>
                    <w:b/>
                    <w:color w:val="000000"/>
                    <w:sz w:val="20"/>
                    <w:shd w:val="clear" w:color="auto" w:fill="FFFFFF"/>
                    <w:lang w:val="pl-PL" w:eastAsia="en-GB"/>
                  </w:rPr>
                  <w:t xml:space="preserve">(pvz., kai ataskaitoje netinkamai ar nepilnai įvertintas galimas poveikis) </w:t>
                </w:r>
                <w:r>
                  <w:rPr>
                    <w:b/>
                    <w:color w:val="000000"/>
                    <w:sz w:val="20"/>
                    <w:lang w:val="pl-PL" w:eastAsia="en-GB"/>
                  </w:rPr>
                  <w:t>planuojamos ūkinės veiklos organizatoriaus iniciatyva,</w:t>
                </w:r>
                <w:r>
                  <w:rPr>
                    <w:b/>
                    <w:color w:val="000000"/>
                    <w:sz w:val="20"/>
                    <w:shd w:val="clear" w:color="auto" w:fill="FFFFFF"/>
                    <w:lang w:val="pl-PL" w:eastAsia="en-GB"/>
                  </w:rPr>
                  <w:t xml:space="preserve"> </w:t>
                </w:r>
                <w:r>
                  <w:rPr>
                    <w:b/>
                    <w:color w:val="000000"/>
                    <w:sz w:val="20"/>
                    <w:lang w:val="pl-PL" w:eastAsia="en-GB"/>
                  </w:rPr>
                  <w:t xml:space="preserve">dėl gautų poveikio </w:t>
                </w:r>
                <w:r>
                  <w:rPr>
                    <w:b/>
                    <w:sz w:val="20"/>
                    <w:lang w:val="pl-PL" w:eastAsia="en-GB"/>
                  </w:rPr>
                  <w:t xml:space="preserve">aplinkai vertinimo subjektų motyvuotų išvadų ir (ar) atsakingosios institucijos motyvuotų </w:t>
                </w:r>
                <w:r>
                  <w:rPr>
                    <w:b/>
                    <w:color w:val="000000"/>
                    <w:sz w:val="20"/>
                    <w:lang w:val="pl-PL" w:eastAsia="en-GB"/>
                  </w:rPr>
                  <w:t>reikalavimų pataisyti ar papildyti ataskaitą, atsakingoji institucija turi įpareigoti poveikio aplinkai vertinimo dokumentų rengėją organizuoti pakartotinį viešą visuomenės supažindinimą su ataskaita.”</w:t>
                </w:r>
              </w:p>
              <w:p>
                <w:pPr>
                  <w:jc w:val="both"/>
                  <w:rPr>
                    <w:b/>
                    <w:sz w:val="20"/>
                    <w:lang w:val="pl-PL" w:eastAsia="en-GB"/>
                  </w:rPr>
                </w:pPr>
              </w:p>
              <w:p>
                <w:pPr>
                  <w:jc w:val="both"/>
                  <w:rPr>
                    <w:b/>
                    <w:sz w:val="20"/>
                    <w:lang w:val="pl-PL" w:eastAsia="en-GB"/>
                  </w:rPr>
                </w:pPr>
                <w:r>
                  <w:rPr>
                    <w:b/>
                    <w:sz w:val="20"/>
                    <w:lang w:val="pl-PL" w:eastAsia="en-GB"/>
                  </w:rPr>
                  <w:t>12 straipsnio 1 dalis</w:t>
                </w:r>
              </w:p>
              <w:p>
                <w:pPr>
                  <w:jc w:val="both"/>
                  <w:rPr>
                    <w:b/>
                    <w:sz w:val="20"/>
                    <w:lang w:val="pl-PL" w:eastAsia="en-GB"/>
                  </w:rPr>
                </w:pPr>
                <w:r>
                  <w:rPr>
                    <w:b/>
                    <w:sz w:val="20"/>
                    <w:lang w:val="pl-PL" w:eastAsia="en-GB"/>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w:t>
                </w:r>
              </w:p>
              <w:p>
                <w:pPr>
                  <w:jc w:val="both"/>
                  <w:rPr>
                    <w:b/>
                    <w:sz w:val="20"/>
                    <w:lang w:val="pl-PL" w:eastAsia="en-GB"/>
                  </w:rPr>
                </w:pPr>
                <w:r>
                  <w:rPr>
                    <w:b/>
                    <w:sz w:val="20"/>
                    <w:lang w:val="pl-PL" w:eastAsia="en-GB"/>
                  </w:rPr>
                  <w:t>1) teikia motyvuotus reikalavimus ataskaitą pataisyti ar papildyti arba</w:t>
                </w:r>
              </w:p>
              <w:p>
                <w:pPr>
                  <w:jc w:val="both"/>
                  <w:rPr>
                    <w:b/>
                    <w:sz w:val="20"/>
                    <w:lang w:val="pl-PL" w:eastAsia="en-GB"/>
                  </w:rPr>
                </w:pPr>
                <w:r>
                  <w:rPr>
                    <w:b/>
                    <w:sz w:val="20"/>
                    <w:lang w:val="pl-PL" w:eastAsia="en-GB"/>
                  </w:rPr>
                  <w:t>2) priima sprendimą dėl planuojamos ūkinės veiklos poveikio aplinkai. Sprendimo dėl planuojamos ūkinės veiklos poveikio aplinkai turinį nustato aplinkos ministras.”</w:t>
                </w:r>
              </w:p>
              <w:p>
                <w:pPr>
                  <w:jc w:val="both"/>
                  <w:rPr>
                    <w:b/>
                    <w:sz w:val="20"/>
                    <w:lang w:val="pl-PL" w:eastAsia="en-GB"/>
                  </w:rPr>
                </w:pPr>
              </w:p>
              <w:p>
                <w:pPr>
                  <w:jc w:val="both"/>
                  <w:rPr>
                    <w:b/>
                    <w:sz w:val="20"/>
                    <w:lang w:val="pl-PL" w:eastAsia="en-GB"/>
                  </w:rPr>
                </w:pPr>
                <w:r>
                  <w:rPr>
                    <w:b/>
                    <w:sz w:val="20"/>
                    <w:lang w:val="pl-PL" w:eastAsia="en-GB"/>
                  </w:rPr>
                  <w:t>14 straipsnio 1 dalis</w:t>
                </w:r>
              </w:p>
              <w:p>
                <w:pPr>
                  <w:jc w:val="both"/>
                  <w:rPr>
                    <w:b/>
                    <w:sz w:val="20"/>
                    <w:lang w:val="pl-PL" w:eastAsia="en-GB"/>
                  </w:rPr>
                </w:pPr>
                <w:r>
                  <w:rPr>
                    <w:b/>
                    <w:sz w:val="20"/>
                    <w:lang w:val="pl-PL" w:eastAsia="en-GB"/>
                  </w:rPr>
                  <w:t>„1. Atrankos dėl poveikio aplinkai vertinimo ir poveikio aplinkai vertinimo metu suinteresuota visuomenė turi teisę įstatymų nustatyta tvarka gauti iš kitų atrankos dėl poveikio aplinkai vertinimo ir poveikio aplinkai vertinimo procesų dalyvių informaciją apie galimą planuojamos ūkinės veiklos poveikį aplinkai.”</w:t>
                </w:r>
              </w:p>
              <w:p>
                <w:pPr>
                  <w:jc w:val="both"/>
                  <w:rPr>
                    <w:b/>
                    <w:i/>
                    <w:iCs/>
                    <w:color w:val="000000"/>
                    <w:sz w:val="20"/>
                    <w:lang w:eastAsia="en-GB"/>
                  </w:rPr>
                </w:pPr>
              </w:p>
            </w:tc>
            <w:tc>
              <w:tcPr>
                <w:tcW w:w="1421" w:type="dxa"/>
              </w:tcPr>
              <w:p>
                <w:pPr>
                  <w:ind w:firstLine="312"/>
                  <w:jc w:val="center"/>
                  <w:rPr>
                    <w:b/>
                    <w:sz w:val="20"/>
                  </w:rPr>
                </w:pPr>
                <w:r>
                  <w:rPr>
                    <w:b/>
                    <w:sz w:val="20"/>
                  </w:rPr>
                  <w:t>Visiškas.</w:t>
                </w:r>
              </w:p>
            </w:tc>
          </w:tr>
          <w:tr>
            <w:tc>
              <w:tcPr>
                <w:tcW w:w="3652" w:type="dxa"/>
              </w:tcPr>
              <w:p>
                <w:pPr>
                  <w:suppressLineNumbers/>
                  <w:suppressAutoHyphens/>
                  <w:snapToGrid w:val="0"/>
                  <w:jc w:val="both"/>
                  <w:rPr>
                    <w:b/>
                    <w:bCs/>
                    <w:sz w:val="19"/>
                    <w:szCs w:val="19"/>
                    <w:lang w:eastAsia="ar-SA"/>
                  </w:rPr>
                </w:pPr>
                <w:r>
                  <w:rPr>
                    <w:b/>
                    <w:bCs/>
                    <w:sz w:val="19"/>
                    <w:szCs w:val="19"/>
                    <w:lang w:eastAsia="ar-SA"/>
                  </w:rPr>
                  <w:t>M1</w:t>
                </w:r>
              </w:p>
              <w:p>
                <w:pPr>
                  <w:suppressLineNumbers/>
                  <w:suppressAutoHyphens/>
                  <w:snapToGrid w:val="0"/>
                  <w:jc w:val="both"/>
                  <w:rPr>
                    <w:sz w:val="19"/>
                    <w:szCs w:val="19"/>
                    <w:lang w:eastAsia="ar-SA"/>
                  </w:rPr>
                </w:pPr>
                <w:r>
                  <w:rPr>
                    <w:sz w:val="20"/>
                    <w:lang w:eastAsia="ar-SA"/>
                  </w:rPr>
                  <w:t>5. Išsamias visuomenės informavimo, pavyzdžiui, informavimą skelbimais tam tikru spinduliu ar skelbimais vietiniuose laikraščiuose, ir konsultavimosi su suinteresuota visuomene, pavyzdžiui, rašytiniais teikimais ar visuomenės apklausos būdu, priemones nustato valstybės narės. Valstybės narės imasi priemonių, būtinų užtikrinti, kad atitinkama informacija visuomenei būtų prieinama bent per centrinį portalą arba lengvai prieinamus prieigos taškus atitinkamu administraciniu lygmeniu.</w:t>
                </w:r>
              </w:p>
            </w:tc>
            <w:tc>
              <w:tcPr>
                <w:tcW w:w="9639" w:type="dxa"/>
              </w:tcPr>
              <w:p>
                <w:pPr>
                  <w:jc w:val="both"/>
                  <w:rPr>
                    <w:b/>
                    <w:sz w:val="20"/>
                  </w:rPr>
                </w:pPr>
                <w:r>
                  <w:rPr>
                    <w:b/>
                    <w:sz w:val="20"/>
                  </w:rPr>
                  <w:t>Projektas</w:t>
                </w:r>
              </w:p>
              <w:p>
                <w:pPr>
                  <w:jc w:val="both"/>
                  <w:rPr>
                    <w:b/>
                    <w:sz w:val="20"/>
                    <w:lang w:eastAsia="en-GB"/>
                  </w:rPr>
                </w:pPr>
                <w:r>
                  <w:rPr>
                    <w:b/>
                    <w:sz w:val="20"/>
                    <w:lang w:eastAsia="en-GB"/>
                  </w:rPr>
                  <w:t>14 straipsnio 1 dalis</w:t>
                </w:r>
              </w:p>
              <w:p>
                <w:pPr>
                  <w:spacing w:line="259" w:lineRule="auto"/>
                  <w:jc w:val="both"/>
                  <w:rPr>
                    <w:b/>
                    <w:sz w:val="20"/>
                    <w:lang w:eastAsia="en-GB"/>
                  </w:rPr>
                </w:pPr>
                <w:r>
                  <w:rPr>
                    <w:b/>
                    <w:sz w:val="20"/>
                  </w:rPr>
                  <w:t>„</w:t>
                </w:r>
                <w:r>
                  <w:rPr>
                    <w:b/>
                    <w:sz w:val="20"/>
                    <w:lang w:eastAsia="en-GB"/>
                  </w:rPr>
                  <w:t>2. Visuomenės informavimo ir dalyvavimo planuojamos ūkinės veiklos atrankos dėl poveikio aplinkai vertinimo ir poveikio aplinkai vertinimo procesuose tvarką nustato aplinkos ministras.“</w:t>
                </w:r>
              </w:p>
              <w:p>
                <w:pPr>
                  <w:rPr>
                    <w:sz w:val="14"/>
                    <w:szCs w:val="14"/>
                  </w:rPr>
                </w:pPr>
              </w:p>
              <w:p>
                <w:pPr>
                  <w:jc w:val="both"/>
                  <w:rPr>
                    <w:b/>
                    <w:sz w:val="20"/>
                  </w:rPr>
                </w:pP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b/>
                    <w:sz w:val="20"/>
                    <w:lang w:eastAsia="en-GB"/>
                  </w:rPr>
                </w:pPr>
                <w:r>
                  <w:rPr>
                    <w:b/>
                    <w:sz w:val="20"/>
                    <w:lang w:eastAsia="en-GB"/>
                  </w:rPr>
                  <w:t>M1</w:t>
                </w:r>
              </w:p>
              <w:p>
                <w:pPr>
                  <w:suppressLineNumbers/>
                  <w:suppressAutoHyphens/>
                  <w:snapToGrid w:val="0"/>
                  <w:jc w:val="both"/>
                  <w:rPr>
                    <w:sz w:val="20"/>
                    <w:lang w:eastAsia="ar-SA"/>
                  </w:rPr>
                </w:pPr>
                <w:r>
                  <w:rPr>
                    <w:sz w:val="20"/>
                    <w:lang w:eastAsia="ar-SA"/>
                  </w:rPr>
                  <w:t xml:space="preserve">6. Nustatomi pagrįsti įvairių etapų terminai, kad būtų pakankamai laiko: </w:t>
                </w:r>
              </w:p>
              <w:p>
                <w:pPr>
                  <w:suppressLineNumbers/>
                  <w:suppressAutoHyphens/>
                  <w:snapToGrid w:val="0"/>
                  <w:jc w:val="both"/>
                  <w:rPr>
                    <w:sz w:val="20"/>
                    <w:lang w:eastAsia="ar-SA"/>
                  </w:rPr>
                </w:pPr>
                <w:r>
                  <w:rPr>
                    <w:sz w:val="20"/>
                    <w:lang w:eastAsia="ar-SA"/>
                  </w:rPr>
                  <w:t xml:space="preserve">a) informuoti 1 dalyje nurodytas institucijas bei visuomenę ir </w:t>
                </w:r>
              </w:p>
              <w:p>
                <w:pPr>
                  <w:suppressLineNumbers/>
                  <w:suppressAutoHyphens/>
                  <w:snapToGrid w:val="0"/>
                  <w:jc w:val="both"/>
                  <w:rPr>
                    <w:sz w:val="19"/>
                    <w:szCs w:val="19"/>
                    <w:lang w:eastAsia="ar-SA"/>
                  </w:rPr>
                </w:pPr>
                <w:r>
                  <w:rPr>
                    <w:sz w:val="20"/>
                    <w:lang w:eastAsia="ar-SA"/>
                  </w:rPr>
                  <w:t xml:space="preserve">b) 1 dalyje nurodytoms institucijoms ir suinteresuotai visuomenei pasirengti ir veiksmingai dalyvauti priimant sprendimus aplinkos klausimais pagal šio straipsnio nuostatas. </w:t>
                </w: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8 straipsnio 4-8 dalys</w:t>
                </w:r>
              </w:p>
              <w:p>
                <w:pPr>
                  <w:jc w:val="both"/>
                  <w:rPr>
                    <w:b/>
                    <w:sz w:val="20"/>
                    <w:lang w:eastAsia="en-GB"/>
                  </w:rPr>
                </w:pPr>
                <w:r>
                  <w:rPr>
                    <w:b/>
                    <w:sz w:val="20"/>
                    <w:lang w:eastAsia="lt-LT"/>
                  </w:rPr>
                  <w:t>„</w:t>
                </w:r>
                <w:r>
                  <w:rPr>
                    <w:b/>
                    <w:sz w:val="20"/>
                    <w:lang w:eastAsia="en-GB"/>
                  </w:rPr>
                  <w:t xml:space="preserve">4. </w:t>
                </w:r>
                <w:r>
                  <w:rPr>
                    <w:b/>
                    <w:sz w:val="20"/>
                    <w:lang w:eastAsia="lt-LT"/>
                  </w:rPr>
                  <w:t>Atsakingoji institucija informaciją apie parengtą programą per 3 darbo dienas nuo jos gavimo dienos paskelbia aplinkos ministro nustatyta tvarka. Informacijos apie programą gavimo atsakingojoje institucijoje diena laikoma poveikio aplinkai vertinimo pradžia, išskyrus atvejus, kai iki šios informacijos gavimo atsakingojoje institucijoje dienos buvo gautas pranešimas apie poveikio aplinkai vertinimo pradžią šio įstatymo 9 straipsnyje nustatyta tvarka.</w:t>
                </w:r>
              </w:p>
              <w:p>
                <w:pPr>
                  <w:jc w:val="both"/>
                  <w:rPr>
                    <w:b/>
                    <w:sz w:val="20"/>
                    <w:lang w:eastAsia="en-GB"/>
                  </w:rPr>
                </w:pPr>
                <w:r>
                  <w:rPr>
                    <w:b/>
                    <w:sz w:val="20"/>
                    <w:lang w:eastAsia="en-GB"/>
                  </w:rPr>
                  <w:t>5. Poveikio aplinkai vertinimo subjektai programą išnagrinėja, įvertina joje pateiktą informaciją ir per 10 darbo dienų nuo jos gavimo dienos pateikia motyvuotas išvadas poveikio aplinkai vertinimo dokumentų rengėjui. Poveikio aplinkai vertinimo subjektai, atsakingi už gaisrinę ir civilinę saugą, nekilnojamųjų kultūros vertybių apsaugą, atsižvelgę į planuojamos ūkinės veiklos mastą, pobūdį ar vietos ypatumus, teikdami išvadas dėl programos, turi teisę nurodyti, ar jie nagrinės ataskaitą. Jeigu poveikio aplinkai vertinimo subjektai, atsakingi už gaisrinę ir civilinę saugą, nekilnojamųjų kultūros vertybių apsaugą, nurodo, kad nenagrinės ataskaitos, ataskaita jiems neteikiama.</w:t>
                </w:r>
              </w:p>
              <w:p>
                <w:pPr>
                  <w:jc w:val="both"/>
                  <w:rPr>
                    <w:b/>
                    <w:sz w:val="20"/>
                    <w:lang w:eastAsia="en-GB"/>
                  </w:rPr>
                </w:pPr>
                <w:r>
                  <w:rPr>
                    <w:b/>
                    <w:sz w:val="20"/>
                    <w:lang w:eastAsia="lt-LT"/>
                  </w:rPr>
                  <w:t xml:space="preserve">6. </w:t>
                </w:r>
                <w:r>
                  <w:rPr>
                    <w:b/>
                    <w:sz w:val="20"/>
                    <w:lang w:eastAsia="en-GB"/>
                  </w:rPr>
                  <w:t xml:space="preserve">Jeigu iki programos patvirtinimo, tačiau ne vėliau kaip per 20 darbo dienų nuo programos gavimo savivaldybės vykdomojoje institucijoje dienos savivaldybės, kurios teritorijoje planuojama ūkinė veikla, taryba priima neigiamą motyvuotą sprendimą dėl planuojamos ūkinės veiklos galimybių, poveikio aplinkai vertinimo procedūros negali būti tęsiamos tol, kol galioja savivaldybės tarybos priimtas neigiamas motyvuotas sprendimas, išskyrus atvejus, kai planuojama ūkinė veikla yra Vyriausybės pripažinta valstybei svarbiu projektu ar yra regioninės svarbos projektas arba planuojama ūkinė veikla reikalinga valstybei svarbiam ar regioninės svarbos projektui įgyvendinti. Apie savivaldybės tarybos priimtą neigiamą motyvuotą sprendimą savivaldybės administracija nedelsdama – per 3 darbo dienas – informuoja atsakingąją instituciją ir planuojamos ūkinės veiklos organizatorių (užsakovą) ir kartu pateikia neigiamą motyvuotą savivaldybės tarybos sprendimą. Atsakingoji institucija, gavusi šį savivaldybės tarybos sprendimą, apie tai informuoja visuomenę aplinkos ministro nustatyta tvarka. </w:t>
                </w:r>
              </w:p>
              <w:p>
                <w:pPr>
                  <w:jc w:val="both"/>
                  <w:rPr>
                    <w:b/>
                    <w:sz w:val="20"/>
                    <w:lang w:eastAsia="en-GB"/>
                  </w:rPr>
                </w:pPr>
                <w:r>
                  <w:rPr>
                    <w:b/>
                    <w:sz w:val="20"/>
                    <w:lang w:eastAsia="en-GB"/>
                  </w:rPr>
                  <w:t xml:space="preserve">7. </w:t>
                </w:r>
                <w:r>
                  <w:rPr>
                    <w:b/>
                    <w:sz w:val="20"/>
                    <w:lang w:eastAsia="lt-LT"/>
                  </w:rPr>
                  <w:t>Suinteresuotoji visuomenė turi teisę teikti pasiūlymus dėl programos atsakingajai institucijai ir planuojamos ūkinės veiklos organizatoriui (užsakovui) arba poveikio aplinkai vertinimo dokumentų rengėjui per nustatytą pasiūlymų teikimo terminą, kuris turi būti ne trumpesnis kaip 10 darbo dienų nuo atsakingos institucijos gautos informacijos paskelbimo dienos.</w:t>
                </w:r>
              </w:p>
              <w:p>
                <w:pPr>
                  <w:jc w:val="both"/>
                  <w:rPr>
                    <w:b/>
                    <w:sz w:val="20"/>
                    <w:lang w:eastAsia="en-GB"/>
                  </w:rPr>
                </w:pPr>
                <w:r>
                  <w:rPr>
                    <w:b/>
                    <w:sz w:val="20"/>
                    <w:lang w:eastAsia="en-GB"/>
                  </w:rPr>
                  <w:t>8. Poveikio aplinkai vertinimo subjektai turi teisę pateikti motyvuotus reikalavimus poveikio aplinkai vertinimo dokumentų rengėjui papildyti ar pataisyti programą. Tokiais atvejais poveikio aplinkai vertinimo dokumentų rengėjas papildo ar pataiso programą ir pakartotinai teikia ją poveikio aplinkai vertinimo subjektams, kurie per 5 darbo dienas nuo jos gavimo dienos programą išnagrinėja, įvertina joje pateiktą informaciją ir pateikia motyvuotas išvadas poveikio aplinkai vertinimo dokumentų rengėjui.“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p>
              <w:p>
                <w:pPr>
                  <w:jc w:val="both"/>
                  <w:rPr>
                    <w:b/>
                    <w:sz w:val="20"/>
                    <w:lang w:eastAsia="en-GB"/>
                  </w:rPr>
                </w:pPr>
                <w:r>
                  <w:rPr>
                    <w:b/>
                    <w:sz w:val="20"/>
                    <w:lang w:eastAsia="en-GB"/>
                  </w:rPr>
                  <w:t>9 straipsnio 3-4 dalys</w:t>
                </w:r>
              </w:p>
              <w:p>
                <w:pPr>
                  <w:jc w:val="both"/>
                  <w:rPr>
                    <w:b/>
                    <w:sz w:val="20"/>
                    <w:lang w:eastAsia="lt-LT"/>
                  </w:rPr>
                </w:pPr>
                <w:r>
                  <w:rPr>
                    <w:b/>
                    <w:sz w:val="20"/>
                    <w:lang w:eastAsia="en-GB"/>
                  </w:rPr>
                  <w:t>„</w:t>
                </w:r>
                <w:r>
                  <w:rPr>
                    <w:b/>
                    <w:sz w:val="20"/>
                    <w:lang w:eastAsia="lt-LT"/>
                  </w:rPr>
                  <w:t>3. Planuojamos ūkinės veiklos organizatorius (užsakovas) arba poveikio aplinkai vertinimo dokumentų rengėjas pranešimą apie PAV pradžią ne vėliau kaip per 15 darbo dienų iki visuomenės informavimo apie viešą visuomenės supažindinimą su ataskaita šio įstatymo 11 straipsnio 3 dalyje nustatyta tvarka pateikia poveikio aplinkai vertinimo subjektams ir atsakingajai institucijai (kuri gautą informaciją per 3 darbo dienas nuo pranešimo apie PAV pradžią gavimo dienos paskelbia aplinkos ministro nustatyta tvarka) ir aplinkos ministro nustatyta tvarka informuoja visuomenę. Pranešimo apie PAV pradžią gavimo atsakingojoje institucijoje diena laikoma poveikio aplinkai vertinimo pradžia.</w:t>
                </w:r>
              </w:p>
              <w:p>
                <w:pPr>
                  <w:jc w:val="both"/>
                  <w:rPr>
                    <w:b/>
                    <w:sz w:val="20"/>
                    <w:lang w:eastAsia="en-GB"/>
                  </w:rPr>
                </w:pPr>
                <w:r>
                  <w:rPr>
                    <w:b/>
                    <w:sz w:val="20"/>
                    <w:lang w:eastAsia="lt-LT"/>
                  </w:rPr>
                  <w:t>4. Atsakingoji institucija ir poveikio aplinkai vertinimo subjektai turi teisę pateikti motyvuotus pasiūlymus planuojamos ūkinės veiklos organizatoriui (užsakovui) arba poveikio aplinkai vertinimo dokumentų rengėjui per 10 darbo dienų nuo pranešimo apie PAV pradžią gavimo dienos. Suinteresuotoji visuomenė turi teisę pateikti pasiūlymus atsakingajai institucijai ir planuojamos ūkinės veiklos organizatoriui (užsakovui) arba poveikio aplinkai vertinimo dokumentų rengėjui per 10 darbo dienų nuo tos dienos, kai gautą pranešimą apie PAV pradžią paskelbia atsakingoji institucija. Poveikio aplinkai vertinimo dokumentų rengėjas kartu su planuojamos ūkinės veiklos organizatoriumi (užsakovu) gautų pasiūlymų įvertinimą pateikia ataskaitoje.“</w:t>
                </w:r>
              </w:p>
              <w:p>
                <w:pPr>
                  <w:jc w:val="both"/>
                  <w:rPr>
                    <w:b/>
                    <w:sz w:val="20"/>
                    <w:lang w:eastAsia="en-GB"/>
                  </w:rPr>
                </w:pPr>
              </w:p>
              <w:p>
                <w:pPr>
                  <w:jc w:val="both"/>
                  <w:rPr>
                    <w:b/>
                    <w:sz w:val="20"/>
                    <w:lang w:eastAsia="en-GB"/>
                  </w:rPr>
                </w:pPr>
                <w:r>
                  <w:rPr>
                    <w:b/>
                    <w:sz w:val="20"/>
                    <w:lang w:eastAsia="en-GB"/>
                  </w:rPr>
                  <w:t>11 straipsnio 3-7 dalys</w:t>
                </w:r>
              </w:p>
              <w:p>
                <w:pPr>
                  <w:jc w:val="both"/>
                  <w:rPr>
                    <w:b/>
                    <w:sz w:val="20"/>
                    <w:lang w:eastAsia="en-GB"/>
                  </w:rPr>
                </w:pPr>
                <w:r>
                  <w:rPr>
                    <w:b/>
                    <w:sz w:val="20"/>
                    <w:lang w:eastAsia="en-GB"/>
                  </w:rPr>
                  <w:t>„3. Parengęs ataskaitą, poveikio aplinkai vertinimo dokumentų rengėjas organizuoja viešą visuomenės supažindinimą su ataskaita aplinkos ministro nustatyta tvarka, informuodamas apie jį visuomenę ne vėliau kaip prieš 20 darbo dienų iki jo. Visuomenė turi teisę susipažinti su ataskaita ir teikti pasiūlymus atsakingajai institucijai ir poveikio aplinkai vertinimo dokumentų rengėjui, iki viešo visuomenės supažindinimo su ataskaita, šio supažindinimo metu ir iki šio straipsnio 10 dalyje nurodyto termino.</w:t>
                </w:r>
              </w:p>
              <w:p>
                <w:pPr>
                  <w:jc w:val="both"/>
                  <w:rPr>
                    <w:b/>
                    <w:sz w:val="20"/>
                    <w:lang w:eastAsia="en-GB"/>
                  </w:rPr>
                </w:pPr>
                <w:r>
                  <w:rPr>
                    <w:b/>
                    <w:sz w:val="20"/>
                    <w:lang w:eastAsia="en-GB"/>
                  </w:rPr>
                  <w:t xml:space="preserve">4. Poveikio aplinkai vertinimo dokumentų rengėjas kartu su planuojamos ūkinės veiklos organizatoriumi (užsakovu) aplinkos ministro nustatyta tvarka įvertina suinteresuotos visuomenės pasiūlymus, prireikus pagal juos patikslina ataskaitą ir pateikia ją poveikio aplinkai vertinimo subjektams kartu su suinteresuotos visuomenės pasiūlymų įvertinimu. </w:t>
                </w:r>
              </w:p>
              <w:p>
                <w:pPr>
                  <w:jc w:val="both"/>
                  <w:rPr>
                    <w:b/>
                    <w:sz w:val="20"/>
                    <w:lang w:eastAsia="en-GB"/>
                  </w:rPr>
                </w:pPr>
                <w:r>
                  <w:rPr>
                    <w:b/>
                    <w:sz w:val="20"/>
                    <w:lang w:eastAsia="en-GB"/>
                  </w:rPr>
                  <w:t xml:space="preserve">5. Poveikio aplinkai vertinimo subjektai išnagrinėja, įvertina ataskaitą, suinteresuotos visuomenės pasiūlymus ir suinteresuotos visuomenės pasiūlymų įvertinimą ir per 20 darbo dienų nuo jų gavimo dienos pagal šio įstatymo 6 straipsnio 5 dalyje nurodytą kompetenciją pateikia poveikio aplinkai vertinimo dokumentų rengėjui motyvuotas išvadas dėl ataskaitos ir planuojamos ūkinės veiklos poveikio aplinkai arba pastabas ir pasiūlymus šio straipsnio 7 dalyje nustatyta tvarka. Motyvuotose išvadose poveikio aplinkai vertinimo subjektai turi nurodyti: teisės aktų reikalavimais pagrįstus motyvus dėl pritarimo ar nepritarimo planuojamai ūkinei veiklai; kokiai (-oms) konkrečiai (-oms) alternatyvai (-oms)  pritaria ar nepritaria, jeigu ataskaitoje buvo nagrinėtos alternatyvos; konkrečių teisės aktų reikalavimais pagrįstas sąlygas, kurios turi būti įgyvendintos iki veiklos vykdymo pradžios ir (ar)</w:t>
                </w:r>
                <w:r>
                  <w:rPr>
                    <w:b/>
                    <w:color w:val="000000"/>
                    <w:sz w:val="20"/>
                    <w:lang w:eastAsia="en-GB"/>
                  </w:rPr>
                  <w:t xml:space="preserve"> ūkinės veiklos vykdymo ir (ar) ūkinės veiklos užbaigimo</w:t>
                </w:r>
                <w:r>
                  <w:rPr>
                    <w:b/>
                    <w:sz w:val="20"/>
                    <w:lang w:eastAsia="en-GB"/>
                  </w:rPr>
                  <w:t xml:space="preserve"> metu, ir pateikti pagrįstą nuomonę dėl vertinimo metodų, rezultatų, ataskaitos kokybės ir siūlomų priemonių numatomam reikšmingam neigiamam poveikiui aplinkai išvengti, sumažinti ir (ar) jį kompensuoti.</w:t>
                </w:r>
              </w:p>
              <w:p>
                <w:pPr>
                  <w:jc w:val="both"/>
                  <w:rPr>
                    <w:b/>
                    <w:sz w:val="20"/>
                    <w:lang w:eastAsia="en-GB"/>
                  </w:rPr>
                </w:pPr>
                <w:r>
                  <w:rPr>
                    <w:b/>
                    <w:sz w:val="20"/>
                    <w:lang w:eastAsia="lt-LT"/>
                  </w:rPr>
                  <w:t xml:space="preserve">6. Jeigu nebuvo rengta programa ir jei iki sprendimo dėl planuojamos ūkinės veiklos priėmimo, tačiau ne vėliau kaip per 20 darbo dienų nuo ataskaitos gavimo savivaldybės vykdomojoje institucijoje dienos savivaldybės, kurios teritorijoje planuojama ūkinė veikla, taryba priima neigiamą motyvuotą sprendimą dėl planuojamos ūkinės veiklos galimybių, poveikio aplinkai vertinimo procedūros negali būti tęsiamos tol, kol galioja savivaldybės tarybos priimtas neigiamas motyvuotas sprendimas, išskyrus atvejus, kai planuojama ūkinė veikla yra </w:t>
                </w:r>
                <w:r>
                  <w:rPr>
                    <w:b/>
                    <w:color w:val="000000"/>
                    <w:sz w:val="20"/>
                    <w:shd w:val="clear" w:color="auto" w:fill="FFFFFF"/>
                    <w:lang w:eastAsia="en-GB"/>
                  </w:rPr>
                  <w:t xml:space="preserve">Vyriausybės pripažinta valstybei svarbiu projektu </w:t>
                </w:r>
                <w:r>
                  <w:rPr>
                    <w:b/>
                    <w:sz w:val="20"/>
                    <w:lang w:eastAsia="en-GB"/>
                  </w:rPr>
                  <w:t>ar yra regioninės svarbos projektas</w:t>
                </w:r>
                <w:r>
                  <w:rPr>
                    <w:b/>
                    <w:sz w:val="20"/>
                    <w:lang w:eastAsia="lt-LT"/>
                  </w:rPr>
                  <w:t xml:space="preserve"> arba planuojama ūkinė veikla reikalinga valstybei svarbiam ar regioninės svarbos projektui įgyvendinti. Apie savivaldybės tarybos priimtą neigiamą motyvuotą sprendimą savivaldybės administracija nedelsdama – per 3 darbo dienas – informuoja atsakingąją instituciją ir planuojamos ūkinės veiklos organizatorių (užsakovą) ir kartu pateikia neigiamą motyvuotą savivaldybės tarybos sprendimą. Atsakingoji institucija, gavusi šį savivaldybės tarybos sprendimą, apie tai informuoja visuomenę aplinkos ministro nustatyta tvarka.</w:t>
                </w:r>
                <w:r>
                  <w:rPr>
                    <w:b/>
                    <w:sz w:val="20"/>
                    <w:lang w:eastAsia="en-GB"/>
                  </w:rPr>
                  <w:t xml:space="preserve"> </w:t>
                </w:r>
              </w:p>
              <w:p>
                <w:pPr>
                  <w:jc w:val="both"/>
                  <w:rPr>
                    <w:b/>
                    <w:sz w:val="20"/>
                    <w:lang w:eastAsia="en-GB"/>
                  </w:rPr>
                </w:pPr>
                <w:r>
                  <w:rPr>
                    <w:b/>
                    <w:sz w:val="20"/>
                    <w:lang w:eastAsia="en-GB"/>
                  </w:rPr>
                  <w:t>7. Poveikio aplinkai vertinimo subjektai turi teisę pateikti motyvuotus reikalavimus, kad poveikio aplinkai vertinimo dokumentų rengėjas papildytų ar pataisytų ataskaitą. Poveikio aplinkai vertinimo dokumentų rengėjas turi papildyti ar pataisyti ataskaitą ir pakartotinai pateikti ją pastabas ir (ar) pasiūlymus pateikusiems poveikio aplinkai vertinimo subjektams. Šie ataskaitą išnagrinėja, įvertina ir per 10 darbo dienų nuo jos gavimo dienos pateikia motyvuotas išvadas dėl ataskaitos ir planuojamos ūkinės veiklos poveikio aplinkai poveikio aplinkai vertinimo dokumentų rengėjui.“</w:t>
                </w:r>
              </w:p>
              <w:p>
                <w:pPr>
                  <w:jc w:val="both"/>
                  <w:rPr>
                    <w:b/>
                    <w:sz w:val="20"/>
                    <w:lang w:eastAsia="en-GB"/>
                  </w:rPr>
                </w:pPr>
              </w:p>
              <w:p>
                <w:pPr>
                  <w:jc w:val="both"/>
                  <w:rPr>
                    <w:b/>
                    <w:sz w:val="20"/>
                    <w:lang w:eastAsia="en-GB"/>
                  </w:rPr>
                </w:pPr>
                <w:r>
                  <w:rPr>
                    <w:b/>
                    <w:sz w:val="20"/>
                    <w:lang w:eastAsia="en-GB"/>
                  </w:rPr>
                  <w:t>11 straipsnio 10 dalis</w:t>
                </w:r>
              </w:p>
              <w:p>
                <w:pPr>
                  <w:jc w:val="both"/>
                  <w:rPr>
                    <w:b/>
                    <w:sz w:val="20"/>
                    <w:lang w:eastAsia="en-GB"/>
                  </w:rPr>
                </w:pPr>
                <w:r>
                  <w:rPr>
                    <w:b/>
                    <w:sz w:val="20"/>
                    <w:lang w:eastAsia="en-GB"/>
                  </w:rPr>
                  <w:t>„10.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p>
                <w:pPr>
                  <w:jc w:val="both"/>
                  <w:rPr>
                    <w:b/>
                    <w:sz w:val="20"/>
                    <w:lang w:eastAsia="en-GB"/>
                  </w:rPr>
                </w:pPr>
              </w:p>
              <w:p>
                <w:pPr>
                  <w:jc w:val="both"/>
                  <w:rPr>
                    <w:b/>
                    <w:sz w:val="20"/>
                    <w:lang w:eastAsia="en-GB"/>
                  </w:rPr>
                </w:pPr>
                <w:r>
                  <w:rPr>
                    <w:b/>
                    <w:sz w:val="20"/>
                    <w:lang w:eastAsia="en-GB"/>
                  </w:rPr>
                  <w:t>12 straipsnio 1-4 dalys</w:t>
                </w:r>
              </w:p>
              <w:p>
                <w:pPr>
                  <w:jc w:val="both"/>
                  <w:rPr>
                    <w:b/>
                    <w:sz w:val="20"/>
                    <w:lang w:eastAsia="en-GB"/>
                  </w:rPr>
                </w:pPr>
                <w:r>
                  <w:rPr>
                    <w:b/>
                    <w:sz w:val="20"/>
                    <w:lang w:eastAsia="en-GB"/>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w:t>
                </w:r>
              </w:p>
              <w:p>
                <w:pPr>
                  <w:jc w:val="both"/>
                  <w:rPr>
                    <w:b/>
                    <w:sz w:val="20"/>
                    <w:lang w:eastAsia="en-GB"/>
                  </w:rPr>
                </w:pPr>
                <w:r>
                  <w:rPr>
                    <w:b/>
                    <w:sz w:val="20"/>
                    <w:lang w:eastAsia="en-GB"/>
                  </w:rPr>
                  <w:t>1) teikia motyvuotus reikalavimus ataskaitą pataisyti ar papildyti arba</w:t>
                </w:r>
              </w:p>
              <w:p>
                <w:pPr>
                  <w:jc w:val="both"/>
                  <w:rPr>
                    <w:b/>
                    <w:sz w:val="20"/>
                    <w:lang w:eastAsia="en-GB"/>
                  </w:rPr>
                </w:pPr>
                <w:r>
                  <w:rPr>
                    <w:b/>
                    <w:sz w:val="20"/>
                    <w:lang w:eastAsia="en-GB"/>
                  </w:rPr>
                  <w:t>2) priima sprendimą dėl planuojamos ūkinės veiklos poveikio aplinkai. Sprendimo dėl planuojamos ūkinės veiklos poveikio aplinkai turinį nustato aplinkos ministras.</w:t>
                </w:r>
              </w:p>
              <w:p>
                <w:pPr>
                  <w:jc w:val="both"/>
                  <w:rPr>
                    <w:b/>
                    <w:sz w:val="20"/>
                    <w:lang w:eastAsia="en-GB"/>
                  </w:rPr>
                </w:pPr>
                <w:r>
                  <w:rPr>
                    <w:b/>
                    <w:sz w:val="20"/>
                    <w:lang w:eastAsia="en-GB"/>
                  </w:rPr>
                  <w:t xml:space="preserve">2. Kai vadovaudamasi šio įstatymo 6 straipsnio 1 dalies 3 punktu atsakingoji institucija pasitelkia konsultantus, ji atlieka veiksmus, nurodytus šio straipsnio 1 dalyje, ir remdamasi konsultantų išvadomis, teikia motyvuotus reikalavimus ataskaitą pataisyti ar papildyti arba priima sprendimą dėl planuojamos ūkinės veiklos poveikio aplinkai per 50 darbo dienų nuo ataskaitos gavimo dienos. Atsakingoji institucija priima motyvuotą sprendimą pasitelkti konsultantus ir pateikia jį planuojamos ūkinės veiklos organizatoriui (užsakovui) ir poveikio aplinkai vertinimo dokumentų rengėjui per 10 darbo dienas nuo ataskaitos gavimo dienos. </w:t>
                </w:r>
              </w:p>
              <w:p>
                <w:pPr>
                  <w:jc w:val="both"/>
                  <w:rPr>
                    <w:b/>
                    <w:sz w:val="20"/>
                    <w:lang w:eastAsia="en-GB"/>
                  </w:rPr>
                </w:pPr>
                <w:r>
                  <w:rPr>
                    <w:b/>
                    <w:sz w:val="20"/>
                    <w:lang w:eastAsia="en-GB"/>
                  </w:rPr>
                  <w:t>3. Sprendimo dėl planuojamos ūkinės veiklos poveikio aplinkai priėmimo terminas vieną kartą gali būti pratęstas ne daugiau kaip 25 darbo dienomis dėl objektyvių, nuo atsakingosios institucijos nepriklausomų priežasčių. Atsakingoji institucija apie priimtą sprendimą pratęsti terminą privalo ne vėliau kaip likus 5 darbo dienoms iki termino pabaigos pranešti planuojamos ūkinės veiklos organizatoriui (užsakovui) ir poveikio aplinkai vertinimo dokumentų rengėjui ir nurodyti priežastis, dėl kurių terminas pratęsiamas.</w:t>
                </w:r>
              </w:p>
              <w:p>
                <w:pPr>
                  <w:jc w:val="both"/>
                  <w:rPr>
                    <w:b/>
                    <w:sz w:val="20"/>
                    <w:lang w:eastAsia="en-GB"/>
                  </w:rPr>
                </w:pPr>
                <w:r>
                  <w:rPr>
                    <w:b/>
                    <w:sz w:val="20"/>
                    <w:lang w:eastAsia="en-GB"/>
                  </w:rPr>
                  <w:t xml:space="preserve">4. Kai atsakingoji institucija pateikia motyvuotus reikalavimus ataskaitą pataisyti ir (ar) papildyti, poveikio aplinkai vertinimo dokumentų rengėjas turi papildyti ar pataisyti ataskaitą ir pakartotinai pateikti ją atsakingajai institucijai. Atsakingoji institucija ataskaitą išnagrinėja ir per 15 darbo dienų nuo ataskaitos gavimo dienos priima sprendimą arba, </w:t>
                </w:r>
                <w:r>
                  <w:rPr>
                    <w:b/>
                    <w:color w:val="000000"/>
                    <w:sz w:val="20"/>
                    <w:lang w:eastAsia="en-GB"/>
                  </w:rPr>
                  <w:t>nepažeisdama šio įstatymo 6 straipsnio 7 dalies nuostatų, dar kartą teikia motyvuotus reikala</w:t>
                </w:r>
                <w:r>
                  <w:rPr>
                    <w:b/>
                    <w:sz w:val="20"/>
                    <w:lang w:eastAsia="en-GB"/>
                  </w:rPr>
                  <w:t xml:space="preserve">vimus ataskaitą pataisyti ar papildyti.“ </w:t>
                </w:r>
              </w:p>
              <w:p>
                <w:pPr>
                  <w:jc w:val="both"/>
                  <w:rPr>
                    <w:b/>
                    <w:sz w:val="20"/>
                    <w:lang w:eastAsia="en-GB"/>
                  </w:rPr>
                </w:pPr>
              </w:p>
              <w:p>
                <w:pPr>
                  <w:jc w:val="both"/>
                  <w:rPr>
                    <w:b/>
                    <w:sz w:val="20"/>
                    <w:lang w:eastAsia="en-GB"/>
                  </w:rPr>
                </w:pPr>
                <w:r>
                  <w:rPr>
                    <w:b/>
                    <w:sz w:val="20"/>
                    <w:lang w:eastAsia="en-GB"/>
                  </w:rPr>
                  <w:t>14 straipsnio 2 dalis</w:t>
                </w:r>
              </w:p>
              <w:p>
                <w:pPr>
                  <w:jc w:val="both"/>
                  <w:rPr>
                    <w:b/>
                    <w:sz w:val="20"/>
                    <w:lang w:eastAsia="en-GB"/>
                  </w:rPr>
                </w:pPr>
                <w:r>
                  <w:rPr>
                    <w:b/>
                    <w:sz w:val="20"/>
                    <w:lang w:eastAsia="en-GB"/>
                  </w:rPr>
                  <w:t>„2. Visuomenės informavimo ir dalyvavimo planuojamos ūkinės veiklos atrankos dėl poveikio aplinkai vertinimo ir poveikio aplinkai vertinimo procesuose tvarką nustato aplinkos ministras.“</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suppressLineNumbers/>
                  <w:suppressAutoHyphens/>
                  <w:snapToGrid w:val="0"/>
                  <w:jc w:val="both"/>
                  <w:rPr>
                    <w:b/>
                    <w:bCs/>
                    <w:sz w:val="20"/>
                    <w:lang w:eastAsia="ar-SA"/>
                  </w:rPr>
                </w:pPr>
                <w:r>
                  <w:rPr>
                    <w:b/>
                    <w:bCs/>
                    <w:sz w:val="20"/>
                    <w:lang w:eastAsia="ar-SA"/>
                  </w:rPr>
                  <w:t>M1</w:t>
                </w:r>
              </w:p>
              <w:p>
                <w:pPr>
                  <w:suppressLineNumbers/>
                  <w:suppressAutoHyphens/>
                  <w:snapToGrid w:val="0"/>
                  <w:jc w:val="both"/>
                  <w:rPr>
                    <w:sz w:val="20"/>
                    <w:lang w:eastAsia="ar-SA"/>
                  </w:rPr>
                </w:pPr>
                <w:r>
                  <w:rPr>
                    <w:sz w:val="20"/>
                    <w:lang w:eastAsia="ar-SA"/>
                  </w:rPr>
                  <w:t>7. Terminas konsultacijoms su suinteresuota visuomene dėl 5 straipsnio 1 dalyje nurodytos poveikio aplinkai vertinimo ataskaitos yra ne trumpesnis kaip 30 dienų.</w:t>
                </w:r>
              </w:p>
              <w:p>
                <w:pPr>
                  <w:suppressLineNumbers/>
                  <w:suppressAutoHyphens/>
                  <w:snapToGrid w:val="0"/>
                  <w:jc w:val="both"/>
                  <w:rPr>
                    <w:sz w:val="20"/>
                    <w:lang w:eastAsia="ar-SA"/>
                  </w:rPr>
                </w:pPr>
              </w:p>
            </w:tc>
            <w:tc>
              <w:tcPr>
                <w:tcW w:w="9639" w:type="dxa"/>
              </w:tcPr>
              <w:p>
                <w:pPr>
                  <w:jc w:val="both"/>
                  <w:rPr>
                    <w:b/>
                    <w:sz w:val="20"/>
                  </w:rPr>
                </w:pPr>
                <w:r>
                  <w:rPr>
                    <w:b/>
                    <w:sz w:val="20"/>
                  </w:rPr>
                  <w:t>Projektas</w:t>
                </w:r>
              </w:p>
              <w:p>
                <w:pPr>
                  <w:jc w:val="both"/>
                  <w:rPr>
                    <w:b/>
                    <w:sz w:val="20"/>
                  </w:rPr>
                </w:pPr>
                <w:r>
                  <w:rPr>
                    <w:b/>
                    <w:sz w:val="20"/>
                  </w:rPr>
                  <w:t>11 straipsnio 3 dalis</w:t>
                </w:r>
              </w:p>
              <w:p>
                <w:pPr>
                  <w:jc w:val="both"/>
                  <w:rPr>
                    <w:b/>
                    <w:sz w:val="20"/>
                    <w:lang w:eastAsia="en-GB"/>
                  </w:rPr>
                </w:pPr>
                <w:r>
                  <w:rPr>
                    <w:b/>
                    <w:sz w:val="20"/>
                  </w:rPr>
                  <w:t>„</w:t>
                </w:r>
                <w:r>
                  <w:rPr>
                    <w:b/>
                    <w:sz w:val="20"/>
                    <w:lang w:eastAsia="en-GB"/>
                  </w:rPr>
                  <w:t>3. Parengęs ataskaitą, poveikio aplinkai vertinimo dokumentų rengėjas organizuoja viešą visuomenės supažindinimą su ataskaita aplinkos ministro nustatyta tvarka, informuodamas apie jį visuomenę ne vėliau kaip prieš 20 darbo dienų iki jo. Visuomenė turi teisę susipažinti su ataskaita ir teikti pasiūlymus atsakingajai institucijai ir poveikio aplinkai vertinimo dokumentų rengėjui, iki viešo visuomenės supažindinimo su ataskaita, šio supažindinimo metu ir iki šio straipsnio 10 dalyje nurodyto termino.“</w:t>
                </w:r>
              </w:p>
              <w:p>
                <w:pPr>
                  <w:jc w:val="both"/>
                  <w:rPr>
                    <w:b/>
                    <w:sz w:val="20"/>
                    <w:lang w:eastAsia="en-GB"/>
                  </w:rPr>
                </w:pPr>
              </w:p>
              <w:p>
                <w:pPr>
                  <w:jc w:val="both"/>
                  <w:rPr>
                    <w:b/>
                    <w:sz w:val="20"/>
                    <w:lang w:eastAsia="en-GB"/>
                  </w:rPr>
                </w:pPr>
                <w:r>
                  <w:rPr>
                    <w:b/>
                    <w:sz w:val="20"/>
                    <w:lang w:eastAsia="en-GB"/>
                  </w:rPr>
                  <w:t>11 straipsnio 10 dalis</w:t>
                </w:r>
              </w:p>
              <w:p>
                <w:pPr>
                  <w:jc w:val="both"/>
                  <w:rPr>
                    <w:b/>
                    <w:sz w:val="20"/>
                    <w:lang w:eastAsia="en-GB"/>
                  </w:rPr>
                </w:pPr>
                <w:r>
                  <w:rPr>
                    <w:b/>
                    <w:sz w:val="20"/>
                    <w:lang w:eastAsia="en-GB"/>
                  </w:rPr>
                  <w:t>„10.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p>
                <w:pPr>
                  <w:jc w:val="both"/>
                  <w:rPr>
                    <w:b/>
                    <w:sz w:val="20"/>
                  </w:rPr>
                </w:pPr>
              </w:p>
              <w:p>
                <w:pPr>
                  <w:jc w:val="both"/>
                  <w:rPr>
                    <w:b/>
                    <w:sz w:val="20"/>
                    <w:lang w:eastAsia="en-GB"/>
                  </w:rPr>
                </w:pPr>
                <w:r>
                  <w:rPr>
                    <w:b/>
                    <w:sz w:val="20"/>
                    <w:lang w:eastAsia="en-GB"/>
                  </w:rPr>
                  <w:t>14 straipsnio 2 dalis</w:t>
                </w:r>
              </w:p>
              <w:p>
                <w:pPr>
                  <w:jc w:val="both"/>
                  <w:rPr>
                    <w:b/>
                    <w:sz w:val="20"/>
                    <w:lang w:eastAsia="en-GB"/>
                  </w:rPr>
                </w:pPr>
                <w:r>
                  <w:rPr>
                    <w:b/>
                    <w:sz w:val="20"/>
                    <w:lang w:eastAsia="en-GB"/>
                  </w:rPr>
                  <w:t>„2. Visuomenės informavimo ir dalyvavimo planuojamos ūkinės veiklos atrankos dėl poveikio aplinkai vertinimo ir poveikio aplinkai vertinimo procesuose tvarką nustato aplinkos ministras.“</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rFonts w:eastAsia="Calibri"/>
                    <w:b/>
                    <w:iCs/>
                    <w:color w:val="000000"/>
                    <w:sz w:val="20"/>
                    <w:lang w:eastAsia="lt-LT"/>
                  </w:rPr>
                </w:pPr>
                <w:r>
                  <w:rPr>
                    <w:rFonts w:eastAsia="Calibri"/>
                    <w:b/>
                    <w:iCs/>
                    <w:color w:val="000000"/>
                    <w:sz w:val="20"/>
                    <w:lang w:eastAsia="lt-LT"/>
                  </w:rPr>
                  <w:t>B</w:t>
                </w:r>
              </w:p>
              <w:p>
                <w:pPr>
                  <w:jc w:val="both"/>
                  <w:rPr>
                    <w:rFonts w:eastAsia="Calibri"/>
                    <w:b/>
                    <w:i/>
                    <w:color w:val="000000"/>
                    <w:sz w:val="20"/>
                    <w:lang w:eastAsia="lt-LT"/>
                  </w:rPr>
                </w:pPr>
                <w:r>
                  <w:rPr>
                    <w:rFonts w:eastAsia="Calibri"/>
                    <w:b/>
                    <w:i/>
                    <w:color w:val="000000"/>
                    <w:sz w:val="20"/>
                    <w:lang w:eastAsia="lt-LT"/>
                  </w:rPr>
                  <w:t>7 straipsnis</w:t>
                </w:r>
              </w:p>
              <w:p>
                <w:pPr>
                  <w:jc w:val="both"/>
                  <w:rPr>
                    <w:rFonts w:eastAsia="Calibri"/>
                    <w:color w:val="000000"/>
                    <w:sz w:val="20"/>
                    <w:lang w:eastAsia="lt-LT"/>
                  </w:rPr>
                </w:pPr>
                <w:r>
                  <w:rPr>
                    <w:rFonts w:eastAsia="Calibri"/>
                    <w:color w:val="000000"/>
                    <w:sz w:val="20"/>
                    <w:lang w:eastAsia="lt-LT"/>
                  </w:rPr>
                  <w:t xml:space="preserve">1. Jeigu valstybė narė žino, kad koks nors projektas gali turėti didelį poveikį kitos valstybės narės aplinkai, arba jeigu valstybė narė, kurios aplinka gali patirti tokį poveikį, to prašo, valstybė narė, kurios teritorijoje tą projektą ketinama įgyvendinti, kuo skubiau ir ne vėliau kaip tuo metu, kai ji informuoja savo visuomenę, siunčia tai poveikį galinčiai patirti valstybei narei, </w:t>
                </w:r>
                <w:r>
                  <w:rPr>
                    <w:rFonts w:eastAsia="Calibri"/>
                    <w:i/>
                    <w:iCs/>
                    <w:color w:val="000000"/>
                    <w:sz w:val="20"/>
                    <w:lang w:eastAsia="lt-LT"/>
                  </w:rPr>
                  <w:t>inter alia</w:t>
                </w:r>
                <w:r>
                  <w:rPr>
                    <w:rFonts w:eastAsia="Calibri"/>
                    <w:color w:val="000000"/>
                    <w:sz w:val="20"/>
                    <w:lang w:eastAsia="lt-LT"/>
                  </w:rPr>
                  <w:t xml:space="preserve">: </w:t>
                </w:r>
              </w:p>
              <w:p>
                <w:pPr>
                  <w:jc w:val="both"/>
                  <w:rPr>
                    <w:rFonts w:eastAsia="Calibri"/>
                    <w:color w:val="000000"/>
                    <w:sz w:val="20"/>
                    <w:lang w:eastAsia="lt-LT"/>
                  </w:rPr>
                </w:pPr>
              </w:p>
              <w:p>
                <w:pPr>
                  <w:jc w:val="both"/>
                  <w:rPr>
                    <w:rFonts w:eastAsia="Calibri"/>
                    <w:color w:val="000000"/>
                    <w:sz w:val="20"/>
                    <w:lang w:eastAsia="lt-LT"/>
                  </w:rPr>
                </w:pPr>
                <w:r>
                  <w:rPr>
                    <w:rFonts w:eastAsia="Calibri"/>
                    <w:color w:val="000000"/>
                    <w:sz w:val="20"/>
                    <w:lang w:eastAsia="lt-LT"/>
                  </w:rPr>
                  <w:t xml:space="preserve">a) projekto aprašymą kartu su visa turima informacija apie galimą tarpvalstybinį poveikį; </w:t>
                </w:r>
              </w:p>
              <w:p>
                <w:pPr>
                  <w:jc w:val="both"/>
                  <w:rPr>
                    <w:rFonts w:eastAsia="Calibri"/>
                    <w:color w:val="000000"/>
                    <w:sz w:val="20"/>
                  </w:rPr>
                </w:pPr>
              </w:p>
              <w:p>
                <w:pPr>
                  <w:jc w:val="both"/>
                  <w:rPr>
                    <w:rFonts w:eastAsia="Calibri"/>
                    <w:color w:val="000000"/>
                    <w:sz w:val="20"/>
                  </w:rPr>
                </w:pPr>
                <w:r>
                  <w:rPr>
                    <w:rFonts w:eastAsia="Calibri"/>
                    <w:color w:val="000000"/>
                    <w:sz w:val="20"/>
                  </w:rPr>
                  <w:t>b) informaciją apie numatomo priimti sprendimo pobūdį.</w:t>
                </w:r>
              </w:p>
              <w:p>
                <w:pPr>
                  <w:jc w:val="both"/>
                  <w:rPr>
                    <w:rFonts w:eastAsia="Calibri"/>
                    <w:color w:val="000000"/>
                    <w:sz w:val="20"/>
                    <w:lang w:eastAsia="lt-LT"/>
                  </w:rPr>
                </w:pPr>
              </w:p>
              <w:p>
                <w:pPr>
                  <w:jc w:val="both"/>
                  <w:rPr>
                    <w:sz w:val="20"/>
                    <w:lang w:eastAsia="en-GB"/>
                  </w:rPr>
                </w:pPr>
                <w:r>
                  <w:rPr>
                    <w:rFonts w:eastAsia="Calibri"/>
                    <w:color w:val="000000"/>
                    <w:sz w:val="20"/>
                    <w:lang w:eastAsia="lt-LT"/>
                  </w:rPr>
                  <w:t>Valstybė narė, kurios teritorijoje projektą ketinama įgyvendinti suteikia tai kitai valstybei narei pakankamai laiko, kad ji galėtų nurodyti, ar ji ketina dalyvauti 2 straipsnio 2 dalyje nurodytose sprendimo aplinkos klausimais priėmimo procedūrose, ir gali įtraukti šio straipsnio 2 dalyje nurodytą informaciją.</w:t>
                </w:r>
                <w:r>
                  <w:rPr>
                    <w:rFonts w:eastAsia="Calibri"/>
                    <w:color w:val="000000"/>
                    <w:szCs w:val="24"/>
                    <w:lang w:eastAsia="lt-LT"/>
                  </w:rPr>
                  <w:t xml:space="preserve"> </w:t>
                </w: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 xml:space="preserve">10 straipsnis </w:t>
                </w:r>
              </w:p>
              <w:p>
                <w:pPr>
                  <w:jc w:val="both"/>
                  <w:rPr>
                    <w:b/>
                    <w:sz w:val="20"/>
                    <w:lang w:eastAsia="lt-LT"/>
                  </w:rPr>
                </w:pPr>
                <w:r>
                  <w:rPr>
                    <w:b/>
                    <w:sz w:val="20"/>
                    <w:lang w:eastAsia="lt-LT"/>
                  </w:rPr>
                  <w:t>„1. Atliekant</w:t>
                </w:r>
                <w:r>
                  <w:rPr>
                    <w:b/>
                    <w:sz w:val="20"/>
                    <w:lang w:eastAsia="en-GB"/>
                  </w:rPr>
                  <w:t xml:space="preserve"> tarpvalstybinį poveikio aplinkai vertinimą, vadovaujamasi šiuo įstatymu, </w:t>
                </w:r>
                <w:r>
                  <w:rPr>
                    <w:b/>
                    <w:sz w:val="20"/>
                    <w:lang w:eastAsia="lt-LT"/>
                  </w:rPr>
                  <w:t>Jungtinių Tautų Organizacijos 1991 m. Konvencija dėl poveikio aplinkai vertinimo tarpvalstybiniame kontekste (toliau – Konvencija)</w:t>
                </w:r>
                <w:r>
                  <w:rPr>
                    <w:b/>
                    <w:sz w:val="20"/>
                    <w:lang w:eastAsia="en-GB"/>
                  </w:rPr>
                  <w:t xml:space="preserve">, tarptautinėmis sutartimis, kurias Lietuvos Respublika ir kita valstybė yra sudariusios. </w:t>
                </w:r>
              </w:p>
              <w:p>
                <w:pPr>
                  <w:jc w:val="both"/>
                  <w:rPr>
                    <w:b/>
                    <w:sz w:val="20"/>
                    <w:lang w:eastAsia="lt-LT"/>
                  </w:rPr>
                </w:pPr>
                <w:r>
                  <w:rPr>
                    <w:b/>
                    <w:sz w:val="20"/>
                    <w:lang w:eastAsia="lt-LT"/>
                  </w:rPr>
                  <w:t>2. A</w:t>
                </w:r>
                <w:r>
                  <w:rPr>
                    <w:b/>
                    <w:color w:val="000000"/>
                    <w:sz w:val="20"/>
                    <w:lang w:eastAsia="en-GB"/>
                  </w:rPr>
                  <w:t xml:space="preserve">trankos dėl poveikio aplinkai vertinimo atlikimo metu paaiškėjus, kad </w:t>
                </w:r>
                <w:r>
                  <w:rPr>
                    <w:b/>
                    <w:sz w:val="20"/>
                    <w:lang w:eastAsia="lt-LT"/>
                  </w:rPr>
                  <w:t>Lietuvos Respublikos teritorijoje planuojamos ūkinės veiklos poveikis galėtų būti reikšmingas kitos Europos Sąjungos valstybės narės ir (ar) užsienio valstybės, ne Europos Sąjungos valstybės narės, prisijungusios prie Konvencijos (toliau – poveikį aplinkai patirianti valstybė), aplinkai</w:t>
                </w:r>
                <w:r>
                  <w:rPr>
                    <w:b/>
                    <w:color w:val="000000"/>
                    <w:sz w:val="20"/>
                    <w:lang w:eastAsia="en-GB"/>
                  </w:rPr>
                  <w:t xml:space="preserve">, atsakingoji institucija </w:t>
                </w:r>
                <w:r>
                  <w:rPr>
                    <w:b/>
                    <w:sz w:val="20"/>
                    <w:lang w:eastAsia="lt-LT"/>
                  </w:rPr>
                  <w:t>per 10 darbo dienų nuo informacijos atrankai gavimo dienos</w:t>
                </w:r>
                <w:r>
                  <w:rPr>
                    <w:b/>
                    <w:color w:val="000000"/>
                    <w:sz w:val="20"/>
                    <w:lang w:eastAsia="en-GB"/>
                  </w:rPr>
                  <w:t xml:space="preserve">, kreipiasi į </w:t>
                </w:r>
                <w:r>
                  <w:rPr>
                    <w:b/>
                    <w:sz w:val="20"/>
                    <w:lang w:eastAsia="lt-LT"/>
                  </w:rPr>
                  <w:t xml:space="preserve">Vyriausybės įgaliotą aplinkos apsaugos instituciją, koordinuojančią tarpvalstybinio poveikio aplinkai vertinimo procesą (toliau –  koordinuojančioji institucija)</w:t>
                </w:r>
                <w:r>
                  <w:rPr>
                    <w:b/>
                    <w:color w:val="000000"/>
                    <w:sz w:val="20"/>
                    <w:lang w:eastAsia="en-GB"/>
                  </w:rPr>
                  <w:t>,</w:t>
                </w:r>
                <w:r>
                  <w:rPr>
                    <w:b/>
                    <w:sz w:val="20"/>
                    <w:lang w:eastAsia="lt-LT"/>
                  </w:rPr>
                  <w:t xml:space="preserve"> prašydama pateikti išvadą, ar planuojamai ūkinei veiklai taikytinos tarpvalstybinio </w:t>
                </w:r>
                <w:r>
                  <w:rPr>
                    <w:b/>
                    <w:sz w:val="20"/>
                    <w:lang w:eastAsia="en-GB"/>
                  </w:rPr>
                  <w:t>poveikio aplinkai vertinimo</w:t>
                </w:r>
                <w:r>
                  <w:rPr>
                    <w:b/>
                    <w:sz w:val="20"/>
                    <w:lang w:eastAsia="lt-LT"/>
                  </w:rPr>
                  <w:t xml:space="preserve"> procedūros. Koordinuojančioji institucija, išnagrinėjusi gautą informaciją ir atsižvelgusi į planuojamos ūkinės veiklos pobūdį, mastą ar vietos ypatumus, per 5 darbo dienas nuo informacijos gavimo dienos pateikia išvadą dėl tarpvalstybinio poveikio aplinkai vertinimo procedūrų taikomumo atsakingajai institucijai. Atsakingoji institucija priimdama atrankos išvada, atsižvelgia į koordinuojančiosios institucijos išvadą.</w:t>
                </w:r>
              </w:p>
              <w:p>
                <w:pPr>
                  <w:jc w:val="both"/>
                  <w:rPr>
                    <w:b/>
                    <w:sz w:val="20"/>
                    <w:lang w:eastAsia="en-GB"/>
                  </w:rPr>
                </w:pPr>
                <w:r>
                  <w:rPr>
                    <w:b/>
                    <w:sz w:val="20"/>
                    <w:lang w:eastAsia="lt-LT"/>
                  </w:rPr>
                  <w:t>3. Jeigu, pagal šio įstatymo 8 straipsnio 3 dalies nuostatas programos arba pagal šio įstatymo 9 straipsnio 3 dalies nuostatas pranešimo apie PAV pradžią atsakingajai institucijai pateikimo metu paaiškėja, kad Lietuvos Respublikos teritorijoje planuojamos ūkinės veiklos poveikis gali būti reikšmingas kitos Europos Sąjungos valstybės narės ir (ar) užsienio valstybės, ne Europos Sąjungos valstybės narės, prisijungusios prie Konvencijos, aplinkai arba koordinuojančioji institucija yra gavusi prašymą atlikti tarpvalstybinio poveikio aplinkai vertinimą, tokiai planuojamai ūkinei veiklai, be kitų šiame įstatyme nurodytų jai taikomų nacionalinių procedūrų, taikomos ir šiame straipsnyje nurodytos tarpvalstybinio poveikio aplinkai vertinimo procedūros.</w:t>
                </w:r>
                <w:r>
                  <w:rPr>
                    <w:b/>
                    <w:sz w:val="20"/>
                    <w:lang w:eastAsia="en-GB"/>
                  </w:rPr>
                  <w:t xml:space="preserve"> </w:t>
                </w:r>
              </w:p>
              <w:p>
                <w:pPr>
                  <w:jc w:val="both"/>
                  <w:rPr>
                    <w:b/>
                    <w:sz w:val="20"/>
                    <w:lang w:eastAsia="lt-LT"/>
                  </w:rPr>
                </w:pPr>
                <w:r>
                  <w:rPr>
                    <w:b/>
                    <w:sz w:val="20"/>
                    <w:lang w:eastAsia="lt-LT"/>
                  </w:rPr>
                  <w:t xml:space="preserve">4. Paaiškėjus, kad Lietuvos Respublikos teritorijoje planuojamos ūkinės veiklos poveikis gali būti reikšmingas poveikį aplinkai patiriančiai valstybei, atsakingoji institucija per 5 darbo dienas nuo programos arba pranešimo apie PAV pradžią gavimo dienos kreipiasi į koordinuojančiąją instituciją prašydama pateikti išvadą, ar planuojamai ūkinei veiklai bus taikomos tarpvalstybinio </w:t>
                </w:r>
                <w:r>
                  <w:rPr>
                    <w:b/>
                    <w:sz w:val="20"/>
                    <w:lang w:eastAsia="en-GB"/>
                  </w:rPr>
                  <w:t>poveikio aplinkai vertinimo</w:t>
                </w:r>
                <w:r>
                  <w:rPr>
                    <w:b/>
                    <w:sz w:val="20"/>
                    <w:lang w:eastAsia="lt-LT"/>
                  </w:rPr>
                  <w:t xml:space="preserve"> procedūros. koordinuojančioji institucija, išnagrinėjusi gautą informaciją ir atsižvelgusi į planuojamos ūkinės veiklos pobūdį, mastą ar vietos ypatumus, per 5 darbo dienas nuo informacijos gavimo dienos pateikia išvadą dėl tarpvalstybinio poveikio aplinkai vertinimo procedūrų taikymo atsakingajai institucijai, planuojamos ūkinės veiklos organizatoriui (užsakovą) ir poveikio aplinkai vertinimo dokumentų rengėjui.</w:t>
                </w:r>
              </w:p>
              <w:p>
                <w:pPr>
                  <w:jc w:val="both"/>
                  <w:rPr>
                    <w:b/>
                    <w:sz w:val="20"/>
                    <w:lang w:eastAsia="en-GB"/>
                  </w:rPr>
                </w:pPr>
                <w:r>
                  <w:rPr>
                    <w:b/>
                    <w:sz w:val="20"/>
                    <w:lang w:eastAsia="lt-LT"/>
                  </w:rPr>
                  <w:t xml:space="preserve">5. Kai reikia atlikti planuojamos ūkinės veiklos tarpvalstybinio poveikio aplinkai vertinimo procedūras, koordinuojančioji institucija nurodo </w:t>
                </w:r>
                <w:r>
                  <w:rPr>
                    <w:b/>
                    <w:sz w:val="20"/>
                    <w:lang w:eastAsia="en-GB"/>
                  </w:rPr>
                  <w:t>planuojamos ūkinės veiklos organizatoriui (užsakovui)</w:t>
                </w:r>
                <w:r>
                  <w:rPr>
                    <w:b/>
                    <w:sz w:val="20"/>
                    <w:lang w:eastAsia="lt-LT"/>
                  </w:rPr>
                  <w:t xml:space="preserve"> ir poveikio aplinkai vertinimo dokumentų rengėjui parengti ir pateikti koordinuojančiajai institucijai aplinkos ministro nustatytos apimties informaciją dvišaliame susitarime, jeigu toks susitarimas yra, nurodyta kalba, kitais atvejais – anglų kalba, o kai poveikį aplinkai patirianti valstybė to prašo, – ir jos valstybine kalba.</w:t>
                </w:r>
                <w:r>
                  <w:rPr>
                    <w:b/>
                    <w:sz w:val="20"/>
                    <w:lang w:eastAsia="en-GB"/>
                  </w:rPr>
                  <w:t xml:space="preserve"> </w:t>
                </w:r>
              </w:p>
              <w:p>
                <w:pPr>
                  <w:jc w:val="both"/>
                  <w:rPr>
                    <w:b/>
                    <w:sz w:val="20"/>
                    <w:lang w:eastAsia="en-GB"/>
                  </w:rPr>
                </w:pPr>
                <w:r>
                  <w:rPr>
                    <w:b/>
                    <w:sz w:val="20"/>
                    <w:lang w:eastAsia="lt-LT"/>
                  </w:rPr>
                  <w:t xml:space="preserve">6. Koordinuojančioji institucija, gavusi šio straipsnio 5 dalyje nurodytą informaciją iš poveikio aplinkai vertinimo dokumentų rengėjo ar </w:t>
                </w:r>
                <w:r>
                  <w:rPr>
                    <w:b/>
                    <w:sz w:val="20"/>
                    <w:lang w:eastAsia="en-GB"/>
                  </w:rPr>
                  <w:t>planuojamos ūkinės veiklos organizatoriaus (užsakovo)</w:t>
                </w:r>
                <w:r>
                  <w:rPr>
                    <w:b/>
                    <w:sz w:val="20"/>
                    <w:lang w:eastAsia="lt-LT"/>
                  </w:rPr>
                  <w:t>, siunčia pranešimą poveikį aplinkai patiriančiai valstybei, kartu su juo pateikdama planuojamos ūkinės veiklos aprašymą, turimą informaciją apie galimą planuojamos ūkinės veiklos reikšmingą tarpvalstybinį poveikį aplinkai, informaciją apie galimų sprendimų pobūdį; prašo poveikį aplinkai patiriančios valstybės informuoti savo valstybės visuomenę ir kompetentingas institucijas, nurodydama laikotarpį (ne trumpesnį kaip 25 darbo dienos), per kurį poveikį aplinkai patirianti valstybė gali pranešti, ar ji pageidauja dalyvauti tarpvalstybinio poveikio aplinkai vertinimo procese.</w:t>
                </w:r>
                <w:r>
                  <w:rPr>
                    <w:b/>
                    <w:sz w:val="20"/>
                    <w:lang w:eastAsia="en-GB"/>
                  </w:rPr>
                  <w:t xml:space="preserve"> </w:t>
                </w:r>
              </w:p>
              <w:p>
                <w:pPr>
                  <w:jc w:val="both"/>
                  <w:rPr>
                    <w:b/>
                    <w:sz w:val="20"/>
                    <w:lang w:eastAsia="en-GB"/>
                  </w:rPr>
                </w:pPr>
                <w:r>
                  <w:rPr>
                    <w:b/>
                    <w:sz w:val="20"/>
                    <w:lang w:eastAsia="en-GB"/>
                  </w:rPr>
                  <w:t xml:space="preserve">7. Jeigu poveikį aplinkai patirianti valstybė neatsako per pranešime nurodytą laikotarpį arba praneša, kad nedalyvaus planuojamos ūkinės veiklos tarpvalstybinio poveikio aplinkai vertinimo procese, </w:t>
                </w:r>
                <w:r>
                  <w:rPr>
                    <w:b/>
                    <w:sz w:val="20"/>
                    <w:lang w:eastAsia="lt-LT"/>
                  </w:rPr>
                  <w:t xml:space="preserve">koordinuojančioji </w:t>
                </w:r>
                <w:r>
                  <w:rPr>
                    <w:b/>
                    <w:sz w:val="20"/>
                    <w:lang w:eastAsia="en-GB"/>
                  </w:rPr>
                  <w:t>institucija apie tai informuoja atsakingąją instituciją, planuojamos ūkinės veiklos organizatorių (užsakovą) ir poveikio aplinkai vertinimo dokumentų rengėją, ir nurodo, kad vertinimas tęsiamas vadovaujantis šio įstatymo 8 straipsnio 11 ir 12 dalyje nustatytais terminais ir aplinkos ministro nustatyta tvarka.</w:t>
                </w:r>
              </w:p>
              <w:p>
                <w:pPr>
                  <w:jc w:val="both"/>
                  <w:rPr>
                    <w:b/>
                    <w:sz w:val="20"/>
                    <w:lang w:eastAsia="en-GB"/>
                  </w:rPr>
                </w:pPr>
                <w:r>
                  <w:rPr>
                    <w:b/>
                    <w:sz w:val="20"/>
                    <w:lang w:eastAsia="en-GB"/>
                  </w:rPr>
                  <w:t xml:space="preserve">8. Jeigu poveikį aplinkai patirianti valstybė praneša, kad dalyvaus planuojamos ūkinės veiklos tarpvalstybinio poveikio aplinkai vertinimo procese, </w:t>
                </w:r>
                <w:r>
                  <w:rPr>
                    <w:b/>
                    <w:sz w:val="20"/>
                    <w:lang w:eastAsia="lt-LT"/>
                  </w:rPr>
                  <w:t xml:space="preserve">koordinuojančioji </w:t>
                </w:r>
                <w:r>
                  <w:rPr>
                    <w:b/>
                    <w:sz w:val="20"/>
                    <w:lang w:eastAsia="en-GB"/>
                  </w:rPr>
                  <w:t>institucija apie tai informuoja atsakingąją instituciją, planuojamos ūkinės veiklos organizatorių (užsakovą) ir poveikio aplinkai vertinimo dokumentų rengėją ir nurodo:</w:t>
                </w:r>
              </w:p>
              <w:p>
                <w:pPr>
                  <w:jc w:val="both"/>
                  <w:rPr>
                    <w:b/>
                    <w:sz w:val="20"/>
                    <w:lang w:eastAsia="en-GB"/>
                  </w:rPr>
                </w:pPr>
                <w:r>
                  <w:rPr>
                    <w:b/>
                    <w:sz w:val="20"/>
                    <w:lang w:eastAsia="en-GB"/>
                  </w:rPr>
                  <w:t>1) poveikio aplinkai vertinimo dokumentų rengėjui:</w:t>
                </w:r>
              </w:p>
              <w:p>
                <w:pPr>
                  <w:jc w:val="both"/>
                  <w:rPr>
                    <w:b/>
                    <w:sz w:val="20"/>
                    <w:lang w:eastAsia="en-GB"/>
                  </w:rPr>
                </w:pPr>
                <w:r>
                  <w:rPr>
                    <w:b/>
                    <w:sz w:val="20"/>
                    <w:lang w:eastAsia="en-GB"/>
                  </w:rPr>
                  <w:t>a) jeigu gautos poveikį patiriančios valstybės motyvuotos pastabos ir pasiūlymai, pagal juos patikslinti programą ir pateikti patikslintą programą atsakingajai institucijai;</w:t>
                </w:r>
              </w:p>
              <w:p>
                <w:pPr>
                  <w:jc w:val="both"/>
                  <w:rPr>
                    <w:b/>
                    <w:sz w:val="20"/>
                    <w:lang w:eastAsia="en-GB"/>
                  </w:rPr>
                </w:pPr>
                <w:r>
                  <w:rPr>
                    <w:b/>
                    <w:sz w:val="20"/>
                    <w:lang w:eastAsia="en-GB"/>
                  </w:rPr>
                  <w:t xml:space="preserve">b) parengti ir ne vėliau negu 10 darbo dienų iki šio įstatymo 11 straipsnio 3 dalyje nurodyto visuomenės informavimo apie viešą visuomenės supažindinimą su ataskaita pateikti </w:t>
                </w:r>
                <w:r>
                  <w:rPr>
                    <w:b/>
                    <w:sz w:val="20"/>
                    <w:lang w:eastAsia="lt-LT"/>
                  </w:rPr>
                  <w:t xml:space="preserve">koordinuojančiajai </w:t>
                </w:r>
                <w:r>
                  <w:rPr>
                    <w:b/>
                    <w:sz w:val="20"/>
                    <w:lang w:eastAsia="en-GB"/>
                  </w:rPr>
                  <w:t xml:space="preserve">institucijai ataskaitą anglų kalba ir </w:t>
                </w:r>
                <w:r>
                  <w:rPr>
                    <w:b/>
                    <w:color w:val="000000"/>
                    <w:sz w:val="20"/>
                    <w:lang w:eastAsia="en-GB"/>
                  </w:rPr>
                  <w:t xml:space="preserve">aplinkos ministro nustatytos apimties netechninio pobūdžio </w:t>
                </w:r>
                <w:r>
                  <w:rPr>
                    <w:b/>
                    <w:sz w:val="20"/>
                    <w:lang w:eastAsia="en-GB"/>
                  </w:rPr>
                  <w:t xml:space="preserve">ataskaitos santrauką dvišaliame susitarime, jeigu toks susitarimas yra, nurodyta kalba, kitais atvejais – anglų kalba, o kai poveikį aplinkai patirianti valstybė to prašo, – ir jos valstybine kalba. </w:t>
                </w:r>
              </w:p>
              <w:p>
                <w:pPr>
                  <w:jc w:val="both"/>
                  <w:rPr>
                    <w:b/>
                    <w:sz w:val="20"/>
                    <w:lang w:eastAsia="en-GB"/>
                  </w:rPr>
                </w:pPr>
                <w:r>
                  <w:rPr>
                    <w:b/>
                    <w:sz w:val="20"/>
                    <w:lang w:eastAsia="en-GB"/>
                  </w:rPr>
                  <w:t xml:space="preserve">9. Jeigu poveikio aplinkai vertinimo dokumentų rengėjui rengiant ataskaitą paaiškėja, kad reikalinga papildoma informacija apie poveikį patiriančios valstybės aplinką, jis aplinkos ministro nustatyta tvarka kreipiasi į </w:t>
                </w:r>
                <w:r>
                  <w:rPr>
                    <w:b/>
                    <w:sz w:val="20"/>
                    <w:lang w:eastAsia="lt-LT"/>
                  </w:rPr>
                  <w:t xml:space="preserve">koordinuojančiąją </w:t>
                </w:r>
                <w:r>
                  <w:rPr>
                    <w:b/>
                    <w:sz w:val="20"/>
                    <w:lang w:eastAsia="en-GB"/>
                  </w:rPr>
                  <w:t xml:space="preserve">instituciją, kuri jo prašymą perduoda poveikį patiriančiai valstybei. Gavusi poveikį aplinkai patiriančios valstybės atsakymą dėl informacijos apie jos aplinką pateikimo, </w:t>
                </w:r>
                <w:r>
                  <w:rPr>
                    <w:b/>
                    <w:sz w:val="20"/>
                    <w:lang w:eastAsia="lt-LT"/>
                  </w:rPr>
                  <w:t xml:space="preserve">koordinuojančioji </w:t>
                </w:r>
                <w:r>
                  <w:rPr>
                    <w:b/>
                    <w:sz w:val="20"/>
                    <w:lang w:eastAsia="en-GB"/>
                  </w:rPr>
                  <w:t>institucija ją perduoda poveikio aplinkai vertinimo dokumentų rengėjui per 5 darbo dienas.</w:t>
                </w:r>
              </w:p>
              <w:p>
                <w:pPr>
                  <w:jc w:val="both"/>
                  <w:rPr>
                    <w:b/>
                    <w:sz w:val="20"/>
                    <w:lang w:eastAsia="en-GB"/>
                  </w:rPr>
                </w:pPr>
                <w:r>
                  <w:rPr>
                    <w:b/>
                    <w:sz w:val="20"/>
                    <w:lang w:eastAsia="en-GB"/>
                  </w:rPr>
                  <w:t xml:space="preserve">10. </w:t>
                </w:r>
                <w:r>
                  <w:rPr>
                    <w:b/>
                    <w:sz w:val="20"/>
                    <w:lang w:eastAsia="lt-LT"/>
                  </w:rPr>
                  <w:t xml:space="preserve">Koordinuojančioji </w:t>
                </w:r>
                <w:r>
                  <w:rPr>
                    <w:b/>
                    <w:sz w:val="20"/>
                    <w:lang w:eastAsia="en-GB"/>
                  </w:rPr>
                  <w:t>institucija, gavusi iš</w:t>
                </w:r>
                <w:r>
                  <w:rPr>
                    <w:b/>
                    <w:color w:val="7030A0"/>
                    <w:sz w:val="20"/>
                    <w:lang w:eastAsia="en-GB"/>
                  </w:rPr>
                  <w:t xml:space="preserve"> </w:t>
                </w:r>
                <w:r>
                  <w:rPr>
                    <w:b/>
                    <w:sz w:val="20"/>
                    <w:lang w:eastAsia="en-GB"/>
                  </w:rPr>
                  <w:t xml:space="preserve">poveikio aplinkai vertinimo dokumentų rengėjo informaciją, nurodytus šio straipsnio 8 dalyje, per 10 darbo dienų pateikia ją poveikį aplinkai patiriančiai valstybei, kartu pateikdama informaciją apie tolesnes poveikio aplinkai vertinimo procedūras ir siūlomas tarpvalstybines konsultacijas, įskaitant galimybę organizuoti dvišalį ar daugiašalį susitikimą, ir prašo informuoti poveikį aplinkai patiriančios valstybės visuomenę ir kompetentingas institucijas, nurodydama atsakymo pateikimo laikotarpį, ne trumpesnį kaip 30 darbo dienų nuo išsiuntimo dienos. </w:t>
                </w:r>
              </w:p>
              <w:p>
                <w:pPr>
                  <w:jc w:val="both"/>
                  <w:rPr>
                    <w:b/>
                    <w:sz w:val="20"/>
                    <w:lang w:eastAsia="en-GB"/>
                  </w:rPr>
                </w:pPr>
                <w:r>
                  <w:rPr>
                    <w:b/>
                    <w:sz w:val="20"/>
                    <w:lang w:eastAsia="en-GB"/>
                  </w:rPr>
                  <w:t xml:space="preserve">11. Gavusi poveikį aplinkai patiriančios valstybės atsakymą </w:t>
                </w:r>
                <w:r>
                  <w:rPr>
                    <w:b/>
                    <w:sz w:val="20"/>
                    <w:lang w:eastAsia="lt-LT"/>
                  </w:rPr>
                  <w:t>koordinuojančioji</w:t>
                </w:r>
                <w:r>
                  <w:rPr>
                    <w:b/>
                    <w:sz w:val="20"/>
                    <w:lang w:eastAsia="en-GB"/>
                  </w:rPr>
                  <w:t xml:space="preserve"> institucija per 5 darbo dienas perduoda jį poveikio aplinkai vertinimo dokumentų rengėjui ir planuojamos ūkinės veiklos organizatoriui (užsakovui) ir informuoja apie su poveikį patiriančia valstybe suderintas tolesnes tarpvalstybines konsultacijas. Pasibaigus </w:t>
                </w:r>
                <w:r>
                  <w:rPr>
                    <w:b/>
                    <w:sz w:val="20"/>
                    <w:lang w:eastAsia="lt-LT"/>
                  </w:rPr>
                  <w:t xml:space="preserve">tarpvalstybinėms konsultacijoms koordinuojančioji </w:t>
                </w:r>
                <w:r>
                  <w:rPr>
                    <w:b/>
                    <w:sz w:val="20"/>
                    <w:lang w:eastAsia="en-GB"/>
                  </w:rPr>
                  <w:t xml:space="preserve">institucija per 5 darbo dienas apie tai informuoja atsakingąją instituciją, poveikio aplinkai vertinimo dokumentų rengėją ir planuojamos ūkinės veiklos organizatorių (užsakovui), ir nurodo atsakingajai institucijai tęsti poveikio aplinkai vertinimą vadovaujantis šio įstatymo 12 straipsnio ir aplinkos ministro nustatyta tvarka. </w:t>
                </w:r>
              </w:p>
              <w:p>
                <w:pPr>
                  <w:jc w:val="both"/>
                  <w:rPr>
                    <w:b/>
                    <w:sz w:val="20"/>
                    <w:lang w:eastAsia="en-GB"/>
                  </w:rPr>
                </w:pPr>
                <w:r>
                  <w:rPr>
                    <w:b/>
                    <w:sz w:val="20"/>
                    <w:lang w:eastAsia="en-GB"/>
                  </w:rPr>
                  <w:t xml:space="preserve">12. </w:t>
                </w:r>
                <w:r>
                  <w:rPr>
                    <w:b/>
                    <w:sz w:val="20"/>
                    <w:lang w:eastAsia="lt-LT"/>
                  </w:rPr>
                  <w:t xml:space="preserve">Koordinuojančioji </w:t>
                </w:r>
                <w:r>
                  <w:rPr>
                    <w:b/>
                    <w:sz w:val="20"/>
                    <w:lang w:eastAsia="en-GB"/>
                  </w:rPr>
                  <w:t xml:space="preserve">institucija šio įstatymo 12 straipsnio 12 dalyje ir aplinkos ministro nustatyta tvarka gavusi atsakingosios institucijos priimtą sprendimą dėl planuojamos ūkinės veiklos poveikio aplinkai, pateikia jį poveikį aplinkai patiriančiai valstybei </w:t>
                </w:r>
                <w:r>
                  <w:rPr>
                    <w:b/>
                    <w:sz w:val="20"/>
                    <w:lang w:eastAsia="lt-LT"/>
                  </w:rPr>
                  <w:t>dvišaliame susitarime su poveikį aplinkai patiriančia valstybe, jeigu toks susitarimas yra, nurodyta kalba, kitais atvejais – anglų kalba, o kai poveikį aplinkai patirianti valstybė to prašo, – ir jos valstybine kalba.</w:t>
                </w:r>
                <w:r>
                  <w:rPr>
                    <w:b/>
                    <w:sz w:val="20"/>
                    <w:lang w:eastAsia="en-GB"/>
                  </w:rPr>
                  <w:t xml:space="preserve"> </w:t>
                </w:r>
              </w:p>
              <w:p>
                <w:pPr>
                  <w:jc w:val="both"/>
                  <w:rPr>
                    <w:b/>
                    <w:sz w:val="20"/>
                    <w:lang w:eastAsia="en-GB"/>
                  </w:rPr>
                </w:pPr>
                <w:r>
                  <w:rPr>
                    <w:b/>
                    <w:sz w:val="20"/>
                    <w:lang w:eastAsia="en-GB"/>
                  </w:rPr>
                  <w:t xml:space="preserve">13. Tais atvejais, kai kitos Europos Sąjungos valstybės narės ir (ar) užsienio valstybės, </w:t>
                </w:r>
                <w:r>
                  <w:rPr>
                    <w:b/>
                    <w:sz w:val="20"/>
                    <w:lang w:eastAsia="lt-LT"/>
                  </w:rPr>
                  <w:t>ne Europos Sąjungos valstybės narės, prisijungusios prie Konvencijos,</w:t>
                </w:r>
                <w:r>
                  <w:rPr>
                    <w:b/>
                    <w:sz w:val="20"/>
                    <w:lang w:eastAsia="en-GB"/>
                  </w:rPr>
                  <w:t xml:space="preserve"> planuojama ūkinė veikla gali daryti reikšmingą tarpvalstybinį poveikį (toliau – poveikį daranti valstybė), koordinuojančioji institucija, vadovaudamasi Konvencijos nuostatomis, gali prašyti tarpvalstybinių konsultacijų.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0"/>
                    <w:lang w:eastAsia="en-GB"/>
                  </w:rPr>
                </w:pPr>
                <w:r>
                  <w:rPr>
                    <w:b/>
                    <w:sz w:val="20"/>
                    <w:lang w:eastAsia="en-GB"/>
                  </w:rPr>
                  <w:t xml:space="preserve">14. </w:t>
                </w:r>
                <w:r>
                  <w:rPr>
                    <w:b/>
                    <w:sz w:val="20"/>
                    <w:lang w:eastAsia="lt-LT"/>
                  </w:rPr>
                  <w:t xml:space="preserve">Koordinuojančioji </w:t>
                </w:r>
                <w:r>
                  <w:rPr>
                    <w:b/>
                    <w:sz w:val="20"/>
                    <w:lang w:eastAsia="en-GB"/>
                  </w:rPr>
                  <w:t>institucija, gavusi iš poveikį darančios valstybės informaciją, susijusią su jos teritorijoje planuojamos ūkinės veiklos, poveikio aplinkai vertinimu, aplinkos ministro nustatyta tvarka organizuoja visuomenės ir suinteresuotų valstybės ir (ar) savivaldybės institucijų informavimą, išvadų ir pasiūlymų iš jų gavimą ir pateikimą poveikį darančiai valstybei. Informacijai, gautai iš poveikį darančios valstybės apie jos teritorijoje planuojamą ūkinę veiklą, viešinti taikomi tokie apribojimai, kurie galioja toje valstybėje.“</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rFonts w:eastAsia="Calibri"/>
                    <w:b/>
                    <w:color w:val="000000"/>
                    <w:sz w:val="20"/>
                  </w:rPr>
                </w:pPr>
                <w:r>
                  <w:rPr>
                    <w:rFonts w:eastAsia="Calibri"/>
                    <w:b/>
                    <w:color w:val="000000"/>
                    <w:sz w:val="20"/>
                  </w:rPr>
                  <w:t>B</w:t>
                </w:r>
              </w:p>
              <w:p>
                <w:pPr>
                  <w:jc w:val="both"/>
                  <w:rPr>
                    <w:sz w:val="20"/>
                    <w:lang w:eastAsia="en-GB"/>
                  </w:rPr>
                </w:pPr>
                <w:r>
                  <w:rPr>
                    <w:rFonts w:eastAsia="Calibri"/>
                    <w:color w:val="000000"/>
                    <w:sz w:val="20"/>
                  </w:rPr>
                  <w:t>2. Jei valstybė narė, kuri gauna informaciją pagal šio straipsnio 1 dalį, nurodo, kad ji ketina dalyvauti 2 straipsnio 2 dalyje nurodytose sprendimo aplinkos klausimais priėmimo procedūrose, valstybė narė, kurios teritorijoje ketinama tą projektą įgyvendinti, siunčia, jei ji to nėra padariusi, galinčiai patirti poveikį valstybei narei informaciją, reikalaujamą pateikti pagal 6 straipsnio 2 dalį ir prieinamą pagal 6 straipsnio 3 dalies a ir b punktus.</w:t>
                </w: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10 straipsnio 6 dalis</w:t>
                </w:r>
              </w:p>
              <w:p>
                <w:pPr>
                  <w:jc w:val="both"/>
                  <w:rPr>
                    <w:b/>
                    <w:sz w:val="20"/>
                    <w:lang w:eastAsia="en-GB"/>
                  </w:rPr>
                </w:pPr>
                <w:r>
                  <w:rPr>
                    <w:b/>
                    <w:sz w:val="20"/>
                    <w:lang w:eastAsia="lt-LT"/>
                  </w:rPr>
                  <w:t xml:space="preserve">„6. Koordinuojančioji institucija, gavusi šio straipsnio 5 dalyje nurodytą informaciją iš poveikio aplinkai vertinimo dokumentų rengėjo ar </w:t>
                </w:r>
                <w:r>
                  <w:rPr>
                    <w:b/>
                    <w:sz w:val="20"/>
                    <w:lang w:eastAsia="en-GB"/>
                  </w:rPr>
                  <w:t>planuojamos ūkinės veiklos organizatoriaus (užsakovo)</w:t>
                </w:r>
                <w:r>
                  <w:rPr>
                    <w:b/>
                    <w:sz w:val="20"/>
                    <w:lang w:eastAsia="lt-LT"/>
                  </w:rPr>
                  <w:t>, siunčia pranešimą poveikį aplinkai patiriančiai valstybei, kartu su juo pateikdama planuojamos ūkinės veiklos aprašymą, turimą informaciją apie galimą planuojamos ūkinės veiklos reikšmingą tarpvalstybinį poveikį aplinkai, informaciją apie galimų sprendimų pobūdį; prašo poveikį aplinkai patiriančios valstybės informuoti savo valstybės visuomenę ir kompetentingas institucijas, nurodydama laikotarpį (ne trumpesnį kaip 25 darbo dienos), per kurį poveikį aplinkai patirianti valstybė pageidauja dalyvauti tarpvalstybinio poveikio aplinkai vertinimo procese, ir prašo poveikį aplinkai patirianti valstybė gali pranešti, ar ji pageidauja dalyvauti tarpvalstybinio poveikio aplinkai vertinimo procese.</w:t>
                </w:r>
                <w:r>
                  <w:rPr>
                    <w:b/>
                    <w:sz w:val="20"/>
                    <w:lang w:eastAsia="en-GB"/>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10 straipsnio 10 dalis</w:t>
                </w:r>
              </w:p>
              <w:p>
                <w:pPr>
                  <w:jc w:val="both"/>
                  <w:rPr>
                    <w:b/>
                    <w:sz w:val="20"/>
                    <w:lang w:eastAsia="en-GB"/>
                  </w:rPr>
                </w:pPr>
                <w:r>
                  <w:rPr>
                    <w:b/>
                    <w:sz w:val="20"/>
                    <w:lang w:eastAsia="lt-LT"/>
                  </w:rPr>
                  <w:t>„</w:t>
                </w:r>
                <w:r>
                  <w:rPr>
                    <w:b/>
                    <w:sz w:val="20"/>
                    <w:lang w:eastAsia="en-GB"/>
                  </w:rPr>
                  <w:t xml:space="preserve">10. </w:t>
                </w:r>
                <w:r>
                  <w:rPr>
                    <w:b/>
                    <w:sz w:val="20"/>
                    <w:lang w:eastAsia="lt-LT"/>
                  </w:rPr>
                  <w:t xml:space="preserve">Koordinuojančioji </w:t>
                </w:r>
                <w:r>
                  <w:rPr>
                    <w:b/>
                    <w:sz w:val="20"/>
                    <w:lang w:eastAsia="en-GB"/>
                  </w:rPr>
                  <w:t>institucija, gavusi iš</w:t>
                </w:r>
                <w:r>
                  <w:rPr>
                    <w:b/>
                    <w:color w:val="7030A0"/>
                    <w:sz w:val="20"/>
                    <w:lang w:eastAsia="en-GB"/>
                  </w:rPr>
                  <w:t xml:space="preserve"> </w:t>
                </w:r>
                <w:r>
                  <w:rPr>
                    <w:b/>
                    <w:sz w:val="20"/>
                    <w:lang w:eastAsia="en-GB"/>
                  </w:rPr>
                  <w:t>poveikio aplinkai vertinimo dokumentų rengėjo informaciją, nurodytus šio straipsnio 8 dalyje, per 10 darbo dienų pateikia ją poveikį aplinkai patiriančiai valstybei, kartu pateikdama informaciją apie tolesnes poveikio aplinkai vertinimo procedūras ir siūlomas tarpvalstybines konsultacijas, įskaitant galimybę organizuoti dvišalį ar daugiašalį susitikimą, ir prašo informuoti poveikį aplinkai patiriančios valstybės visuomenę ir kompetentingas institucijas, nurodydama atsakymo pateikimo laikotarpį, ne trumpesnį kaip 30 darbo dienų nuo išsiuntimo dienos.“</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rFonts w:eastAsia="Calibri"/>
                    <w:b/>
                    <w:color w:val="000000"/>
                    <w:sz w:val="20"/>
                    <w:lang w:eastAsia="lt-LT"/>
                  </w:rPr>
                </w:pPr>
                <w:r>
                  <w:rPr>
                    <w:rFonts w:eastAsia="Calibri"/>
                    <w:b/>
                    <w:color w:val="000000"/>
                    <w:sz w:val="20"/>
                    <w:lang w:eastAsia="lt-LT"/>
                  </w:rPr>
                  <w:t>B</w:t>
                </w:r>
              </w:p>
              <w:p>
                <w:pPr>
                  <w:jc w:val="both"/>
                  <w:rPr>
                    <w:rFonts w:eastAsia="Calibri"/>
                    <w:color w:val="000000"/>
                    <w:sz w:val="20"/>
                    <w:lang w:eastAsia="lt-LT"/>
                  </w:rPr>
                </w:pPr>
                <w:r>
                  <w:rPr>
                    <w:rFonts w:eastAsia="Calibri"/>
                    <w:color w:val="000000"/>
                    <w:sz w:val="20"/>
                    <w:lang w:eastAsia="lt-LT"/>
                  </w:rPr>
                  <w:t xml:space="preserve">3. Suinteresuotos valstybės narės savo ruožtu taip pat: </w:t>
                </w:r>
              </w:p>
              <w:p>
                <w:pPr>
                  <w:jc w:val="both"/>
                  <w:rPr>
                    <w:rFonts w:eastAsia="Calibri"/>
                    <w:color w:val="000000"/>
                    <w:sz w:val="20"/>
                  </w:rPr>
                </w:pPr>
                <w:r>
                  <w:rPr>
                    <w:rFonts w:eastAsia="Calibri"/>
                    <w:color w:val="000000"/>
                    <w:sz w:val="20"/>
                  </w:rPr>
                  <w:t xml:space="preserve">a) pasirūpina, kad institucijoms, nurodytoms 6 straipsnio 1 dalyje ir galimą poveikį patirsiančios valstybės narės visuomenei bus duota pakankamai laiko susipažinti su informacija, nurodyta 1 ir 2 dalyse; </w:t>
                </w:r>
              </w:p>
              <w:p>
                <w:pPr>
                  <w:jc w:val="both"/>
                  <w:rPr>
                    <w:rFonts w:eastAsia="Calibri"/>
                    <w:color w:val="000000"/>
                    <w:sz w:val="20"/>
                  </w:rPr>
                </w:pPr>
                <w:r>
                  <w:rPr>
                    <w:rFonts w:eastAsia="Calibri"/>
                    <w:color w:val="000000"/>
                    <w:sz w:val="20"/>
                  </w:rPr>
                  <w:t xml:space="preserve">b) užtikrinti, kad, prieš suteikiant leidimą vykdyti planuojamą ūkinę veiklą, 6 straipsnio 1 dalyje minėtoms institucijoms ir visuomenei bus duota pakankamai laiko pareikšti nuomonę apie informaciją, pateiktą valstybės narės, kurios teritorijoje planuojama įgyvendinti projektą, kompetentingai institucijai. </w:t>
                </w:r>
              </w:p>
              <w:p>
                <w:pPr>
                  <w:jc w:val="both"/>
                  <w:rPr>
                    <w:sz w:val="20"/>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10 straipsnio 13-14 dalys</w:t>
                </w:r>
              </w:p>
              <w:p>
                <w:pPr>
                  <w:jc w:val="both"/>
                  <w:rPr>
                    <w:b/>
                    <w:sz w:val="20"/>
                    <w:lang w:eastAsia="en-GB"/>
                  </w:rPr>
                </w:pPr>
                <w:r>
                  <w:rPr>
                    <w:b/>
                    <w:sz w:val="20"/>
                    <w:lang w:eastAsia="lt-LT"/>
                  </w:rPr>
                  <w:t>„</w:t>
                </w:r>
                <w:r>
                  <w:rPr>
                    <w:b/>
                    <w:sz w:val="20"/>
                    <w:lang w:eastAsia="en-GB"/>
                  </w:rPr>
                  <w:t xml:space="preserve">13. Tais atvejais, kai kitos Europos Sąjungos valstybės narės ir (ar) užsienio valstybės, </w:t>
                </w:r>
                <w:r>
                  <w:rPr>
                    <w:b/>
                    <w:sz w:val="20"/>
                    <w:lang w:eastAsia="lt-LT"/>
                  </w:rPr>
                  <w:t>ne Europos Sąjungos valstybės narės, prisijungusios prie Konvencijos,</w:t>
                </w:r>
                <w:r>
                  <w:rPr>
                    <w:b/>
                    <w:sz w:val="20"/>
                    <w:lang w:eastAsia="en-GB"/>
                  </w:rPr>
                  <w:t xml:space="preserve"> planuojama ūkinė veikla gali daryti reikšmingą tarpvalstybinį poveikį (toliau – poveikį daranti valstybė), koordinuojančioji institucija, vadovaudamasi Konvencijos nuostatomis, gali prašyti tarpvalstybinių konsultacijų. </w:t>
                </w:r>
              </w:p>
              <w:p>
                <w:pPr>
                  <w:jc w:val="both"/>
                  <w:rPr>
                    <w:b/>
                    <w:sz w:val="20"/>
                    <w:lang w:eastAsia="en-GB"/>
                  </w:rPr>
                </w:pPr>
                <w:r>
                  <w:rPr>
                    <w:b/>
                    <w:sz w:val="20"/>
                    <w:lang w:eastAsia="en-GB"/>
                  </w:rPr>
                  <w:t xml:space="preserve">14. </w:t>
                </w:r>
                <w:r>
                  <w:rPr>
                    <w:b/>
                    <w:sz w:val="20"/>
                    <w:lang w:eastAsia="lt-LT"/>
                  </w:rPr>
                  <w:t xml:space="preserve">Koordinuojančioji </w:t>
                </w:r>
                <w:r>
                  <w:rPr>
                    <w:b/>
                    <w:sz w:val="20"/>
                    <w:lang w:eastAsia="en-GB"/>
                  </w:rPr>
                  <w:t>institucija, gavusi iš poveikį darančios valstybės informaciją, susijusią su jos teritorijoje planuojamos ūkinės veiklos, poveikio aplinkai vertinimu, aplinkos ministro nustatyta tvarka organizuoja visuomenės ir suinteresuotų valstybės ir (ar) savivaldybės institucijų informavimą, išvadų ir pasiūlymų iš jų gavimą ir pateikimą poveikį darančiai valstybei. Informacijai, gautai iš poveikį darančios valstybės apie jos teritorijoje planuojamą ūkinę veiklą, viešinti taikomi tokie apribojimai, kurie galioja toje valstybėje.“</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numPr>
                    <w:ilvl w:val="255"/>
                    <w:numId w:val="0"/>
                  </w:numPr>
                  <w:jc w:val="both"/>
                  <w:rPr>
                    <w:b/>
                    <w:bCs/>
                    <w:sz w:val="20"/>
                    <w:lang w:eastAsia="en-GB"/>
                  </w:rPr>
                </w:pPr>
                <w:r>
                  <w:rPr>
                    <w:b/>
                    <w:bCs/>
                    <w:sz w:val="20"/>
                    <w:lang w:eastAsia="en-GB"/>
                  </w:rPr>
                  <w:t>M1</w:t>
                </w:r>
              </w:p>
              <w:p>
                <w:pPr>
                  <w:jc w:val="both"/>
                  <w:rPr>
                    <w:sz w:val="20"/>
                    <w:lang w:eastAsia="en-GB"/>
                  </w:rPr>
                </w:pPr>
                <w:r>
                  <w:rPr>
                    <w:sz w:val="20"/>
                    <w:lang w:eastAsia="en-GB"/>
                  </w:rPr>
                  <w:t xml:space="preserve">4. Suinteresuotos valstybės narės pradeda konsultuotis dėl, be kita ko, galimų tarpvalstybinių projekto poveikių, numatomų priemonių, skirtų sumažinti ar pašalinti šiuos poveikius, bei derina klausimą dėl priimtinos konsultacijų trukmės. </w:t>
                </w:r>
              </w:p>
              <w:p>
                <w:pPr>
                  <w:jc w:val="both"/>
                  <w:rPr>
                    <w:sz w:val="20"/>
                    <w:lang w:eastAsia="en-GB"/>
                  </w:rPr>
                </w:pPr>
                <w:r>
                  <w:rPr>
                    <w:sz w:val="20"/>
                    <w:lang w:eastAsia="en-GB"/>
                  </w:rPr>
                  <w:t xml:space="preserve">Tokias konsultacijas galima rengti naudojantis atitinkama bendra įstaiga.“; </w:t>
                </w:r>
              </w:p>
              <w:p>
                <w:pPr>
                  <w:jc w:val="both"/>
                  <w:rPr>
                    <w:b/>
                    <w:sz w:val="20"/>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en-GB"/>
                  </w:rPr>
                </w:pPr>
                <w:r>
                  <w:rPr>
                    <w:b/>
                    <w:sz w:val="20"/>
                    <w:lang w:eastAsia="en-GB"/>
                  </w:rPr>
                  <w:t>10 straipsnio 1 dalis</w:t>
                </w:r>
              </w:p>
              <w:p>
                <w:pPr>
                  <w:jc w:val="both"/>
                  <w:rPr>
                    <w:b/>
                    <w:sz w:val="20"/>
                    <w:lang w:eastAsia="lt-LT"/>
                  </w:rPr>
                </w:pPr>
                <w:r>
                  <w:rPr>
                    <w:b/>
                    <w:sz w:val="20"/>
                    <w:lang w:eastAsia="en-GB"/>
                  </w:rPr>
                  <w:t>„</w:t>
                </w:r>
                <w:r>
                  <w:rPr>
                    <w:b/>
                    <w:sz w:val="20"/>
                    <w:lang w:eastAsia="lt-LT"/>
                  </w:rPr>
                  <w:t>1. Atliekant</w:t>
                </w:r>
                <w:r>
                  <w:rPr>
                    <w:b/>
                    <w:sz w:val="20"/>
                    <w:lang w:eastAsia="en-GB"/>
                  </w:rPr>
                  <w:t xml:space="preserve"> tarpvalstybinį poveikio aplinkai vertinimą, vadovaujamasi šiuo įstatymu, </w:t>
                </w:r>
                <w:r>
                  <w:rPr>
                    <w:b/>
                    <w:sz w:val="20"/>
                    <w:lang w:eastAsia="lt-LT"/>
                  </w:rPr>
                  <w:t>Jungtinių Tautų Organizacijos 1991 m. Konvencija dėl poveikio aplinkai vertinimo tarpvalstybiniame kontekste (toliau – Konvencija)</w:t>
                </w:r>
                <w:r>
                  <w:rPr>
                    <w:b/>
                    <w:sz w:val="20"/>
                    <w:lang w:eastAsia="en-GB"/>
                  </w:rPr>
                  <w:t>, tarptautinėmis sutartimis, kurias Lietuvos Respublika ir kita valstybė yra sudariusios.“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p>
              <w:p>
                <w:pPr>
                  <w:jc w:val="both"/>
                  <w:rPr>
                    <w:b/>
                    <w:sz w:val="20"/>
                    <w:lang w:eastAsia="en-GB"/>
                  </w:rPr>
                </w:pPr>
                <w:r>
                  <w:rPr>
                    <w:b/>
                    <w:sz w:val="20"/>
                    <w:lang w:eastAsia="en-GB"/>
                  </w:rPr>
                  <w:t>10 straipsnio 4-5 dalys</w:t>
                </w:r>
              </w:p>
              <w:p>
                <w:pPr>
                  <w:jc w:val="both"/>
                  <w:rPr>
                    <w:b/>
                    <w:sz w:val="20"/>
                    <w:lang w:eastAsia="lt-LT"/>
                  </w:rPr>
                </w:pPr>
                <w:r>
                  <w:rPr>
                    <w:b/>
                    <w:sz w:val="20"/>
                    <w:lang w:eastAsia="en-GB"/>
                  </w:rPr>
                  <w:t>„</w:t>
                </w:r>
                <w:r>
                  <w:rPr>
                    <w:b/>
                    <w:sz w:val="20"/>
                    <w:lang w:eastAsia="lt-LT"/>
                  </w:rPr>
                  <w:t xml:space="preserve">4. Paaiškėjus, kad Lietuvos Respublikos teritorijoje planuojamos ūkinės veiklos poveikis gali būti reikšmingas poveikį aplinkai patiriančiai valstybei, atsakingoji institucija per 5 darbo dienas nuo programos arba pranešimo apie PAV pradžią gavimo dienos kreipiasi į koordinuojančiąją instituciją prašydama pateikti išvadą, ar planuojamai ūkinei veiklai bus taikomos tarpvalstybinio </w:t>
                </w:r>
                <w:r>
                  <w:rPr>
                    <w:b/>
                    <w:sz w:val="20"/>
                    <w:lang w:eastAsia="en-GB"/>
                  </w:rPr>
                  <w:t>poveikio aplinkai vertinimo</w:t>
                </w:r>
                <w:r>
                  <w:rPr>
                    <w:b/>
                    <w:sz w:val="20"/>
                    <w:lang w:eastAsia="lt-LT"/>
                  </w:rPr>
                  <w:t xml:space="preserve"> procedūros. koordinuojančioji institucija, išnagrinėjusi gautą informaciją ir atsižvelgusi į planuojamos ūkinės veiklos pobūdį, mastą ar vietos ypatumus, per 5 darbo dienas nuo informacijos gavimo dienos pateikia išvadą dėl tarpvalstybinio poveikio aplinkai vertinimo procedūrų taikymo atsakingajai institucijai, planuojamos ūkinės veiklos organizatoriui (užsakovą) ir poveikio aplinkai vertinimo dokumentų rengėjui.</w:t>
                </w:r>
              </w:p>
              <w:p>
                <w:pPr>
                  <w:jc w:val="both"/>
                  <w:rPr>
                    <w:b/>
                    <w:sz w:val="20"/>
                    <w:lang w:eastAsia="en-GB"/>
                  </w:rPr>
                </w:pPr>
                <w:r>
                  <w:rPr>
                    <w:b/>
                    <w:sz w:val="20"/>
                    <w:lang w:eastAsia="lt-LT"/>
                  </w:rPr>
                  <w:t xml:space="preserve">5. Kai reikia atlikti planuojamos ūkinės veiklos tarpvalstybinio poveikio aplinkai vertinimo procedūras, koordinuojančioji institucija nurodo </w:t>
                </w:r>
                <w:r>
                  <w:rPr>
                    <w:b/>
                    <w:sz w:val="20"/>
                    <w:lang w:eastAsia="en-GB"/>
                  </w:rPr>
                  <w:t>planuojamos ūkinės veiklos organizatoriui (užsakovui)</w:t>
                </w:r>
                <w:r>
                  <w:rPr>
                    <w:b/>
                    <w:sz w:val="20"/>
                    <w:lang w:eastAsia="lt-LT"/>
                  </w:rPr>
                  <w:t xml:space="preserve"> ir poveikio aplinkai vertinimo dokumentų rengėjui parengti ir pateikti koordinuojančiajai institucijai aplinkos ministro nustatytos apimties informaciją dvišaliame susitarime, jeigu toks susitarimas yra, nurodyta kalba, kitais atvejais – anglų kalba, o kai poveikį aplinkai patirianti valstybė to prašo, – ir jos valstybine kalba.</w:t>
                </w:r>
                <w:r>
                  <w:rPr>
                    <w:b/>
                    <w:sz w:val="20"/>
                    <w:lang w:eastAsia="en-GB"/>
                  </w:rPr>
                  <w:t>“</w:t>
                </w:r>
              </w:p>
              <w:p>
                <w:pPr>
                  <w:jc w:val="both"/>
                  <w:rPr>
                    <w:b/>
                    <w:sz w:val="20"/>
                    <w:lang w:eastAsia="en-GB"/>
                  </w:rPr>
                </w:pPr>
              </w:p>
              <w:p>
                <w:pPr>
                  <w:jc w:val="both"/>
                  <w:rPr>
                    <w:b/>
                    <w:sz w:val="20"/>
                    <w:lang w:eastAsia="en-GB"/>
                  </w:rPr>
                </w:pPr>
                <w:r>
                  <w:rPr>
                    <w:b/>
                    <w:sz w:val="20"/>
                    <w:lang w:eastAsia="en-GB"/>
                  </w:rPr>
                  <w:t>10 straipsnio 10-14 dalys</w:t>
                </w:r>
              </w:p>
              <w:p>
                <w:pPr>
                  <w:jc w:val="both"/>
                  <w:rPr>
                    <w:b/>
                    <w:sz w:val="20"/>
                    <w:lang w:eastAsia="en-GB"/>
                  </w:rPr>
                </w:pPr>
                <w:r>
                  <w:rPr>
                    <w:b/>
                    <w:sz w:val="20"/>
                    <w:lang w:eastAsia="en-GB"/>
                  </w:rPr>
                  <w:t xml:space="preserve">„10. </w:t>
                </w:r>
                <w:r>
                  <w:rPr>
                    <w:b/>
                    <w:sz w:val="20"/>
                    <w:lang w:eastAsia="lt-LT"/>
                  </w:rPr>
                  <w:t xml:space="preserve">Koordinuojančioji </w:t>
                </w:r>
                <w:r>
                  <w:rPr>
                    <w:b/>
                    <w:sz w:val="20"/>
                    <w:lang w:eastAsia="en-GB"/>
                  </w:rPr>
                  <w:t>institucija, gavusi iš</w:t>
                </w:r>
                <w:r>
                  <w:rPr>
                    <w:b/>
                    <w:color w:val="7030A0"/>
                    <w:sz w:val="20"/>
                    <w:lang w:eastAsia="en-GB"/>
                  </w:rPr>
                  <w:t xml:space="preserve"> </w:t>
                </w:r>
                <w:r>
                  <w:rPr>
                    <w:b/>
                    <w:sz w:val="20"/>
                    <w:lang w:eastAsia="en-GB"/>
                  </w:rPr>
                  <w:t xml:space="preserve">poveikio aplinkai vertinimo dokumentų rengėjo informaciją, nurodytus šio straipsnio 8 dalyje, per 10 darbo dienų pateikia ją poveikį aplinkai patiriančiai valstybei, kartu pateikdama informaciją apie tolesnes poveikio aplinkai vertinimo procedūras ir siūlomas tarpvalstybines konsultacijas, įskaitant galimybę organizuoti dvišalį ar daugiašalį susitikimą, ir prašo informuoti poveikį aplinkai patiriančios valstybės visuomenę ir kompetentingas institucijas, nurodydama atsakymo pateikimo laikotarpį, ne trumpesnį kaip 30 darbo dienų nuo išsiuntimo dienos. </w:t>
                </w:r>
              </w:p>
              <w:p>
                <w:pPr>
                  <w:jc w:val="both"/>
                  <w:rPr>
                    <w:b/>
                    <w:sz w:val="20"/>
                    <w:lang w:eastAsia="en-GB"/>
                  </w:rPr>
                </w:pPr>
                <w:r>
                  <w:rPr>
                    <w:b/>
                    <w:sz w:val="20"/>
                    <w:lang w:eastAsia="en-GB"/>
                  </w:rPr>
                  <w:t xml:space="preserve">11. Gavusi poveikį aplinkai patiriančios valstybės atsakymą </w:t>
                </w:r>
                <w:r>
                  <w:rPr>
                    <w:b/>
                    <w:sz w:val="20"/>
                    <w:lang w:eastAsia="lt-LT"/>
                  </w:rPr>
                  <w:t>koordinuojančioji</w:t>
                </w:r>
                <w:r>
                  <w:rPr>
                    <w:b/>
                    <w:sz w:val="20"/>
                    <w:lang w:eastAsia="en-GB"/>
                  </w:rPr>
                  <w:t xml:space="preserve"> institucija per 5 darbo dienas perduoda jį poveikio aplinkai vertinimo dokumentų rengėjui ir planuojamos ūkinės veiklos organizatoriui (užsakovui) ir informuoja apie su poveikį patiriančia valstybe suderintas tolesnes tarpvalstybines konsultacijas. Pasibaigus </w:t>
                </w:r>
                <w:r>
                  <w:rPr>
                    <w:b/>
                    <w:sz w:val="20"/>
                    <w:lang w:eastAsia="lt-LT"/>
                  </w:rPr>
                  <w:t xml:space="preserve">tarpvalstybinėms konsultacijoms koordinuojančioji </w:t>
                </w:r>
                <w:r>
                  <w:rPr>
                    <w:b/>
                    <w:sz w:val="20"/>
                    <w:lang w:eastAsia="en-GB"/>
                  </w:rPr>
                  <w:t xml:space="preserve">institucija per 5 darbo dienas apie tai informuoja atsakingąją instituciją, poveikio aplinkai vertinimo dokumentų rengėją ir planuojamos ūkinės veiklos organizatorių (užsakovui), ir nurodo atsakingajai institucijai tęsti poveikio aplinkai vertinimą vadovaujantis šio įstatymo 12 straipsnio ir aplinkos ministro nustatyta tvarka. </w:t>
                </w:r>
              </w:p>
              <w:p>
                <w:pPr>
                  <w:jc w:val="both"/>
                  <w:rPr>
                    <w:b/>
                    <w:sz w:val="20"/>
                    <w:lang w:eastAsia="en-GB"/>
                  </w:rPr>
                </w:pPr>
                <w:r>
                  <w:rPr>
                    <w:b/>
                    <w:sz w:val="20"/>
                    <w:lang w:eastAsia="en-GB"/>
                  </w:rPr>
                  <w:t xml:space="preserve">12. </w:t>
                </w:r>
                <w:r>
                  <w:rPr>
                    <w:b/>
                    <w:sz w:val="20"/>
                    <w:lang w:eastAsia="lt-LT"/>
                  </w:rPr>
                  <w:t xml:space="preserve">Koordinuojančioji </w:t>
                </w:r>
                <w:r>
                  <w:rPr>
                    <w:b/>
                    <w:sz w:val="20"/>
                    <w:lang w:eastAsia="en-GB"/>
                  </w:rPr>
                  <w:t xml:space="preserve">institucija šio įstatymo 12 straipsnio 12 dalyje ir aplinkos ministro nustatyta tvarka gavusi atsakingosios institucijos priimtą sprendimą dėl planuojamos ūkinės veiklos poveikio aplinkai, pateikia jį poveikį aplinkai patiriančiai valstybei </w:t>
                </w:r>
                <w:r>
                  <w:rPr>
                    <w:b/>
                    <w:sz w:val="20"/>
                    <w:lang w:eastAsia="lt-LT"/>
                  </w:rPr>
                  <w:t>dvišaliame susitarime su poveikį aplinkai patiriančia valstybe, jeigu toks susitarimas yra, nurodyta kalba, kitais atvejais – anglų kalba, o kai poveikį aplinkai patirianti valstybė to prašo, – ir jos valstybine kalba.</w:t>
                </w:r>
                <w:r>
                  <w:rPr>
                    <w:b/>
                    <w:sz w:val="20"/>
                    <w:lang w:eastAsia="en-GB"/>
                  </w:rPr>
                  <w:t xml:space="preserve"> </w:t>
                </w:r>
              </w:p>
              <w:p>
                <w:pPr>
                  <w:jc w:val="both"/>
                  <w:rPr>
                    <w:b/>
                    <w:sz w:val="20"/>
                    <w:lang w:eastAsia="en-GB"/>
                  </w:rPr>
                </w:pPr>
                <w:r>
                  <w:rPr>
                    <w:b/>
                    <w:sz w:val="20"/>
                    <w:lang w:eastAsia="en-GB"/>
                  </w:rPr>
                  <w:t xml:space="preserve">13. Tais atvejais, kai kitos Europos Sąjungos valstybės narės ir (ar) užsienio valstybės, </w:t>
                </w:r>
                <w:r>
                  <w:rPr>
                    <w:b/>
                    <w:sz w:val="20"/>
                    <w:lang w:eastAsia="lt-LT"/>
                  </w:rPr>
                  <w:t>ne Europos Sąjungos valstybės narės, prisijungusios prie Konvencijos,</w:t>
                </w:r>
                <w:r>
                  <w:rPr>
                    <w:b/>
                    <w:sz w:val="20"/>
                    <w:lang w:eastAsia="en-GB"/>
                  </w:rPr>
                  <w:t xml:space="preserve"> planuojama ūkinė veikla gali daryti reikšmingą tarpvalstybinį poveikį (toliau – poveikį daranti valstybė), koordinuojančioji institucija, vadovaudamasi Konvencijos nuostatomis, gali prašyti tarpvalstybinių konsultacijų. </w:t>
                </w:r>
              </w:p>
              <w:p>
                <w:pPr>
                  <w:jc w:val="both"/>
                  <w:rPr>
                    <w:b/>
                    <w:sz w:val="20"/>
                    <w:lang w:eastAsia="en-GB"/>
                  </w:rPr>
                </w:pPr>
                <w:r>
                  <w:rPr>
                    <w:b/>
                    <w:sz w:val="20"/>
                    <w:lang w:eastAsia="en-GB"/>
                  </w:rPr>
                  <w:t xml:space="preserve">14. </w:t>
                </w:r>
                <w:r>
                  <w:rPr>
                    <w:b/>
                    <w:sz w:val="20"/>
                    <w:lang w:eastAsia="lt-LT"/>
                  </w:rPr>
                  <w:t xml:space="preserve">Koordinuojančioji </w:t>
                </w:r>
                <w:r>
                  <w:rPr>
                    <w:b/>
                    <w:sz w:val="20"/>
                    <w:lang w:eastAsia="en-GB"/>
                  </w:rPr>
                  <w:t>institucija, gavusi iš poveikį darančios valstybės informaciją, susijusią su jos teritorijoje planuojamos ūkinės veiklos, poveikio aplinkai vertinimu, aplinkos ministro nustatyta tvarka organizuoja visuomenės ir suinteresuotų valstybės ir (ar) savivaldybės institucijų informavimą, išvadų ir pasiūlymų iš jų gavimą ir pateikimą poveikį darančiai valstybei. Informacijai, gautai iš poveikį darančios valstybės apie jos teritorijoje planuojamą ūkinę veiklą, viešinti taikomi tokie apribojimai, kurie galioja toje valstybėje.“</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b/>
                    <w:sz w:val="20"/>
                    <w:lang w:eastAsia="en-GB"/>
                  </w:rPr>
                </w:pPr>
                <w:r>
                  <w:rPr>
                    <w:b/>
                    <w:sz w:val="20"/>
                    <w:lang w:eastAsia="en-GB"/>
                  </w:rPr>
                  <w:t>M1</w:t>
                </w:r>
              </w:p>
              <w:p>
                <w:pPr>
                  <w:jc w:val="both"/>
                  <w:rPr>
                    <w:sz w:val="20"/>
                    <w:lang w:eastAsia="en-GB"/>
                  </w:rPr>
                </w:pPr>
                <w:r>
                  <w:rPr>
                    <w:sz w:val="20"/>
                    <w:lang w:eastAsia="en-GB"/>
                  </w:rPr>
                  <w:t>5. Išsamią šio straipsnio 1–4 dalių įgyvendinimo tvarką, įskaitant konsultacijų terminus, nustato atitinkamos valstybės narės, remdamosi 6 straipsnio 5–7 dalyse nurodytais tvarka ir terminais, ir jos yra tokios, kad leistų suinteresuotai visuomenei poveikį patiriančios valstybės narės teritorijoje veiksmingai dalyvauti 2 straipsnio 2 dalyje nurodytose projekto sprendimų aplinkos klausimais priėmimo procedūrose.</w:t>
                </w:r>
              </w:p>
            </w:tc>
            <w:tc>
              <w:tcPr>
                <w:tcW w:w="9639" w:type="dxa"/>
              </w:tcPr>
              <w:p>
                <w:pPr>
                  <w:jc w:val="both"/>
                  <w:rPr>
                    <w:b/>
                    <w:bCs/>
                    <w:sz w:val="20"/>
                    <w:lang w:eastAsia="en-GB"/>
                  </w:rPr>
                </w:pPr>
                <w:r>
                  <w:rPr>
                    <w:b/>
                    <w:bCs/>
                    <w:sz w:val="20"/>
                    <w:lang w:eastAsia="en-GB"/>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en-GB"/>
                  </w:rPr>
                </w:pPr>
                <w:r>
                  <w:rPr>
                    <w:b/>
                    <w:bCs/>
                    <w:sz w:val="20"/>
                    <w:lang w:eastAsia="en-GB"/>
                  </w:rPr>
                  <w:t>10 straipsnio 1 dalis</w:t>
                </w:r>
              </w:p>
              <w:p>
                <w:pPr>
                  <w:jc w:val="both"/>
                  <w:rPr>
                    <w:b/>
                    <w:bCs/>
                    <w:sz w:val="20"/>
                    <w:lang w:eastAsia="lt-LT"/>
                  </w:rPr>
                </w:pPr>
                <w:r>
                  <w:rPr>
                    <w:b/>
                    <w:bCs/>
                    <w:sz w:val="20"/>
                    <w:lang w:eastAsia="en-GB"/>
                  </w:rPr>
                  <w:t>„</w:t>
                </w:r>
                <w:r>
                  <w:rPr>
                    <w:b/>
                    <w:bCs/>
                    <w:sz w:val="20"/>
                    <w:lang w:eastAsia="lt-LT"/>
                  </w:rPr>
                  <w:t>1. Atliekant</w:t>
                </w:r>
                <w:r>
                  <w:rPr>
                    <w:b/>
                    <w:bCs/>
                    <w:sz w:val="20"/>
                    <w:lang w:eastAsia="en-GB"/>
                  </w:rPr>
                  <w:t xml:space="preserve"> tarpvalstybinį poveikio aplinkai vertinimą, vadovaujamasi šiuo įstatymu, </w:t>
                </w:r>
                <w:r>
                  <w:rPr>
                    <w:b/>
                    <w:bCs/>
                    <w:sz w:val="20"/>
                    <w:lang w:eastAsia="lt-LT"/>
                  </w:rPr>
                  <w:t>Jungtinių Tautų Organizacijos 1991 m. Konvencija dėl poveikio aplinkai vertinimo tarpvalstybiniame kontekste (toliau – Konvencija)</w:t>
                </w:r>
                <w:r>
                  <w:rPr>
                    <w:b/>
                    <w:bCs/>
                    <w:sz w:val="20"/>
                    <w:lang w:eastAsia="en-GB"/>
                  </w:rPr>
                  <w:t>, tarptautinėmis sutartimis, kurias Lietuvos Respublika ir kita valstybė yra sudariusios.“</w:t>
                </w:r>
              </w:p>
              <w:p>
                <w:pPr>
                  <w:jc w:val="both"/>
                  <w:rPr>
                    <w:b/>
                    <w:bCs/>
                    <w:sz w:val="20"/>
                    <w:lang w:eastAsia="en-GB"/>
                  </w:rPr>
                </w:pPr>
              </w:p>
              <w:p>
                <w:pPr>
                  <w:jc w:val="both"/>
                  <w:rPr>
                    <w:b/>
                    <w:bCs/>
                    <w:sz w:val="20"/>
                    <w:lang w:eastAsia="en-GB"/>
                  </w:rPr>
                </w:pPr>
                <w:r>
                  <w:rPr>
                    <w:b/>
                    <w:bCs/>
                    <w:sz w:val="20"/>
                    <w:lang w:eastAsia="en-GB"/>
                  </w:rPr>
                  <w:t>10 straipsnio 6 dalis</w:t>
                </w:r>
              </w:p>
              <w:p>
                <w:pPr>
                  <w:jc w:val="both"/>
                  <w:rPr>
                    <w:b/>
                    <w:bCs/>
                    <w:sz w:val="20"/>
                    <w:lang w:eastAsia="en-GB"/>
                  </w:rPr>
                </w:pPr>
                <w:r>
                  <w:rPr>
                    <w:b/>
                    <w:bCs/>
                    <w:sz w:val="20"/>
                    <w:lang w:eastAsia="en-GB"/>
                  </w:rPr>
                  <w:t>„</w:t>
                </w:r>
                <w:r>
                  <w:rPr>
                    <w:b/>
                    <w:bCs/>
                    <w:sz w:val="20"/>
                    <w:lang w:eastAsia="lt-LT"/>
                  </w:rPr>
                  <w:t xml:space="preserve">6. Koordinuojančioji institucija, gavusi šio straipsnio 5 dalyje nurodytą informaciją iš poveikio aplinkai vertinimo dokumentų rengėjo ar </w:t>
                </w:r>
                <w:r>
                  <w:rPr>
                    <w:b/>
                    <w:bCs/>
                    <w:sz w:val="20"/>
                    <w:lang w:eastAsia="en-GB"/>
                  </w:rPr>
                  <w:t>planuojamos ūkinės veiklos organizatoriaus (užsakovo)</w:t>
                </w:r>
                <w:r>
                  <w:rPr>
                    <w:b/>
                    <w:bCs/>
                    <w:sz w:val="20"/>
                    <w:lang w:eastAsia="lt-LT"/>
                  </w:rPr>
                  <w:t>, siunčia pranešimą poveikį aplinkai patiriančiai valstybei, kartu su juo pateikdama planuojamos ūkinės veiklos aprašymą, turimą informaciją apie galimą planuojamos ūkinės veiklos reikšmingą tarpvalstybinį poveikį aplinkai, informaciją apie galimų sprendimų pobūdį; prašo poveikį aplinkai patiriančios valstybės informuoti savo valstybės visuomenę ir kompetentingas institucijas, nurodydama laikotarpį (ne trumpesnį kaip 25 darbo dienos), per kurį poveikį aplinkai patirianti valstybė pageidauja dalyvauti tarpvalstybinio poveikio aplinkai vertinimo procese, ir prašo poveikį aplinkai patirianti valstybė gali pranešti, ar ji pageidauja dalyvauti tarpvalstybinio poveikio aplinkai vertinimo procese.</w:t>
                </w:r>
                <w:r>
                  <w:rPr>
                    <w:b/>
                    <w:bCs/>
                    <w:sz w:val="20"/>
                    <w:lang w:eastAsia="en-GB"/>
                  </w:rPr>
                  <w:t>“</w:t>
                </w:r>
              </w:p>
              <w:p>
                <w:pPr>
                  <w:jc w:val="both"/>
                  <w:rPr>
                    <w:b/>
                    <w:bCs/>
                    <w:sz w:val="20"/>
                    <w:lang w:eastAsia="en-GB"/>
                  </w:rPr>
                </w:pPr>
              </w:p>
              <w:p>
                <w:pPr>
                  <w:jc w:val="both"/>
                  <w:rPr>
                    <w:b/>
                    <w:bCs/>
                    <w:sz w:val="20"/>
                    <w:lang w:eastAsia="en-GB"/>
                  </w:rPr>
                </w:pPr>
                <w:r>
                  <w:rPr>
                    <w:b/>
                    <w:bCs/>
                    <w:sz w:val="20"/>
                    <w:lang w:eastAsia="en-GB"/>
                  </w:rPr>
                  <w:t>10 straipsnio 8 dalis</w:t>
                </w:r>
              </w:p>
              <w:p>
                <w:pPr>
                  <w:jc w:val="both"/>
                  <w:rPr>
                    <w:b/>
                    <w:bCs/>
                    <w:sz w:val="20"/>
                    <w:lang w:eastAsia="en-GB"/>
                  </w:rPr>
                </w:pPr>
                <w:r>
                  <w:rPr>
                    <w:b/>
                    <w:bCs/>
                    <w:sz w:val="20"/>
                    <w:lang w:eastAsia="en-GB"/>
                  </w:rPr>
                  <w:t xml:space="preserve">„8. Jeigu poveikį aplinkai patirianti valstybė praneša, kad dalyvaus planuojamos ūkinės veiklos tarpvalstybinio poveikio aplinkai vertinimo procese, </w:t>
                </w:r>
                <w:r>
                  <w:rPr>
                    <w:b/>
                    <w:bCs/>
                    <w:sz w:val="20"/>
                    <w:lang w:eastAsia="lt-LT"/>
                  </w:rPr>
                  <w:t xml:space="preserve">koordinuojančioji </w:t>
                </w:r>
                <w:r>
                  <w:rPr>
                    <w:b/>
                    <w:bCs/>
                    <w:sz w:val="20"/>
                    <w:lang w:eastAsia="en-GB"/>
                  </w:rPr>
                  <w:t>institucija apie tai informuoja atsakingąją instituciją, planuojamos ūkinės veiklos organizatorių (užsakovą) ir poveikio aplinkai vertinimo dokumentų rengėją ir nurodo:</w:t>
                </w:r>
              </w:p>
              <w:p>
                <w:pPr>
                  <w:jc w:val="both"/>
                  <w:rPr>
                    <w:b/>
                    <w:bCs/>
                    <w:sz w:val="20"/>
                    <w:lang w:eastAsia="en-GB"/>
                  </w:rPr>
                </w:pPr>
                <w:r>
                  <w:rPr>
                    <w:b/>
                    <w:bCs/>
                    <w:sz w:val="20"/>
                    <w:lang w:eastAsia="en-GB"/>
                  </w:rPr>
                  <w:t>1) poveikio aplinkai vertinimo dokumentų rengėjui:</w:t>
                </w:r>
              </w:p>
              <w:p>
                <w:pPr>
                  <w:jc w:val="both"/>
                  <w:rPr>
                    <w:b/>
                    <w:bCs/>
                    <w:sz w:val="20"/>
                    <w:lang w:eastAsia="en-GB"/>
                  </w:rPr>
                </w:pPr>
                <w:r>
                  <w:rPr>
                    <w:b/>
                    <w:bCs/>
                    <w:sz w:val="20"/>
                    <w:lang w:eastAsia="en-GB"/>
                  </w:rPr>
                  <w:t>a) jeigu gautos poveikį patiriančios valstybės motyvuotos pastabos ir pasiūlymai, pagal juos patikslinti programą ir pateikti patikslintą programą atsakingajai institucijai;</w:t>
                </w:r>
              </w:p>
              <w:p>
                <w:pPr>
                  <w:jc w:val="both"/>
                  <w:rPr>
                    <w:b/>
                    <w:bCs/>
                    <w:sz w:val="20"/>
                    <w:lang w:eastAsia="en-GB"/>
                  </w:rPr>
                </w:pPr>
                <w:r>
                  <w:rPr>
                    <w:b/>
                    <w:bCs/>
                    <w:sz w:val="20"/>
                    <w:lang w:eastAsia="en-GB"/>
                  </w:rPr>
                  <w:t xml:space="preserve">b) parengti ir ne vėliau negu 10 darbo dienų iki šio įstatymo 11 straipsnio 3 dalyje nurodyto visuomenės informavimo apie viešą visuomenės supažindinimą su ataskaita pateikti </w:t>
                </w:r>
                <w:r>
                  <w:rPr>
                    <w:b/>
                    <w:bCs/>
                    <w:sz w:val="20"/>
                    <w:lang w:eastAsia="lt-LT"/>
                  </w:rPr>
                  <w:t xml:space="preserve">koordinuojančiajai </w:t>
                </w:r>
                <w:r>
                  <w:rPr>
                    <w:b/>
                    <w:bCs/>
                    <w:sz w:val="20"/>
                    <w:lang w:eastAsia="en-GB"/>
                  </w:rPr>
                  <w:t xml:space="preserve">institucijai ataskaitą anglų kalba ir </w:t>
                </w:r>
                <w:r>
                  <w:rPr>
                    <w:b/>
                    <w:bCs/>
                    <w:color w:val="000000"/>
                    <w:sz w:val="20"/>
                    <w:lang w:eastAsia="en-GB"/>
                  </w:rPr>
                  <w:t xml:space="preserve">aplinkos ministro nustatytos apimties netechninio pobūdžio </w:t>
                </w:r>
                <w:r>
                  <w:rPr>
                    <w:b/>
                    <w:bCs/>
                    <w:sz w:val="20"/>
                    <w:lang w:eastAsia="en-GB"/>
                  </w:rPr>
                  <w:t>ataskaitos santrauką dvišaliame susitarime, jeigu toks susitarimas yra, nurodyta kalba, kitais atvejais – anglų kalba, o kai poveikį aplinkai patirianti valstybė to prašo, – ir jos valstybine kalba.“</w:t>
                </w:r>
              </w:p>
              <w:p>
                <w:pPr>
                  <w:jc w:val="both"/>
                  <w:rPr>
                    <w:b/>
                    <w:bCs/>
                    <w:sz w:val="20"/>
                    <w:lang w:eastAsia="en-GB"/>
                  </w:rPr>
                </w:pPr>
              </w:p>
              <w:p>
                <w:pPr>
                  <w:jc w:val="both"/>
                  <w:rPr>
                    <w:b/>
                    <w:bCs/>
                    <w:sz w:val="20"/>
                    <w:lang w:eastAsia="en-GB"/>
                  </w:rPr>
                </w:pPr>
                <w:r>
                  <w:rPr>
                    <w:b/>
                    <w:bCs/>
                    <w:sz w:val="20"/>
                    <w:lang w:eastAsia="en-GB"/>
                  </w:rPr>
                  <w:t>10 straipsnio 10-12 dalys</w:t>
                </w:r>
              </w:p>
              <w:p>
                <w:pPr>
                  <w:jc w:val="both"/>
                  <w:rPr>
                    <w:b/>
                    <w:bCs/>
                    <w:sz w:val="20"/>
                    <w:lang w:eastAsia="en-GB"/>
                  </w:rPr>
                </w:pPr>
                <w:r>
                  <w:rPr>
                    <w:b/>
                    <w:bCs/>
                    <w:sz w:val="20"/>
                    <w:lang w:eastAsia="en-GB"/>
                  </w:rPr>
                  <w:t xml:space="preserve">„10. </w:t>
                </w:r>
                <w:r>
                  <w:rPr>
                    <w:b/>
                    <w:bCs/>
                    <w:sz w:val="20"/>
                    <w:lang w:eastAsia="lt-LT"/>
                  </w:rPr>
                  <w:t xml:space="preserve">Koordinuojančioji </w:t>
                </w:r>
                <w:r>
                  <w:rPr>
                    <w:b/>
                    <w:bCs/>
                    <w:sz w:val="20"/>
                    <w:lang w:eastAsia="en-GB"/>
                  </w:rPr>
                  <w:t>institucija, gavusi iš</w:t>
                </w:r>
                <w:r>
                  <w:rPr>
                    <w:b/>
                    <w:bCs/>
                    <w:color w:val="7030A0"/>
                    <w:sz w:val="20"/>
                    <w:lang w:eastAsia="en-GB"/>
                  </w:rPr>
                  <w:t xml:space="preserve"> </w:t>
                </w:r>
                <w:r>
                  <w:rPr>
                    <w:b/>
                    <w:bCs/>
                    <w:sz w:val="20"/>
                    <w:lang w:eastAsia="en-GB"/>
                  </w:rPr>
                  <w:t xml:space="preserve">poveikio aplinkai vertinimo dokumentų rengėjo informaciją, nurodytus šio straipsnio 8 dalyje, per 10 darbo dienų pateikia ją poveikį aplinkai patiriančiai valstybei, kartu pateikdama informaciją apie tolesnes poveikio aplinkai vertinimo procedūras ir siūlomas tarpvalstybines konsultacijas, įskaitant galimybę organizuoti dvišalį ar daugiašalį susitikimą, ir prašo informuoti poveikį aplinkai patiriančios valstybės visuomenę ir kompetentingas institucijas, nurodydama atsakymo pateikimo laikotarpį, ne trumpesnį kaip 30 darbo dienų nuo išsiuntimo dienos. </w:t>
                </w:r>
              </w:p>
              <w:p>
                <w:pPr>
                  <w:jc w:val="both"/>
                  <w:rPr>
                    <w:b/>
                    <w:bCs/>
                    <w:sz w:val="20"/>
                    <w:lang w:eastAsia="en-GB"/>
                  </w:rPr>
                </w:pPr>
                <w:r>
                  <w:rPr>
                    <w:b/>
                    <w:bCs/>
                    <w:sz w:val="20"/>
                    <w:lang w:eastAsia="en-GB"/>
                  </w:rPr>
                  <w:t xml:space="preserve">11. Gavusi poveikį aplinkai patiriančios valstybės atsakymą </w:t>
                </w:r>
                <w:r>
                  <w:rPr>
                    <w:b/>
                    <w:bCs/>
                    <w:sz w:val="20"/>
                    <w:lang w:eastAsia="lt-LT"/>
                  </w:rPr>
                  <w:t>koordinuojančioji</w:t>
                </w:r>
                <w:r>
                  <w:rPr>
                    <w:b/>
                    <w:bCs/>
                    <w:sz w:val="20"/>
                    <w:lang w:eastAsia="en-GB"/>
                  </w:rPr>
                  <w:t xml:space="preserve"> institucija per 5 darbo dienas perduoda jį poveikio aplinkai vertinimo dokumentų rengėjui ir planuojamos ūkinės veiklos organizatoriui (užsakovui) ir informuoja apie su poveikį patiriančia valstybe suderintas tolesnes tarpvalstybines konsultacijas. Pasibaigus </w:t>
                </w:r>
                <w:r>
                  <w:rPr>
                    <w:b/>
                    <w:bCs/>
                    <w:sz w:val="20"/>
                    <w:lang w:eastAsia="lt-LT"/>
                  </w:rPr>
                  <w:t xml:space="preserve">tarpvalstybinėms konsultacijoms koordinuojančioji </w:t>
                </w:r>
                <w:r>
                  <w:rPr>
                    <w:b/>
                    <w:bCs/>
                    <w:sz w:val="20"/>
                    <w:lang w:eastAsia="en-GB"/>
                  </w:rPr>
                  <w:t xml:space="preserve">institucija per 5 darbo dienas apie tai informuoja atsakingąją instituciją, poveikio aplinkai vertinimo dokumentų rengėją ir planuojamos ūkinės veiklos organizatorių (užsakovui), ir nurodo atsakingajai institucijai tęsti poveikio aplinkai vertinimą vadovaujantis šio įstatymo 12 straipsnio ir aplinkos ministro nustatyta tvarka. </w:t>
                </w:r>
              </w:p>
              <w:p>
                <w:pPr>
                  <w:jc w:val="both"/>
                  <w:rPr>
                    <w:b/>
                    <w:bCs/>
                    <w:sz w:val="20"/>
                    <w:lang w:eastAsia="en-GB"/>
                  </w:rPr>
                </w:pPr>
                <w:r>
                  <w:rPr>
                    <w:b/>
                    <w:bCs/>
                    <w:sz w:val="20"/>
                    <w:lang w:eastAsia="en-GB"/>
                  </w:rPr>
                  <w:t xml:space="preserve">12. </w:t>
                </w:r>
                <w:r>
                  <w:rPr>
                    <w:b/>
                    <w:bCs/>
                    <w:sz w:val="20"/>
                    <w:lang w:eastAsia="lt-LT"/>
                  </w:rPr>
                  <w:t xml:space="preserve">Koordinuojančioji </w:t>
                </w:r>
                <w:r>
                  <w:rPr>
                    <w:b/>
                    <w:bCs/>
                    <w:sz w:val="20"/>
                    <w:lang w:eastAsia="en-GB"/>
                  </w:rPr>
                  <w:t xml:space="preserve">institucija šio įstatymo 12 straipsnio 12 dalyje ir aplinkos ministro nustatyta tvarka gavusi atsakingosios institucijos priimtą sprendimą dėl planuojamos ūkinės veiklos poveikio aplinkai, pateikia jį poveikį aplinkai patiriančiai valstybei </w:t>
                </w:r>
                <w:r>
                  <w:rPr>
                    <w:b/>
                    <w:bCs/>
                    <w:sz w:val="20"/>
                    <w:lang w:eastAsia="lt-LT"/>
                  </w:rPr>
                  <w:t>dvišaliame susitarime su poveikį aplinkai patiriančia valstybe, jeigu toks susitarimas yra, nurodyta kalba, kitais atvejais – anglų kalba, o kai poveikį aplinkai patirianti valstybė to prašo, – ir jos valstybine kalba.</w:t>
                </w:r>
                <w:r>
                  <w:rPr>
                    <w:b/>
                    <w:bCs/>
                    <w:sz w:val="20"/>
                    <w:lang w:eastAsia="en-GB"/>
                  </w:rPr>
                  <w:t>“</w:t>
                </w:r>
              </w:p>
              <w:p>
                <w:pPr>
                  <w:jc w:val="both"/>
                  <w:rPr>
                    <w:b/>
                    <w:bCs/>
                    <w:sz w:val="20"/>
                  </w:rPr>
                </w:pPr>
              </w:p>
            </w:tc>
            <w:tc>
              <w:tcPr>
                <w:tcW w:w="1421" w:type="dxa"/>
              </w:tcPr>
              <w:p>
                <w:pPr>
                  <w:ind w:firstLine="312"/>
                  <w:jc w:val="center"/>
                  <w:rPr>
                    <w:b/>
                    <w:sz w:val="20"/>
                  </w:rPr>
                </w:pPr>
                <w:r>
                  <w:rPr>
                    <w:b/>
                    <w:sz w:val="20"/>
                  </w:rPr>
                  <w:t>Visiškas.</w:t>
                </w:r>
              </w:p>
            </w:tc>
          </w:tr>
          <w:tr>
            <w:tc>
              <w:tcPr>
                <w:tcW w:w="3652" w:type="dxa"/>
              </w:tcPr>
              <w:p>
                <w:pPr>
                  <w:jc w:val="both"/>
                  <w:rPr>
                    <w:b/>
                    <w:sz w:val="20"/>
                    <w:lang w:eastAsia="en-GB"/>
                  </w:rPr>
                </w:pPr>
                <w:r>
                  <w:rPr>
                    <w:b/>
                    <w:sz w:val="20"/>
                    <w:lang w:eastAsia="en-GB"/>
                  </w:rPr>
                  <w:t>M1</w:t>
                </w:r>
              </w:p>
              <w:p>
                <w:pPr>
                  <w:suppressLineNumbers/>
                  <w:suppressAutoHyphens/>
                  <w:snapToGrid w:val="0"/>
                  <w:ind w:firstLine="48"/>
                  <w:jc w:val="both"/>
                  <w:rPr>
                    <w:b/>
                    <w:i/>
                    <w:iCs/>
                    <w:sz w:val="19"/>
                    <w:szCs w:val="19"/>
                    <w:lang w:eastAsia="ar-SA"/>
                  </w:rPr>
                </w:pPr>
                <w:r>
                  <w:rPr>
                    <w:b/>
                    <w:i/>
                    <w:iCs/>
                    <w:sz w:val="19"/>
                    <w:szCs w:val="19"/>
                    <w:lang w:eastAsia="ar-SA"/>
                  </w:rPr>
                  <w:t xml:space="preserve">8 straipsnis </w:t>
                </w:r>
              </w:p>
              <w:p>
                <w:pPr>
                  <w:suppressLineNumbers/>
                  <w:suppressAutoHyphens/>
                  <w:snapToGrid w:val="0"/>
                  <w:jc w:val="both"/>
                  <w:rPr>
                    <w:sz w:val="19"/>
                    <w:szCs w:val="19"/>
                    <w:lang w:eastAsia="ar-SA"/>
                  </w:rPr>
                </w:pPr>
                <w:r>
                  <w:rPr>
                    <w:sz w:val="19"/>
                    <w:szCs w:val="19"/>
                    <w:lang w:eastAsia="ar-SA"/>
                  </w:rPr>
                  <w:t>Priimant sprendimą dėl planuojamos veiklos, turi būti tinkamai atsižvelgta į konsultacijų rezultatus bei į informaciją, surinktą pagal 5–7 straipsnius.</w:t>
                </w:r>
              </w:p>
            </w:tc>
            <w:tc>
              <w:tcPr>
                <w:tcW w:w="9639" w:type="dxa"/>
              </w:tcPr>
              <w:p>
                <w:pPr>
                  <w:jc w:val="both"/>
                  <w:rPr>
                    <w:b/>
                    <w:sz w:val="20"/>
                  </w:rPr>
                </w:pPr>
                <w:r>
                  <w:rPr>
                    <w:b/>
                    <w:sz w:val="20"/>
                  </w:rPr>
                  <w:t>Projektas</w:t>
                </w:r>
              </w:p>
              <w:p>
                <w:pPr>
                  <w:jc w:val="both"/>
                  <w:rPr>
                    <w:b/>
                    <w:sz w:val="20"/>
                  </w:rPr>
                </w:pPr>
                <w:r>
                  <w:rPr>
                    <w:b/>
                    <w:sz w:val="20"/>
                  </w:rPr>
                  <w:t>2 straipsnio 14 dalis</w:t>
                </w:r>
              </w:p>
              <w:p>
                <w:pPr>
                  <w:jc w:val="both"/>
                  <w:rPr>
                    <w:b/>
                    <w:sz w:val="20"/>
                    <w:lang w:eastAsia="en-GB"/>
                  </w:rPr>
                </w:pPr>
                <w:r>
                  <w:rPr>
                    <w:b/>
                    <w:sz w:val="20"/>
                  </w:rPr>
                  <w:t>„</w:t>
                </w:r>
                <w:r>
                  <w:rPr>
                    <w:b/>
                    <w:sz w:val="20"/>
                    <w:lang w:eastAsia="en-GB"/>
                  </w:rPr>
                  <w:t>14. Sprendimas dėl planuojamos ūkinės veiklos poveikio aplinkai – atsakingosios institucijos motyvuotas nustatyta tvarka priimtas dokumentas, kuriame nurodoma, ar planuojama ūkinė veikla, atsižvelgiant į jos pobūdį, mastą, vietą ir (ar) poveikį aplinkai, planuojamas įgyvendinti numatomo reikšmingo neigiamo poveikio aplinkai mažinimo ir (ar) kompensavimo priemones, atitinka teisės aktų reikalavimus, ar ji nedarys reikšmingo neigiamo poveikio aplinkai, ir</w:t>
                </w:r>
                <w:r>
                  <w:rPr>
                    <w:b/>
                    <w:sz w:val="20"/>
                    <w:lang w:eastAsia="lt-LT"/>
                  </w:rPr>
                  <w:t xml:space="preserve"> </w:t>
                </w:r>
                <w:r>
                  <w:rPr>
                    <w:b/>
                    <w:sz w:val="20"/>
                    <w:lang w:eastAsia="en-GB"/>
                  </w:rPr>
                  <w:t>kuriame nustatomos planuojamos ūkinės veiklos įgyvendinimo sąlygos, susijusios su atliktu poveikio aplinkai vertinimu.“</w:t>
                </w:r>
              </w:p>
              <w:p>
                <w:pPr>
                  <w:jc w:val="both"/>
                  <w:rPr>
                    <w:b/>
                    <w:sz w:val="20"/>
                    <w:lang w:eastAsia="en-GB"/>
                  </w:rPr>
                </w:pPr>
              </w:p>
              <w:p>
                <w:pPr>
                  <w:jc w:val="both"/>
                  <w:rPr>
                    <w:b/>
                    <w:sz w:val="20"/>
                    <w:lang w:eastAsia="en-GB"/>
                  </w:rPr>
                </w:pPr>
                <w:r>
                  <w:rPr>
                    <w:b/>
                    <w:sz w:val="20"/>
                    <w:lang w:eastAsia="en-GB"/>
                  </w:rPr>
                  <w:t>12 straipsnio 1 dalis</w:t>
                </w:r>
              </w:p>
              <w:p>
                <w:pPr>
                  <w:jc w:val="both"/>
                  <w:rPr>
                    <w:b/>
                    <w:sz w:val="20"/>
                    <w:lang w:eastAsia="en-GB"/>
                  </w:rPr>
                </w:pPr>
                <w:r>
                  <w:rPr>
                    <w:b/>
                    <w:sz w:val="20"/>
                    <w:lang w:eastAsia="en-GB"/>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w:t>
                </w:r>
              </w:p>
              <w:p>
                <w:pPr>
                  <w:jc w:val="both"/>
                  <w:rPr>
                    <w:b/>
                    <w:sz w:val="20"/>
                    <w:lang w:eastAsia="en-GB"/>
                  </w:rPr>
                </w:pPr>
                <w:r>
                  <w:rPr>
                    <w:b/>
                    <w:sz w:val="20"/>
                    <w:lang w:eastAsia="en-GB"/>
                  </w:rPr>
                  <w:t>1) teikia motyvuotus reikalavimus ataskaitą pataisyti ar papildyti arba</w:t>
                </w:r>
              </w:p>
              <w:p>
                <w:pPr>
                  <w:jc w:val="both"/>
                  <w:rPr>
                    <w:b/>
                    <w:sz w:val="20"/>
                    <w:lang w:eastAsia="en-GB"/>
                  </w:rPr>
                </w:pPr>
                <w:r>
                  <w:rPr>
                    <w:b/>
                    <w:sz w:val="20"/>
                    <w:lang w:eastAsia="en-GB"/>
                  </w:rPr>
                  <w:t>2) priima sprendimą dėl planuojamos ūkinės veiklos poveikio aplinkai. Sprendimo dėl planuojamos ūkinės veiklos poveikio aplinkai turinį nustato aplinkos ministras.“</w:t>
                </w:r>
              </w:p>
              <w:p>
                <w:pPr>
                  <w:jc w:val="both"/>
                  <w:rPr>
                    <w:b/>
                    <w:sz w:val="20"/>
                    <w:lang w:eastAsia="en-GB"/>
                  </w:rPr>
                </w:pPr>
              </w:p>
              <w:p>
                <w:pPr>
                  <w:jc w:val="both"/>
                  <w:rPr>
                    <w:b/>
                    <w:sz w:val="20"/>
                    <w:lang w:eastAsia="en-GB"/>
                  </w:rPr>
                </w:pPr>
                <w:r>
                  <w:rPr>
                    <w:b/>
                    <w:sz w:val="20"/>
                    <w:lang w:eastAsia="en-GB"/>
                  </w:rPr>
                  <w:t>12 straipsnio 5 dalis</w:t>
                </w:r>
              </w:p>
              <w:p>
                <w:pPr>
                  <w:jc w:val="both"/>
                  <w:rPr>
                    <w:b/>
                    <w:sz w:val="20"/>
                    <w:lang w:eastAsia="en-GB"/>
                  </w:rPr>
                </w:pPr>
                <w:r>
                  <w:rPr>
                    <w:b/>
                    <w:sz w:val="20"/>
                    <w:lang w:eastAsia="en-GB"/>
                  </w:rPr>
                  <w:t xml:space="preserve">„5. Kai dėl planuojamos ūkinės veiklos atliktas tarpvalstybinis poveikio aplinkai vertinimas pagal šio įstatymo 10 straipsnio nuostatas, poveikio aplinkai vertinimo dokumentų rengėjas turi parengti ir iki sprendimo dėl planuojamos ūkinės veiklos poveikio aplinkai priėmimo pateikti atsakingajai institucijai poveikį aplinkai </w:t>
                </w:r>
                <w:r>
                  <w:rPr>
                    <w:b/>
                    <w:sz w:val="20"/>
                    <w:lang w:eastAsia="lt-LT"/>
                  </w:rPr>
                  <w:t xml:space="preserve">patiriančios </w:t>
                </w:r>
                <w:r>
                  <w:rPr>
                    <w:b/>
                    <w:sz w:val="20"/>
                    <w:lang w:eastAsia="en-GB"/>
                  </w:rPr>
                  <w:t>valstybės pasiūlymų įvertinimą.“</w:t>
                </w:r>
              </w:p>
              <w:p>
                <w:pPr>
                  <w:jc w:val="both"/>
                  <w:rPr>
                    <w:b/>
                    <w:sz w:val="20"/>
                    <w:lang w:eastAsia="en-GB"/>
                  </w:rPr>
                </w:pPr>
                <w:r>
                  <w:rPr>
                    <w:b/>
                    <w:sz w:val="20"/>
                    <w:lang w:eastAsia="en-GB"/>
                  </w:rPr>
                  <w:t>aplinkai. Sprendimo dėl planuojamos ūkinės veiklos poveikio aplinkai turinį nustato aplinkos ministras.“</w:t>
                </w:r>
              </w:p>
              <w:p>
                <w:pPr>
                  <w:jc w:val="both"/>
                  <w:rPr>
                    <w:b/>
                    <w:sz w:val="20"/>
                    <w:lang w:eastAsia="lt-LT"/>
                  </w:rPr>
                </w:pPr>
              </w:p>
            </w:tc>
            <w:tc>
              <w:tcPr>
                <w:tcW w:w="1421" w:type="dxa"/>
                <w:tcBorders>
                  <w:bottom w:val="single" w:sz="4" w:space="0" w:color="auto"/>
                </w:tcBorders>
              </w:tcPr>
              <w:p>
                <w:pPr>
                  <w:ind w:firstLine="312"/>
                  <w:jc w:val="center"/>
                  <w:rPr>
                    <w:b/>
                    <w:sz w:val="20"/>
                  </w:rPr>
                </w:pPr>
                <w:r>
                  <w:rPr>
                    <w:b/>
                    <w:sz w:val="20"/>
                  </w:rPr>
                  <w:t xml:space="preserve">Visiškas. </w:t>
                </w:r>
              </w:p>
              <w:p>
                <w:pPr>
                  <w:ind w:firstLine="312"/>
                  <w:jc w:val="center"/>
                  <w:rPr>
                    <w:b/>
                    <w:sz w:val="20"/>
                  </w:rPr>
                </w:pPr>
              </w:p>
            </w:tc>
          </w:tr>
          <w:tr>
            <w:tc>
              <w:tcPr>
                <w:tcW w:w="3652" w:type="dxa"/>
                <w:vMerge w:val="restart"/>
              </w:tcPr>
              <w:p>
                <w:pPr>
                  <w:suppressLineNumbers/>
                  <w:suppressAutoHyphens/>
                  <w:snapToGrid w:val="0"/>
                  <w:jc w:val="both"/>
                  <w:rPr>
                    <w:b/>
                    <w:bCs/>
                    <w:sz w:val="19"/>
                    <w:szCs w:val="19"/>
                    <w:lang w:eastAsia="ar-SA"/>
                  </w:rPr>
                </w:pPr>
                <w:r>
                  <w:rPr>
                    <w:b/>
                    <w:bCs/>
                    <w:sz w:val="19"/>
                    <w:szCs w:val="19"/>
                    <w:lang w:eastAsia="ar-SA"/>
                  </w:rPr>
                  <w:t>M1</w:t>
                </w:r>
              </w:p>
              <w:p>
                <w:pPr>
                  <w:suppressLineNumbers/>
                  <w:suppressAutoHyphens/>
                  <w:snapToGrid w:val="0"/>
                  <w:jc w:val="both"/>
                  <w:rPr>
                    <w:b/>
                    <w:i/>
                    <w:sz w:val="19"/>
                    <w:szCs w:val="19"/>
                    <w:lang w:eastAsia="ar-SA"/>
                  </w:rPr>
                </w:pPr>
                <w:r>
                  <w:rPr>
                    <w:b/>
                    <w:i/>
                    <w:sz w:val="19"/>
                    <w:szCs w:val="19"/>
                    <w:lang w:eastAsia="ar-SA"/>
                  </w:rPr>
                  <w:t xml:space="preserve">8a straipsnis </w:t>
                </w:r>
              </w:p>
              <w:p>
                <w:pPr>
                  <w:suppressLineNumbers/>
                  <w:suppressAutoHyphens/>
                  <w:snapToGrid w:val="0"/>
                  <w:jc w:val="both"/>
                  <w:rPr>
                    <w:sz w:val="19"/>
                    <w:szCs w:val="19"/>
                    <w:lang w:eastAsia="ar-SA"/>
                  </w:rPr>
                </w:pPr>
                <w:r>
                  <w:rPr>
                    <w:sz w:val="19"/>
                    <w:szCs w:val="19"/>
                    <w:lang w:eastAsia="ar-SA"/>
                  </w:rPr>
                  <w:t xml:space="preserve">1. Sprendime duoti sutikimą dėl planuojamos veiklos </w:t>
                </w:r>
              </w:p>
              <w:p>
                <w:pPr>
                  <w:suppressLineNumbers/>
                  <w:suppressAutoHyphens/>
                  <w:snapToGrid w:val="0"/>
                  <w:jc w:val="both"/>
                  <w:rPr>
                    <w:sz w:val="19"/>
                    <w:szCs w:val="19"/>
                    <w:lang w:eastAsia="ar-SA"/>
                  </w:rPr>
                </w:pPr>
                <w:r>
                  <w:rPr>
                    <w:sz w:val="19"/>
                    <w:szCs w:val="19"/>
                    <w:lang w:eastAsia="ar-SA"/>
                  </w:rPr>
                  <w:t xml:space="preserve">pateikiama bent tokia informacija: </w:t>
                </w:r>
              </w:p>
              <w:p>
                <w:pPr>
                  <w:suppressLineNumbers/>
                  <w:suppressAutoHyphens/>
                  <w:snapToGrid w:val="0"/>
                  <w:jc w:val="both"/>
                  <w:rPr>
                    <w:sz w:val="19"/>
                    <w:szCs w:val="19"/>
                    <w:lang w:eastAsia="ar-SA"/>
                  </w:rPr>
                </w:pPr>
                <w:r>
                  <w:rPr>
                    <w:sz w:val="19"/>
                    <w:szCs w:val="19"/>
                    <w:lang w:eastAsia="ar-SA"/>
                  </w:rPr>
                  <w:t xml:space="preserve">a) pagrįsta išvada, nurodyta 1 straipsnio 2 dalies g punkto </w:t>
                </w:r>
              </w:p>
              <w:p>
                <w:pPr>
                  <w:suppressLineNumbers/>
                  <w:suppressAutoHyphens/>
                  <w:snapToGrid w:val="0"/>
                  <w:jc w:val="both"/>
                  <w:rPr>
                    <w:sz w:val="19"/>
                    <w:szCs w:val="19"/>
                    <w:lang w:eastAsia="ar-SA"/>
                  </w:rPr>
                </w:pPr>
                <w:r>
                  <w:rPr>
                    <w:sz w:val="19"/>
                    <w:szCs w:val="19"/>
                    <w:lang w:eastAsia="ar-SA"/>
                  </w:rPr>
                  <w:t xml:space="preserve">iv papunktyje; </w:t>
                </w:r>
              </w:p>
              <w:p>
                <w:pPr>
                  <w:suppressLineNumbers/>
                  <w:suppressAutoHyphens/>
                  <w:snapToGrid w:val="0"/>
                  <w:jc w:val="both"/>
                  <w:rPr>
                    <w:sz w:val="19"/>
                    <w:szCs w:val="19"/>
                    <w:lang w:eastAsia="ar-SA"/>
                  </w:rPr>
                </w:pPr>
                <w:r>
                  <w:rPr>
                    <w:sz w:val="19"/>
                    <w:szCs w:val="19"/>
                    <w:lang w:eastAsia="ar-SA"/>
                  </w:rPr>
                  <w:t xml:space="preserve">b) informacija apie visas su sprendimus susijusias aplinkos sąlygas, bet kokių projekto charakteristikų ir (arba) numatytų priemonių, kuriomis siekiama išvengti </w:t>
                </w:r>
              </w:p>
              <w:p>
                <w:pPr>
                  <w:suppressLineNumbers/>
                  <w:suppressAutoHyphens/>
                  <w:snapToGrid w:val="0"/>
                  <w:jc w:val="both"/>
                  <w:rPr>
                    <w:sz w:val="19"/>
                    <w:szCs w:val="19"/>
                    <w:lang w:eastAsia="ar-SA"/>
                  </w:rPr>
                </w:pPr>
                <w:r>
                  <w:rPr>
                    <w:sz w:val="19"/>
                    <w:szCs w:val="19"/>
                    <w:lang w:eastAsia="ar-SA"/>
                  </w:rPr>
                  <w:t xml:space="preserve">reikšmingo neigiamo poveikio aplinkai, užkirsti jam kelią arba jį sumažinti ir, jei galima, kompensuoti, ir, jei tinkama, stebėsenos priemonių aprašymą. </w:t>
                </w:r>
              </w:p>
              <w:p>
                <w:pPr>
                  <w:suppressLineNumbers/>
                  <w:suppressAutoHyphens/>
                  <w:snapToGrid w:val="0"/>
                  <w:jc w:val="both"/>
                  <w:rPr>
                    <w:sz w:val="19"/>
                    <w:szCs w:val="19"/>
                    <w:lang w:eastAsia="ar-SA"/>
                  </w:rPr>
                </w:pPr>
                <w:r>
                  <w:rPr>
                    <w:sz w:val="19"/>
                    <w:szCs w:val="19"/>
                    <w:lang w:eastAsia="ar-SA"/>
                  </w:rPr>
                  <w:t xml:space="preserve">2. Sprendime atsisakyti išduoti sutikimą dėl planuojamos veiklos pateikiamos pagrindinės šio atsisakymo priežastys. </w:t>
                </w:r>
              </w:p>
              <w:p>
                <w:pPr>
                  <w:suppressLineNumbers/>
                  <w:suppressAutoHyphens/>
                  <w:snapToGrid w:val="0"/>
                  <w:jc w:val="both"/>
                  <w:rPr>
                    <w:sz w:val="19"/>
                    <w:szCs w:val="19"/>
                    <w:lang w:eastAsia="ar-SA"/>
                  </w:rPr>
                </w:pPr>
                <w:r>
                  <w:rPr>
                    <w:sz w:val="19"/>
                    <w:szCs w:val="19"/>
                    <w:lang w:eastAsia="ar-SA"/>
                  </w:rPr>
                  <w:t xml:space="preserve">3. Kai valstybės narės naudoja procedūras, nurodytas 2 straipsnio 2 dalyje, kurios nėra sutikimo dėl planuojamos veiklos procedūros, laikoma, kai taikoma, kad šio straipsnio 1 ir 2 dalyse nustatyti reikalavimai įvykdyti, kai vykdant tas procedūras priimtame sprendime pateikiama informacija, nurodyta tose dalyse, ir yra nustatyti mechanizmai, sudarantys galimybę įvykdyti šio straipsnio 6 dalyje nustatytus reikalavimus. </w:t>
                </w:r>
              </w:p>
              <w:p>
                <w:pPr>
                  <w:suppressLineNumbers/>
                  <w:suppressAutoHyphens/>
                  <w:snapToGrid w:val="0"/>
                  <w:jc w:val="both"/>
                  <w:rPr>
                    <w:sz w:val="19"/>
                    <w:szCs w:val="19"/>
                    <w:lang w:eastAsia="ar-SA"/>
                  </w:rPr>
                </w:pPr>
              </w:p>
            </w:tc>
            <w:tc>
              <w:tcPr>
                <w:tcW w:w="9639" w:type="dxa"/>
                <w:vMerge w:val="restart"/>
              </w:tcPr>
              <w:p>
                <w:pPr>
                  <w:jc w:val="both"/>
                  <w:rPr>
                    <w:b/>
                    <w:bCs/>
                    <w:sz w:val="20"/>
                  </w:rPr>
                </w:pPr>
                <w:r>
                  <w:rPr>
                    <w:b/>
                    <w:bCs/>
                    <w:sz w:val="20"/>
                  </w:rPr>
                  <w:t>Projektas</w:t>
                </w:r>
              </w:p>
              <w:p>
                <w:pPr>
                  <w:jc w:val="both"/>
                  <w:rPr>
                    <w:b/>
                    <w:sz w:val="20"/>
                  </w:rPr>
                </w:pPr>
                <w:r>
                  <w:rPr>
                    <w:b/>
                    <w:sz w:val="20"/>
                  </w:rPr>
                  <w:t>2 straipsnio 14 dalis</w:t>
                </w:r>
              </w:p>
              <w:p>
                <w:pPr>
                  <w:jc w:val="both"/>
                  <w:rPr>
                    <w:b/>
                    <w:sz w:val="20"/>
                    <w:lang w:eastAsia="en-GB"/>
                  </w:rPr>
                </w:pPr>
                <w:r>
                  <w:rPr>
                    <w:b/>
                    <w:sz w:val="20"/>
                  </w:rPr>
                  <w:t>„</w:t>
                </w:r>
                <w:r>
                  <w:rPr>
                    <w:b/>
                    <w:sz w:val="20"/>
                    <w:lang w:eastAsia="en-GB"/>
                  </w:rPr>
                  <w:t>14. Sprendimas dėl planuojamos ūkinės veiklos poveikio aplinkai – atsakingosios institucijos motyvuotas nustatyta tvarka priimtas dokumentas, kuriame nurodoma, ar planuojama ūkinė veikla, atsižvelgiant į jos pobūdį, mastą, vietą ir (ar) poveikį aplinkai, planuojamas įgyvendinti numatomo reikšmingo neigiamo poveikio aplinkai mažinimo ir (ar) kompensavimo priemones, atitinka teisės aktų reikalavimus, ar ji nedarys reikšmingo neigiamo poveikio aplinkai, ir</w:t>
                </w:r>
                <w:r>
                  <w:rPr>
                    <w:b/>
                    <w:sz w:val="20"/>
                    <w:lang w:eastAsia="lt-LT"/>
                  </w:rPr>
                  <w:t xml:space="preserve"> </w:t>
                </w:r>
                <w:r>
                  <w:rPr>
                    <w:b/>
                    <w:sz w:val="20"/>
                    <w:lang w:eastAsia="en-GB"/>
                  </w:rPr>
                  <w:t>kuriame nustatomos planuojamos ūkinės veiklos įgyvendinimo sąlygos, susijusios su atliktu poveikio aplinkai vertinimu.“</w:t>
                </w:r>
              </w:p>
              <w:p>
                <w:pPr>
                  <w:jc w:val="both"/>
                  <w:rPr>
                    <w:b/>
                    <w:bCs/>
                    <w:sz w:val="20"/>
                  </w:rPr>
                </w:pPr>
              </w:p>
              <w:p>
                <w:pPr>
                  <w:jc w:val="both"/>
                  <w:rPr>
                    <w:b/>
                    <w:sz w:val="20"/>
                    <w:lang w:eastAsia="en-GB"/>
                  </w:rPr>
                </w:pPr>
                <w:r>
                  <w:rPr>
                    <w:b/>
                    <w:sz w:val="20"/>
                    <w:lang w:eastAsia="en-GB"/>
                  </w:rPr>
                  <w:t>12 straipsnio 1 dalis</w:t>
                </w:r>
              </w:p>
              <w:p>
                <w:pPr>
                  <w:jc w:val="both"/>
                  <w:rPr>
                    <w:b/>
                    <w:sz w:val="20"/>
                    <w:lang w:eastAsia="en-GB"/>
                  </w:rPr>
                </w:pPr>
                <w:r>
                  <w:rPr>
                    <w:b/>
                    <w:sz w:val="20"/>
                    <w:lang w:eastAsia="en-GB"/>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w:t>
                </w:r>
              </w:p>
              <w:p>
                <w:pPr>
                  <w:jc w:val="both"/>
                  <w:rPr>
                    <w:b/>
                    <w:sz w:val="20"/>
                    <w:lang w:eastAsia="en-GB"/>
                  </w:rPr>
                </w:pPr>
                <w:r>
                  <w:rPr>
                    <w:b/>
                    <w:sz w:val="20"/>
                    <w:lang w:eastAsia="en-GB"/>
                  </w:rPr>
                  <w:t>1) teikia motyvuotus reikalavimus ataskaitą pataisyti ar papildyti arba</w:t>
                </w:r>
              </w:p>
              <w:p>
                <w:pPr>
                  <w:jc w:val="both"/>
                  <w:rPr>
                    <w:b/>
                    <w:sz w:val="20"/>
                    <w:lang w:eastAsia="en-GB"/>
                  </w:rPr>
                </w:pPr>
                <w:r>
                  <w:rPr>
                    <w:b/>
                    <w:sz w:val="20"/>
                    <w:lang w:eastAsia="en-GB"/>
                  </w:rPr>
                  <w:t>2) priima sprendimą dėl planuojamos ūkinės veiklos poveikio aplinkai. Sprendimo dėl planuojamos ūkinės veiklos poveikio aplinkai turinį nustato aplinkos ministras.“</w:t>
                </w:r>
              </w:p>
              <w:p>
                <w:pPr>
                  <w:jc w:val="both"/>
                  <w:rPr>
                    <w:b/>
                    <w:sz w:val="20"/>
                  </w:rPr>
                </w:pPr>
              </w:p>
              <w:p>
                <w:pPr>
                  <w:jc w:val="both"/>
                  <w:rPr>
                    <w:b/>
                    <w:sz w:val="20"/>
                  </w:rPr>
                </w:pPr>
                <w:r>
                  <w:rPr>
                    <w:b/>
                    <w:sz w:val="20"/>
                  </w:rPr>
                  <w:t>12 straipsnio 16-17 dalys</w:t>
                </w:r>
              </w:p>
              <w:p>
                <w:pPr>
                  <w:jc w:val="both"/>
                  <w:rPr>
                    <w:b/>
                    <w:sz w:val="20"/>
                    <w:lang w:eastAsia="en-GB"/>
                  </w:rPr>
                </w:pPr>
                <w:r>
                  <w:rPr>
                    <w:b/>
                    <w:sz w:val="20"/>
                  </w:rPr>
                  <w:t>„</w:t>
                </w:r>
                <w:r>
                  <w:rPr>
                    <w:b/>
                    <w:sz w:val="20"/>
                    <w:lang w:eastAsia="en-GB"/>
                  </w:rPr>
                  <w:t>16. Jeigu atsakingoji institucija priima sprendimą dėl planuojamos ūkinės veiklos poveikio aplinkai, kad veikla neatitinka aplinkos apsaugos, visuomenės sveikatos, nekilnojamojo kultūros paveldo apsaugos, gaisrinės saugos ir civilinės saugos teisės aktų reikalavimų</w:t>
                </w:r>
                <w:r>
                  <w:rPr>
                    <w:b/>
                    <w:color w:val="000000"/>
                    <w:sz w:val="20"/>
                    <w:lang w:eastAsia="en-GB"/>
                  </w:rPr>
                  <w:t xml:space="preserve"> ir (ar) ji darys reikšmingą neigiamą poveikį aplinkai</w:t>
                </w:r>
                <w:r>
                  <w:rPr>
                    <w:b/>
                    <w:sz w:val="20"/>
                    <w:lang w:eastAsia="en-GB"/>
                  </w:rPr>
                  <w:t>, leidimas, nurodytas šio įstatymo 3 straipsnio 3 dalyje, neišduodamas ir ši planuojama ūkinė veikla negali būti vykdoma.</w:t>
                </w:r>
              </w:p>
              <w:p>
                <w:pPr>
                  <w:jc w:val="both"/>
                  <w:rPr>
                    <w:sz w:val="20"/>
                  </w:rPr>
                </w:pPr>
                <w:r>
                  <w:rPr>
                    <w:b/>
                    <w:sz w:val="20"/>
                    <w:lang w:eastAsia="en-GB"/>
                  </w:rPr>
                  <w:t>17. Atsakingosios institucijos sprendimas dėl planuojamos ūkinės veiklos poveikio aplinkai, įskaitant jame nustatytas sąlygas</w:t>
                </w:r>
                <w:r>
                  <w:rPr>
                    <w:b/>
                    <w:color w:val="000000"/>
                    <w:sz w:val="20"/>
                    <w:lang w:eastAsia="en-GB"/>
                  </w:rPr>
                  <w:t xml:space="preserve"> ir (ar) priemones reikšmingam neigiamam poveikiui aplinkai sumažinti ir (ar) jį kompensuoti, yra privalomas planuojamos ūkinės veiklos organizatoriui (užsakovui) pasirengimo vykdyti ūkinę veiklą ir (ar) ūkinės veiklos vykdymo ir (ar) ūkinės veiklos užbaigimo etapais.“</w:t>
                </w:r>
              </w:p>
            </w:tc>
            <w:tc>
              <w:tcPr>
                <w:tcW w:w="1421" w:type="dxa"/>
                <w:tcBorders>
                  <w:bottom w:val="nil"/>
                </w:tcBorders>
              </w:tcPr>
              <w:p>
                <w:pPr>
                  <w:ind w:firstLine="312"/>
                  <w:jc w:val="center"/>
                  <w:rPr>
                    <w:sz w:val="20"/>
                  </w:rPr>
                </w:pPr>
                <w:r>
                  <w:rPr>
                    <w:b/>
                    <w:sz w:val="20"/>
                  </w:rPr>
                  <w:t>Visiškas.</w:t>
                </w:r>
              </w:p>
            </w:tc>
          </w:tr>
          <w:tr>
            <w:tc>
              <w:tcPr>
                <w:tcW w:w="3652" w:type="dxa"/>
                <w:vMerge/>
              </w:tcPr>
              <w:p>
                <w:pPr>
                  <w:suppressLineNumbers/>
                  <w:suppressAutoHyphens/>
                  <w:snapToGrid w:val="0"/>
                  <w:jc w:val="both"/>
                  <w:rPr>
                    <w:sz w:val="19"/>
                    <w:szCs w:val="19"/>
                    <w:lang w:eastAsia="ar-SA"/>
                  </w:rPr>
                </w:pPr>
              </w:p>
            </w:tc>
            <w:tc>
              <w:tcPr>
                <w:tcW w:w="9639" w:type="dxa"/>
                <w:vMerge/>
              </w:tcPr>
              <w:p>
                <w:pPr>
                  <w:jc w:val="both"/>
                  <w:rPr>
                    <w:b/>
                    <w:sz w:val="20"/>
                  </w:rPr>
                </w:pPr>
              </w:p>
            </w:tc>
            <w:tc>
              <w:tcPr>
                <w:tcW w:w="1421" w:type="dxa"/>
                <w:tcBorders>
                  <w:top w:val="nil"/>
                  <w:bottom w:val="nil"/>
                </w:tcBorders>
              </w:tcPr>
              <w:p>
                <w:pPr>
                  <w:ind w:firstLine="312"/>
                  <w:jc w:val="center"/>
                  <w:rPr>
                    <w:b/>
                    <w:sz w:val="20"/>
                  </w:rPr>
                </w:pPr>
              </w:p>
            </w:tc>
          </w:tr>
          <w:tr>
            <w:tc>
              <w:tcPr>
                <w:tcW w:w="3652" w:type="dxa"/>
                <w:vMerge/>
              </w:tcPr>
              <w:p>
                <w:pPr>
                  <w:suppressLineNumbers/>
                  <w:suppressAutoHyphens/>
                  <w:snapToGrid w:val="0"/>
                  <w:jc w:val="both"/>
                  <w:rPr>
                    <w:sz w:val="19"/>
                    <w:szCs w:val="19"/>
                    <w:lang w:eastAsia="ar-SA"/>
                  </w:rPr>
                </w:pPr>
              </w:p>
            </w:tc>
            <w:tc>
              <w:tcPr>
                <w:tcW w:w="9639" w:type="dxa"/>
                <w:vMerge/>
              </w:tcPr>
              <w:p>
                <w:pPr>
                  <w:jc w:val="both"/>
                  <w:rPr>
                    <w:b/>
                    <w:sz w:val="20"/>
                  </w:rPr>
                </w:pPr>
              </w:p>
            </w:tc>
            <w:tc>
              <w:tcPr>
                <w:tcW w:w="1421" w:type="dxa"/>
                <w:tcBorders>
                  <w:top w:val="nil"/>
                </w:tcBorders>
              </w:tcPr>
              <w:p>
                <w:pPr>
                  <w:ind w:firstLine="312"/>
                  <w:jc w:val="center"/>
                  <w:rPr>
                    <w:sz w:val="20"/>
                  </w:rPr>
                </w:pPr>
              </w:p>
            </w:tc>
          </w:tr>
          <w:tr>
            <w:tc>
              <w:tcPr>
                <w:tcW w:w="3652" w:type="dxa"/>
              </w:tcPr>
              <w:p>
                <w:pPr>
                  <w:jc w:val="both"/>
                  <w:rPr>
                    <w:b/>
                    <w:sz w:val="20"/>
                    <w:lang w:eastAsia="en-GB"/>
                  </w:rPr>
                </w:pPr>
                <w:r>
                  <w:rPr>
                    <w:b/>
                    <w:sz w:val="20"/>
                    <w:lang w:eastAsia="en-GB"/>
                  </w:rPr>
                  <w:t>M1</w:t>
                </w:r>
              </w:p>
              <w:p>
                <w:pPr>
                  <w:suppressLineNumbers/>
                  <w:suppressAutoHyphens/>
                  <w:snapToGrid w:val="0"/>
                  <w:jc w:val="both"/>
                  <w:rPr>
                    <w:sz w:val="19"/>
                    <w:szCs w:val="19"/>
                    <w:lang w:eastAsia="ar-SA"/>
                  </w:rPr>
                </w:pPr>
                <w:r>
                  <w:rPr>
                    <w:sz w:val="19"/>
                    <w:szCs w:val="19"/>
                    <w:lang w:eastAsia="ar-SA"/>
                  </w:rPr>
                  <w:t xml:space="preserve">4. Laikydamosi 1 dalies b punkte nurodytų reikalavimų, valstybės narės užtikrina, kad užsakovas įgyvendintų projekto charakteristikas ir (arba) numatytas priemones, kuriomis siekiama išvengti reikšmingo neigiamo poveikio aplinkai, užkirsti jam kelią arba jį sumažinti ir, jei galima, jį kompensuoti, taip pat nustato reikšmingo neigiamo poveikio aplinkai stebėsenos procedūras. </w:t>
                </w:r>
              </w:p>
              <w:p>
                <w:pPr>
                  <w:suppressLineNumbers/>
                  <w:suppressAutoHyphens/>
                  <w:snapToGrid w:val="0"/>
                  <w:jc w:val="both"/>
                  <w:rPr>
                    <w:sz w:val="19"/>
                    <w:szCs w:val="19"/>
                    <w:lang w:eastAsia="ar-SA"/>
                  </w:rPr>
                </w:pPr>
              </w:p>
              <w:p>
                <w:pPr>
                  <w:suppressLineNumbers/>
                  <w:suppressAutoHyphens/>
                  <w:snapToGrid w:val="0"/>
                  <w:jc w:val="both"/>
                  <w:rPr>
                    <w:sz w:val="19"/>
                    <w:szCs w:val="19"/>
                    <w:lang w:eastAsia="ar-SA"/>
                  </w:rPr>
                </w:pPr>
                <w:r>
                  <w:rPr>
                    <w:sz w:val="19"/>
                    <w:szCs w:val="19"/>
                    <w:lang w:eastAsia="ar-SA"/>
                  </w:rPr>
                  <w:t>Parametrų, kuriuos reikia stebėti, rūšis ir stebėjimo trukmė turi būti proporcinga, atsižvelgiant į projekto pobūdį, vietą ir dydį, taip pat į jo poveikio aplinkai reikšmingumą.</w:t>
                </w:r>
              </w:p>
              <w:p>
                <w:pPr>
                  <w:suppressLineNumbers/>
                  <w:suppressAutoHyphens/>
                  <w:snapToGrid w:val="0"/>
                  <w:jc w:val="both"/>
                  <w:rPr>
                    <w:sz w:val="19"/>
                    <w:szCs w:val="19"/>
                    <w:lang w:eastAsia="ar-SA"/>
                  </w:rPr>
                </w:pPr>
              </w:p>
              <w:p>
                <w:pPr>
                  <w:suppressLineNumbers/>
                  <w:suppressAutoHyphens/>
                  <w:snapToGrid w:val="0"/>
                  <w:jc w:val="both"/>
                  <w:rPr>
                    <w:sz w:val="19"/>
                    <w:szCs w:val="19"/>
                    <w:lang w:eastAsia="ar-SA"/>
                  </w:rPr>
                </w:pPr>
                <w:r>
                  <w:rPr>
                    <w:sz w:val="19"/>
                    <w:szCs w:val="19"/>
                    <w:lang w:eastAsia="ar-SA"/>
                  </w:rPr>
                  <w:t xml:space="preserve">Jei tinkama, gali būti naudojamos esančios pagal kitus nei ši direktyva Sąjungos teisės aktus ir nacionalinės teisės aktus nustatytos stebėsenos priemonės, siekiant išvengti dvigubos stebėsenos. </w:t>
                </w:r>
              </w:p>
            </w:tc>
            <w:tc>
              <w:tcPr>
                <w:tcW w:w="9639" w:type="dxa"/>
              </w:tcPr>
              <w:p>
                <w:pPr>
                  <w:jc w:val="both"/>
                  <w:rPr>
                    <w:b/>
                    <w:sz w:val="20"/>
                  </w:rPr>
                </w:pPr>
                <w:r>
                  <w:rPr>
                    <w:b/>
                    <w:sz w:val="20"/>
                  </w:rPr>
                  <w:t>Projektas</w:t>
                </w:r>
              </w:p>
              <w:p>
                <w:pPr>
                  <w:jc w:val="both"/>
                  <w:rPr>
                    <w:b/>
                    <w:sz w:val="20"/>
                  </w:rPr>
                </w:pPr>
                <w:r>
                  <w:rPr>
                    <w:b/>
                    <w:sz w:val="20"/>
                  </w:rPr>
                  <w:t>12 straipsnio 13 dalis</w:t>
                </w:r>
              </w:p>
              <w:p>
                <w:pPr>
                  <w:jc w:val="both"/>
                  <w:rPr>
                    <w:b/>
                    <w:sz w:val="20"/>
                    <w:lang w:eastAsia="en-GB"/>
                  </w:rPr>
                </w:pPr>
                <w:r>
                  <w:rPr>
                    <w:b/>
                    <w:sz w:val="20"/>
                  </w:rPr>
                  <w:t>„</w:t>
                </w:r>
                <w:r>
                  <w:rPr>
                    <w:b/>
                    <w:sz w:val="20"/>
                    <w:lang w:eastAsia="en-GB"/>
                  </w:rPr>
                  <w:t xml:space="preserve">13. Atsakingosios institucijos priimtas sprendimas dėl planuojamos ūkinės veiklos poveikio aplinkai galioja 5 metus nuo jo priėmimo dienos, išskyrus sprendimą, nurodytą šio straipsnio 16 dalyje. Atsakingosios institucijos priimtame </w:t>
                </w:r>
                <w:r>
                  <w:rPr>
                    <w:b/>
                    <w:color w:val="000000"/>
                    <w:sz w:val="20"/>
                    <w:lang w:eastAsia="en-GB"/>
                  </w:rPr>
                  <w:t>sprendime nustatytos sąlygos</w:t>
                </w:r>
                <w:r>
                  <w:rPr>
                    <w:b/>
                    <w:color w:val="0000FF"/>
                    <w:sz w:val="20"/>
                    <w:u w:val="single"/>
                    <w:lang w:eastAsia="en-GB"/>
                  </w:rPr>
                  <w:t xml:space="preserve"> </w:t>
                </w:r>
                <w:r>
                  <w:rPr>
                    <w:b/>
                    <w:sz w:val="20"/>
                    <w:lang w:eastAsia="en-GB"/>
                  </w:rPr>
                  <w:t xml:space="preserve">ir (ar) priemonės reikšmingam neigiamam poveikiui aplinkai sumažinti ir (ar) jį kompensuoti </w:t>
                </w:r>
                <w:r>
                  <w:rPr>
                    <w:b/>
                    <w:color w:val="000000"/>
                    <w:sz w:val="20"/>
                    <w:lang w:eastAsia="en-GB"/>
                  </w:rPr>
                  <w:t>privalo būti įvykdytos ir tuo atveju, jeigu sprendimo galiojimo terminas yra pasibaigęs</w:t>
                </w:r>
                <w:r>
                  <w:rPr>
                    <w:b/>
                    <w:sz w:val="20"/>
                    <w:lang w:eastAsia="en-GB"/>
                  </w:rPr>
                  <w:t>.“</w:t>
                </w:r>
              </w:p>
              <w:p>
                <w:pPr>
                  <w:jc w:val="both"/>
                  <w:rPr>
                    <w:b/>
                    <w:sz w:val="20"/>
                  </w:rPr>
                </w:pPr>
              </w:p>
              <w:p>
                <w:pPr>
                  <w:jc w:val="both"/>
                  <w:rPr>
                    <w:b/>
                    <w:sz w:val="20"/>
                  </w:rPr>
                </w:pPr>
                <w:r>
                  <w:rPr>
                    <w:b/>
                    <w:sz w:val="20"/>
                  </w:rPr>
                  <w:t>12 straipsnio 17 dalis</w:t>
                </w:r>
              </w:p>
              <w:p>
                <w:pPr>
                  <w:jc w:val="both"/>
                  <w:rPr>
                    <w:b/>
                    <w:sz w:val="20"/>
                  </w:rPr>
                </w:pPr>
                <w:r>
                  <w:rPr>
                    <w:b/>
                    <w:sz w:val="20"/>
                  </w:rPr>
                  <w:t>„</w:t>
                </w:r>
                <w:r>
                  <w:rPr>
                    <w:b/>
                    <w:sz w:val="20"/>
                    <w:lang w:eastAsia="en-GB"/>
                  </w:rPr>
                  <w:t>17. Atsakingosios institucijos sprendimas dėl planuojamos ūkinės veiklos poveikio aplinkai, įskaitant jame nustatytas sąlygas</w:t>
                </w:r>
                <w:r>
                  <w:rPr>
                    <w:b/>
                    <w:color w:val="000000"/>
                    <w:sz w:val="20"/>
                    <w:lang w:eastAsia="en-GB"/>
                  </w:rPr>
                  <w:t xml:space="preserve"> ir (ar) priemones reikšmingam neigiamam poveikiui aplinkai sumažinti ir (ar) jį kompensuoti, yra privalomas planuojamos ūkinės veiklos organizatoriui (užsakovui) pasirengimo vykdyti ūkinę veiklą ir (ar) ūkinės veiklos vykdymo ir (ar) ūkinės veiklos užbaigimo etapais.“</w:t>
                </w:r>
              </w:p>
            </w:tc>
            <w:tc>
              <w:tcPr>
                <w:tcW w:w="1421" w:type="dxa"/>
              </w:tcPr>
              <w:p>
                <w:pPr>
                  <w:ind w:firstLine="312"/>
                  <w:jc w:val="center"/>
                  <w:rPr>
                    <w:b/>
                    <w:sz w:val="20"/>
                  </w:rPr>
                </w:pPr>
                <w:r>
                  <w:rPr>
                    <w:b/>
                    <w:sz w:val="20"/>
                  </w:rPr>
                  <w:t>Visiškas.</w:t>
                </w:r>
              </w:p>
              <w:p>
                <w:pPr>
                  <w:ind w:firstLine="312"/>
                  <w:jc w:val="center"/>
                  <w:rPr>
                    <w:b/>
                    <w:sz w:val="20"/>
                  </w:rPr>
                </w:pPr>
              </w:p>
            </w:tc>
          </w:tr>
          <w:tr>
            <w:tc>
              <w:tcPr>
                <w:tcW w:w="3652" w:type="dxa"/>
              </w:tcPr>
              <w:p>
                <w:pPr>
                  <w:jc w:val="both"/>
                  <w:rPr>
                    <w:b/>
                    <w:sz w:val="20"/>
                    <w:lang w:eastAsia="en-GB"/>
                  </w:rPr>
                </w:pPr>
                <w:r>
                  <w:rPr>
                    <w:b/>
                    <w:sz w:val="20"/>
                    <w:lang w:eastAsia="en-GB"/>
                  </w:rPr>
                  <w:t>M1</w:t>
                </w:r>
              </w:p>
              <w:p>
                <w:pPr>
                  <w:suppressLineNumbers/>
                  <w:suppressAutoHyphens/>
                  <w:snapToGrid w:val="0"/>
                  <w:jc w:val="both"/>
                  <w:rPr>
                    <w:sz w:val="19"/>
                    <w:szCs w:val="19"/>
                    <w:lang w:eastAsia="ar-SA"/>
                  </w:rPr>
                </w:pPr>
                <w:r>
                  <w:rPr>
                    <w:sz w:val="19"/>
                    <w:szCs w:val="19"/>
                    <w:lang w:eastAsia="ar-SA"/>
                  </w:rPr>
                  <w:t xml:space="preserve">5. Valstybės narės užtikrina, kad kompetentinga institucija priimtų visus sprendimus, nurodytus 1–3 dalyse, per pagrįstą laikotarpį. </w:t>
                </w:r>
              </w:p>
              <w:p>
                <w:pPr>
                  <w:suppressLineNumbers/>
                  <w:suppressAutoHyphens/>
                  <w:snapToGrid w:val="0"/>
                  <w:jc w:val="both"/>
                  <w:rPr>
                    <w:sz w:val="19"/>
                    <w:szCs w:val="19"/>
                    <w:lang w:eastAsia="ar-SA"/>
                  </w:rPr>
                </w:pP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12 straipsnio 1-4 dalys</w:t>
                </w:r>
              </w:p>
              <w:p>
                <w:pPr>
                  <w:jc w:val="both"/>
                  <w:rPr>
                    <w:b/>
                    <w:sz w:val="20"/>
                    <w:lang w:eastAsia="en-GB"/>
                  </w:rPr>
                </w:pPr>
                <w:r>
                  <w:rPr>
                    <w:b/>
                    <w:sz w:val="20"/>
                    <w:lang w:eastAsia="en-GB"/>
                  </w:rPr>
                  <w:t>„1. Atsakingoji institucija, išnagrinėjusi suinteresuotos visuomenės pasiūlymus ir šių pasiūlymų įvertinimą, išnagrinėjusi ir įvertinusi ataskaitą, remdamasi poveikio aplinkai vertinimo subjektų išvadomis dėl ataskaitos ir planuojamos ūkinės veiklos poveikio aplinkai ir atsižvelgdama į šio straipsnio 7, 8 ar 9 dalyse nustatyta tvarka organizuotų susitikimų rezultatus, per 25 darbo dienas nuo ataskaitos gavimo dienos:</w:t>
                </w:r>
              </w:p>
              <w:p>
                <w:pPr>
                  <w:jc w:val="both"/>
                  <w:rPr>
                    <w:b/>
                    <w:sz w:val="20"/>
                    <w:lang w:eastAsia="en-GB"/>
                  </w:rPr>
                </w:pPr>
                <w:r>
                  <w:rPr>
                    <w:b/>
                    <w:sz w:val="20"/>
                    <w:lang w:eastAsia="en-GB"/>
                  </w:rPr>
                  <w:t>1) teikia motyvuotus reikalavimus ataskaitą pataisyti ar papildyti arba</w:t>
                </w:r>
              </w:p>
              <w:p>
                <w:pPr>
                  <w:jc w:val="both"/>
                  <w:rPr>
                    <w:b/>
                    <w:sz w:val="20"/>
                    <w:lang w:eastAsia="en-GB"/>
                  </w:rPr>
                </w:pPr>
                <w:r>
                  <w:rPr>
                    <w:b/>
                    <w:sz w:val="20"/>
                    <w:lang w:eastAsia="en-GB"/>
                  </w:rPr>
                  <w:t>2) priima sprendimą dėl planuojamos ūkinės veiklos poveikio aplinkai. Sprendimo dėl planuojamos ūkinės veiklos poveikio aplinkai turinį nustato aplinkos ministras.</w:t>
                </w:r>
              </w:p>
              <w:p>
                <w:pPr>
                  <w:jc w:val="both"/>
                  <w:rPr>
                    <w:b/>
                    <w:sz w:val="20"/>
                    <w:lang w:eastAsia="en-GB"/>
                  </w:rPr>
                </w:pPr>
                <w:r>
                  <w:rPr>
                    <w:b/>
                    <w:sz w:val="20"/>
                    <w:lang w:eastAsia="en-GB"/>
                  </w:rPr>
                  <w:t xml:space="preserve">2. Kai vadovaudamasi šio įstatymo 6 straipsnio 1 dalies 3 punktu atsakingoji institucija pasitelkia konsultantus, ji atlieka veiksmus, nurodytus šio straipsnio 1 dalyje, ir remdamasi konsultantų išvadomis, teikia motyvuotus reikalavimus ataskaitą pataisyti ar papildyti arba priima sprendimą dėl planuojamos ūkinės veiklos poveikio aplinkai per 50 darbo dienų nuo ataskaitos gavimo dienos. Atsakingoji institucija priima motyvuotą sprendimą pasitelkti konsultantus ir pateikia jį planuojamos ūkinės veiklos organizatoriui (užsakovui) ir poveikio aplinkai vertinimo dokumentų rengėjui per 10 darbo dienas nuo ataskaitos gavimo dienos. </w:t>
                </w:r>
              </w:p>
              <w:p>
                <w:pPr>
                  <w:jc w:val="both"/>
                  <w:rPr>
                    <w:b/>
                    <w:sz w:val="20"/>
                    <w:lang w:eastAsia="en-GB"/>
                  </w:rPr>
                </w:pPr>
                <w:r>
                  <w:rPr>
                    <w:b/>
                    <w:sz w:val="20"/>
                    <w:lang w:eastAsia="en-GB"/>
                  </w:rPr>
                  <w:t>3. Sprendimo dėl planuojamos ūkinės veiklos poveikio aplinkai priėmimo terminas vieną kartą gali būti pratęstas ne daugiau kaip 25 darbo dienomis dėl objektyvių, nuo atsakingosios institucijos nepriklausomų priežasčių. Atsakingoji institucija apie priimtą sprendimą pratęsti terminą privalo ne vėliau kaip likus 5 darbo dienoms iki termino pabaigos pranešti planuojamos ūkinės veiklos organizatoriui (užsakovui) ir poveikio aplinkai vertinimo dokumentų rengėjui ir nurodyti priežastis, dėl kurių terminas pratęsiamas.</w:t>
                </w:r>
              </w:p>
              <w:p>
                <w:pPr>
                  <w:jc w:val="both"/>
                  <w:rPr>
                    <w:b/>
                    <w:sz w:val="20"/>
                  </w:rPr>
                </w:pPr>
                <w:r>
                  <w:rPr>
                    <w:b/>
                    <w:sz w:val="20"/>
                    <w:lang w:eastAsia="en-GB"/>
                  </w:rPr>
                  <w:t xml:space="preserve">4. Kai atsakingoji institucija pateikia motyvuotus reikalavimus ataskaitą pataisyti ir (ar) papildyti, poveikio aplinkai vertinimo dokumentų rengėjas turi papildyti ar pataisyti ataskaitą ir pakartotinai pateikti ją atsakingajai institucijai. Atsakingoji institucija ataskaitą išnagrinėja ir per 15 darbo dienų nuo ataskaitos gavimo dienos priima sprendimą arba, </w:t>
                </w:r>
                <w:r>
                  <w:rPr>
                    <w:b/>
                    <w:color w:val="000000"/>
                    <w:sz w:val="20"/>
                    <w:lang w:eastAsia="en-GB"/>
                  </w:rPr>
                  <w:t>nepažeisdama šio įstatymo 6 straipsnio 7 dalies nuostatų, dar kartą teikia motyvuotus reikala</w:t>
                </w:r>
                <w:r>
                  <w:rPr>
                    <w:b/>
                    <w:sz w:val="20"/>
                    <w:lang w:eastAsia="en-GB"/>
                  </w:rPr>
                  <w:t>vimus ataskaitą pataisyti ar papildyti.“</w:t>
                </w:r>
              </w:p>
              <w:p>
                <w:pPr>
                  <w:ind w:firstLine="53"/>
                  <w:jc w:val="both"/>
                  <w:textAlignment w:val="baseline"/>
                  <w:rPr>
                    <w:b/>
                    <w:sz w:val="20"/>
                  </w:rPr>
                </w:pPr>
              </w:p>
            </w:tc>
            <w:tc>
              <w:tcPr>
                <w:tcW w:w="1421" w:type="dxa"/>
              </w:tcPr>
              <w:p>
                <w:pPr>
                  <w:ind w:firstLine="312"/>
                  <w:jc w:val="center"/>
                  <w:rPr>
                    <w:b/>
                    <w:sz w:val="20"/>
                  </w:rPr>
                </w:pPr>
                <w:r>
                  <w:rPr>
                    <w:b/>
                    <w:sz w:val="20"/>
                  </w:rPr>
                  <w:t xml:space="preserve">Visiškas </w:t>
                </w:r>
              </w:p>
            </w:tc>
          </w:tr>
          <w:tr>
            <w:tc>
              <w:tcPr>
                <w:tcW w:w="3652" w:type="dxa"/>
              </w:tcPr>
              <w:p>
                <w:pPr>
                  <w:jc w:val="both"/>
                  <w:rPr>
                    <w:b/>
                    <w:sz w:val="20"/>
                    <w:lang w:eastAsia="en-GB"/>
                  </w:rPr>
                </w:pPr>
                <w:r>
                  <w:rPr>
                    <w:b/>
                    <w:sz w:val="20"/>
                    <w:lang w:eastAsia="en-GB"/>
                  </w:rPr>
                  <w:t>M1</w:t>
                </w:r>
              </w:p>
              <w:p>
                <w:pPr>
                  <w:suppressLineNumbers/>
                  <w:suppressAutoHyphens/>
                  <w:snapToGrid w:val="0"/>
                  <w:jc w:val="both"/>
                  <w:rPr>
                    <w:sz w:val="19"/>
                    <w:szCs w:val="19"/>
                    <w:lang w:eastAsia="ar-SA"/>
                  </w:rPr>
                </w:pPr>
                <w:r>
                  <w:rPr>
                    <w:sz w:val="19"/>
                    <w:szCs w:val="19"/>
                    <w:lang w:eastAsia="ar-SA"/>
                  </w:rPr>
                  <w:t>6. Kompetentinga institucija patikrina, ar pagrįstoje išvadoje, nurodytoje 1 straipsnio 2 dalies g punkto iv papunktyje, arba bet kuriame sprendime, nurodytame šio straipsnio 3 dalyje, vis dar pateikiama naujausia informacija, institucijai priimant sprendimą išduoti sutikimą dėl planuojamos veiklos. Tuo tikslu valstybės narės gali nustatyti pagrįstos išvados, nurodytos 1 straipsnio 2 dalies g punkto iv papunktyje, arba visų sprendimų, nurodytų šio straipsnio 3 dalyje, galiojimo terminus.“;</w:t>
                </w:r>
              </w:p>
              <w:p>
                <w:pPr>
                  <w:suppressLineNumbers/>
                  <w:suppressAutoHyphens/>
                  <w:snapToGrid w:val="0"/>
                  <w:jc w:val="both"/>
                  <w:rPr>
                    <w:sz w:val="19"/>
                    <w:szCs w:val="19"/>
                    <w:lang w:eastAsia="ar-SA"/>
                  </w:rPr>
                </w:pPr>
              </w:p>
            </w:tc>
            <w:tc>
              <w:tcPr>
                <w:tcW w:w="9639" w:type="dxa"/>
              </w:tcPr>
              <w:p>
                <w:pPr>
                  <w:jc w:val="both"/>
                  <w:rPr>
                    <w:b/>
                    <w:sz w:val="20"/>
                    <w:lang w:eastAsia="en-GB"/>
                  </w:rPr>
                </w:pPr>
                <w:r>
                  <w:rPr>
                    <w:b/>
                    <w:sz w:val="20"/>
                    <w:lang w:eastAsia="en-GB"/>
                  </w:rPr>
                  <w:t>Projektas</w:t>
                </w:r>
              </w:p>
              <w:p>
                <w:pPr>
                  <w:jc w:val="both"/>
                  <w:rPr>
                    <w:b/>
                    <w:sz w:val="20"/>
                    <w:lang w:eastAsia="en-GB"/>
                  </w:rPr>
                </w:pPr>
                <w:r>
                  <w:rPr>
                    <w:b/>
                    <w:sz w:val="20"/>
                    <w:lang w:eastAsia="en-GB"/>
                  </w:rPr>
                  <w:t>12 straipsnio 13-14 dalys</w:t>
                </w:r>
              </w:p>
              <w:p>
                <w:pPr>
                  <w:jc w:val="both"/>
                  <w:rPr>
                    <w:b/>
                    <w:sz w:val="20"/>
                    <w:lang w:eastAsia="en-GB"/>
                  </w:rPr>
                </w:pPr>
                <w:r>
                  <w:rPr>
                    <w:b/>
                    <w:sz w:val="20"/>
                    <w:lang w:eastAsia="en-GB"/>
                  </w:rPr>
                  <w:t xml:space="preserve">„13. Atsakingosios institucijos priimtas sprendimas dėl planuojamos ūkinės veiklos poveikio aplinkai galioja 5 metus nuo jo priėmimo dienos, išskyrus sprendimą, nurodytą šio straipsnio 16 dalyje. Atsakingosios institucijos priimtame </w:t>
                </w:r>
                <w:r>
                  <w:rPr>
                    <w:b/>
                    <w:color w:val="000000"/>
                    <w:sz w:val="20"/>
                    <w:lang w:eastAsia="en-GB"/>
                  </w:rPr>
                  <w:t>sprendime nustatytos sąlygos</w:t>
                </w:r>
                <w:r>
                  <w:rPr>
                    <w:b/>
                    <w:color w:val="0000FF"/>
                    <w:sz w:val="20"/>
                    <w:u w:val="single"/>
                    <w:lang w:eastAsia="en-GB"/>
                  </w:rPr>
                  <w:t xml:space="preserve"> </w:t>
                </w:r>
                <w:r>
                  <w:rPr>
                    <w:b/>
                    <w:sz w:val="20"/>
                    <w:lang w:eastAsia="en-GB"/>
                  </w:rPr>
                  <w:t xml:space="preserve">ir (ar) priemonės reikšmingam neigiamam poveikiui aplinkai sumažinti ir (ar) jį kompensuoti </w:t>
                </w:r>
                <w:r>
                  <w:rPr>
                    <w:b/>
                    <w:color w:val="000000"/>
                    <w:sz w:val="20"/>
                    <w:lang w:eastAsia="en-GB"/>
                  </w:rPr>
                  <w:t>privalo būti įvykdytos ir tuo atveju, jeigu sprendimo galiojimo terminas yra pasibaigęs</w:t>
                </w:r>
                <w:r>
                  <w:rPr>
                    <w:b/>
                    <w:sz w:val="20"/>
                    <w:lang w:eastAsia="en-GB"/>
                  </w:rPr>
                  <w:t xml:space="preserve">. </w:t>
                </w:r>
              </w:p>
              <w:p>
                <w:pPr>
                  <w:jc w:val="both"/>
                  <w:rPr>
                    <w:b/>
                    <w:sz w:val="20"/>
                    <w:lang w:eastAsia="en-GB"/>
                  </w:rPr>
                </w:pPr>
                <w:r>
                  <w:rPr>
                    <w:b/>
                    <w:sz w:val="20"/>
                    <w:lang w:eastAsia="en-GB"/>
                  </w:rPr>
                  <w:t>14. Atsakingoji institucija aplinkos ministro nustatyta tvarka gali priimti sprendimą pratęsti sprendimo dėl planuojamos ūkinės veiklos poveikio aplinkai galiojimą ne ilgesniam kaip 5 metų terminui per 15 darbo dienų nuo planuojamos ūkinės veiklos organizatoriaus (užsakovo) pateikto motyvuoto prašymo dėl sprendimo galiojimo pratęsimo, jeigu planuojamos ūkinės veiklos organizatorius (užsakovas) pateikė pagrįstą informaciją, kad planuojama ūkinė veikla, jos vykdymo ir vietos sąlygos, kuriomis remiantis priimtas sprendimas dėl planuojamos ūkinės veiklos poveikio aplinkai, nepasikeitė.“</w:t>
                </w:r>
              </w:p>
              <w:p>
                <w:pPr>
                  <w:jc w:val="both"/>
                  <w:rPr>
                    <w:b/>
                    <w:sz w:val="20"/>
                  </w:rPr>
                </w:pPr>
              </w:p>
            </w:tc>
            <w:tc>
              <w:tcPr>
                <w:tcW w:w="1421" w:type="dxa"/>
              </w:tcPr>
              <w:p>
                <w:pPr>
                  <w:ind w:firstLine="34"/>
                  <w:rPr>
                    <w:b/>
                    <w:sz w:val="20"/>
                  </w:rPr>
                </w:pPr>
                <w:r>
                  <w:rPr>
                    <w:b/>
                    <w:sz w:val="20"/>
                  </w:rPr>
                  <w:t>Visiškas.</w:t>
                </w:r>
              </w:p>
              <w:p>
                <w:pPr>
                  <w:ind w:firstLine="312"/>
                  <w:jc w:val="center"/>
                  <w:rPr>
                    <w:b/>
                    <w:sz w:val="20"/>
                  </w:rPr>
                </w:pPr>
              </w:p>
            </w:tc>
          </w:tr>
          <w:tr>
            <w:tc>
              <w:tcPr>
                <w:tcW w:w="3652" w:type="dxa"/>
              </w:tcPr>
              <w:p>
                <w:pPr>
                  <w:jc w:val="both"/>
                  <w:rPr>
                    <w:b/>
                    <w:bCs/>
                    <w:color w:val="000000"/>
                    <w:sz w:val="20"/>
                    <w:lang w:eastAsia="lt-LT"/>
                  </w:rPr>
                </w:pPr>
                <w:r>
                  <w:rPr>
                    <w:b/>
                    <w:bCs/>
                    <w:color w:val="000000"/>
                    <w:sz w:val="20"/>
                    <w:lang w:eastAsia="lt-LT"/>
                  </w:rPr>
                  <w:t>B</w:t>
                </w:r>
              </w:p>
              <w:p>
                <w:pPr>
                  <w:jc w:val="both"/>
                  <w:rPr>
                    <w:b/>
                    <w:i/>
                    <w:color w:val="000000"/>
                    <w:sz w:val="20"/>
                    <w:lang w:eastAsia="lt-LT"/>
                  </w:rPr>
                </w:pPr>
                <w:r>
                  <w:rPr>
                    <w:b/>
                    <w:i/>
                    <w:color w:val="000000"/>
                    <w:sz w:val="20"/>
                    <w:lang w:eastAsia="lt-LT"/>
                  </w:rPr>
                  <w:t xml:space="preserve">9 straipsnis </w:t>
                </w:r>
              </w:p>
              <w:p>
                <w:pPr>
                  <w:jc w:val="both"/>
                  <w:rPr>
                    <w:b/>
                    <w:bCs/>
                    <w:color w:val="000000"/>
                    <w:sz w:val="20"/>
                    <w:lang w:eastAsia="lt-LT"/>
                  </w:rPr>
                </w:pPr>
                <w:r>
                  <w:rPr>
                    <w:b/>
                    <w:bCs/>
                    <w:color w:val="000000"/>
                    <w:sz w:val="20"/>
                    <w:lang w:eastAsia="lt-LT"/>
                  </w:rPr>
                  <w:t>M1</w:t>
                </w:r>
              </w:p>
              <w:p>
                <w:pPr>
                  <w:jc w:val="both"/>
                  <w:rPr>
                    <w:color w:val="000000"/>
                    <w:sz w:val="20"/>
                    <w:lang w:eastAsia="lt-LT"/>
                  </w:rPr>
                </w:pPr>
                <w:r>
                  <w:rPr>
                    <w:color w:val="000000"/>
                    <w:sz w:val="20"/>
                    <w:lang w:eastAsia="lt-LT"/>
                  </w:rPr>
                  <w:t xml:space="preserve">1. Priėmusi sprendimą duoti sutikimą dėl planuojamos veiklos ar atsisakyti jį išduoti, kompetentinga institucija ar institucijos, laikydamosi nacionalinės procedūros, nedelsiant informuoja apie jį visuomenę ir 6 straipsnio 1 dalyje nurodytas institucijas ir užtikrina, kad visuomenei ir 6 straipsnio 1 dalyje nurodytoms institucijoms būtų prieinama ši informacija, kai tinkama, atsižvelgiant į atvejus, išvardytus 8a straipsnio 3 dalyje: </w:t>
                </w:r>
              </w:p>
              <w:p>
                <w:pPr>
                  <w:jc w:val="both"/>
                  <w:rPr>
                    <w:color w:val="000000"/>
                    <w:sz w:val="20"/>
                    <w:lang w:eastAsia="lt-LT"/>
                  </w:rPr>
                </w:pPr>
                <w:r>
                  <w:rPr>
                    <w:color w:val="000000"/>
                    <w:sz w:val="20"/>
                    <w:lang w:eastAsia="lt-LT"/>
                  </w:rPr>
                  <w:t xml:space="preserve">a) sprendimo turinys ir su juo susijusios sąlygos, nurodytos 8a straipsnio 1 ir 2 dalyse; </w:t>
                </w:r>
              </w:p>
              <w:p>
                <w:pPr>
                  <w:jc w:val="both"/>
                  <w:rPr>
                    <w:sz w:val="20"/>
                    <w:lang w:eastAsia="en-GB"/>
                  </w:rPr>
                </w:pPr>
                <w:r>
                  <w:rPr>
                    <w:sz w:val="20"/>
                    <w:lang w:eastAsia="en-GB"/>
                  </w:rPr>
                  <w:t>b) pagrindiniai motyvai ir aplinkybės, kuriais grindžiamas sprendimas, įskaitant informaciją apie visuomenės dalyvavimą. Kartu pateikiama konsultacijų rezultatų santrauka ir informacija, sukaupta pagal 5–7 straipsnius, taip pat paaiškinimai, kaip tie rezultatai įtraukti ar kitaip į juos atsižvelgta, visų pirma pastabos, gautos iš poveikį patiriančios valstybės narės, nurodytos 7 straipsnyje.</w:t>
                </w:r>
              </w:p>
              <w:p>
                <w:pPr>
                  <w:jc w:val="both"/>
                  <w:rPr>
                    <w:sz w:val="20"/>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10 straipsnio 12 dalis</w:t>
                </w:r>
              </w:p>
              <w:p>
                <w:pPr>
                  <w:jc w:val="both"/>
                  <w:rPr>
                    <w:b/>
                    <w:sz w:val="20"/>
                    <w:lang w:eastAsia="en-GB"/>
                  </w:rPr>
                </w:pPr>
                <w:r>
                  <w:rPr>
                    <w:b/>
                    <w:sz w:val="20"/>
                  </w:rPr>
                  <w:t>„</w:t>
                </w:r>
                <w:r>
                  <w:rPr>
                    <w:b/>
                    <w:sz w:val="20"/>
                    <w:lang w:eastAsia="en-GB"/>
                  </w:rPr>
                  <w:t xml:space="preserve">12. </w:t>
                </w:r>
                <w:r>
                  <w:rPr>
                    <w:b/>
                    <w:sz w:val="20"/>
                    <w:lang w:eastAsia="lt-LT"/>
                  </w:rPr>
                  <w:t xml:space="preserve">Koordinuojančioji </w:t>
                </w:r>
                <w:r>
                  <w:rPr>
                    <w:b/>
                    <w:sz w:val="20"/>
                    <w:lang w:eastAsia="en-GB"/>
                  </w:rPr>
                  <w:t xml:space="preserve">institucija šio įstatymo 12 straipsnio 12 dalyje ir aplinkos ministro nustatyta tvarka gavusi atsakingosios institucijos priimtą sprendimą dėl planuojamos ūkinės veiklos poveikio aplinkai, pateikia jį poveikį aplinkai patiriančiai valstybei </w:t>
                </w:r>
                <w:r>
                  <w:rPr>
                    <w:b/>
                    <w:sz w:val="20"/>
                    <w:lang w:eastAsia="lt-LT"/>
                  </w:rPr>
                  <w:t>dvišaliame susitarime su poveikį aplinkai patiriančia valstybe, jeigu toks susitarimas yra, nurodyta kalba, kitais atvejais – anglų kalba, o kai poveikį aplinkai patirianti valstybė to prašo, – ir jos valstybine kalba.</w:t>
                </w:r>
                <w:r>
                  <w:rPr>
                    <w:b/>
                    <w:sz w:val="20"/>
                    <w:lang w:eastAsia="en-GB"/>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12 straipsnio 5 dalis</w:t>
                </w:r>
              </w:p>
              <w:p>
                <w:pPr>
                  <w:jc w:val="both"/>
                  <w:rPr>
                    <w:b/>
                    <w:sz w:val="20"/>
                    <w:lang w:eastAsia="en-GB"/>
                  </w:rPr>
                </w:pPr>
                <w:r>
                  <w:rPr>
                    <w:b/>
                    <w:sz w:val="20"/>
                  </w:rPr>
                  <w:t>„</w:t>
                </w:r>
                <w:r>
                  <w:rPr>
                    <w:b/>
                    <w:sz w:val="20"/>
                    <w:lang w:eastAsia="en-GB"/>
                  </w:rPr>
                  <w:t xml:space="preserve">5. Kai dėl planuojamos ūkinės veiklos atliktas tarpvalstybinis poveikio aplinkai vertinimas pagal šio įstatymo 10 straipsnio nuostatas, poveikio aplinkai vertinimo dokumentų rengėjas turi parengti ir iki sprendimo dėl planuojamos ūkinės veiklos poveikio aplinkai priėmimo pateikti atsakingajai institucijai poveikį aplinkai </w:t>
                </w:r>
                <w:r>
                  <w:rPr>
                    <w:b/>
                    <w:sz w:val="20"/>
                    <w:lang w:eastAsia="lt-LT"/>
                  </w:rPr>
                  <w:t xml:space="preserve">patiriančios </w:t>
                </w:r>
                <w:r>
                  <w:rPr>
                    <w:b/>
                    <w:sz w:val="20"/>
                    <w:lang w:eastAsia="en-GB"/>
                  </w:rPr>
                  <w:t>valstybės pasiūlymų įvertinimą.“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12 straipsnio 12 dalis</w:t>
                </w:r>
              </w:p>
              <w:p>
                <w:pPr>
                  <w:jc w:val="both"/>
                  <w:rPr>
                    <w:b/>
                    <w:sz w:val="20"/>
                  </w:rPr>
                </w:pPr>
                <w:r>
                  <w:rPr>
                    <w:b/>
                    <w:sz w:val="20"/>
                  </w:rPr>
                  <w:t>„</w:t>
                </w:r>
                <w:r>
                  <w:rPr>
                    <w:b/>
                    <w:sz w:val="20"/>
                    <w:lang w:eastAsia="en-GB"/>
                  </w:rPr>
                  <w:t>12. Atsakingoji institucija poveikio aplinkai vertinimo subjektams, planuojamos ūkinės veiklos organizatoriui (užsakovui), poveikio aplinkai vertinimo dokumentų rengėjui sprendimą dėl planuojamos ūkinės veiklos poveikio aplinkai pateikia raštu. Atsakingoji institucija aplinkos ministro nustatyta tvarka paskelbia visuomenei sprendimą dėl planuojamos ūkinės veiklos poveikio aplinkai. Kai planuojamai ūkinei veiklai atliktos tarpvalstybinio poveikio aplinkai vertinimo procedūros pagal šio įstatymo 10 straipsnio nuostatas, atsakingoji institucija aplinkos ministro nustatyta tvarka teikia informaciją apie sprendimą koordinuojančiajai institucijai.“</w:t>
                </w:r>
              </w:p>
            </w:tc>
            <w:tc>
              <w:tcPr>
                <w:tcW w:w="1421" w:type="dxa"/>
              </w:tcPr>
              <w:p>
                <w:pPr>
                  <w:ind w:firstLine="312"/>
                  <w:jc w:val="center"/>
                  <w:rPr>
                    <w:b/>
                    <w:sz w:val="20"/>
                  </w:rPr>
                </w:pPr>
                <w:r>
                  <w:rPr>
                    <w:b/>
                    <w:sz w:val="20"/>
                  </w:rPr>
                  <w:t>Visiškas.</w:t>
                </w:r>
              </w:p>
            </w:tc>
          </w:tr>
          <w:tr>
            <w:tc>
              <w:tcPr>
                <w:tcW w:w="3652" w:type="dxa"/>
              </w:tcPr>
              <w:p>
                <w:pPr>
                  <w:jc w:val="both"/>
                  <w:rPr>
                    <w:rFonts w:eastAsia="Calibri"/>
                    <w:b/>
                    <w:bCs/>
                    <w:color w:val="000000"/>
                    <w:sz w:val="20"/>
                    <w:lang w:eastAsia="lt-LT"/>
                  </w:rPr>
                </w:pPr>
                <w:r>
                  <w:rPr>
                    <w:rFonts w:eastAsia="Calibri"/>
                    <w:b/>
                    <w:bCs/>
                    <w:color w:val="000000"/>
                    <w:sz w:val="20"/>
                    <w:lang w:eastAsia="lt-LT"/>
                  </w:rPr>
                  <w:t>B</w:t>
                </w:r>
              </w:p>
              <w:p>
                <w:pPr>
                  <w:jc w:val="both"/>
                  <w:rPr>
                    <w:rFonts w:eastAsia="Calibri"/>
                    <w:color w:val="000000"/>
                    <w:sz w:val="20"/>
                    <w:lang w:eastAsia="lt-LT"/>
                  </w:rPr>
                </w:pPr>
                <w:r>
                  <w:rPr>
                    <w:rFonts w:eastAsia="Calibri"/>
                    <w:color w:val="000000"/>
                    <w:sz w:val="20"/>
                    <w:lang w:eastAsia="lt-LT"/>
                  </w:rPr>
                  <w:t xml:space="preserve">2. Kompetentinga institucija ar institucijos informuoja kiekvieną valstybę narę, su kuria konsultavosi pagal 7 straipsnį, perduodama jai šio straipsnio 1 dalyje nurodytą informaciją. </w:t>
                </w:r>
              </w:p>
              <w:p>
                <w:pPr>
                  <w:jc w:val="both"/>
                  <w:rPr>
                    <w:rFonts w:eastAsia="Calibri"/>
                    <w:color w:val="000000"/>
                    <w:sz w:val="20"/>
                    <w:lang w:eastAsia="lt-LT"/>
                  </w:rPr>
                </w:pPr>
              </w:p>
              <w:p>
                <w:pPr>
                  <w:jc w:val="both"/>
                  <w:rPr>
                    <w:rFonts w:eastAsia="Calibri"/>
                    <w:color w:val="000000"/>
                    <w:sz w:val="20"/>
                  </w:rPr>
                </w:pPr>
                <w:r>
                  <w:rPr>
                    <w:rFonts w:eastAsia="Calibri"/>
                    <w:color w:val="000000"/>
                    <w:sz w:val="20"/>
                  </w:rPr>
                  <w:t xml:space="preserve">Valstybės narės, su kuriomis buvo konsultuojamasi, užtikrina, kad ta informacija būtų tinkamu būdu prieinama suinteresuotai visuomenei jų teritorijoje. </w:t>
                </w:r>
              </w:p>
              <w:p>
                <w:pPr>
                  <w:jc w:val="both"/>
                  <w:rPr>
                    <w:sz w:val="19"/>
                    <w:szCs w:val="19"/>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12 straipsnio 12 dalis</w:t>
                </w:r>
              </w:p>
              <w:p>
                <w:pPr>
                  <w:jc w:val="both"/>
                  <w:rPr>
                    <w:b/>
                    <w:sz w:val="20"/>
                  </w:rPr>
                </w:pPr>
                <w:r>
                  <w:rPr>
                    <w:b/>
                    <w:sz w:val="20"/>
                  </w:rPr>
                  <w:t>„</w:t>
                </w:r>
                <w:r>
                  <w:rPr>
                    <w:b/>
                    <w:sz w:val="20"/>
                    <w:lang w:eastAsia="en-GB"/>
                  </w:rPr>
                  <w:t>12. Atsakingoji institucija poveikio aplinkai vertinimo subjektams, planuojamos ūkinės veiklos organizatoriui (užsakovui), poveikio aplinkai vertinimo dokumentų rengėjui sprendimą dėl planuojamos ūkinės veiklos poveikio aplinkai pateikia raštu. Atsakingoji institucija aplinkos ministro nustatyta tvarka paskelbia visuomenei sprendimą dėl planuojamos ūkinės veiklos poveikio aplinkai. Kai planuojamai ūkinei veiklai atliktos tarpvalstybinio poveikio aplinkai vertinimo procedūros pagal šio įstatymo 10 straipsnio nuostatas, atsakingoji institucija aplinkos ministro nustatyta tvarka teikia informaciją apie sprendimą koordinuojančiajai institucijai.“</w:t>
                </w:r>
              </w:p>
            </w:tc>
            <w:tc>
              <w:tcPr>
                <w:tcW w:w="1421" w:type="dxa"/>
              </w:tcPr>
              <w:p>
                <w:pPr>
                  <w:ind w:firstLine="312"/>
                  <w:jc w:val="center"/>
                  <w:rPr>
                    <w:b/>
                    <w:sz w:val="20"/>
                  </w:rPr>
                </w:pPr>
                <w:r>
                  <w:rPr>
                    <w:b/>
                    <w:sz w:val="20"/>
                  </w:rPr>
                  <w:t>Visiškas.</w:t>
                </w:r>
              </w:p>
            </w:tc>
          </w:tr>
          <w:tr>
            <w:tc>
              <w:tcPr>
                <w:tcW w:w="3652" w:type="dxa"/>
              </w:tcPr>
              <w:p>
                <w:pPr>
                  <w:numPr>
                    <w:ilvl w:val="255"/>
                    <w:numId w:val="0"/>
                  </w:numPr>
                  <w:jc w:val="both"/>
                  <w:rPr>
                    <w:b/>
                    <w:bCs/>
                    <w:sz w:val="19"/>
                    <w:szCs w:val="19"/>
                    <w:lang w:eastAsia="en-GB"/>
                  </w:rPr>
                </w:pPr>
                <w:r>
                  <w:rPr>
                    <w:b/>
                    <w:bCs/>
                    <w:sz w:val="19"/>
                    <w:szCs w:val="19"/>
                    <w:lang w:eastAsia="en-GB"/>
                  </w:rPr>
                  <w:t>M1</w:t>
                </w:r>
              </w:p>
              <w:p>
                <w:pPr>
                  <w:numPr>
                    <w:ilvl w:val="255"/>
                    <w:numId w:val="0"/>
                  </w:numPr>
                  <w:jc w:val="both"/>
                  <w:rPr>
                    <w:b/>
                    <w:i/>
                    <w:iCs/>
                    <w:sz w:val="19"/>
                    <w:szCs w:val="19"/>
                    <w:lang w:eastAsia="en-GB"/>
                  </w:rPr>
                </w:pPr>
                <w:r>
                  <w:rPr>
                    <w:b/>
                    <w:i/>
                    <w:iCs/>
                    <w:sz w:val="19"/>
                    <w:szCs w:val="19"/>
                    <w:lang w:eastAsia="en-GB"/>
                  </w:rPr>
                  <w:t xml:space="preserve">9a straipsnis </w:t>
                </w:r>
              </w:p>
              <w:p>
                <w:pPr>
                  <w:numPr>
                    <w:ilvl w:val="255"/>
                    <w:numId w:val="0"/>
                  </w:numPr>
                  <w:jc w:val="both"/>
                  <w:rPr>
                    <w:b/>
                    <w:bCs/>
                    <w:sz w:val="19"/>
                    <w:szCs w:val="19"/>
                    <w:lang w:eastAsia="en-GB"/>
                  </w:rPr>
                </w:pPr>
                <w:r>
                  <w:rPr>
                    <w:sz w:val="19"/>
                    <w:szCs w:val="19"/>
                    <w:lang w:eastAsia="en-GB"/>
                  </w:rPr>
                  <w:t>Valstybės narės užtikrina, kad kompetentinga valdžios institucija ar institucijos vykdytų iš šios direktyvos kylančias pareigas objektyviai ir nepatektų į padėtį, dėl kurios kiltų interesų konfliktai. Kai kompetentinga institucija yra ir užsakovas, valstybės narės savo administracinių kompetencijų sąrangoje vykdant pareigas, kylančias iš šios Direktyvos, tinkamai atskiria bent funkcijas, tarp kurių kyla konfliktas.</w:t>
                </w:r>
              </w:p>
              <w:p>
                <w:pPr>
                  <w:jc w:val="both"/>
                  <w:rPr>
                    <w:sz w:val="19"/>
                    <w:szCs w:val="19"/>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rPr>
                </w:pPr>
                <w:r>
                  <w:rPr>
                    <w:b/>
                    <w:sz w:val="20"/>
                  </w:rPr>
                  <w:t>6 straipsnio 8 dalis</w:t>
                </w:r>
              </w:p>
              <w:p>
                <w:pPr>
                  <w:jc w:val="both"/>
                  <w:rPr>
                    <w:b/>
                    <w:sz w:val="20"/>
                    <w:lang w:eastAsia="lt-LT"/>
                  </w:rPr>
                </w:pPr>
                <w:r>
                  <w:rPr>
                    <w:b/>
                    <w:sz w:val="20"/>
                  </w:rPr>
                  <w:t>„</w:t>
                </w:r>
                <w:r>
                  <w:rPr>
                    <w:b/>
                    <w:sz w:val="20"/>
                    <w:lang w:eastAsia="lt-LT"/>
                  </w:rPr>
                  <w:t>8. Kai atsakingoji institucija ar poveikio aplinkai vertinimo subjektas yra planuojamos ūkinės veiklos, kuriai atliekamos šio įstatymo 7 straipsnyje ir (ar) 8–11 straipsniuose nustatytos procedūros, organizatorius (užsakovas), atsakingoji institucija ar poveikio aplinkai vertinimo subjektas funkcijoms, nurodytoms šio straipsnio 1, 2 ir 4 dalyse, atlikti turi nusistatyti tvarką, pagal kurią funkcijos padalijamos tarp institucijos padalinių, kad vykdant šiame įstatyme jiems nustatytas pareigas būtų išvengta interesų konflikto.“</w:t>
                </w:r>
              </w:p>
            </w:tc>
            <w:tc>
              <w:tcPr>
                <w:tcW w:w="1421" w:type="dxa"/>
              </w:tcPr>
              <w:p>
                <w:pPr>
                  <w:ind w:firstLine="312"/>
                  <w:jc w:val="center"/>
                  <w:rPr>
                    <w:b/>
                    <w:sz w:val="20"/>
                  </w:rPr>
                </w:pPr>
                <w:r>
                  <w:rPr>
                    <w:b/>
                    <w:sz w:val="20"/>
                  </w:rPr>
                  <w:t>Visiškas.</w:t>
                </w:r>
              </w:p>
            </w:tc>
          </w:tr>
          <w:tr>
            <w:tc>
              <w:tcPr>
                <w:tcW w:w="3652" w:type="dxa"/>
              </w:tcPr>
              <w:p>
                <w:pPr>
                  <w:jc w:val="both"/>
                  <w:rPr>
                    <w:b/>
                    <w:bCs/>
                    <w:sz w:val="19"/>
                    <w:szCs w:val="19"/>
                    <w:lang w:eastAsia="en-GB"/>
                  </w:rPr>
                </w:pPr>
                <w:r>
                  <w:rPr>
                    <w:b/>
                    <w:bCs/>
                    <w:sz w:val="19"/>
                    <w:szCs w:val="19"/>
                    <w:lang w:eastAsia="en-GB"/>
                  </w:rPr>
                  <w:t>B</w:t>
                </w:r>
              </w:p>
              <w:p>
                <w:pPr>
                  <w:jc w:val="both"/>
                  <w:rPr>
                    <w:sz w:val="19"/>
                    <w:szCs w:val="19"/>
                    <w:lang w:eastAsia="en-GB"/>
                  </w:rPr>
                </w:pPr>
                <w:r>
                  <w:rPr>
                    <w:sz w:val="19"/>
                    <w:szCs w:val="19"/>
                    <w:lang w:eastAsia="en-GB"/>
                  </w:rPr>
                  <w:t xml:space="preserve">10 straipsnis </w:t>
                </w:r>
              </w:p>
              <w:p>
                <w:pPr>
                  <w:jc w:val="both"/>
                  <w:rPr>
                    <w:b/>
                    <w:bCs/>
                    <w:sz w:val="19"/>
                    <w:szCs w:val="19"/>
                    <w:lang w:eastAsia="en-GB"/>
                  </w:rPr>
                </w:pPr>
                <w:r>
                  <w:rPr>
                    <w:b/>
                    <w:bCs/>
                    <w:sz w:val="19"/>
                    <w:szCs w:val="19"/>
                    <w:lang w:eastAsia="en-GB"/>
                  </w:rPr>
                  <w:t>M1</w:t>
                </w:r>
              </w:p>
              <w:p>
                <w:pPr>
                  <w:numPr>
                    <w:ilvl w:val="255"/>
                    <w:numId w:val="0"/>
                  </w:numPr>
                  <w:jc w:val="both"/>
                  <w:rPr>
                    <w:sz w:val="19"/>
                    <w:szCs w:val="19"/>
                    <w:lang w:eastAsia="en-GB"/>
                  </w:rPr>
                </w:pPr>
                <w:r>
                  <w:rPr>
                    <w:sz w:val="19"/>
                    <w:szCs w:val="19"/>
                    <w:lang w:eastAsia="en-GB"/>
                  </w:rPr>
                  <w:t xml:space="preserve">Nedarant poveikio Direktyvai </w:t>
                </w:r>
                <w:fldSimple w:instr="HYPERLINK http://eur-lex.europa.eu/legal-content/LIT/TXT/?uri=CELEX:32003L0004&amp;locale=lt \t _blank">
                  <w:r>
                    <w:rPr>
                      <w:sz w:val="19"/>
                      <w:szCs w:val="19"/>
                      <w:lang w:eastAsia="en-GB"/>
                      <w:u w:val="single"/>
                      <w:color w:val="0000FF" w:themeColor="hyperlink"/>
                    </w:rPr>
                    <w:t>2003/4/EB</w:t>
                  </w:r>
                </w:fldSimple>
                <w:r>
                  <w:rPr>
                    <w:sz w:val="19"/>
                    <w:szCs w:val="19"/>
                    <w:lang w:eastAsia="en-GB"/>
                  </w:rPr>
                  <w:t>, šios direktyvos nuostatos neturi daryti įtakos kompetentingų institucijų pareigai laikytis nacionalinių įstatymų ir kitų teisės aktų bei priimtos teisinės praktikos, susijusios su komercinių ir gamybinių paslapčių saugojimu, įskaitant intelektinę nuosavybę, bei su visuomenės interesų apsauga, apribojimų.</w:t>
                </w:r>
              </w:p>
              <w:p>
                <w:pPr>
                  <w:jc w:val="both"/>
                  <w:rPr>
                    <w:sz w:val="19"/>
                    <w:szCs w:val="19"/>
                    <w:lang w:eastAsia="en-GB"/>
                  </w:rPr>
                </w:pPr>
              </w:p>
              <w:p>
                <w:pPr>
                  <w:jc w:val="both"/>
                  <w:rPr>
                    <w:b/>
                    <w:bCs/>
                    <w:sz w:val="19"/>
                    <w:szCs w:val="19"/>
                    <w:lang w:eastAsia="en-GB"/>
                  </w:rPr>
                </w:pPr>
                <w:r>
                  <w:rPr>
                    <w:b/>
                    <w:bCs/>
                    <w:sz w:val="19"/>
                    <w:szCs w:val="19"/>
                    <w:lang w:eastAsia="en-GB"/>
                  </w:rPr>
                  <w:t>B</w:t>
                </w:r>
              </w:p>
              <w:p>
                <w:pPr>
                  <w:jc w:val="both"/>
                  <w:rPr>
                    <w:rFonts w:eastAsia="Calibri"/>
                    <w:color w:val="000000"/>
                    <w:sz w:val="20"/>
                  </w:rPr>
                </w:pPr>
                <w:r>
                  <w:rPr>
                    <w:rFonts w:eastAsia="Calibri"/>
                    <w:color w:val="000000"/>
                    <w:sz w:val="20"/>
                  </w:rPr>
                  <w:t>Taikant 7 straipsnį vienos valstybės narės suteikia informaciją kitai valstybei narei ir tokia informacija gaunama kitoje valstybėje narėje pagal apribojimus, galiojančius valstybėje narėje, kurios teritorijoje planuojama įgyvendinti projektą.</w:t>
                </w:r>
              </w:p>
              <w:p>
                <w:pPr>
                  <w:jc w:val="both"/>
                  <w:rPr>
                    <w:sz w:val="20"/>
                    <w:lang w:eastAsia="en-GB"/>
                  </w:rPr>
                </w:pPr>
              </w:p>
            </w:tc>
            <w:tc>
              <w:tcPr>
                <w:tcW w:w="9639" w:type="dxa"/>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10 straipsnio 14 dalis</w:t>
                </w:r>
              </w:p>
              <w:p>
                <w:pPr>
                  <w:spacing w:line="259" w:lineRule="auto"/>
                  <w:jc w:val="both"/>
                  <w:rPr>
                    <w:b/>
                    <w:sz w:val="20"/>
                    <w:lang w:eastAsia="en-GB"/>
                  </w:rPr>
                </w:pPr>
                <w:r>
                  <w:rPr>
                    <w:b/>
                    <w:sz w:val="20"/>
                    <w:lang w:eastAsia="lt-LT"/>
                  </w:rPr>
                  <w:t>„</w:t>
                </w:r>
                <w:r>
                  <w:rPr>
                    <w:b/>
                    <w:sz w:val="20"/>
                    <w:lang w:eastAsia="en-GB"/>
                  </w:rPr>
                  <w:t xml:space="preserve">14. </w:t>
                </w:r>
                <w:r>
                  <w:rPr>
                    <w:b/>
                    <w:sz w:val="20"/>
                    <w:lang w:eastAsia="lt-LT"/>
                  </w:rPr>
                  <w:t xml:space="preserve">Koordinuojančioji </w:t>
                </w:r>
                <w:r>
                  <w:rPr>
                    <w:b/>
                    <w:sz w:val="20"/>
                    <w:lang w:eastAsia="en-GB"/>
                  </w:rPr>
                  <w:t>institucija, gavusi iš poveikį darančios valstybės informaciją, susijusią su jos teritorijoje planuojamos ūkinės veiklos, poveikio aplinkai vertinimu, aplinkos ministro nustatyta tvarka organizuoja visuomenės ir suinteresuotų valstybės ir (ar) savivaldybės institucijų informavimą, išvadų ir pasiūlymų iš jų gavimą ir pateikimą poveikį darančiai valstybei. Informacijai, gautai iš poveikį darančios valstybės apie jos teritorijoje planuojamą ūkinę veiklą, viešinti taikomi tokie apribojimai, kurie galioja toje valstybėje.“</w:t>
                </w:r>
              </w:p>
              <w:p>
                <w:pPr>
                  <w:rPr>
                    <w:sz w:val="14"/>
                    <w:szCs w:val="14"/>
                  </w:rPr>
                </w:pPr>
              </w:p>
              <w:p>
                <w:pPr>
                  <w:jc w:val="both"/>
                  <w:rPr>
                    <w:b/>
                    <w:sz w:val="20"/>
                  </w:rPr>
                </w:pPr>
                <w:r>
                  <w:rPr>
                    <w:b/>
                    <w:sz w:val="20"/>
                  </w:rPr>
                  <w:t>14 straipsnio 3 dalis</w:t>
                </w:r>
              </w:p>
              <w:p>
                <w:pPr>
                  <w:spacing w:line="259" w:lineRule="auto"/>
                  <w:jc w:val="both"/>
                  <w:rPr>
                    <w:b/>
                    <w:sz w:val="20"/>
                    <w:lang w:eastAsia="en-GB"/>
                  </w:rPr>
                </w:pPr>
                <w:r>
                  <w:rPr>
                    <w:b/>
                    <w:sz w:val="20"/>
                    <w:lang w:eastAsia="en-GB"/>
                  </w:rPr>
                  <w:t>„3. Atsakingoji institucija ir poveikio aplinkai vertinimo subjektai saugo planuojamos ūkinės veiklos organizatoriaus (užsakovo) ar poveikio aplinkai vertinimo dokumentų rengėjo pateiktos informacijos konfidencialumą, jeigu tokia informacija, vadovaujantis Lietuvos Respublikos teisės aktais, yra neskelbtina.“</w:t>
                </w:r>
              </w:p>
              <w:p>
                <w:pPr>
                  <w:rPr>
                    <w:sz w:val="14"/>
                    <w:szCs w:val="14"/>
                  </w:rPr>
                </w:pP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rPr>
                    <w:rFonts w:eastAsia="Calibri"/>
                    <w:b/>
                    <w:iCs/>
                    <w:color w:val="000000"/>
                    <w:sz w:val="20"/>
                  </w:rPr>
                </w:pPr>
                <w:r>
                  <w:rPr>
                    <w:rFonts w:eastAsia="Calibri"/>
                    <w:b/>
                    <w:iCs/>
                    <w:color w:val="000000"/>
                    <w:sz w:val="20"/>
                  </w:rPr>
                  <w:t>M1</w:t>
                </w:r>
              </w:p>
              <w:p>
                <w:pPr>
                  <w:rPr>
                    <w:rFonts w:eastAsia="Calibri"/>
                    <w:b/>
                    <w:i/>
                    <w:color w:val="000000"/>
                    <w:sz w:val="20"/>
                  </w:rPr>
                </w:pPr>
                <w:r>
                  <w:rPr>
                    <w:rFonts w:eastAsia="Calibri"/>
                    <w:b/>
                    <w:i/>
                    <w:color w:val="000000"/>
                    <w:sz w:val="20"/>
                  </w:rPr>
                  <w:t>10a straipsnis</w:t>
                </w:r>
              </w:p>
              <w:p>
                <w:pPr>
                  <w:jc w:val="both"/>
                  <w:rPr>
                    <w:rFonts w:ascii="EUAlbertina" w:hAnsi="EUAlbertina" w:cs="EUAlbertina"/>
                    <w:i/>
                    <w:iCs/>
                    <w:color w:val="000000"/>
                    <w:sz w:val="20"/>
                    <w:lang w:eastAsia="lt-LT"/>
                  </w:rPr>
                </w:pPr>
                <w:r>
                  <w:rPr>
                    <w:color w:val="000000"/>
                    <w:sz w:val="20"/>
                    <w:lang w:eastAsia="lt-LT"/>
                  </w:rPr>
                  <w:t>Valstybės narės nustato sankcijų, taikomų pažeidus pagal šią direktyvą priimtas nacionalines nuostatas, taisykles. Numatytos sankcijos turi būti veiksmingos, proporcingos ir atgrasančios.</w:t>
                </w:r>
              </w:p>
            </w:tc>
            <w:tc>
              <w:tcPr>
                <w:tcW w:w="9639" w:type="dxa"/>
              </w:tcPr>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15 straipsnis</w:t>
                </w:r>
              </w:p>
              <w:p>
                <w:pPr>
                  <w:jc w:val="both"/>
                  <w:rPr>
                    <w:b/>
                    <w:sz w:val="20"/>
                    <w:lang w:eastAsia="en-GB"/>
                  </w:rPr>
                </w:pPr>
                <w:r>
                  <w:rPr>
                    <w:b/>
                    <w:sz w:val="20"/>
                    <w:lang w:eastAsia="en-GB"/>
                  </w:rPr>
                  <w:t>„15 straipsnis. Atrankos dėl poveikio aplinkai vertinimo ir poveikio aplinkai vertinimo procesų dalyvių atsakomybė</w:t>
                </w:r>
              </w:p>
              <w:p>
                <w:pPr>
                  <w:jc w:val="both"/>
                  <w:rPr>
                    <w:sz w:val="20"/>
                    <w:lang w:eastAsia="en-GB"/>
                  </w:rPr>
                </w:pPr>
                <w:r>
                  <w:rPr>
                    <w:sz w:val="20"/>
                    <w:lang w:eastAsia="en-GB"/>
                  </w:rPr>
                  <w:t>Atrankos dėl poveikio aplinkai vertinimo ir poveikio aplinkai vertinimo procesų dalyviai už šio įstatymo nuostatų pažeidimus traukiami atsakomybėn įstatymų nustatyta tvarka.”</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rPr>
                    <w:b/>
                    <w:iCs/>
                    <w:color w:val="000000"/>
                    <w:sz w:val="20"/>
                    <w:lang w:eastAsia="lt-LT"/>
                  </w:rPr>
                </w:pPr>
                <w:r>
                  <w:rPr>
                    <w:b/>
                    <w:iCs/>
                    <w:color w:val="000000"/>
                    <w:sz w:val="20"/>
                    <w:lang w:eastAsia="lt-LT"/>
                  </w:rPr>
                  <w:t>B</w:t>
                </w:r>
              </w:p>
              <w:p>
                <w:pPr>
                  <w:rPr>
                    <w:b/>
                    <w:i/>
                    <w:color w:val="000000"/>
                    <w:sz w:val="20"/>
                    <w:lang w:eastAsia="lt-LT"/>
                  </w:rPr>
                </w:pPr>
                <w:r>
                  <w:rPr>
                    <w:b/>
                    <w:i/>
                    <w:color w:val="000000"/>
                    <w:sz w:val="20"/>
                    <w:lang w:eastAsia="lt-LT"/>
                  </w:rPr>
                  <w:t>11 straipsnis</w:t>
                </w:r>
              </w:p>
              <w:p>
                <w:pPr>
                  <w:jc w:val="both"/>
                  <w:rPr>
                    <w:rFonts w:eastAsia="Calibri"/>
                    <w:color w:val="000000"/>
                    <w:sz w:val="20"/>
                    <w:lang w:eastAsia="lt-LT"/>
                  </w:rPr>
                </w:pPr>
                <w:r>
                  <w:rPr>
                    <w:rFonts w:eastAsia="Calibri"/>
                    <w:color w:val="000000"/>
                    <w:sz w:val="20"/>
                    <w:lang w:eastAsia="lt-LT"/>
                  </w:rPr>
                  <w:t xml:space="preserve">1. Valstybės narės užtikrina, kad pagal atitinkamą nacionalinę teisinę sistemą suinteresuotos visuomenės nariai: </w:t>
                </w:r>
              </w:p>
              <w:p>
                <w:pPr>
                  <w:jc w:val="both"/>
                  <w:rPr>
                    <w:rFonts w:eastAsia="Calibri"/>
                    <w:color w:val="000000"/>
                    <w:sz w:val="20"/>
                    <w:lang w:eastAsia="lt-LT"/>
                  </w:rPr>
                </w:pPr>
                <w:r>
                  <w:rPr>
                    <w:rFonts w:eastAsia="Calibri"/>
                    <w:color w:val="000000"/>
                    <w:sz w:val="20"/>
                    <w:lang w:eastAsia="lt-LT"/>
                  </w:rPr>
                  <w:t xml:space="preserve">a) turintys pakankamą interesą, arba alternatyviai; </w:t>
                </w:r>
              </w:p>
              <w:p>
                <w:pPr>
                  <w:jc w:val="both"/>
                  <w:rPr>
                    <w:rFonts w:eastAsia="Calibri"/>
                    <w:color w:val="000000"/>
                    <w:sz w:val="20"/>
                    <w:lang w:eastAsia="lt-LT"/>
                  </w:rPr>
                </w:pPr>
                <w:r>
                  <w:rPr>
                    <w:rFonts w:eastAsia="Calibri"/>
                    <w:color w:val="000000"/>
                    <w:sz w:val="20"/>
                    <w:lang w:eastAsia="lt-LT"/>
                  </w:rPr>
                  <w:t>b) pareikšdami apie teisės pažeidimą, jei valstybės narės administracinio proceso teisė reikalauja to kaip išankstinės sąlygos, turėtų teisę į peržiūrėjimą teisme ar kitoje įstatymo nustatytoje nepriklausomoje ir nešališkoje institucijoje, kad užginčytų sprendimų, veikimo ar neveikimo, kuriems pagal šią direktyvą taikomos visuomenės dalyvavimo nuostatos, materialinį ar procesinį teisėtumą.</w:t>
                </w:r>
              </w:p>
              <w:p>
                <w:pPr>
                  <w:jc w:val="both"/>
                  <w:rPr>
                    <w:rFonts w:eastAsia="Calibri"/>
                    <w:color w:val="000000"/>
                    <w:sz w:val="20"/>
                    <w:lang w:eastAsia="lt-LT"/>
                  </w:rPr>
                </w:pPr>
                <w:r>
                  <w:rPr>
                    <w:rFonts w:eastAsia="Calibri"/>
                    <w:color w:val="000000"/>
                    <w:sz w:val="20"/>
                    <w:lang w:eastAsia="lt-LT"/>
                  </w:rPr>
                  <w:t xml:space="preserve">2. Valstybės narės nustato, kuriuo etapu sprendimai, veikimas ar neveikimas gali būti ginčijami. </w:t>
                </w:r>
              </w:p>
              <w:p>
                <w:pPr>
                  <w:jc w:val="both"/>
                  <w:rPr>
                    <w:rFonts w:eastAsia="Calibri"/>
                    <w:color w:val="000000"/>
                    <w:sz w:val="20"/>
                    <w:lang w:eastAsia="lt-LT"/>
                  </w:rPr>
                </w:pPr>
                <w:r>
                  <w:rPr>
                    <w:rFonts w:eastAsia="Calibri"/>
                    <w:color w:val="000000"/>
                    <w:sz w:val="20"/>
                    <w:lang w:eastAsia="lt-LT"/>
                  </w:rPr>
                  <w:t xml:space="preserve">3. Kas yra pakankamas interesas ir teisės pažeidimas nustato valstybės narės, deramai siekdamos suteikti suinteresuotai visuomenei plačias galimybes kreiptis į teismus. Tuo tikslu kiekvienos nevyriausybinės organizacijos, atitinkančios 1 straipsnio 2 dalyje nurodytus reikalavimus, interesas yra laikomas pakankamu šio straipsnio 1 dalies a punkto prasme. Tokia organizacija taip pat laikoma turinti teises, kurios gali būti pažeistos, šio straipsnio 1 dalies b punkto prasme. </w:t>
                </w:r>
              </w:p>
              <w:p>
                <w:pPr>
                  <w:jc w:val="both"/>
                  <w:rPr>
                    <w:rFonts w:eastAsia="Calibri"/>
                    <w:color w:val="000000"/>
                    <w:sz w:val="20"/>
                  </w:rPr>
                </w:pPr>
                <w:r>
                  <w:rPr>
                    <w:rFonts w:eastAsia="Calibri"/>
                    <w:color w:val="000000"/>
                    <w:sz w:val="20"/>
                  </w:rPr>
                  <w:t>4. Pagal šio straipsnio nuostatas neatmetama preliminarios peržiūros administracinėje institucijoje galimybė ir nuostatos nedaro poveikio reikalavimui išnaudoti administracinės peržiūros procedūras prieš imantis peržiūros procedūrų teismo tvarka, jei to reikalauja nacionalinė teisė.</w:t>
                </w:r>
              </w:p>
              <w:p>
                <w:pPr>
                  <w:jc w:val="both"/>
                  <w:rPr>
                    <w:rFonts w:eastAsia="Calibri"/>
                    <w:color w:val="000000"/>
                    <w:sz w:val="20"/>
                    <w:lang w:eastAsia="lt-LT"/>
                  </w:rPr>
                </w:pPr>
                <w:r>
                  <w:rPr>
                    <w:rFonts w:eastAsia="Calibri"/>
                    <w:color w:val="000000"/>
                    <w:sz w:val="20"/>
                    <w:lang w:eastAsia="lt-LT"/>
                  </w:rPr>
                  <w:t xml:space="preserve">Bet kuri tokia procedūra turi būti teisinga, nešališka, savalaikė ir ne pernelyg brangi. </w:t>
                </w:r>
              </w:p>
              <w:p>
                <w:pPr>
                  <w:jc w:val="both"/>
                  <w:rPr>
                    <w:rFonts w:eastAsia="Calibri"/>
                    <w:color w:val="000000"/>
                    <w:sz w:val="20"/>
                  </w:rPr>
                </w:pPr>
                <w:r>
                  <w:rPr>
                    <w:rFonts w:eastAsia="Calibri"/>
                    <w:color w:val="000000"/>
                    <w:sz w:val="20"/>
                  </w:rPr>
                  <w:t>4. Siekdamos toliau didinti šio straipsnio nuostatų veiksmingumą, valstybės narės užtikrina, kad visuomenei būtų prieinama praktinio pobūdžio informacija apie teisę į administracinės ir teisminės peržiūros procedūras.</w:t>
                </w:r>
              </w:p>
              <w:p>
                <w:pPr>
                  <w:jc w:val="both"/>
                  <w:rPr>
                    <w:i/>
                    <w:iCs/>
                    <w:color w:val="000000"/>
                    <w:sz w:val="20"/>
                    <w:lang w:eastAsia="lt-LT"/>
                  </w:rPr>
                </w:pPr>
              </w:p>
            </w:tc>
            <w:tc>
              <w:tcPr>
                <w:tcW w:w="9639" w:type="dxa"/>
              </w:tcPr>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Projektas</w:t>
                </w:r>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r>
                  <w:rPr>
                    <w:b/>
                    <w:sz w:val="20"/>
                    <w:lang w:eastAsia="lt-LT"/>
                  </w:rPr>
                  <w:t>16 straipsnis</w:t>
                </w:r>
              </w:p>
              <w:p>
                <w:pPr>
                  <w:jc w:val="both"/>
                  <w:rPr>
                    <w:b/>
                    <w:sz w:val="20"/>
                    <w:lang w:eastAsia="en-GB"/>
                  </w:rPr>
                </w:pPr>
                <w:r>
                  <w:rPr>
                    <w:b/>
                    <w:sz w:val="20"/>
                    <w:lang w:eastAsia="lt-LT"/>
                  </w:rPr>
                  <w:t>„</w:t>
                </w:r>
                <w:r>
                  <w:rPr>
                    <w:b/>
                    <w:bCs/>
                    <w:sz w:val="20"/>
                    <w:lang w:eastAsia="en-GB"/>
                  </w:rPr>
                  <w:t>16 straipsnis. Visuomenės teisė kreiptis į teismą</w:t>
                </w:r>
              </w:p>
              <w:p>
                <w:pPr>
                  <w:jc w:val="both"/>
                  <w:rPr>
                    <w:b/>
                    <w:sz w:val="20"/>
                    <w:lang w:eastAsia="en-GB"/>
                  </w:rPr>
                </w:pPr>
                <w:r>
                  <w:rPr>
                    <w:b/>
                    <w:color w:val="000000"/>
                    <w:sz w:val="20"/>
                    <w:lang w:eastAsia="en-GB"/>
                  </w:rPr>
                  <w:t>1. Visuomenė turi teisę kreiptis į teismą, jeigu mano, kad jos prašymas, pateiktas teisės aktų, reglamentuojančių atrankos dėl poveikio aplinkai vertinimo ir poveikio aplinkai vertinimo procesus, nustatyta tvarka buvo neteisėtai atmestas, į jį buvo iš dalies ar visiškai netinkamai atsakyta arba į prašymą deramai neatsižvelgta pagal teisės aktus, reglamentuojančius atrankos dėl poveikio aplinkai vertinimo ir poveikio aplinkai vertinimo procesus.</w:t>
                </w:r>
              </w:p>
              <w:p>
                <w:pPr>
                  <w:jc w:val="both"/>
                  <w:rPr>
                    <w:b/>
                    <w:sz w:val="20"/>
                    <w:lang w:eastAsia="lt-LT"/>
                  </w:rPr>
                </w:pPr>
                <w:r>
                  <w:rPr>
                    <w:b/>
                    <w:color w:val="000000"/>
                    <w:sz w:val="20"/>
                    <w:lang w:eastAsia="en-GB"/>
                  </w:rPr>
                  <w:t>2. Suinteresuota visuomenė turi teisę kreiptis į teismą ginčydama sprendimų, veiksmų ar neveikimo atrankos dėl poveikio aplinkai vertinimo ir poveikio aplinkai vertinimo srityse materialinį ar procesinį teisėtumą.“</w:t>
                </w:r>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0"/>
                    <w:lang w:eastAsia="lt-LT"/>
                  </w:rPr>
                </w:pPr>
              </w:p>
            </w:tc>
            <w:tc>
              <w:tcPr>
                <w:tcW w:w="1421" w:type="dxa"/>
              </w:tcPr>
              <w:p>
                <w:pPr>
                  <w:jc w:val="center"/>
                  <w:rPr>
                    <w:b/>
                    <w:sz w:val="20"/>
                  </w:rPr>
                </w:pPr>
                <w:r>
                  <w:rPr>
                    <w:b/>
                    <w:sz w:val="20"/>
                  </w:rPr>
                  <w:t>Visiškas.</w:t>
                </w:r>
              </w:p>
              <w:p>
                <w:pPr>
                  <w:jc w:val="both"/>
                  <w:rPr>
                    <w:b/>
                    <w:sz w:val="20"/>
                  </w:rPr>
                </w:pPr>
              </w:p>
            </w:tc>
          </w:tr>
          <w:tr>
            <w:tc>
              <w:tcPr>
                <w:tcW w:w="3652" w:type="dxa"/>
              </w:tcPr>
              <w:p>
                <w:pPr>
                  <w:rPr>
                    <w:b/>
                    <w:iCs/>
                    <w:color w:val="000000"/>
                    <w:sz w:val="20"/>
                    <w:lang w:eastAsia="lt-LT"/>
                  </w:rPr>
                </w:pPr>
                <w:r>
                  <w:rPr>
                    <w:b/>
                    <w:iCs/>
                    <w:color w:val="000000"/>
                    <w:sz w:val="20"/>
                    <w:lang w:eastAsia="lt-LT"/>
                  </w:rPr>
                  <w:t>B</w:t>
                </w:r>
              </w:p>
              <w:p>
                <w:pPr>
                  <w:rPr>
                    <w:color w:val="000000"/>
                    <w:sz w:val="20"/>
                    <w:lang w:eastAsia="lt-LT"/>
                  </w:rPr>
                </w:pPr>
                <w:r>
                  <w:rPr>
                    <w:i/>
                    <w:iCs/>
                    <w:color w:val="000000"/>
                    <w:sz w:val="20"/>
                    <w:lang w:eastAsia="lt-LT"/>
                  </w:rPr>
                  <w:t xml:space="preserve">I PRIEDAS </w:t>
                </w:r>
              </w:p>
              <w:p>
                <w:pPr>
                  <w:rPr>
                    <w:color w:val="000000"/>
                    <w:sz w:val="20"/>
                    <w:lang w:eastAsia="lt-LT"/>
                  </w:rPr>
                </w:pPr>
                <w:r>
                  <w:rPr>
                    <w:b/>
                    <w:bCs/>
                    <w:color w:val="000000"/>
                    <w:sz w:val="20"/>
                    <w:lang w:eastAsia="lt-LT"/>
                  </w:rPr>
                  <w:t xml:space="preserve">4 STRAIPSNIO 1 DALYJE NURODYTI PROJEKTAI </w:t>
                </w:r>
              </w:p>
              <w:p>
                <w:pPr>
                  <w:rPr>
                    <w:color w:val="000000"/>
                    <w:sz w:val="20"/>
                    <w:lang w:eastAsia="lt-LT"/>
                  </w:rPr>
                </w:pPr>
                <w:r>
                  <w:rPr>
                    <w:color w:val="000000"/>
                    <w:sz w:val="20"/>
                    <w:lang w:eastAsia="lt-LT"/>
                  </w:rPr>
                  <w:t xml:space="preserve">1. 500 t per dieną arba didesnio pajėgumo naftos perdirbimo įmonės (išskyrus įmones, gaminančias tik tepalus iš žalios naftos) ir anglių arba bitumuotų skalūnų gazifikacijos ir suskystinimo įranga. </w:t>
                </w:r>
              </w:p>
              <w:p>
                <w:pPr>
                  <w:rPr>
                    <w:color w:val="000000"/>
                    <w:sz w:val="20"/>
                    <w:lang w:eastAsia="lt-LT"/>
                  </w:rPr>
                </w:pPr>
                <w:r>
                  <w:rPr>
                    <w:color w:val="000000"/>
                    <w:sz w:val="20"/>
                    <w:lang w:eastAsia="lt-LT"/>
                  </w:rPr>
                  <w:t xml:space="preserve">2. a) 300 megavatų arba didesnio šiluminio pajėgumo šiluminės elektrinės bei kiti deginimo įrengimai; </w:t>
                </w:r>
              </w:p>
              <w:p>
                <w:pPr>
                  <w:rPr>
                    <w:color w:val="000000"/>
                    <w:sz w:val="20"/>
                    <w:lang w:eastAsia="lt-LT"/>
                  </w:rPr>
                </w:pPr>
                <w:r>
                  <w:rPr>
                    <w:color w:val="000000"/>
                    <w:sz w:val="20"/>
                    <w:lang w:eastAsia="lt-LT"/>
                  </w:rPr>
                  <w:t xml:space="preserve">b) atominės elektrinės bei kiti įrengimai su atominiais reaktoriais, įskaitant tokių elektrinių ir įrengimų ( 1 ) demontavimą ar uždarymą (išskyrus tyrimo įrengimus gaminti ir transformuoti skylančioms ir reprodukuojamoms medžiagoms, kurių maksimalus galingumas neviršija 1 kW nuolatinės šiluminės apkrovos). </w:t>
                </w:r>
              </w:p>
              <w:p>
                <w:pPr>
                  <w:rPr>
                    <w:color w:val="000000"/>
                    <w:sz w:val="20"/>
                    <w:lang w:eastAsia="lt-LT"/>
                  </w:rPr>
                </w:pPr>
                <w:r>
                  <w:rPr>
                    <w:color w:val="000000"/>
                    <w:sz w:val="20"/>
                    <w:lang w:eastAsia="lt-LT"/>
                  </w:rPr>
                  <w:t xml:space="preserve">3. a) Įrengimai, skirti radioaktyviam kurui perdirbti; </w:t>
                </w:r>
              </w:p>
              <w:p>
                <w:pPr>
                  <w:rPr>
                    <w:color w:val="000000"/>
                    <w:sz w:val="20"/>
                    <w:lang w:eastAsia="lt-LT"/>
                  </w:rPr>
                </w:pPr>
                <w:r>
                  <w:rPr>
                    <w:color w:val="000000"/>
                    <w:sz w:val="20"/>
                    <w:lang w:eastAsia="lt-LT"/>
                  </w:rPr>
                  <w:t xml:space="preserve">b) įrengimai, skirti: </w:t>
                </w:r>
              </w:p>
              <w:p>
                <w:pPr>
                  <w:rPr>
                    <w:color w:val="000000"/>
                    <w:sz w:val="20"/>
                    <w:lang w:eastAsia="lt-LT"/>
                  </w:rPr>
                </w:pPr>
                <w:r>
                  <w:rPr>
                    <w:color w:val="000000"/>
                    <w:sz w:val="20"/>
                    <w:lang w:eastAsia="lt-LT"/>
                  </w:rPr>
                  <w:t xml:space="preserve">i) atominiam kurui gaminti ar sodrinti; </w:t>
                </w:r>
              </w:p>
              <w:p>
                <w:pPr>
                  <w:rPr>
                    <w:color w:val="000000"/>
                    <w:sz w:val="20"/>
                    <w:lang w:eastAsia="lt-LT"/>
                  </w:rPr>
                </w:pPr>
                <w:r>
                  <w:rPr>
                    <w:color w:val="000000"/>
                    <w:sz w:val="20"/>
                    <w:lang w:eastAsia="lt-LT"/>
                  </w:rPr>
                  <w:t xml:space="preserve">ii) spinduliuojančio atominio kuro ar aukšto lygio radioaktyvumo atliekoms perdirbti; </w:t>
                </w:r>
              </w:p>
              <w:p>
                <w:pPr>
                  <w:rPr>
                    <w:color w:val="000000"/>
                    <w:sz w:val="20"/>
                    <w:lang w:eastAsia="lt-LT"/>
                  </w:rPr>
                </w:pPr>
                <w:r>
                  <w:rPr>
                    <w:color w:val="000000"/>
                    <w:sz w:val="20"/>
                    <w:lang w:eastAsia="lt-LT"/>
                  </w:rPr>
                  <w:t xml:space="preserve">iii) spinduliuojančiam atominiam kurui laidoti; </w:t>
                </w:r>
              </w:p>
              <w:p>
                <w:pPr>
                  <w:rPr>
                    <w:color w:val="000000"/>
                    <w:sz w:val="20"/>
                    <w:lang w:eastAsia="lt-LT"/>
                  </w:rPr>
                </w:pPr>
                <w:r>
                  <w:rPr>
                    <w:color w:val="000000"/>
                    <w:sz w:val="20"/>
                    <w:lang w:eastAsia="lt-LT"/>
                  </w:rPr>
                  <w:t xml:space="preserve">iv) vien radioaktyvioms atliekoms laidoti; </w:t>
                </w:r>
              </w:p>
              <w:p>
                <w:pPr>
                  <w:rPr>
                    <w:color w:val="000000"/>
                    <w:sz w:val="20"/>
                    <w:lang w:eastAsia="lt-LT"/>
                  </w:rPr>
                </w:pPr>
                <w:r>
                  <w:rPr>
                    <w:color w:val="000000"/>
                    <w:sz w:val="20"/>
                    <w:lang w:eastAsia="lt-LT"/>
                  </w:rPr>
                  <w:t xml:space="preserve">v) vien spinduliuojančiam radioaktyviam kurui ar radioaktyvioms atliekoms ne gamybos vietoje saugoti (jei planuojama daugiau nei dešimčiai metų). </w:t>
                </w:r>
              </w:p>
              <w:p>
                <w:pPr>
                  <w:rPr>
                    <w:color w:val="000000"/>
                    <w:sz w:val="20"/>
                    <w:lang w:eastAsia="lt-LT"/>
                  </w:rPr>
                </w:pPr>
                <w:r>
                  <w:rPr>
                    <w:color w:val="000000"/>
                    <w:sz w:val="20"/>
                    <w:lang w:eastAsia="lt-LT"/>
                  </w:rPr>
                  <w:t xml:space="preserve">4. a) Integruoti plieno ir ketaus pradinio lydymo darbai; </w:t>
                </w:r>
              </w:p>
              <w:p>
                <w:pPr>
                  <w:rPr>
                    <w:color w:val="000000"/>
                    <w:sz w:val="20"/>
                    <w:lang w:eastAsia="lt-LT"/>
                  </w:rPr>
                </w:pPr>
                <w:r>
                  <w:rPr>
                    <w:color w:val="000000"/>
                    <w:sz w:val="20"/>
                    <w:lang w:eastAsia="lt-LT"/>
                  </w:rPr>
                  <w:t xml:space="preserve">b) įrengimai, skirti spalvotiems metalams gaminti iš rūdų, koncentratų ar antrinių žaliavų, naudojant cheminius, metalurgijos ar elektrolizės procesus. </w:t>
                </w:r>
              </w:p>
              <w:p>
                <w:pPr>
                  <w:rPr>
                    <w:color w:val="000000"/>
                    <w:sz w:val="20"/>
                    <w:lang w:eastAsia="lt-LT"/>
                  </w:rPr>
                </w:pPr>
                <w:r>
                  <w:rPr>
                    <w:color w:val="000000"/>
                    <w:sz w:val="20"/>
                    <w:lang w:eastAsia="lt-LT"/>
                  </w:rPr>
                  <w:t xml:space="preserve">5. Asbesto gavybos ir perdirbimo, asbesto ir gaminių, kurių sudėtyje yra asbesto, modifikaciniai įrengimai: gaminių, kurių sudėtyje yra asbesto – kai pagaminama daugiau kaip 20 000 t produkto per metus; trinties medžiagų – kai per metus pagaminama daugiau kaip 50 t; kitų asbesto panaudojimo būdų – kai sunaudojama daugiau kaip 200 t per metus. </w:t>
                </w:r>
              </w:p>
              <w:p>
                <w:pPr>
                  <w:rPr>
                    <w:color w:val="000000"/>
                    <w:sz w:val="20"/>
                    <w:lang w:eastAsia="lt-LT"/>
                  </w:rPr>
                </w:pPr>
                <w:r>
                  <w:rPr>
                    <w:color w:val="000000"/>
                    <w:sz w:val="20"/>
                    <w:lang w:eastAsia="lt-LT"/>
                  </w:rPr>
                  <w:t xml:space="preserve">6. Integruoti chemijos pramonės įrengimai (visų pirma pramoninės medžiagų gamybos įrengimai, sudaryti iš keleto funkciškai suderintų gamybinių vienetų ir naudojantys cheminius procesus), skirti: </w:t>
                </w:r>
              </w:p>
              <w:p>
                <w:pPr>
                  <w:rPr>
                    <w:color w:val="000000"/>
                    <w:sz w:val="20"/>
                    <w:lang w:eastAsia="lt-LT"/>
                  </w:rPr>
                </w:pPr>
                <w:r>
                  <w:rPr>
                    <w:color w:val="000000"/>
                    <w:sz w:val="20"/>
                    <w:lang w:eastAsia="lt-LT"/>
                  </w:rPr>
                  <w:t xml:space="preserve">a) pagrindinių organinių cheminių medžiagų gamybai; </w:t>
                </w:r>
              </w:p>
              <w:p>
                <w:pPr>
                  <w:rPr>
                    <w:color w:val="000000"/>
                    <w:sz w:val="20"/>
                    <w:lang w:eastAsia="lt-LT"/>
                  </w:rPr>
                </w:pPr>
                <w:r>
                  <w:rPr>
                    <w:color w:val="000000"/>
                    <w:sz w:val="20"/>
                    <w:lang w:eastAsia="lt-LT"/>
                  </w:rPr>
                  <w:t xml:space="preserve">b) pagrindinių neorganinių cheminių medžiagų gamybai; </w:t>
                </w:r>
              </w:p>
              <w:p>
                <w:pPr>
                  <w:rPr>
                    <w:color w:val="000000"/>
                    <w:sz w:val="20"/>
                    <w:lang w:eastAsia="lt-LT"/>
                  </w:rPr>
                </w:pPr>
                <w:r>
                  <w:rPr>
                    <w:color w:val="000000"/>
                    <w:sz w:val="20"/>
                    <w:lang w:eastAsia="lt-LT"/>
                  </w:rPr>
                  <w:t>c) fosforo, azoto ir kalio trąšų (įskaitant kompleksines trąšas) gamybai;</w:t>
                </w:r>
              </w:p>
              <w:p>
                <w:pPr>
                  <w:rPr>
                    <w:color w:val="000000"/>
                    <w:sz w:val="20"/>
                    <w:lang w:eastAsia="lt-LT"/>
                  </w:rPr>
                </w:pPr>
                <w:r>
                  <w:rPr>
                    <w:color w:val="000000"/>
                    <w:sz w:val="20"/>
                    <w:lang w:eastAsia="lt-LT"/>
                  </w:rPr>
                  <w:t xml:space="preserve">d) pagrindinių augalininkystei naudojamų cheminių medžiagų, biocidų gamybai; </w:t>
                </w:r>
              </w:p>
              <w:p>
                <w:pPr>
                  <w:rPr>
                    <w:color w:val="000000"/>
                    <w:sz w:val="20"/>
                    <w:lang w:eastAsia="lt-LT"/>
                  </w:rPr>
                </w:pPr>
                <w:r>
                  <w:rPr>
                    <w:color w:val="000000"/>
                    <w:sz w:val="20"/>
                    <w:lang w:eastAsia="lt-LT"/>
                  </w:rPr>
                  <w:t xml:space="preserve">e) pagrindinių farmacinių produktų gamybai, taikant biologinius ir cheminius procesus; </w:t>
                </w:r>
              </w:p>
              <w:p>
                <w:pPr>
                  <w:rPr>
                    <w:color w:val="000000"/>
                    <w:sz w:val="20"/>
                    <w:lang w:eastAsia="lt-LT"/>
                  </w:rPr>
                </w:pPr>
                <w:r>
                  <w:rPr>
                    <w:color w:val="000000"/>
                    <w:sz w:val="20"/>
                    <w:lang w:eastAsia="lt-LT"/>
                  </w:rPr>
                  <w:t xml:space="preserve">f) sprogmenų gamybai. </w:t>
                </w:r>
              </w:p>
              <w:p>
                <w:pPr>
                  <w:rPr>
                    <w:color w:val="000000"/>
                    <w:sz w:val="20"/>
                    <w:lang w:eastAsia="lt-LT"/>
                  </w:rPr>
                </w:pPr>
                <w:r>
                  <w:rPr>
                    <w:color w:val="000000"/>
                    <w:sz w:val="20"/>
                    <w:lang w:eastAsia="lt-LT"/>
                  </w:rPr>
                  <w:t xml:space="preserve">7. a) Tolimojo susisiekimo geležinkelio linijų tiesimas ir oro uostų ( 1 ), turinčių 2 100 metrų ar ilgesnį pagrindinį pakilimo taką, statyba; </w:t>
                </w:r>
              </w:p>
              <w:p>
                <w:pPr>
                  <w:rPr>
                    <w:color w:val="000000"/>
                    <w:sz w:val="20"/>
                    <w:lang w:eastAsia="lt-LT"/>
                  </w:rPr>
                </w:pPr>
                <w:r>
                  <w:rPr>
                    <w:color w:val="000000"/>
                    <w:sz w:val="20"/>
                    <w:lang w:eastAsia="lt-LT"/>
                  </w:rPr>
                  <w:t xml:space="preserve">b) automagistralių ir greitkelių ( 2 ) tiesimas; </w:t>
                </w:r>
              </w:p>
              <w:p>
                <w:pPr>
                  <w:rPr>
                    <w:color w:val="000000"/>
                    <w:sz w:val="20"/>
                    <w:lang w:eastAsia="lt-LT"/>
                  </w:rPr>
                </w:pPr>
                <w:r>
                  <w:rPr>
                    <w:color w:val="000000"/>
                    <w:sz w:val="20"/>
                    <w:lang w:eastAsia="lt-LT"/>
                  </w:rPr>
                  <w:t xml:space="preserve">c) keturių ir daugiau eilių naujo kelio tiesimas arba dviejų ir mažiau eilių kelio pertvarkymo (platinimo) darbai, kai numatoma praplatinti tokį kelią iki keturių ar daugiau eilių, jei tiesimas ar minėti darbai numatyti ne trumpesniame nei 10 km ilgio nenutrūkstamo kelio ruože. </w:t>
                </w:r>
              </w:p>
              <w:p>
                <w:pPr>
                  <w:rPr>
                    <w:color w:val="000000"/>
                    <w:sz w:val="20"/>
                    <w:lang w:eastAsia="lt-LT"/>
                  </w:rPr>
                </w:pPr>
                <w:r>
                  <w:rPr>
                    <w:color w:val="000000"/>
                    <w:sz w:val="20"/>
                    <w:lang w:eastAsia="lt-LT"/>
                  </w:rPr>
                  <w:t xml:space="preserve">8. a) Vidaus vandens keliai ir vietiniai laivybos uostai, skirti priimti didesnio nei 1 350 t tonažo laivams; </w:t>
                </w:r>
              </w:p>
              <w:p>
                <w:pPr>
                  <w:rPr>
                    <w:color w:val="000000"/>
                    <w:sz w:val="20"/>
                    <w:lang w:eastAsia="lt-LT"/>
                  </w:rPr>
                </w:pPr>
                <w:r>
                  <w:rPr>
                    <w:color w:val="000000"/>
                    <w:sz w:val="20"/>
                    <w:lang w:eastAsia="lt-LT"/>
                  </w:rPr>
                  <w:t xml:space="preserve">b) prekybos uostai, pakrovimo (iškrovimo) terminalai, sujungti su vidaus ir išorės uostais (išskyrus keltų prieplaukas), skirti priimti didesnio nei 1 350 t tonažo laivus. </w:t>
                </w:r>
              </w:p>
              <w:p>
                <w:pPr>
                  <w:rPr>
                    <w:color w:val="000000"/>
                    <w:sz w:val="20"/>
                    <w:lang w:eastAsia="lt-LT"/>
                  </w:rPr>
                </w:pPr>
                <w:r>
                  <w:rPr>
                    <w:color w:val="000000"/>
                    <w:sz w:val="20"/>
                    <w:lang w:eastAsia="lt-LT"/>
                  </w:rPr>
                  <w:t xml:space="preserve">9. Atliekų šalinimo įrengimai, skirti atliekoms deginti ar chemiškai perdirbti, kaip nurodyta 2008 m. lapkričio 19 d. Europos Parlamento ir Tarybos direktyvos </w:t>
                </w:r>
                <w:fldSimple w:instr="HYPERLINK http://eur-lex.europa.eu/legal-content/LIT/TXT/?uri=CELEX:32008L0098&amp;locale=lt \t _blank">
                  <w:r>
                    <w:rPr>
                      <w:color w:val="0000FF" w:themeColor="hyperlink"/>
                      <w:sz w:val="20"/>
                      <w:lang w:eastAsia="lt-LT"/>
                      <w:u w:val="single"/>
                    </w:rPr>
                    <w:t>2008/98/EB</w:t>
                  </w:r>
                </w:fldSimple>
                <w:r>
                  <w:rPr>
                    <w:color w:val="000000"/>
                    <w:sz w:val="20"/>
                    <w:lang w:eastAsia="lt-LT"/>
                  </w:rPr>
                  <w:t xml:space="preserve"> dėl atliekų (3) I priede, D9, arba pavojingų atliekų sąvartynai, kaip apibrėžta tos direktyvos 3 straipsnio 2 punkte. </w:t>
                </w:r>
              </w:p>
              <w:p>
                <w:pPr>
                  <w:rPr>
                    <w:color w:val="000000"/>
                    <w:sz w:val="20"/>
                    <w:lang w:eastAsia="lt-LT"/>
                  </w:rPr>
                </w:pPr>
                <w:r>
                  <w:rPr>
                    <w:color w:val="000000"/>
                    <w:sz w:val="20"/>
                    <w:lang w:eastAsia="lt-LT"/>
                  </w:rPr>
                  <w:t xml:space="preserve">10. Atliekų šalinimo įrengimai, skirti nepavojingoms atliekoms deginti ar chemiškai perdirbti, kaip nurodyta Direktyvos </w:t>
                </w:r>
                <w:fldSimple w:instr="HYPERLINK http://eur-lex.europa.eu/legal-content/LIT/TXT/?uri=CELEX:32008L0098&amp;locale=lt \t _blank">
                  <w:r>
                    <w:rPr>
                      <w:color w:val="0000FF" w:themeColor="hyperlink"/>
                      <w:sz w:val="20"/>
                      <w:lang w:eastAsia="lt-LT"/>
                      <w:u w:val="single"/>
                    </w:rPr>
                    <w:t>2008/98/EB</w:t>
                  </w:r>
                </w:fldSimple>
                <w:r>
                  <w:rPr>
                    <w:color w:val="000000"/>
                    <w:sz w:val="20"/>
                    <w:lang w:eastAsia="lt-LT"/>
                  </w:rPr>
                  <w:t xml:space="preserve">, I priede, D9, kurių galingumas viršija 100 t per dieną. </w:t>
                </w:r>
              </w:p>
              <w:p>
                <w:pPr>
                  <w:rPr>
                    <w:color w:val="000000"/>
                    <w:sz w:val="20"/>
                    <w:lang w:eastAsia="lt-LT"/>
                  </w:rPr>
                </w:pPr>
                <w:r>
                  <w:rPr>
                    <w:color w:val="000000"/>
                    <w:sz w:val="20"/>
                    <w:lang w:eastAsia="lt-LT"/>
                  </w:rPr>
                  <w:t>11. Gruntinio vandens gavyba ar gruntinio vandens dirbtinio papildymo projektai, kai per metus išgaunama ar pripildoma 10 mln. ir daugiau m</w:t>
                </w:r>
                <w:r>
                  <w:rPr>
                    <w:color w:val="000000"/>
                    <w:sz w:val="20"/>
                    <w:vertAlign w:val="superscript"/>
                    <w:lang w:eastAsia="lt-LT"/>
                  </w:rPr>
                  <w:t>3</w:t>
                </w:r>
                <w:r>
                  <w:rPr>
                    <w:color w:val="000000"/>
                    <w:sz w:val="20"/>
                    <w:lang w:eastAsia="lt-LT"/>
                  </w:rPr>
                  <w:t xml:space="preserve"> vandens. </w:t>
                </w:r>
              </w:p>
              <w:p>
                <w:pPr>
                  <w:rPr>
                    <w:color w:val="000000"/>
                    <w:sz w:val="20"/>
                    <w:lang w:eastAsia="lt-LT"/>
                  </w:rPr>
                </w:pPr>
                <w:r>
                  <w:rPr>
                    <w:color w:val="000000"/>
                    <w:sz w:val="20"/>
                    <w:lang w:eastAsia="lt-LT"/>
                  </w:rPr>
                  <w:t>12. a) Vandens išteklių paskirstymo tarp upių baseinų darbai, kad būtų užkirstas kelias galimam vandens išteklių trūkumui, kai vandens išleidžiama daugiau nei 100 mln. m</w:t>
                </w:r>
                <w:r>
                  <w:rPr>
                    <w:color w:val="000000"/>
                    <w:sz w:val="20"/>
                    <w:vertAlign w:val="superscript"/>
                    <w:lang w:eastAsia="lt-LT"/>
                  </w:rPr>
                  <w:t>3</w:t>
                </w:r>
                <w:r>
                  <w:rPr>
                    <w:color w:val="000000"/>
                    <w:sz w:val="20"/>
                    <w:lang w:eastAsia="lt-LT"/>
                  </w:rPr>
                  <w:t xml:space="preserve"> per metus; </w:t>
                </w:r>
              </w:p>
              <w:p>
                <w:pPr>
                  <w:rPr>
                    <w:color w:val="000000"/>
                    <w:sz w:val="20"/>
                    <w:lang w:eastAsia="lt-LT"/>
                  </w:rPr>
                </w:pPr>
                <w:r>
                  <w:rPr>
                    <w:color w:val="000000"/>
                    <w:sz w:val="20"/>
                    <w:lang w:eastAsia="lt-LT"/>
                  </w:rPr>
                  <w:t>b) visais kitais atvejais – vandens išteklių paskirstymo tarp upių baseinų darbai, kai daugiametis vidutinis baseino, iš kurio imamas vanduo, nuotėkis yra didesnis nei 2 000 mln. m</w:t>
                </w:r>
                <w:r>
                  <w:rPr>
                    <w:color w:val="000000"/>
                    <w:sz w:val="20"/>
                    <w:vertAlign w:val="superscript"/>
                    <w:lang w:eastAsia="lt-LT"/>
                  </w:rPr>
                  <w:t>3</w:t>
                </w:r>
                <w:r>
                  <w:rPr>
                    <w:color w:val="000000"/>
                    <w:sz w:val="20"/>
                    <w:lang w:eastAsia="lt-LT"/>
                  </w:rPr>
                  <w:t xml:space="preserve"> per metus ir kai išleidžiamo vandens kiekis sudaro daugiau nei 5% to nuotėkio. </w:t>
                </w:r>
              </w:p>
              <w:p>
                <w:pPr>
                  <w:rPr>
                    <w:color w:val="000000"/>
                    <w:sz w:val="20"/>
                    <w:lang w:eastAsia="lt-LT"/>
                  </w:rPr>
                </w:pPr>
                <w:r>
                  <w:rPr>
                    <w:color w:val="000000"/>
                    <w:sz w:val="20"/>
                    <w:lang w:eastAsia="lt-LT"/>
                  </w:rPr>
                  <w:t xml:space="preserve">Nė vienas iš šių atvejų netaikomas vamzdynais leidžiamam geriamajam vandeniui. </w:t>
                </w:r>
              </w:p>
              <w:p>
                <w:pPr>
                  <w:rPr>
                    <w:color w:val="000000"/>
                    <w:sz w:val="20"/>
                    <w:lang w:eastAsia="lt-LT"/>
                  </w:rPr>
                </w:pPr>
                <w:r>
                  <w:rPr>
                    <w:color w:val="000000"/>
                    <w:sz w:val="20"/>
                    <w:lang w:eastAsia="lt-LT"/>
                  </w:rPr>
                  <w:t xml:space="preserve">13. Nuotekų valymo įrenginiai, kurių galingumas viršija 150 000 gyventojų ekvivalentą (kaip apibrėžta 1991 m. gegužės 21 d. Tarybos direktyvos </w:t>
                </w:r>
                <w:fldSimple w:instr="HYPERLINK http://eur-lex.europa.eu/legal-content/LIT/TXT/?uri=CELEX:31991L0271&amp;locale=lt \t _blank">
                  <w:r>
                    <w:rPr>
                      <w:color w:val="0000FF" w:themeColor="hyperlink"/>
                      <w:sz w:val="20"/>
                      <w:lang w:eastAsia="lt-LT"/>
                      <w:u w:val="single"/>
                    </w:rPr>
                    <w:t>91/271/EEB</w:t>
                  </w:r>
                </w:fldSimple>
                <w:r>
                  <w:rPr>
                    <w:color w:val="000000"/>
                    <w:sz w:val="20"/>
                    <w:lang w:eastAsia="lt-LT"/>
                  </w:rPr>
                  <w:t xml:space="preserve"> dėl miesto nuotėkų valymo ( 4 ) 2 straipsnio 6 punkte). </w:t>
                </w:r>
              </w:p>
              <w:p>
                <w:pPr>
                  <w:rPr>
                    <w:color w:val="000000"/>
                    <w:sz w:val="20"/>
                    <w:lang w:eastAsia="lt-LT"/>
                  </w:rPr>
                </w:pPr>
                <w:r>
                  <w:rPr>
                    <w:color w:val="000000"/>
                    <w:sz w:val="20"/>
                    <w:lang w:eastAsia="lt-LT"/>
                  </w:rPr>
                  <w:t xml:space="preserve">14. Naftos ir gamtinių dujų komercinė gavyba, kai per dieną išgaunama daugiau nei 500 t naftos ar 500 000 m 3 gamtinių dujų. </w:t>
                </w:r>
              </w:p>
              <w:p>
                <w:pPr>
                  <w:rPr>
                    <w:color w:val="000000"/>
                    <w:sz w:val="20"/>
                    <w:lang w:eastAsia="lt-LT"/>
                  </w:rPr>
                </w:pPr>
                <w:r>
                  <w:rPr>
                    <w:color w:val="000000"/>
                    <w:sz w:val="20"/>
                    <w:lang w:eastAsia="lt-LT"/>
                  </w:rPr>
                  <w:t>15. Užtvankos ir kiti įrenginiai, skirti vandens sulaikymui ar nuolatiniam saugojimui, kai saugomo ar sulaikomo vandens kiekis (naujas ar papildomas) yra didesnis nei 10 mln. m</w:t>
                </w:r>
                <w:r>
                  <w:rPr>
                    <w:color w:val="000000"/>
                    <w:sz w:val="20"/>
                    <w:vertAlign w:val="superscript"/>
                    <w:lang w:eastAsia="lt-LT"/>
                  </w:rPr>
                  <w:t>3</w:t>
                </w:r>
                <w:r>
                  <w:rPr>
                    <w:color w:val="000000"/>
                    <w:sz w:val="20"/>
                    <w:lang w:eastAsia="lt-LT"/>
                  </w:rPr>
                  <w:t xml:space="preserve">. </w:t>
                </w:r>
              </w:p>
              <w:p>
                <w:pPr>
                  <w:rPr>
                    <w:color w:val="000000"/>
                    <w:sz w:val="20"/>
                    <w:lang w:eastAsia="lt-LT"/>
                  </w:rPr>
                </w:pPr>
                <w:r>
                  <w:rPr>
                    <w:color w:val="000000"/>
                    <w:sz w:val="20"/>
                    <w:lang w:eastAsia="lt-LT"/>
                  </w:rPr>
                  <w:t xml:space="preserve">16. Didesnio nei 800 mm skersmens ir ilgesni nei 40 km vamzdynai, skirti: </w:t>
                </w:r>
              </w:p>
              <w:p>
                <w:pPr>
                  <w:rPr>
                    <w:color w:val="000000"/>
                    <w:sz w:val="20"/>
                    <w:lang w:eastAsia="lt-LT"/>
                  </w:rPr>
                </w:pPr>
                <w:r>
                  <w:rPr>
                    <w:color w:val="000000"/>
                    <w:sz w:val="20"/>
                    <w:lang w:eastAsia="lt-LT"/>
                  </w:rPr>
                  <w:t xml:space="preserve">a) dujoms, naftai, cheminėms medžiagoms transportuoti; </w:t>
                </w:r>
              </w:p>
              <w:p>
                <w:pPr>
                  <w:rPr>
                    <w:color w:val="000000"/>
                    <w:sz w:val="20"/>
                    <w:lang w:eastAsia="lt-LT"/>
                  </w:rPr>
                </w:pPr>
                <w:r>
                  <w:rPr>
                    <w:color w:val="000000"/>
                    <w:sz w:val="20"/>
                    <w:lang w:eastAsia="lt-LT"/>
                  </w:rPr>
                  <w:t>b) geologiniam saugojimui skirtiems anglies dioksido (CO</w:t>
                </w:r>
                <w:r>
                  <w:rPr>
                    <w:color w:val="000000"/>
                    <w:sz w:val="20"/>
                    <w:vertAlign w:val="subscript"/>
                    <w:lang w:eastAsia="lt-LT"/>
                  </w:rPr>
                  <w:t>2</w:t>
                </w:r>
                <w:r>
                  <w:rPr>
                    <w:color w:val="000000"/>
                    <w:sz w:val="20"/>
                    <w:lang w:eastAsia="lt-LT"/>
                  </w:rPr>
                  <w:t xml:space="preserve">) srautams transportuoti, įskaitant susijusias slėgines. </w:t>
                </w:r>
              </w:p>
              <w:p>
                <w:pPr>
                  <w:rPr>
                    <w:color w:val="000000"/>
                    <w:sz w:val="20"/>
                    <w:lang w:eastAsia="lt-LT"/>
                  </w:rPr>
                </w:pPr>
                <w:r>
                  <w:rPr>
                    <w:color w:val="000000"/>
                    <w:sz w:val="20"/>
                    <w:lang w:eastAsia="lt-LT"/>
                  </w:rPr>
                  <w:t xml:space="preserve">17. Įrengimai, skirti intensyviam naminių paukščių ar kiaulių auginimui, jei yra daugiau nei: </w:t>
                </w:r>
              </w:p>
              <w:p>
                <w:pPr>
                  <w:rPr>
                    <w:color w:val="000000"/>
                    <w:sz w:val="20"/>
                    <w:lang w:eastAsia="lt-LT"/>
                  </w:rPr>
                </w:pPr>
                <w:r>
                  <w:rPr>
                    <w:color w:val="000000"/>
                    <w:sz w:val="20"/>
                    <w:lang w:eastAsia="lt-LT"/>
                  </w:rPr>
                  <w:t xml:space="preserve">a) 85 000 vietų broileriams ir 60 000 vietų vištoms; </w:t>
                </w:r>
              </w:p>
              <w:p>
                <w:pPr>
                  <w:rPr>
                    <w:color w:val="000000"/>
                    <w:sz w:val="20"/>
                    <w:lang w:eastAsia="lt-LT"/>
                  </w:rPr>
                </w:pPr>
                <w:r>
                  <w:rPr>
                    <w:color w:val="000000"/>
                    <w:sz w:val="20"/>
                    <w:lang w:eastAsia="lt-LT"/>
                  </w:rPr>
                  <w:t xml:space="preserve">b) 3 000 vietų kiaulėms (sunkesnėms nei 30 kg); arba </w:t>
                </w:r>
              </w:p>
              <w:p>
                <w:pPr>
                  <w:rPr>
                    <w:color w:val="000000"/>
                    <w:sz w:val="20"/>
                    <w:lang w:eastAsia="lt-LT"/>
                  </w:rPr>
                </w:pPr>
                <w:r>
                  <w:rPr>
                    <w:color w:val="000000"/>
                    <w:sz w:val="20"/>
                    <w:lang w:eastAsia="lt-LT"/>
                  </w:rPr>
                  <w:t>c) 900 vietų paršavedėms kiaulėms</w:t>
                </w:r>
              </w:p>
              <w:p>
                <w:pPr>
                  <w:rPr>
                    <w:color w:val="000000"/>
                    <w:sz w:val="20"/>
                    <w:lang w:eastAsia="lt-LT"/>
                  </w:rPr>
                </w:pPr>
                <w:r>
                  <w:rPr>
                    <w:color w:val="000000"/>
                    <w:sz w:val="20"/>
                    <w:lang w:eastAsia="lt-LT"/>
                  </w:rPr>
                  <w:t xml:space="preserve">18. Pramoniniai įrengimai, skirti gaminti: </w:t>
                </w:r>
              </w:p>
              <w:p>
                <w:pPr>
                  <w:rPr>
                    <w:color w:val="000000"/>
                    <w:sz w:val="20"/>
                    <w:lang w:eastAsia="lt-LT"/>
                  </w:rPr>
                </w:pPr>
                <w:r>
                  <w:rPr>
                    <w:color w:val="000000"/>
                    <w:sz w:val="20"/>
                    <w:lang w:eastAsia="lt-LT"/>
                  </w:rPr>
                  <w:t xml:space="preserve">a) medienos masei iš rąstų ar panašios plaušinės žaliavos; </w:t>
                </w:r>
              </w:p>
              <w:p>
                <w:pPr>
                  <w:rPr>
                    <w:color w:val="000000"/>
                    <w:sz w:val="20"/>
                    <w:lang w:eastAsia="lt-LT"/>
                  </w:rPr>
                </w:pPr>
                <w:r>
                  <w:rPr>
                    <w:color w:val="000000"/>
                    <w:sz w:val="20"/>
                    <w:lang w:eastAsia="lt-LT"/>
                  </w:rPr>
                  <w:t xml:space="preserve">b) popieriui ir kartonui, kai įrengimų gamybinis pajėgumas didesnis nei 200 t per dieną. </w:t>
                </w:r>
              </w:p>
              <w:p>
                <w:pPr>
                  <w:rPr>
                    <w:color w:val="000000"/>
                    <w:sz w:val="20"/>
                    <w:lang w:eastAsia="lt-LT"/>
                  </w:rPr>
                </w:pPr>
                <w:r>
                  <w:rPr>
                    <w:color w:val="000000"/>
                    <w:sz w:val="20"/>
                    <w:lang w:eastAsia="lt-LT"/>
                  </w:rPr>
                  <w:t xml:space="preserve">19. Akmens skaldyklos ir atviro tipo kasyklos, kai jų paviršiaus plotas didesnis nei 25 ha; durpių gavyba, kai durpyno plotas didesnis nei 150 ha. </w:t>
                </w:r>
              </w:p>
              <w:p>
                <w:pPr>
                  <w:rPr>
                    <w:color w:val="000000"/>
                    <w:sz w:val="20"/>
                    <w:lang w:eastAsia="lt-LT"/>
                  </w:rPr>
                </w:pPr>
                <w:r>
                  <w:rPr>
                    <w:color w:val="000000"/>
                    <w:sz w:val="20"/>
                    <w:lang w:eastAsia="lt-LT"/>
                  </w:rPr>
                  <w:t xml:space="preserve">20. Antžeminių elektros perdavimo linijų tiesimas, kai įtampa aukštesnė nei (arba lygi) 220 kV ir linijos ilgesnės nei 15 km. </w:t>
                </w:r>
              </w:p>
              <w:p>
                <w:pPr>
                  <w:rPr>
                    <w:color w:val="000000"/>
                    <w:sz w:val="20"/>
                    <w:lang w:eastAsia="lt-LT"/>
                  </w:rPr>
                </w:pPr>
                <w:r>
                  <w:rPr>
                    <w:color w:val="000000"/>
                    <w:sz w:val="20"/>
                    <w:lang w:eastAsia="lt-LT"/>
                  </w:rPr>
                  <w:t xml:space="preserve">21. Naftos, naftos chemijos produktų ir cheminių produktų saugyklos, kurių talpa didesnė nei 200 000 t. </w:t>
                </w:r>
              </w:p>
              <w:p>
                <w:pPr>
                  <w:rPr>
                    <w:color w:val="000000"/>
                    <w:sz w:val="20"/>
                    <w:lang w:eastAsia="lt-LT"/>
                  </w:rPr>
                </w:pPr>
                <w:r>
                  <w:rPr>
                    <w:color w:val="000000"/>
                    <w:sz w:val="20"/>
                    <w:lang w:eastAsia="lt-LT"/>
                  </w:rPr>
                  <w:t xml:space="preserve">22. 2009 m. balandžio 23 d. Europos Parlamento ir Tarybos direktyvoje </w:t>
                </w:r>
                <w:fldSimple w:instr="HYPERLINK http://eur-lex.europa.eu/legal-content/LIT/TXT/?uri=CELEX:32009L0031&amp;locale=lt \t _blank">
                  <w:r>
                    <w:rPr>
                      <w:color w:val="0000FF" w:themeColor="hyperlink"/>
                      <w:sz w:val="20"/>
                      <w:lang w:eastAsia="lt-LT"/>
                      <w:u w:val="single"/>
                    </w:rPr>
                    <w:t>2009/31/EB</w:t>
                  </w:r>
                </w:fldSimple>
                <w:r>
                  <w:rPr>
                    <w:color w:val="000000"/>
                    <w:sz w:val="20"/>
                    <w:lang w:eastAsia="lt-LT"/>
                  </w:rPr>
                  <w:t xml:space="preserve"> dėl anglies dioksido geologinio saugojimo (1) numatytos saugyklos.</w:t>
                </w:r>
              </w:p>
              <w:p>
                <w:pPr>
                  <w:rPr>
                    <w:color w:val="000000"/>
                    <w:sz w:val="20"/>
                    <w:lang w:eastAsia="lt-LT"/>
                  </w:rPr>
                </w:pPr>
                <w:r>
                  <w:rPr>
                    <w:color w:val="000000"/>
                    <w:sz w:val="20"/>
                    <w:lang w:eastAsia="lt-LT"/>
                  </w:rPr>
                  <w:t>23. Įrenginiai, naudojami geologiniam saugojimui skirtiems CO</w:t>
                </w:r>
                <w:r>
                  <w:rPr>
                    <w:color w:val="000000"/>
                    <w:sz w:val="20"/>
                    <w:vertAlign w:val="subscript"/>
                    <w:lang w:eastAsia="lt-LT"/>
                  </w:rPr>
                  <w:t>2</w:t>
                </w:r>
                <w:r>
                  <w:rPr>
                    <w:color w:val="000000"/>
                    <w:sz w:val="20"/>
                    <w:lang w:eastAsia="lt-LT"/>
                  </w:rPr>
                  <w:t xml:space="preserve"> srautams surinkti pagal Direktyvą </w:t>
                </w:r>
                <w:fldSimple w:instr="HYPERLINK http://eur-lex.europa.eu/legal-content/LIT/TXT/?uri=CELEX:32009L0031&amp;locale=lt \t _blank">
                  <w:r>
                    <w:rPr>
                      <w:color w:val="0000FF" w:themeColor="hyperlink"/>
                      <w:sz w:val="20"/>
                      <w:lang w:eastAsia="lt-LT"/>
                      <w:u w:val="single"/>
                    </w:rPr>
                    <w:t>2009/31/EB</w:t>
                  </w:r>
                </w:fldSimple>
                <w:r>
                  <w:rPr>
                    <w:color w:val="000000"/>
                    <w:sz w:val="20"/>
                    <w:lang w:eastAsia="lt-LT"/>
                  </w:rPr>
                  <w:t xml:space="preserve"> iš šiame priede nurodytų įrenginių arba kai iš viso per metus surenkama 1,5 megatonos CO</w:t>
                </w:r>
                <w:r>
                  <w:rPr>
                    <w:color w:val="000000"/>
                    <w:sz w:val="20"/>
                    <w:vertAlign w:val="subscript"/>
                    <w:lang w:eastAsia="lt-LT"/>
                  </w:rPr>
                  <w:t>2</w:t>
                </w:r>
                <w:r>
                  <w:rPr>
                    <w:color w:val="000000"/>
                    <w:sz w:val="20"/>
                    <w:lang w:eastAsia="lt-LT"/>
                  </w:rPr>
                  <w:t xml:space="preserve"> arba daugiau. </w:t>
                </w:r>
              </w:p>
              <w:p>
                <w:pPr>
                  <w:jc w:val="both"/>
                  <w:rPr>
                    <w:i/>
                    <w:iCs/>
                    <w:color w:val="000000"/>
                    <w:sz w:val="20"/>
                    <w:lang w:eastAsia="lt-LT"/>
                  </w:rPr>
                </w:pPr>
                <w:r>
                  <w:rPr>
                    <w:color w:val="000000"/>
                    <w:sz w:val="20"/>
                    <w:lang w:eastAsia="lt-LT"/>
                  </w:rPr>
                  <w:t>24. Kiekvienas šiame priede išvardytų projektų pakeitimas ar išplėtimas tais atvejais, kai pats toks pakeitimas ar išplėtimas atitinka šiame priede nustatytus ribinius dydžius, jei jie yra nustatyti.</w:t>
                </w:r>
              </w:p>
            </w:tc>
            <w:tc>
              <w:tcPr>
                <w:tcW w:w="9639" w:type="dxa"/>
              </w:tcPr>
              <w:p>
                <w:pPr>
                  <w:rPr>
                    <w:b/>
                    <w:sz w:val="20"/>
                    <w:lang w:eastAsia="lt-LT"/>
                  </w:rPr>
                </w:pPr>
                <w:r>
                  <w:rPr>
                    <w:b/>
                    <w:sz w:val="20"/>
                    <w:lang w:eastAsia="lt-LT"/>
                  </w:rPr>
                  <w:t>Projektas</w:t>
                </w:r>
              </w:p>
              <w:p>
                <w:pPr>
                  <w:rPr>
                    <w:b/>
                    <w:sz w:val="20"/>
                    <w:lang w:eastAsia="lt-LT"/>
                  </w:rPr>
                </w:pPr>
                <w:r>
                  <w:rPr>
                    <w:b/>
                    <w:sz w:val="20"/>
                    <w:lang w:eastAsia="lt-LT"/>
                  </w:rPr>
                  <w:t>1 priedas</w:t>
                </w:r>
              </w:p>
              <w:p>
                <w:pPr>
                  <w:ind w:firstLine="5760"/>
                  <w:jc w:val="both"/>
                  <w:rPr>
                    <w:b/>
                    <w:color w:val="000000"/>
                    <w:sz w:val="20"/>
                    <w:lang w:eastAsia="en-GB"/>
                  </w:rPr>
                </w:pPr>
                <w:r>
                  <w:rPr>
                    <w:b/>
                    <w:sz w:val="20"/>
                    <w:lang w:eastAsia="lt-LT"/>
                  </w:rPr>
                  <w:t>„</w:t>
                </w:r>
                <w:r>
                  <w:rPr>
                    <w:b/>
                    <w:color w:val="000000"/>
                    <w:sz w:val="20"/>
                    <w:lang w:eastAsia="en-GB"/>
                  </w:rPr>
                  <w:t xml:space="preserve">Lietuvos Respublikos </w:t>
                </w:r>
              </w:p>
              <w:p>
                <w:pPr>
                  <w:ind w:firstLine="5760"/>
                  <w:jc w:val="both"/>
                  <w:rPr>
                    <w:b/>
                    <w:color w:val="000000"/>
                    <w:sz w:val="20"/>
                    <w:lang w:eastAsia="en-GB"/>
                  </w:rPr>
                </w:pPr>
                <w:r>
                  <w:rPr>
                    <w:b/>
                    <w:color w:val="000000"/>
                    <w:sz w:val="20"/>
                    <w:lang w:eastAsia="en-GB"/>
                  </w:rPr>
                  <w:t xml:space="preserve">planuojamos ūkinės veiklos </w:t>
                </w:r>
              </w:p>
              <w:p>
                <w:pPr>
                  <w:ind w:firstLine="5760"/>
                  <w:jc w:val="both"/>
                  <w:rPr>
                    <w:b/>
                    <w:color w:val="000000"/>
                    <w:sz w:val="20"/>
                    <w:lang w:eastAsia="en-GB"/>
                  </w:rPr>
                </w:pPr>
                <w:r>
                  <w:rPr>
                    <w:b/>
                    <w:color w:val="000000"/>
                    <w:sz w:val="20"/>
                    <w:lang w:eastAsia="en-GB"/>
                  </w:rPr>
                  <w:t xml:space="preserve">poveikio aplinkai vertinimo </w:t>
                </w:r>
              </w:p>
              <w:p>
                <w:pPr>
                  <w:ind w:firstLine="5760"/>
                  <w:jc w:val="both"/>
                  <w:rPr>
                    <w:b/>
                    <w:color w:val="000000"/>
                    <w:sz w:val="20"/>
                    <w:lang w:eastAsia="en-GB"/>
                  </w:rPr>
                </w:pPr>
                <w:r>
                  <w:rPr>
                    <w:b/>
                    <w:color w:val="000000"/>
                    <w:sz w:val="20"/>
                    <w:lang w:eastAsia="en-GB"/>
                  </w:rPr>
                  <w:t xml:space="preserve">įstatymo </w:t>
                </w:r>
              </w:p>
              <w:p>
                <w:pPr>
                  <w:ind w:firstLine="5760"/>
                  <w:jc w:val="both"/>
                  <w:rPr>
                    <w:b/>
                    <w:sz w:val="20"/>
                    <w:lang w:eastAsia="en-GB"/>
                  </w:rPr>
                </w:pPr>
                <w:r>
                  <w:rPr>
                    <w:b/>
                    <w:color w:val="000000"/>
                    <w:sz w:val="20"/>
                    <w:lang w:eastAsia="en-GB"/>
                  </w:rPr>
                  <w:t>1 pried</w:t>
                </w:r>
                <w:r>
                  <w:rPr>
                    <w:b/>
                    <w:sz w:val="20"/>
                    <w:lang w:eastAsia="en-GB"/>
                  </w:rPr>
                  <w:t>as</w:t>
                </w:r>
              </w:p>
              <w:p>
                <w:pPr>
                  <w:ind w:firstLine="720"/>
                  <w:jc w:val="both"/>
                  <w:rPr>
                    <w:b/>
                    <w:color w:val="000000"/>
                    <w:sz w:val="20"/>
                    <w:lang w:eastAsia="en-GB"/>
                  </w:rPr>
                </w:pPr>
              </w:p>
              <w:p>
                <w:pPr>
                  <w:jc w:val="center"/>
                  <w:rPr>
                    <w:b/>
                    <w:color w:val="000000"/>
                    <w:sz w:val="20"/>
                    <w:lang w:eastAsia="en-GB"/>
                  </w:rPr>
                </w:pPr>
                <w:r>
                  <w:rPr>
                    <w:b/>
                    <w:color w:val="000000"/>
                    <w:sz w:val="20"/>
                    <w:lang w:eastAsia="en-GB"/>
                  </w:rPr>
                  <w:t>PLANUOJAMOS ŪKINĖS VEIKLOS, KURIOS POVEIKIS APLINKAI PRIVALO BŪTI VERTINAMAS, RŪŠIŲ SĄRAŠAS</w:t>
                </w:r>
              </w:p>
              <w:p>
                <w:pPr>
                  <w:ind w:firstLine="720"/>
                  <w:jc w:val="both"/>
                  <w:rPr>
                    <w:b/>
                    <w:color w:val="000000"/>
                    <w:sz w:val="20"/>
                    <w:lang w:eastAsia="en-GB"/>
                  </w:rPr>
                </w:pPr>
              </w:p>
              <w:p>
                <w:pPr>
                  <w:jc w:val="both"/>
                  <w:rPr>
                    <w:b/>
                    <w:sz w:val="20"/>
                    <w:lang w:eastAsia="en-GB"/>
                  </w:rPr>
                </w:pPr>
                <w:r>
                  <w:rPr>
                    <w:b/>
                    <w:sz w:val="20"/>
                    <w:lang w:eastAsia="en-GB"/>
                  </w:rPr>
                  <w:t>1. Žemės ir vandens ūkis:</w:t>
                </w:r>
              </w:p>
              <w:p>
                <w:pPr>
                  <w:jc w:val="both"/>
                  <w:rPr>
                    <w:b/>
                    <w:sz w:val="20"/>
                    <w:lang w:eastAsia="en-GB"/>
                  </w:rPr>
                </w:pPr>
                <w:r>
                  <w:rPr>
                    <w:b/>
                    <w:sz w:val="20"/>
                    <w:lang w:eastAsia="en-GB"/>
                  </w:rPr>
                  <w:t>1.1. intensyvus kiaulių (sunkesnių kaip 30 kg) auginimas statiniuose, jeigu joms laikyti yra 3 000 ir daugiau vietų;</w:t>
                </w:r>
              </w:p>
              <w:p>
                <w:pPr>
                  <w:jc w:val="both"/>
                  <w:rPr>
                    <w:b/>
                    <w:color w:val="000000"/>
                    <w:sz w:val="20"/>
                    <w:lang w:eastAsia="en-GB"/>
                  </w:rPr>
                </w:pPr>
                <w:r>
                  <w:rPr>
                    <w:b/>
                    <w:sz w:val="20"/>
                    <w:lang w:eastAsia="en-GB"/>
                  </w:rPr>
                  <w:t>1.2. intensyvus paršavedžių auginimas statiniuose, jeigu joms laikyti yra 900 ir daugiau vietų;</w:t>
                </w:r>
              </w:p>
              <w:p>
                <w:pPr>
                  <w:jc w:val="both"/>
                  <w:rPr>
                    <w:b/>
                    <w:sz w:val="20"/>
                    <w:lang w:val="en-GB" w:eastAsia="en-GB"/>
                  </w:rPr>
                </w:pPr>
                <w:r>
                  <w:rPr>
                    <w:b/>
                    <w:sz w:val="20"/>
                    <w:lang w:val="en-GB" w:eastAsia="en-GB"/>
                  </w:rPr>
                  <w:t>1.3. intensyvus naminių paukščių auginimas statiniuose:</w:t>
                </w:r>
              </w:p>
              <w:p>
                <w:pPr>
                  <w:jc w:val="both"/>
                  <w:rPr>
                    <w:b/>
                    <w:sz w:val="20"/>
                    <w:lang w:val="en-GB" w:eastAsia="en-GB"/>
                  </w:rPr>
                </w:pPr>
                <w:r>
                  <w:rPr>
                    <w:b/>
                    <w:sz w:val="20"/>
                    <w:lang w:val="en-GB" w:eastAsia="en-GB"/>
                  </w:rPr>
                  <w:t xml:space="preserve">1.3.1. jeigu broileriams laikyti yra 85 000 ir daugiau vietų; </w:t>
                </w:r>
              </w:p>
              <w:p>
                <w:pPr>
                  <w:jc w:val="both"/>
                  <w:rPr>
                    <w:b/>
                    <w:color w:val="000000"/>
                    <w:sz w:val="20"/>
                    <w:lang w:val="en-GB" w:eastAsia="en-GB"/>
                  </w:rPr>
                </w:pPr>
                <w:r>
                  <w:rPr>
                    <w:b/>
                    <w:sz w:val="20"/>
                    <w:lang w:val="en-GB" w:eastAsia="en-GB"/>
                  </w:rPr>
                  <w:t>1.3.2. jeigu vištoms laikyti yra 60 000 ir daugiau vietų;</w:t>
                </w:r>
              </w:p>
              <w:p>
                <w:pPr>
                  <w:jc w:val="both"/>
                  <w:rPr>
                    <w:b/>
                    <w:color w:val="000000"/>
                    <w:sz w:val="20"/>
                    <w:lang w:val="en-GB" w:eastAsia="en-GB"/>
                  </w:rPr>
                </w:pPr>
                <w:r>
                  <w:rPr>
                    <w:b/>
                    <w:color w:val="000000"/>
                    <w:sz w:val="20"/>
                    <w:lang w:val="en-GB" w:eastAsia="en-GB"/>
                  </w:rPr>
                  <w:t>1.4. užtvankų ir kitų įrenginių, skirtų vandens sulaikymui ar ilgalaikiam saugojimui, įrengimas (5 milijonai ar daugiau m</w:t>
                </w:r>
                <w:r>
                  <w:rPr>
                    <w:b/>
                    <w:color w:val="000000"/>
                    <w:sz w:val="20"/>
                    <w:vertAlign w:val="superscript"/>
                    <w:lang w:val="en-GB" w:eastAsia="en-GB"/>
                  </w:rPr>
                  <w:t>3</w:t>
                </w:r>
                <w:r>
                  <w:rPr>
                    <w:b/>
                    <w:color w:val="000000"/>
                    <w:sz w:val="20"/>
                    <w:lang w:val="en-GB" w:eastAsia="en-GB"/>
                  </w:rPr>
                  <w:t xml:space="preserve"> vandens tūrio arba kai vandens paviršiaus plotas – 250 ha ar didesnis).</w:t>
                </w:r>
              </w:p>
              <w:p>
                <w:pPr>
                  <w:jc w:val="both"/>
                  <w:rPr>
                    <w:b/>
                    <w:sz w:val="20"/>
                    <w:lang w:val="en-GB" w:eastAsia="en-GB"/>
                  </w:rPr>
                </w:pPr>
                <w:r>
                  <w:rPr>
                    <w:b/>
                    <w:sz w:val="20"/>
                    <w:lang w:val="en-GB" w:eastAsia="en-GB"/>
                  </w:rPr>
                  <w:t>2. Gavyba ir perdirbamoji pramonė:</w:t>
                </w:r>
              </w:p>
              <w:p>
                <w:pPr>
                  <w:jc w:val="both"/>
                  <w:rPr>
                    <w:rFonts w:eastAsia="Calibri"/>
                    <w:b/>
                    <w:sz w:val="20"/>
                    <w:lang w:val="en-GB" w:eastAsia="en-GB"/>
                  </w:rPr>
                </w:pPr>
                <w:r>
                  <w:rPr>
                    <w:rFonts w:eastAsia="Calibri"/>
                    <w:b/>
                    <w:sz w:val="20"/>
                    <w:lang w:val="en-GB" w:eastAsia="en-GB"/>
                  </w:rPr>
                  <w:t>2.1. tradicinių angliavandenilių (naftos) gavyba Lietuvos Respublikos žemyninėje dalyje (kai telkinyje išgaunama daugiau kaip 500 tonų naftos per parą);</w:t>
                </w:r>
              </w:p>
              <w:p>
                <w:pPr>
                  <w:jc w:val="both"/>
                  <w:rPr>
                    <w:rFonts w:eastAsia="Calibri"/>
                    <w:b/>
                    <w:sz w:val="20"/>
                    <w:lang w:val="en-GB" w:eastAsia="en-GB"/>
                  </w:rPr>
                </w:pPr>
                <w:r>
                  <w:rPr>
                    <w:rFonts w:eastAsia="Calibri"/>
                    <w:b/>
                    <w:sz w:val="20"/>
                    <w:lang w:val="en-GB" w:eastAsia="en-GB"/>
                  </w:rPr>
                  <w:t>2.2. tradicinių angliavandenilių (dujų) gavyba Lietuvos Respublikos žemyninėje dalyje (kai telkinyje išgaunama daugiau kaip 500 000 m</w:t>
                </w:r>
                <w:r>
                  <w:rPr>
                    <w:rFonts w:eastAsia="Calibri"/>
                    <w:b/>
                    <w:sz w:val="20"/>
                    <w:vertAlign w:val="superscript"/>
                    <w:lang w:val="en-GB" w:eastAsia="en-GB"/>
                  </w:rPr>
                  <w:t>3</w:t>
                </w:r>
                <w:r>
                  <w:rPr>
                    <w:rFonts w:eastAsia="Calibri"/>
                    <w:b/>
                    <w:sz w:val="20"/>
                    <w:lang w:val="en-GB" w:eastAsia="en-GB"/>
                  </w:rPr>
                  <w:t xml:space="preserve"> dujų per parą);</w:t>
                </w:r>
              </w:p>
              <w:p>
                <w:pPr>
                  <w:jc w:val="both"/>
                  <w:rPr>
                    <w:rFonts w:eastAsia="Calibri"/>
                    <w:b/>
                    <w:sz w:val="20"/>
                    <w:lang w:val="en-GB" w:eastAsia="en-GB"/>
                  </w:rPr>
                </w:pPr>
                <w:r>
                  <w:rPr>
                    <w:rFonts w:eastAsia="Calibri"/>
                    <w:b/>
                    <w:sz w:val="20"/>
                    <w:lang w:val="en-GB" w:eastAsia="en-GB"/>
                  </w:rPr>
                  <w:t>2.3. tradicinių angliavandenilių (naftos ar dujų) gavyba Lietuvos Respublikos jūros rajone;</w:t>
                </w:r>
              </w:p>
              <w:p>
                <w:pPr>
                  <w:jc w:val="both"/>
                  <w:rPr>
                    <w:rFonts w:eastAsia="Calibri"/>
                    <w:b/>
                    <w:sz w:val="20"/>
                    <w:lang w:val="en-GB" w:eastAsia="en-GB"/>
                  </w:rPr>
                </w:pPr>
                <w:r>
                  <w:rPr>
                    <w:rFonts w:eastAsia="Calibri"/>
                    <w:b/>
                    <w:sz w:val="20"/>
                    <w:lang w:val="en-GB" w:eastAsia="en-GB"/>
                  </w:rPr>
                  <w:t>2.4. išsklaidytųjų angliavandenilių (dujų ar naftos) gavyba;</w:t>
                </w:r>
              </w:p>
              <w:p>
                <w:pPr>
                  <w:jc w:val="both"/>
                  <w:rPr>
                    <w:b/>
                    <w:sz w:val="20"/>
                    <w:lang w:val="en-GB" w:eastAsia="lt-LT"/>
                  </w:rPr>
                </w:pPr>
                <w:r>
                  <w:rPr>
                    <w:b/>
                    <w:color w:val="000000"/>
                    <w:sz w:val="20"/>
                    <w:lang w:val="en-GB" w:eastAsia="lt-LT"/>
                  </w:rPr>
                  <w:t xml:space="preserve">2.5. durpių gavyba (kai gavybos sklypas </w:t>
                </w:r>
                <w:r>
                  <w:rPr>
                    <w:b/>
                    <w:sz w:val="20"/>
                    <w:lang w:val="en-GB" w:eastAsia="lt-LT"/>
                  </w:rPr>
                  <w:t xml:space="preserve">– </w:t>
                </w:r>
                <w:r>
                  <w:rPr>
                    <w:b/>
                    <w:color w:val="000000"/>
                    <w:sz w:val="20"/>
                    <w:lang w:val="en-GB" w:eastAsia="lt-LT"/>
                  </w:rPr>
                  <w:t>150 ha ir didesnis);</w:t>
                </w:r>
              </w:p>
              <w:p>
                <w:pPr>
                  <w:jc w:val="both"/>
                  <w:rPr>
                    <w:b/>
                    <w:color w:val="000000"/>
                    <w:sz w:val="20"/>
                    <w:lang w:val="en-GB" w:eastAsia="en-GB"/>
                  </w:rPr>
                </w:pPr>
                <w:r>
                  <w:rPr>
                    <w:b/>
                    <w:color w:val="000000"/>
                    <w:sz w:val="20"/>
                    <w:lang w:val="en-GB" w:eastAsia="lt-LT"/>
                  </w:rPr>
                  <w:t>2.6. kitų naudingųjų iškasenų gavyba (kai gavybos sklypas</w:t>
                </w:r>
                <w:r>
                  <w:rPr>
                    <w:b/>
                    <w:sz w:val="20"/>
                    <w:lang w:val="en-GB" w:eastAsia="lt-LT"/>
                  </w:rPr>
                  <w:t xml:space="preserve"> – </w:t>
                </w:r>
                <w:r>
                  <w:rPr>
                    <w:b/>
                    <w:color w:val="000000"/>
                    <w:sz w:val="20"/>
                    <w:lang w:val="en-GB" w:eastAsia="lt-LT"/>
                  </w:rPr>
                  <w:t>25 ha ir didesnis);</w:t>
                </w:r>
              </w:p>
              <w:p>
                <w:pPr>
                  <w:jc w:val="both"/>
                  <w:rPr>
                    <w:rFonts w:eastAsia="Calibri"/>
                    <w:b/>
                    <w:sz w:val="20"/>
                    <w:lang w:val="en-GB" w:eastAsia="en-GB"/>
                  </w:rPr>
                </w:pPr>
                <w:r>
                  <w:rPr>
                    <w:rFonts w:eastAsia="Calibri"/>
                    <w:b/>
                    <w:sz w:val="20"/>
                    <w:lang w:val="en-GB" w:eastAsia="en-GB"/>
                  </w:rPr>
                  <w:t xml:space="preserve">2.7. išsklaidytųjų angliavandenilių tyrimas gręžiniuose, </w:t>
                </w:r>
                <w:r>
                  <w:rPr>
                    <w:b/>
                    <w:kern w:val="1"/>
                    <w:sz w:val="20"/>
                    <w:lang w:val="en-GB" w:eastAsia="ar-SA"/>
                  </w:rPr>
                  <w:t>kai taikant hidraulinį uolienų ardymą daugiau kaip 10 000 m</w:t>
                </w:r>
                <w:r>
                  <w:rPr>
                    <w:b/>
                    <w:kern w:val="1"/>
                    <w:sz w:val="20"/>
                    <w:vertAlign w:val="superscript"/>
                    <w:lang w:val="en-GB" w:eastAsia="ar-SA"/>
                  </w:rPr>
                  <w:t>3</w:t>
                </w:r>
                <w:r>
                  <w:rPr>
                    <w:b/>
                    <w:kern w:val="1"/>
                    <w:sz w:val="20"/>
                    <w:lang w:val="en-GB" w:eastAsia="ar-SA"/>
                  </w:rPr>
                  <w:t xml:space="preserve"> vandens, smėlio ar dirbtinių kietųjų dalelių ir cheminių medžiagų mišinio įspaudžiama į gręžinį per visą ardymo procesą;</w:t>
                </w:r>
              </w:p>
              <w:p>
                <w:pPr>
                  <w:jc w:val="both"/>
                  <w:rPr>
                    <w:rFonts w:eastAsia="Calibri"/>
                    <w:b/>
                    <w:sz w:val="20"/>
                    <w:lang w:val="en-GB" w:eastAsia="en-GB"/>
                  </w:rPr>
                </w:pPr>
                <w:r>
                  <w:rPr>
                    <w:b/>
                    <w:sz w:val="20"/>
                    <w:lang w:val="en-GB" w:eastAsia="en-GB"/>
                  </w:rPr>
                  <w:t xml:space="preserve">2.8. </w:t>
                </w:r>
                <w:r>
                  <w:rPr>
                    <w:rFonts w:eastAsia="Calibri"/>
                    <w:b/>
                    <w:sz w:val="20"/>
                    <w:lang w:val="en-GB" w:eastAsia="en-GB"/>
                  </w:rPr>
                  <w:t>tradicinių angliavandenilių (naftos) perdirbimas (išskyrus tepalo gamybą iš nevalytos naftos).</w:t>
                </w:r>
              </w:p>
              <w:p>
                <w:pPr>
                  <w:jc w:val="both"/>
                  <w:rPr>
                    <w:b/>
                    <w:sz w:val="20"/>
                    <w:lang w:val="en-GB" w:eastAsia="en-GB"/>
                  </w:rPr>
                </w:pPr>
                <w:r>
                  <w:rPr>
                    <w:b/>
                    <w:sz w:val="20"/>
                    <w:lang w:val="en-GB" w:eastAsia="en-GB"/>
                  </w:rPr>
                  <w:t>3. Energetika:</w:t>
                </w:r>
              </w:p>
              <w:p>
                <w:pPr>
                  <w:jc w:val="both"/>
                  <w:rPr>
                    <w:b/>
                    <w:color w:val="000000"/>
                    <w:sz w:val="20"/>
                    <w:lang w:val="en-GB" w:eastAsia="en-GB"/>
                  </w:rPr>
                </w:pPr>
                <w:r>
                  <w:rPr>
                    <w:b/>
                    <w:color w:val="000000"/>
                    <w:sz w:val="20"/>
                    <w:lang w:val="en-GB" w:eastAsia="en-GB"/>
                  </w:rPr>
                  <w:t xml:space="preserve">3.1. šiluminių elektrinių ir kitų deginimo įrenginių, įskaitant pramoninius įrenginius elektrai, garui gaminti ar vandeniui šildyti, įrengimas (kai įrenginių vardinė (nominali) šiluminė galia </w:t>
                </w:r>
                <w:r>
                  <w:rPr>
                    <w:b/>
                    <w:sz w:val="20"/>
                    <w:lang w:val="en-GB" w:eastAsia="en-GB"/>
                  </w:rPr>
                  <w:t xml:space="preserve">– </w:t>
                </w:r>
                <w:r>
                  <w:rPr>
                    <w:b/>
                    <w:color w:val="000000"/>
                    <w:sz w:val="20"/>
                    <w:lang w:val="en-GB" w:eastAsia="en-GB"/>
                  </w:rPr>
                  <w:t>150 MW ir didesnė);</w:t>
                </w:r>
              </w:p>
              <w:p>
                <w:pPr>
                  <w:jc w:val="both"/>
                  <w:rPr>
                    <w:b/>
                    <w:color w:val="000000"/>
                    <w:sz w:val="20"/>
                    <w:lang w:val="en-GB" w:eastAsia="en-GB"/>
                  </w:rPr>
                </w:pPr>
                <w:r>
                  <w:rPr>
                    <w:b/>
                    <w:color w:val="000000"/>
                    <w:sz w:val="20"/>
                    <w:lang w:val="en-GB" w:eastAsia="en-GB"/>
                  </w:rPr>
                  <w:t xml:space="preserve">3.2. atominių elektrinių ar kitų branduolinių reaktorių įrengimas ir tokių elektrinių ar reaktorių išmontavimas ar eksploatavimo nutraukimas (išskyrus tyrimo įrenginius reprodukuojamoms ir skylančioms medžiagoms gaminti ir transformuoti, kai įrenginio didžiausia galia neviršija 1 kW nuolatinės šiluminės apkrovos). </w:t>
                </w:r>
                <w:r>
                  <w:rPr>
                    <w:b/>
                    <w:sz w:val="20"/>
                    <w:lang w:val="en-GB" w:eastAsia="en-GB"/>
                  </w:rPr>
                  <w:t xml:space="preserve">Atominės elektrinės ar kiti branduoliniai reaktoriai nebepriskiriami nurodytos  rūšies įrenginiams, kai branduolinis kuras ir kitos radionuklidais užterštos dalys visam laikui pašalinamos iš įrenginio vietos</w:t>
                </w:r>
                <w:r>
                  <w:rPr>
                    <w:b/>
                    <w:color w:val="000000"/>
                    <w:sz w:val="20"/>
                    <w:lang w:val="en-GB" w:eastAsia="en-GB"/>
                  </w:rPr>
                  <w:t>;</w:t>
                </w:r>
              </w:p>
              <w:p>
                <w:pPr>
                  <w:jc w:val="both"/>
                  <w:rPr>
                    <w:b/>
                    <w:color w:val="000000"/>
                    <w:sz w:val="20"/>
                    <w:lang w:val="en-GB" w:eastAsia="en-GB"/>
                  </w:rPr>
                </w:pPr>
                <w:r>
                  <w:rPr>
                    <w:b/>
                    <w:color w:val="000000"/>
                    <w:sz w:val="20"/>
                    <w:lang w:val="en-GB" w:eastAsia="en-GB"/>
                  </w:rPr>
                  <w:t xml:space="preserve">3.3. </w:t>
                </w:r>
                <w:r>
                  <w:rPr>
                    <w:b/>
                    <w:sz w:val="20"/>
                    <w:lang w:val="en-GB" w:eastAsia="en-GB"/>
                  </w:rPr>
                  <w:t xml:space="preserve">apšvitinto </w:t>
                </w:r>
                <w:r>
                  <w:rPr>
                    <w:b/>
                    <w:color w:val="000000"/>
                    <w:sz w:val="20"/>
                    <w:lang w:val="en-GB" w:eastAsia="en-GB"/>
                  </w:rPr>
                  <w:t>branduolinio kuro perdirbimas;</w:t>
                </w:r>
              </w:p>
              <w:p>
                <w:pPr>
                  <w:jc w:val="both"/>
                  <w:rPr>
                    <w:b/>
                    <w:color w:val="000000"/>
                    <w:sz w:val="20"/>
                    <w:lang w:val="en-GB" w:eastAsia="en-GB"/>
                  </w:rPr>
                </w:pPr>
                <w:r>
                  <w:rPr>
                    <w:b/>
                    <w:color w:val="000000"/>
                    <w:sz w:val="20"/>
                    <w:lang w:val="en-GB" w:eastAsia="en-GB"/>
                  </w:rPr>
                  <w:t>3.4. branduolinio kuro gamyba ir sodrinimas;</w:t>
                </w:r>
              </w:p>
              <w:p>
                <w:pPr>
                  <w:jc w:val="both"/>
                  <w:rPr>
                    <w:b/>
                    <w:color w:val="000000"/>
                    <w:sz w:val="20"/>
                    <w:lang w:val="en-GB" w:eastAsia="en-GB"/>
                  </w:rPr>
                </w:pPr>
                <w:r>
                  <w:rPr>
                    <w:b/>
                    <w:color w:val="000000"/>
                    <w:sz w:val="20"/>
                    <w:lang w:val="en-GB" w:eastAsia="en-GB"/>
                  </w:rPr>
                  <w:t>3.5. apšvitinto branduolinio kuro ar didelio aktyvumo radioaktyviųjų atliekų apdorojimas;</w:t>
                </w:r>
              </w:p>
              <w:p>
                <w:pPr>
                  <w:jc w:val="both"/>
                  <w:rPr>
                    <w:b/>
                    <w:color w:val="000000"/>
                    <w:sz w:val="20"/>
                    <w:lang w:val="en-GB" w:eastAsia="en-GB"/>
                  </w:rPr>
                </w:pPr>
                <w:r>
                  <w:rPr>
                    <w:b/>
                    <w:color w:val="000000"/>
                    <w:sz w:val="20"/>
                    <w:lang w:val="en-GB" w:eastAsia="en-GB"/>
                  </w:rPr>
                  <w:t>3.6. apšvitinto branduolinio kuro dėjimas į atliekyną;</w:t>
                </w:r>
              </w:p>
              <w:p>
                <w:pPr>
                  <w:jc w:val="both"/>
                  <w:rPr>
                    <w:b/>
                    <w:color w:val="000000"/>
                    <w:sz w:val="20"/>
                    <w:lang w:val="en-GB" w:eastAsia="en-GB"/>
                  </w:rPr>
                </w:pPr>
                <w:r>
                  <w:rPr>
                    <w:b/>
                    <w:color w:val="000000"/>
                    <w:sz w:val="20"/>
                    <w:lang w:val="en-GB" w:eastAsia="en-GB"/>
                  </w:rPr>
                  <w:t>3.7. radioaktyviųjų atliekų dėjimas į atliekyną; </w:t>
                </w:r>
              </w:p>
              <w:p>
                <w:pPr>
                  <w:jc w:val="both"/>
                  <w:rPr>
                    <w:b/>
                    <w:color w:val="000000"/>
                    <w:sz w:val="20"/>
                    <w:lang w:val="en-GB" w:eastAsia="en-GB"/>
                  </w:rPr>
                </w:pPr>
                <w:r>
                  <w:rPr>
                    <w:b/>
                    <w:color w:val="000000"/>
                    <w:sz w:val="20"/>
                    <w:lang w:val="en-GB" w:eastAsia="en-GB"/>
                  </w:rPr>
                  <w:t>3.8. apšvitinto branduolinio kuro ar radioaktyviųjų atliekų saugojimas (jei saugojimas trunka ne ilgiau nei 10 metų) kitoje nei jų atsiradimo aikštelėje; </w:t>
                </w:r>
              </w:p>
              <w:p>
                <w:pPr>
                  <w:jc w:val="both"/>
                  <w:rPr>
                    <w:b/>
                    <w:color w:val="000000"/>
                    <w:sz w:val="20"/>
                    <w:lang w:val="en-GB" w:eastAsia="en-GB"/>
                  </w:rPr>
                </w:pPr>
                <w:r>
                  <w:rPr>
                    <w:b/>
                    <w:sz w:val="20"/>
                    <w:lang w:val="en-GB" w:eastAsia="en-GB"/>
                  </w:rPr>
                  <w:t xml:space="preserve">3.9. </w:t>
                </w:r>
                <w:r>
                  <w:rPr>
                    <w:b/>
                    <w:color w:val="000000"/>
                    <w:sz w:val="20"/>
                    <w:lang w:val="en-GB" w:eastAsia="en-GB"/>
                  </w:rPr>
                  <w:t>radioaktyviųjų atliekų apdorojimas, naudojimas, saugojimas ir šalinimas, įskaitant šių įrenginių eksploatavimo nutraukimą, išskyrus veiklą nurodytą šio priedo 3.5, 3.7 ir 3.8 papunkčiuose;</w:t>
                </w:r>
              </w:p>
              <w:p>
                <w:pPr>
                  <w:jc w:val="both"/>
                  <w:rPr>
                    <w:b/>
                    <w:color w:val="000000"/>
                    <w:sz w:val="20"/>
                    <w:lang w:val="en-GB" w:eastAsia="en-GB"/>
                  </w:rPr>
                </w:pPr>
                <w:r>
                  <w:rPr>
                    <w:b/>
                    <w:color w:val="000000"/>
                    <w:sz w:val="20"/>
                    <w:lang w:val="en-GB" w:eastAsia="en-GB"/>
                  </w:rPr>
                  <w:t xml:space="preserve">3.10. anglių arba bituminio skalūno dujinimas ar suskystinimas (kai įrenginių pajėgumas </w:t>
                </w:r>
                <w:r>
                  <w:rPr>
                    <w:b/>
                    <w:sz w:val="20"/>
                    <w:lang w:val="en-GB" w:eastAsia="en-GB"/>
                  </w:rPr>
                  <w:t xml:space="preserve">– </w:t>
                </w:r>
                <w:r>
                  <w:rPr>
                    <w:b/>
                    <w:color w:val="000000"/>
                    <w:sz w:val="20"/>
                    <w:lang w:val="en-GB" w:eastAsia="en-GB"/>
                  </w:rPr>
                  <w:t>500 ir daugiau tonų per parą).</w:t>
                </w:r>
              </w:p>
              <w:p>
                <w:pPr>
                  <w:jc w:val="both"/>
                  <w:rPr>
                    <w:b/>
                    <w:sz w:val="20"/>
                    <w:lang w:val="en-GB" w:eastAsia="en-GB"/>
                  </w:rPr>
                </w:pPr>
                <w:r>
                  <w:rPr>
                    <w:b/>
                    <w:sz w:val="20"/>
                    <w:lang w:val="en-GB" w:eastAsia="en-GB"/>
                  </w:rPr>
                  <w:t>4. Metalų gamybos ir perdirbimo pramonė:</w:t>
                </w:r>
              </w:p>
              <w:p>
                <w:pPr>
                  <w:jc w:val="both"/>
                  <w:rPr>
                    <w:b/>
                    <w:color w:val="000000"/>
                    <w:sz w:val="20"/>
                    <w:lang w:val="en-GB" w:eastAsia="en-GB"/>
                  </w:rPr>
                </w:pPr>
                <w:r>
                  <w:rPr>
                    <w:b/>
                    <w:color w:val="000000"/>
                    <w:sz w:val="20"/>
                    <w:lang w:val="en-GB" w:eastAsia="en-GB"/>
                  </w:rPr>
                  <w:t>4.1. plieno ir ketaus pirminis lydymas;</w:t>
                </w:r>
              </w:p>
              <w:p>
                <w:pPr>
                  <w:jc w:val="both"/>
                  <w:rPr>
                    <w:b/>
                    <w:color w:val="000000"/>
                    <w:sz w:val="20"/>
                    <w:lang w:val="en-GB" w:eastAsia="en-GB"/>
                  </w:rPr>
                </w:pPr>
                <w:r>
                  <w:rPr>
                    <w:b/>
                    <w:color w:val="000000"/>
                    <w:sz w:val="20"/>
                    <w:lang w:val="en-GB" w:eastAsia="en-GB"/>
                  </w:rPr>
                  <w:t>4.2. spalvotųjų metalų gamyba iš rūdų, koncentratų ar antrinių žaliavų cheminiais, metalurgijos ar elektrolizės būdais.</w:t>
                </w:r>
              </w:p>
              <w:p>
                <w:pPr>
                  <w:jc w:val="both"/>
                  <w:rPr>
                    <w:b/>
                    <w:sz w:val="20"/>
                    <w:lang w:val="en-GB" w:eastAsia="en-GB"/>
                  </w:rPr>
                </w:pPr>
                <w:r>
                  <w:rPr>
                    <w:b/>
                    <w:sz w:val="20"/>
                    <w:lang w:val="en-GB" w:eastAsia="en-GB"/>
                  </w:rPr>
                  <w:t>5. Mineralinių statybinių medžiagų pramonė:</w:t>
                </w:r>
              </w:p>
              <w:p>
                <w:pPr>
                  <w:jc w:val="both"/>
                  <w:rPr>
                    <w:b/>
                    <w:sz w:val="20"/>
                    <w:lang w:val="en-GB" w:eastAsia="en-GB"/>
                  </w:rPr>
                </w:pPr>
                <w:r>
                  <w:rPr>
                    <w:b/>
                    <w:color w:val="000000"/>
                    <w:sz w:val="20"/>
                    <w:lang w:val="en-GB" w:eastAsia="en-GB"/>
                  </w:rPr>
                  <w:t xml:space="preserve">Asbesto gavyba ar perdirbimas, asbesto turinčių gaminių gamyba: asbesto-cemento gaminių gamyba, kai pagaminama daugiau kaip 20 000 tonų per metus; frikcinių medžiagų gamyba, </w:t>
                </w:r>
                <w:r>
                  <w:rPr>
                    <w:b/>
                    <w:sz w:val="20"/>
                    <w:lang w:val="en-GB" w:eastAsia="en-GB"/>
                  </w:rPr>
                  <w:t xml:space="preserve">– </w:t>
                </w:r>
                <w:r>
                  <w:rPr>
                    <w:b/>
                    <w:color w:val="000000"/>
                    <w:sz w:val="20"/>
                    <w:lang w:val="en-GB" w:eastAsia="en-GB"/>
                  </w:rPr>
                  <w:t xml:space="preserve">kai per metus pagaminama daugiau kaip 50 tonų; kitais asbesto perdirbimo ar panaudojimo atvejais, </w:t>
                </w:r>
                <w:r>
                  <w:rPr>
                    <w:b/>
                    <w:sz w:val="20"/>
                    <w:lang w:val="en-GB" w:eastAsia="en-GB"/>
                  </w:rPr>
                  <w:t xml:space="preserve">– </w:t>
                </w:r>
                <w:r>
                  <w:rPr>
                    <w:b/>
                    <w:color w:val="000000"/>
                    <w:sz w:val="20"/>
                    <w:lang w:val="en-GB" w:eastAsia="en-GB"/>
                  </w:rPr>
                  <w:t>kai per metus naudojama daugiau kaip 200 tonų asbesto.</w:t>
                </w:r>
              </w:p>
              <w:p>
                <w:pPr>
                  <w:jc w:val="both"/>
                  <w:rPr>
                    <w:b/>
                    <w:sz w:val="20"/>
                    <w:lang w:val="en-GB" w:eastAsia="en-GB"/>
                  </w:rPr>
                </w:pPr>
                <w:r>
                  <w:rPr>
                    <w:b/>
                    <w:sz w:val="20"/>
                    <w:lang w:val="en-GB" w:eastAsia="en-GB"/>
                  </w:rPr>
                  <w:t>6. Chemijos pramonė:</w:t>
                </w:r>
              </w:p>
              <w:p>
                <w:pPr>
                  <w:jc w:val="both"/>
                  <w:rPr>
                    <w:rFonts w:eastAsia="Calibri"/>
                    <w:b/>
                    <w:sz w:val="20"/>
                    <w:lang w:val="en-GB" w:eastAsia="en-GB"/>
                  </w:rPr>
                </w:pPr>
                <w:r>
                  <w:rPr>
                    <w:rFonts w:eastAsia="Calibri"/>
                    <w:b/>
                    <w:sz w:val="20"/>
                    <w:lang w:val="en-GB" w:eastAsia="en-GB"/>
                  </w:rPr>
                  <w:t>6.1. organinių cheminių medžiagų (įskaitant angliavandenilių (linijinių arba ciklinių; sočiųjų arba nesočiųjų, alifatinių arba aromatinių); deguonies turinčių organinių junginių: alkoholio, aldehidų, ketonų, karboksirūgščių, esterių ir jų mišinių, acetatų, eterių, epoksidinių dervų; sieros turinčių organinių junginių; azoto turinčių organinių junginių: aminų, amidų, nitrozo ir nitro junginių arba nitratų, nitrilų, cianatų, izociantų; fosforo turinčių organinių junginių; halogenintų angliavandenilių; metalo organinių junginių; plastinių medžiagų (polimerų, sintetinio pluošto ir pluošto, turinčio celiuliozės); sintetinio kaučiuko, dažiklių ir pigmentų; paviršinio aktyvumo agentų ir medžiagų) gamyba pramoniniu mastu naudojant cheminės konversijos procesus;</w:t>
                </w:r>
              </w:p>
              <w:p>
                <w:pPr>
                  <w:jc w:val="both"/>
                  <w:rPr>
                    <w:b/>
                    <w:sz w:val="20"/>
                    <w:lang w:val="en-GB" w:eastAsia="en-GB"/>
                  </w:rPr>
                </w:pPr>
                <w:r>
                  <w:rPr>
                    <w:b/>
                    <w:color w:val="000000"/>
                    <w:sz w:val="20"/>
                    <w:lang w:val="en-GB" w:eastAsia="en-GB"/>
                  </w:rPr>
                  <w:t xml:space="preserve">6.2. </w:t>
                </w:r>
                <w:r>
                  <w:rPr>
                    <w:b/>
                    <w:sz w:val="20"/>
                    <w:lang w:val="en-GB" w:eastAsia="en-GB"/>
                  </w:rPr>
                  <w:t>neorganinių cheminių medžiagų (</w:t>
                </w:r>
                <w:r>
                  <w:rPr>
                    <w:rFonts w:eastAsia="Calibri"/>
                    <w:b/>
                    <w:sz w:val="20"/>
                    <w:lang w:val="en-GB" w:eastAsia="en-GB"/>
                  </w:rPr>
                  <w:t xml:space="preserve">įskaitant </w:t>
                </w:r>
                <w:r>
                  <w:rPr>
                    <w:b/>
                    <w:sz w:val="20"/>
                    <w:lang w:val="en-GB" w:eastAsia="en-GB"/>
                  </w:rPr>
                  <w:t>dujų, tokių kaip amoniakas, chloras arba chloro vandenilis, fluoras arba fluoro vandenilis, anglies oksidai, sieros turintys junginiai, azoto oksidai, vandenilis, sieros dioksidas, karbonilo chloridas (fosgenas), rūgščių, tokių kaip chromo rūgštis, fluoro vandenilio rūgštis, fosforo rūgštis, azoto rūgštis, druskos rūgštis, sieros rūgštis, oleumas, sulfitinės rūgštys; amonio hidroksido, kalio hidroksido ir natrio hidroksido; amonio chlorido, kalio chlorato, kalio karbonato, natrio karbonato, perborato, sidabro nitrato; nemetalų, metalų oksidų ar kitų neorganinių junginių, tokių kaip kalcio karbidas, silicis, silicio karbidas) gamyba pramoniniu mastu naudojant cheminės konversijos procesus;</w:t>
                </w:r>
              </w:p>
              <w:p>
                <w:pPr>
                  <w:jc w:val="both"/>
                  <w:rPr>
                    <w:b/>
                    <w:sz w:val="20"/>
                    <w:lang w:val="en-GB" w:eastAsia="en-GB"/>
                  </w:rPr>
                </w:pPr>
                <w:r>
                  <w:rPr>
                    <w:b/>
                    <w:color w:val="000000"/>
                    <w:sz w:val="20"/>
                    <w:lang w:val="en-GB" w:eastAsia="en-GB"/>
                  </w:rPr>
                  <w:t xml:space="preserve">6.3. </w:t>
                </w:r>
                <w:r>
                  <w:rPr>
                    <w:b/>
                    <w:sz w:val="20"/>
                    <w:lang w:val="en-GB" w:eastAsia="en-GB"/>
                  </w:rPr>
                  <w:t>fosforo, azoto ar kalio trąšų (įskaitant kompleksines trąšas) gamyba ir (ar) kitų agrocheminių medžiagų gamyba pramoniniu mastu naudojant cheminės konversijos procesus;</w:t>
                </w:r>
              </w:p>
              <w:p>
                <w:pPr>
                  <w:jc w:val="both"/>
                  <w:rPr>
                    <w:b/>
                    <w:sz w:val="20"/>
                    <w:lang w:val="en-GB" w:eastAsia="en-GB"/>
                  </w:rPr>
                </w:pPr>
                <w:r>
                  <w:rPr>
                    <w:b/>
                    <w:sz w:val="20"/>
                    <w:lang w:val="en-GB" w:eastAsia="en-GB"/>
                  </w:rPr>
                  <w:t xml:space="preserve">6.4. </w:t>
                </w:r>
                <w:r>
                  <w:rPr>
                    <w:b/>
                    <w:color w:val="000000"/>
                    <w:sz w:val="20"/>
                    <w:bdr w:val="none" w:sz="0" w:space="0" w:color="auto" w:frame="1"/>
                    <w:lang w:val="en-GB" w:eastAsia="en-GB"/>
                  </w:rPr>
                  <w:t>cheminių augalų apsaugos produktų ir</w:t>
                </w:r>
                <w:r>
                  <w:rPr>
                    <w:b/>
                    <w:sz w:val="20"/>
                    <w:lang w:val="en-GB" w:eastAsia="en-GB"/>
                  </w:rPr>
                  <w:t xml:space="preserve"> biocidų gamyba pramoniniu mastu naudojant cheminės konversijos procesus;</w:t>
                </w:r>
              </w:p>
              <w:p>
                <w:pPr>
                  <w:jc w:val="both"/>
                  <w:rPr>
                    <w:b/>
                    <w:sz w:val="20"/>
                    <w:lang w:val="pl-PL" w:eastAsia="en-GB"/>
                  </w:rPr>
                </w:pPr>
                <w:r>
                  <w:rPr>
                    <w:b/>
                    <w:color w:val="000000"/>
                    <w:sz w:val="20"/>
                    <w:lang w:val="pl-PL" w:eastAsia="en-GB"/>
                  </w:rPr>
                  <w:t xml:space="preserve">6.5. </w:t>
                </w:r>
                <w:r>
                  <w:rPr>
                    <w:b/>
                    <w:sz w:val="20"/>
                    <w:lang w:val="pl-PL" w:eastAsia="en-GB"/>
                  </w:rPr>
                  <w:t>farmacinių produktų gamyba pramoniniu mastu taikant cheminius ar biologinius procesus;</w:t>
                </w:r>
              </w:p>
              <w:p>
                <w:pPr>
                  <w:jc w:val="both"/>
                  <w:rPr>
                    <w:rFonts w:eastAsia="Calibri"/>
                    <w:b/>
                    <w:color w:val="000000"/>
                    <w:sz w:val="20"/>
                    <w:lang w:val="pl-PL" w:eastAsia="en-GB"/>
                  </w:rPr>
                </w:pPr>
                <w:r>
                  <w:rPr>
                    <w:rFonts w:eastAsia="Calibri"/>
                    <w:b/>
                    <w:color w:val="000000"/>
                    <w:sz w:val="20"/>
                    <w:lang w:val="pl-PL" w:eastAsia="en-GB"/>
                  </w:rPr>
                  <w:t xml:space="preserve">6.6. naftos, naftos chemijos produktų, cheminių medžiagų ir cheminių mišinių saugojimas saugyklose (kai vienu metu saugoma </w:t>
                </w:r>
                <w:r>
                  <w:rPr>
                    <w:rFonts w:eastAsia="Calibri"/>
                    <w:b/>
                    <w:sz w:val="20"/>
                    <w:lang w:val="pl-PL" w:eastAsia="en-GB"/>
                  </w:rPr>
                  <w:t>2</w:t>
                </w:r>
                <w:r>
                  <w:rPr>
                    <w:rFonts w:eastAsia="Calibri"/>
                    <w:b/>
                    <w:color w:val="000000"/>
                    <w:sz w:val="20"/>
                    <w:lang w:val="pl-PL" w:eastAsia="en-GB"/>
                  </w:rPr>
                  <w:t>00 000 ir daugiau tonų);</w:t>
                </w:r>
              </w:p>
              <w:p>
                <w:pPr>
                  <w:jc w:val="both"/>
                  <w:rPr>
                    <w:b/>
                    <w:color w:val="000000"/>
                    <w:sz w:val="20"/>
                    <w:lang w:val="pl-PL" w:eastAsia="en-GB"/>
                  </w:rPr>
                </w:pPr>
                <w:r>
                  <w:rPr>
                    <w:b/>
                    <w:color w:val="000000"/>
                    <w:sz w:val="20"/>
                    <w:lang w:val="pl-PL" w:eastAsia="en-GB"/>
                  </w:rPr>
                  <w:t>6.7. sprogmenų gamyba.</w:t>
                </w:r>
              </w:p>
              <w:p>
                <w:pPr>
                  <w:jc w:val="both"/>
                  <w:rPr>
                    <w:b/>
                    <w:color w:val="000000"/>
                    <w:sz w:val="20"/>
                    <w:lang w:val="pl-PL" w:eastAsia="en-GB"/>
                  </w:rPr>
                </w:pPr>
                <w:r>
                  <w:rPr>
                    <w:b/>
                    <w:color w:val="000000"/>
                    <w:sz w:val="20"/>
                    <w:lang w:val="pl-PL" w:eastAsia="en-GB"/>
                  </w:rPr>
                  <w:t>7. Medienos ir popieriaus pramonė:</w:t>
                </w:r>
              </w:p>
              <w:p>
                <w:pPr>
                  <w:suppressAutoHyphens/>
                  <w:jc w:val="both"/>
                  <w:rPr>
                    <w:b/>
                    <w:sz w:val="20"/>
                    <w:lang w:val="pl-PL" w:eastAsia="en-GB"/>
                  </w:rPr>
                </w:pPr>
                <w:r>
                  <w:rPr>
                    <w:b/>
                    <w:sz w:val="20"/>
                    <w:lang w:val="pl-PL" w:eastAsia="en-GB"/>
                  </w:rPr>
                  <w:t>7.1. popieriaus ar kartono gamyba (kai gamybos pajėgumas – 200 ir daugiau tonų per parą);</w:t>
                </w:r>
              </w:p>
              <w:p>
                <w:pPr>
                  <w:suppressAutoHyphens/>
                  <w:jc w:val="both"/>
                  <w:rPr>
                    <w:b/>
                    <w:color w:val="000000"/>
                    <w:sz w:val="20"/>
                    <w:lang w:val="pl-PL" w:eastAsia="en-GB"/>
                  </w:rPr>
                </w:pPr>
                <w:r>
                  <w:rPr>
                    <w:rFonts w:eastAsia="Calibri"/>
                    <w:b/>
                    <w:sz w:val="20"/>
                    <w:lang w:val="pl-PL" w:eastAsia="en-GB"/>
                  </w:rPr>
                  <w:t>7.2. medienos masės iš rąstų ar panašios plaušinės žaliavos gamyba.</w:t>
                </w:r>
              </w:p>
              <w:p>
                <w:pPr>
                  <w:jc w:val="both"/>
                  <w:rPr>
                    <w:b/>
                    <w:sz w:val="20"/>
                    <w:lang w:val="pl-PL" w:eastAsia="en-GB"/>
                  </w:rPr>
                </w:pPr>
                <w:r>
                  <w:rPr>
                    <w:b/>
                    <w:sz w:val="20"/>
                    <w:lang w:val="pl-PL" w:eastAsia="en-GB"/>
                  </w:rPr>
                  <w:t>8. Inžineriniai statiniai:</w:t>
                </w:r>
              </w:p>
              <w:p>
                <w:pPr>
                  <w:jc w:val="both"/>
                  <w:rPr>
                    <w:b/>
                    <w:color w:val="000000"/>
                    <w:sz w:val="20"/>
                    <w:lang w:val="pl-PL" w:eastAsia="en-GB"/>
                  </w:rPr>
                </w:pPr>
                <w:r>
                  <w:rPr>
                    <w:rFonts w:eastAsia="Calibri"/>
                    <w:b/>
                    <w:color w:val="000000"/>
                    <w:sz w:val="20"/>
                    <w:lang w:val="pl-PL" w:eastAsia="en-GB"/>
                  </w:rPr>
                  <w:t xml:space="preserve">8.1. jūrų uostų (įskaitant pakrovimo ir iškrovimo terminalus) ar prieplaukų, įskaitant pakrovimo ir (ar) iškrovimo terminalų įrengimą, įrengimas laivams, kurių keliamoji galia </w:t>
                </w:r>
                <w:r>
                  <w:rPr>
                    <w:rFonts w:eastAsia="Calibri"/>
                    <w:b/>
                    <w:sz w:val="20"/>
                    <w:lang w:val="pl-PL" w:eastAsia="en-GB"/>
                  </w:rPr>
                  <w:t xml:space="preserve">– </w:t>
                </w:r>
                <w:r>
                  <w:rPr>
                    <w:rFonts w:eastAsia="Calibri"/>
                    <w:b/>
                    <w:color w:val="000000"/>
                    <w:sz w:val="20"/>
                    <w:lang w:val="pl-PL" w:eastAsia="en-GB"/>
                  </w:rPr>
                  <w:t>1 350 ir daugiau tonų, išskyrus keltų prieplaukas;</w:t>
                </w:r>
              </w:p>
              <w:p>
                <w:pPr>
                  <w:jc w:val="both"/>
                  <w:rPr>
                    <w:b/>
                    <w:color w:val="000000"/>
                    <w:sz w:val="20"/>
                    <w:lang w:val="pl-PL" w:eastAsia="en-GB"/>
                  </w:rPr>
                </w:pPr>
                <w:r>
                  <w:rPr>
                    <w:b/>
                    <w:color w:val="000000"/>
                    <w:sz w:val="20"/>
                    <w:lang w:val="pl-PL" w:eastAsia="en-GB"/>
                  </w:rPr>
                  <w:t xml:space="preserve">8.2. vidaus vandenų kelių, uostų (įskaitant pakrovimo ar iškrovimo terminalus) įrengimas (laivams, kurių keliamoji galia </w:t>
                </w:r>
                <w:r>
                  <w:rPr>
                    <w:b/>
                    <w:sz w:val="20"/>
                    <w:lang w:val="pl-PL" w:eastAsia="en-GB"/>
                  </w:rPr>
                  <w:t xml:space="preserve">– </w:t>
                </w:r>
                <w:r>
                  <w:rPr>
                    <w:b/>
                    <w:color w:val="000000"/>
                    <w:sz w:val="20"/>
                    <w:lang w:val="pl-PL" w:eastAsia="en-GB"/>
                  </w:rPr>
                  <w:t>1 350 ir daugiau tonų);</w:t>
                </w:r>
              </w:p>
              <w:p>
                <w:pPr>
                  <w:jc w:val="both"/>
                  <w:rPr>
                    <w:b/>
                    <w:color w:val="000000"/>
                    <w:sz w:val="20"/>
                    <w:lang w:val="en-GB" w:eastAsia="en-GB"/>
                  </w:rPr>
                </w:pPr>
                <w:r>
                  <w:rPr>
                    <w:b/>
                    <w:color w:val="000000"/>
                    <w:sz w:val="20"/>
                    <w:lang w:val="en-GB" w:eastAsia="en-GB"/>
                  </w:rPr>
                  <w:t>8.3. magistralinių ar krašto automobilių kelių tiesimas;</w:t>
                </w:r>
              </w:p>
              <w:p>
                <w:pPr>
                  <w:jc w:val="both"/>
                  <w:rPr>
                    <w:b/>
                    <w:color w:val="000000"/>
                    <w:sz w:val="20"/>
                    <w:lang w:val="en-GB" w:eastAsia="en-GB"/>
                  </w:rPr>
                </w:pPr>
                <w:r>
                  <w:rPr>
                    <w:b/>
                    <w:color w:val="000000"/>
                    <w:sz w:val="20"/>
                    <w:lang w:val="en-GB" w:eastAsia="en-GB"/>
                  </w:rPr>
                  <w:t xml:space="preserve">8.4. kelių, turinčių keturias ir daugiau eismo juostų, tiesimas ar kelių, turinčių mažiau negu keturias eismo juostas, rekonstravimas įrengiant keturias ar daugiau eismo juostų </w:t>
                </w:r>
                <w:r>
                  <w:rPr>
                    <w:b/>
                    <w:color w:val="000000"/>
                    <w:sz w:val="20"/>
                    <w:bdr w:val="none" w:sz="0" w:space="0" w:color="auto" w:frame="1"/>
                    <w:lang w:val="en-GB" w:eastAsia="en-GB"/>
                  </w:rPr>
                  <w:t>turintį kelią</w:t>
                </w:r>
                <w:r>
                  <w:rPr>
                    <w:b/>
                    <w:color w:val="000000"/>
                    <w:sz w:val="20"/>
                    <w:lang w:val="en-GB" w:eastAsia="en-GB"/>
                  </w:rPr>
                  <w:t xml:space="preserve"> (kai tiesiamas ar rekonstruojamas 10 km ar ilgesnis nenutrūkstamas kelio ruožas);</w:t>
                </w:r>
              </w:p>
              <w:p>
                <w:pPr>
                  <w:jc w:val="both"/>
                  <w:rPr>
                    <w:b/>
                    <w:color w:val="000000"/>
                    <w:sz w:val="20"/>
                    <w:lang w:val="en-GB" w:eastAsia="en-GB"/>
                  </w:rPr>
                </w:pPr>
                <w:r>
                  <w:rPr>
                    <w:b/>
                    <w:color w:val="000000"/>
                    <w:sz w:val="20"/>
                    <w:lang w:val="en-GB" w:eastAsia="en-GB"/>
                  </w:rPr>
                  <w:t>8.5. pagrindinių viešojo naudojimo geležinkelių tiesimas;</w:t>
                </w:r>
              </w:p>
              <w:p>
                <w:pPr>
                  <w:jc w:val="both"/>
                  <w:rPr>
                    <w:b/>
                    <w:color w:val="000000"/>
                    <w:sz w:val="20"/>
                    <w:lang w:val="en-GB" w:eastAsia="en-GB"/>
                  </w:rPr>
                </w:pPr>
                <w:r>
                  <w:rPr>
                    <w:b/>
                    <w:color w:val="000000"/>
                    <w:sz w:val="20"/>
                    <w:lang w:val="en-GB" w:eastAsia="en-GB"/>
                  </w:rPr>
                  <w:t xml:space="preserve">8.6. oro uostų ar aerodromų įrengimas (kai kilimo ir tūpimo takas </w:t>
                </w:r>
                <w:r>
                  <w:rPr>
                    <w:b/>
                    <w:sz w:val="20"/>
                    <w:lang w:val="en-GB" w:eastAsia="en-GB"/>
                  </w:rPr>
                  <w:t xml:space="preserve">– </w:t>
                </w:r>
                <w:r>
                  <w:rPr>
                    <w:b/>
                    <w:color w:val="000000"/>
                    <w:sz w:val="20"/>
                    <w:lang w:val="en-GB" w:eastAsia="en-GB"/>
                  </w:rPr>
                  <w:t>2 100 m arba ilgesnis);</w:t>
                </w:r>
              </w:p>
              <w:p>
                <w:pPr>
                  <w:jc w:val="both"/>
                  <w:rPr>
                    <w:b/>
                    <w:color w:val="000000"/>
                    <w:sz w:val="20"/>
                    <w:lang w:val="en-GB" w:eastAsia="en-GB"/>
                  </w:rPr>
                </w:pPr>
                <w:r>
                  <w:rPr>
                    <w:b/>
                    <w:color w:val="000000"/>
                    <w:sz w:val="20"/>
                    <w:lang w:val="en-GB" w:eastAsia="en-GB"/>
                  </w:rPr>
                  <w:t xml:space="preserve">8.7. dujų, naftos ar cheminių medžiagų tiekimo vamzdynų tiesimas (kai vamzdžio skersmuo </w:t>
                </w:r>
                <w:r>
                  <w:rPr>
                    <w:b/>
                    <w:sz w:val="20"/>
                    <w:lang w:val="en-GB" w:eastAsia="en-GB"/>
                  </w:rPr>
                  <w:t>– 8</w:t>
                </w:r>
                <w:r>
                  <w:rPr>
                    <w:b/>
                    <w:color w:val="000000"/>
                    <w:sz w:val="20"/>
                    <w:lang w:val="en-GB" w:eastAsia="en-GB"/>
                  </w:rPr>
                  <w:t xml:space="preserve">00 ir daugiau mm, o ilgis </w:t>
                </w:r>
                <w:r>
                  <w:rPr>
                    <w:b/>
                    <w:sz w:val="20"/>
                    <w:lang w:val="en-GB" w:eastAsia="en-GB"/>
                  </w:rPr>
                  <w:t xml:space="preserve">– </w:t>
                </w:r>
                <w:r>
                  <w:rPr>
                    <w:b/>
                    <w:color w:val="000000"/>
                    <w:sz w:val="20"/>
                    <w:lang w:val="en-GB" w:eastAsia="en-GB"/>
                  </w:rPr>
                  <w:t>40 ir daugiau km);</w:t>
                </w:r>
              </w:p>
              <w:p>
                <w:pPr>
                  <w:jc w:val="both"/>
                  <w:rPr>
                    <w:b/>
                    <w:color w:val="000000"/>
                    <w:sz w:val="20"/>
                    <w:lang w:val="en-GB" w:eastAsia="en-GB"/>
                  </w:rPr>
                </w:pPr>
                <w:r>
                  <w:rPr>
                    <w:b/>
                    <w:color w:val="000000"/>
                    <w:sz w:val="20"/>
                    <w:lang w:val="en-GB" w:eastAsia="en-GB"/>
                  </w:rPr>
                  <w:t xml:space="preserve">8.8. antžeminių elektros perdavimo linijų tiesimas (kai įtampa </w:t>
                </w:r>
                <w:r>
                  <w:rPr>
                    <w:b/>
                    <w:sz w:val="20"/>
                    <w:lang w:val="en-GB" w:eastAsia="en-GB"/>
                  </w:rPr>
                  <w:t>– 22</w:t>
                </w:r>
                <w:r>
                  <w:rPr>
                    <w:b/>
                    <w:color w:val="000000"/>
                    <w:sz w:val="20"/>
                    <w:lang w:val="en-GB" w:eastAsia="en-GB"/>
                  </w:rPr>
                  <w:t xml:space="preserve">0 kV ar aukštesnė, o linijos ilgis </w:t>
                </w:r>
                <w:r>
                  <w:rPr>
                    <w:b/>
                    <w:sz w:val="20"/>
                    <w:lang w:val="en-GB" w:eastAsia="en-GB"/>
                  </w:rPr>
                  <w:t xml:space="preserve">– </w:t>
                </w:r>
                <w:r>
                  <w:rPr>
                    <w:b/>
                    <w:color w:val="000000"/>
                    <w:sz w:val="20"/>
                    <w:lang w:val="en-GB" w:eastAsia="en-GB"/>
                  </w:rPr>
                  <w:t>15 ir daugiau km);</w:t>
                </w:r>
              </w:p>
              <w:p>
                <w:pPr>
                  <w:jc w:val="both"/>
                  <w:rPr>
                    <w:b/>
                    <w:sz w:val="20"/>
                    <w:lang w:val="en-GB" w:eastAsia="en-GB"/>
                  </w:rPr>
                </w:pPr>
                <w:r>
                  <w:rPr>
                    <w:b/>
                    <w:sz w:val="20"/>
                    <w:lang w:val="en-GB" w:eastAsia="en-GB"/>
                  </w:rPr>
                  <w:t>8.9. geologiniam saugojimui skirto anglies dioksido (CO</w:t>
                </w:r>
                <w:r>
                  <w:rPr>
                    <w:b/>
                    <w:sz w:val="20"/>
                    <w:vertAlign w:val="subscript"/>
                    <w:lang w:val="en-GB" w:eastAsia="en-GB"/>
                  </w:rPr>
                  <w:t>2</w:t>
                </w:r>
                <w:r>
                  <w:rPr>
                    <w:b/>
                    <w:sz w:val="20"/>
                    <w:lang w:val="en-GB" w:eastAsia="en-GB"/>
                  </w:rPr>
                  <w:t>) tiekimo vamzdynų tiesimas (kai vamzdžio skersmuo – 8</w:t>
                </w:r>
                <w:r>
                  <w:rPr>
                    <w:b/>
                    <w:color w:val="000000"/>
                    <w:sz w:val="20"/>
                    <w:lang w:val="en-GB" w:eastAsia="en-GB"/>
                  </w:rPr>
                  <w:t>00 ir daugiau mm</w:t>
                </w:r>
                <w:r>
                  <w:rPr>
                    <w:b/>
                    <w:sz w:val="20"/>
                    <w:lang w:val="en-GB" w:eastAsia="en-GB"/>
                  </w:rPr>
                  <w:t xml:space="preserve">, o ilgis – </w:t>
                </w:r>
                <w:r>
                  <w:rPr>
                    <w:b/>
                    <w:color w:val="000000"/>
                    <w:sz w:val="20"/>
                    <w:lang w:val="en-GB" w:eastAsia="en-GB"/>
                  </w:rPr>
                  <w:t xml:space="preserve">40 ir daugiau </w:t>
                </w:r>
                <w:r>
                  <w:rPr>
                    <w:b/>
                    <w:sz w:val="20"/>
                    <w:lang w:val="en-GB" w:eastAsia="en-GB"/>
                  </w:rPr>
                  <w:t>km), įskaitant funkciškai susijusių slėginių įrenginių įrengimą.</w:t>
                </w:r>
              </w:p>
              <w:p>
                <w:pPr>
                  <w:jc w:val="both"/>
                  <w:rPr>
                    <w:b/>
                    <w:color w:val="000000"/>
                    <w:sz w:val="20"/>
                    <w:lang w:val="en-GB" w:eastAsia="en-GB"/>
                  </w:rPr>
                </w:pPr>
                <w:r>
                  <w:rPr>
                    <w:b/>
                    <w:sz w:val="20"/>
                    <w:lang w:val="en-GB" w:eastAsia="en-GB"/>
                  </w:rPr>
                  <w:t>9. Atliekų tvarkymas</w:t>
                </w:r>
                <w:r>
                  <w:rPr>
                    <w:b/>
                    <w:color w:val="000000"/>
                    <w:sz w:val="20"/>
                    <w:lang w:val="en-GB" w:eastAsia="en-GB"/>
                  </w:rPr>
                  <w:t>:</w:t>
                </w:r>
              </w:p>
              <w:p>
                <w:pPr>
                  <w:jc w:val="both"/>
                  <w:rPr>
                    <w:rFonts w:eastAsia="Calibri"/>
                    <w:b/>
                    <w:color w:val="000000"/>
                    <w:sz w:val="20"/>
                    <w:lang w:val="en-GB" w:eastAsia="en-GB"/>
                  </w:rPr>
                </w:pPr>
                <w:r>
                  <w:rPr>
                    <w:rFonts w:eastAsia="Calibri"/>
                    <w:b/>
                    <w:color w:val="000000"/>
                    <w:sz w:val="20"/>
                    <w:lang w:val="en-GB" w:eastAsia="en-GB"/>
                  </w:rPr>
                  <w:t>9.1. pavojingųjų atliekų šalinimas ar naudojimas jas apdorojant terminiais būdais, tokiais kaip deginimas, pirolizė, dujofikavimas, degazacija, plazminis procesas, ar derinant kuriuos nors būdus;</w:t>
                </w:r>
              </w:p>
              <w:p>
                <w:pPr>
                  <w:jc w:val="both"/>
                  <w:rPr>
                    <w:rFonts w:eastAsia="Calibri"/>
                    <w:b/>
                    <w:sz w:val="20"/>
                    <w:lang w:val="en-GB" w:eastAsia="en-GB"/>
                  </w:rPr>
                </w:pPr>
                <w:r>
                  <w:rPr>
                    <w:rFonts w:eastAsia="Calibri"/>
                    <w:b/>
                    <w:sz w:val="20"/>
                    <w:lang w:val="en-GB" w:eastAsia="en-GB"/>
                  </w:rPr>
                  <w:t>9.2. pavojingųjų atliekų šalinimas ar naudojimas jas apdorojant cheminiu būdu;</w:t>
                </w:r>
              </w:p>
              <w:p>
                <w:pPr>
                  <w:jc w:val="both"/>
                  <w:rPr>
                    <w:b/>
                    <w:sz w:val="20"/>
                    <w:lang w:val="en-GB" w:eastAsia="en-GB"/>
                  </w:rPr>
                </w:pPr>
                <w:r>
                  <w:rPr>
                    <w:b/>
                    <w:sz w:val="20"/>
                    <w:lang w:val="en-GB" w:eastAsia="en-GB"/>
                  </w:rPr>
                  <w:t>9.3. pavojingųjų atliekų šalinimas pavojingų atliekų sąvartyne;</w:t>
                </w:r>
              </w:p>
              <w:p>
                <w:pPr>
                  <w:jc w:val="both"/>
                  <w:rPr>
                    <w:rFonts w:eastAsia="Calibri"/>
                    <w:b/>
                    <w:color w:val="000000"/>
                    <w:sz w:val="20"/>
                    <w:lang w:val="en-GB" w:eastAsia="en-GB"/>
                  </w:rPr>
                </w:pPr>
                <w:r>
                  <w:rPr>
                    <w:rFonts w:eastAsia="Calibri"/>
                    <w:b/>
                    <w:color w:val="000000"/>
                    <w:sz w:val="20"/>
                    <w:lang w:val="en-GB" w:eastAsia="en-GB"/>
                  </w:rPr>
                  <w:t>9.4. nepavojingųjų atliekų šalinimas ar naudojimas jas apdorojant terminiais būdais, tokiais kaip deginimas, pirolizė, dujofikavimas, degazacija, plazminis procesas, ar derinant kuriuos nors būdus įrenginiuose, kurių pajėgumas 100 ir daugiau tonų per parą;</w:t>
                </w:r>
              </w:p>
              <w:p>
                <w:pPr>
                  <w:jc w:val="both"/>
                  <w:rPr>
                    <w:b/>
                    <w:sz w:val="20"/>
                    <w:lang w:val="en-GB" w:eastAsia="en-GB"/>
                  </w:rPr>
                </w:pPr>
                <w:r>
                  <w:rPr>
                    <w:rFonts w:eastAsia="Calibri"/>
                    <w:b/>
                    <w:sz w:val="20"/>
                    <w:lang w:val="en-GB" w:eastAsia="en-GB"/>
                  </w:rPr>
                  <w:t>9.5. nepavojingųjų atliekų naudojimas ar šalinimas jas apdorojant cheminiu būdu įrenginiuose, kurių pajėgumas 100 ir daugiau tonų per parą.</w:t>
                </w:r>
              </w:p>
              <w:p>
                <w:pPr>
                  <w:jc w:val="both"/>
                  <w:rPr>
                    <w:b/>
                    <w:color w:val="000000"/>
                    <w:sz w:val="20"/>
                    <w:lang w:val="en-GB" w:eastAsia="en-GB"/>
                  </w:rPr>
                </w:pPr>
                <w:r>
                  <w:rPr>
                    <w:b/>
                    <w:sz w:val="20"/>
                    <w:lang w:val="en-GB" w:eastAsia="en-GB"/>
                  </w:rPr>
                  <w:t xml:space="preserve">10. Kita </w:t>
                </w:r>
                <w:r>
                  <w:rPr>
                    <w:b/>
                    <w:color w:val="000000"/>
                    <w:sz w:val="20"/>
                    <w:lang w:val="en-GB" w:eastAsia="en-GB"/>
                  </w:rPr>
                  <w:t>planuojama ūkinė veikla:</w:t>
                </w:r>
              </w:p>
              <w:p>
                <w:pPr>
                  <w:jc w:val="both"/>
                  <w:rPr>
                    <w:b/>
                    <w:color w:val="000000"/>
                    <w:sz w:val="20"/>
                    <w:lang w:val="en-GB" w:eastAsia="lt-LT"/>
                  </w:rPr>
                </w:pPr>
                <w:r>
                  <w:rPr>
                    <w:b/>
                    <w:sz w:val="20"/>
                    <w:lang w:val="en-GB" w:eastAsia="en-GB"/>
                  </w:rPr>
                  <w:t>10</w:t>
                </w:r>
                <w:r>
                  <w:rPr>
                    <w:b/>
                    <w:color w:val="000000"/>
                    <w:sz w:val="20"/>
                    <w:lang w:val="en-GB" w:eastAsia="lt-LT"/>
                  </w:rPr>
                  <w:t xml:space="preserve">.1. požeminio vandens vandenviečių įrengimas (kai pajėgumas </w:t>
                </w:r>
                <w:r>
                  <w:rPr>
                    <w:b/>
                    <w:sz w:val="20"/>
                    <w:lang w:val="en-GB" w:eastAsia="lt-LT"/>
                  </w:rPr>
                  <w:t>– 1</w:t>
                </w:r>
                <w:r>
                  <w:rPr>
                    <w:b/>
                    <w:color w:val="000000"/>
                    <w:sz w:val="20"/>
                    <w:lang w:val="en-GB" w:eastAsia="lt-LT"/>
                  </w:rPr>
                  <w:t>0 milijonų ir daugiau m</w:t>
                </w:r>
                <w:r>
                  <w:rPr>
                    <w:b/>
                    <w:color w:val="000000"/>
                    <w:sz w:val="20"/>
                    <w:vertAlign w:val="superscript"/>
                    <w:lang w:val="en-GB" w:eastAsia="lt-LT"/>
                  </w:rPr>
                  <w:t>3</w:t>
                </w:r>
                <w:r>
                  <w:rPr>
                    <w:b/>
                    <w:color w:val="000000"/>
                    <w:sz w:val="20"/>
                    <w:lang w:val="en-GB" w:eastAsia="lt-LT"/>
                  </w:rPr>
                  <w:t xml:space="preserve"> per metus);</w:t>
                </w:r>
              </w:p>
              <w:p>
                <w:pPr>
                  <w:jc w:val="both"/>
                  <w:rPr>
                    <w:b/>
                    <w:color w:val="000000"/>
                    <w:sz w:val="20"/>
                    <w:lang w:val="en-GB" w:eastAsia="en-GB"/>
                  </w:rPr>
                </w:pPr>
                <w:r>
                  <w:rPr>
                    <w:b/>
                    <w:sz w:val="20"/>
                    <w:lang w:val="en-GB" w:eastAsia="en-GB"/>
                  </w:rPr>
                  <w:t>10</w:t>
                </w:r>
                <w:r>
                  <w:rPr>
                    <w:b/>
                    <w:color w:val="000000"/>
                    <w:sz w:val="20"/>
                    <w:lang w:val="en-GB" w:eastAsia="lt-LT"/>
                  </w:rPr>
                  <w:t>.2. požeminio vandens vandenviečių dirbtinis papildymas (kai per metus papildoma 10 milijonų ir daugiau m</w:t>
                </w:r>
                <w:r>
                  <w:rPr>
                    <w:b/>
                    <w:color w:val="000000"/>
                    <w:sz w:val="20"/>
                    <w:vertAlign w:val="superscript"/>
                    <w:lang w:val="en-GB" w:eastAsia="lt-LT"/>
                  </w:rPr>
                  <w:t>3</w:t>
                </w:r>
                <w:r>
                  <w:rPr>
                    <w:b/>
                    <w:color w:val="000000"/>
                    <w:sz w:val="20"/>
                    <w:lang w:val="en-GB" w:eastAsia="lt-LT"/>
                  </w:rPr>
                  <w:t xml:space="preserve"> vandens);</w:t>
                </w:r>
              </w:p>
              <w:p>
                <w:pPr>
                  <w:jc w:val="both"/>
                  <w:rPr>
                    <w:b/>
                    <w:color w:val="000000"/>
                    <w:sz w:val="20"/>
                    <w:lang w:val="en-GB" w:eastAsia="en-GB"/>
                  </w:rPr>
                </w:pPr>
                <w:r>
                  <w:rPr>
                    <w:b/>
                    <w:sz w:val="20"/>
                    <w:lang w:val="en-GB" w:eastAsia="en-GB"/>
                  </w:rPr>
                  <w:t>10</w:t>
                </w:r>
                <w:r>
                  <w:rPr>
                    <w:rFonts w:eastAsia="Calibri"/>
                    <w:b/>
                    <w:sz w:val="20"/>
                    <w:lang w:val="en-GB" w:eastAsia="en-GB"/>
                  </w:rPr>
                  <w:t>.3. vandens išteklių (išskyrus geriamąjį vandenį) perskirstymas upių baseinams, kai per metus perskirstoma 100 milijonų ir daugiau m</w:t>
                </w:r>
                <w:r>
                  <w:rPr>
                    <w:rFonts w:eastAsia="Calibri"/>
                    <w:b/>
                    <w:sz w:val="20"/>
                    <w:vertAlign w:val="superscript"/>
                    <w:lang w:val="en-GB" w:eastAsia="en-GB"/>
                  </w:rPr>
                  <w:t>3</w:t>
                </w:r>
                <w:r>
                  <w:rPr>
                    <w:rFonts w:eastAsia="Calibri"/>
                    <w:b/>
                    <w:sz w:val="20"/>
                    <w:lang w:val="en-GB" w:eastAsia="en-GB"/>
                  </w:rPr>
                  <w:t xml:space="preserve"> vandens ir (ar) kai daugiametis vidutinis baseino, iš kurio imamas vanduo, nuotėkis yra 2 000 milijonų ir daugiau m</w:t>
                </w:r>
                <w:r>
                  <w:rPr>
                    <w:rFonts w:eastAsia="Calibri"/>
                    <w:b/>
                    <w:sz w:val="20"/>
                    <w:vertAlign w:val="superscript"/>
                    <w:lang w:val="en-GB" w:eastAsia="en-GB"/>
                  </w:rPr>
                  <w:t>3</w:t>
                </w:r>
                <w:r>
                  <w:rPr>
                    <w:rFonts w:eastAsia="Calibri"/>
                    <w:b/>
                    <w:sz w:val="20"/>
                    <w:lang w:val="en-GB" w:eastAsia="en-GB"/>
                  </w:rPr>
                  <w:t xml:space="preserve"> vandens per metus ir perskirstoma 5 procentai ir daugiau šio nuotėkio;</w:t>
                </w:r>
              </w:p>
              <w:p>
                <w:pPr>
                  <w:jc w:val="both"/>
                  <w:rPr>
                    <w:b/>
                    <w:color w:val="000000"/>
                    <w:sz w:val="20"/>
                    <w:lang w:val="en-GB" w:eastAsia="en-GB"/>
                  </w:rPr>
                </w:pPr>
                <w:r>
                  <w:rPr>
                    <w:b/>
                    <w:sz w:val="20"/>
                    <w:lang w:val="en-GB" w:eastAsia="en-GB"/>
                  </w:rPr>
                  <w:t>10</w:t>
                </w:r>
                <w:r>
                  <w:rPr>
                    <w:rFonts w:eastAsia="Calibri"/>
                    <w:b/>
                    <w:color w:val="000000"/>
                    <w:sz w:val="20"/>
                    <w:lang w:val="en-GB" w:eastAsia="en-GB"/>
                  </w:rPr>
                  <w:t>.4. miestų, miestelių ar kaimų nuotekų valymo įrenginių įrengimas (kai įrenginiai gali išvalyti 150 000 ir daugiau gyventojų ekvivalentą atitinkantį teršalų kiekį);</w:t>
                </w:r>
              </w:p>
              <w:p>
                <w:pPr>
                  <w:jc w:val="both"/>
                  <w:rPr>
                    <w:b/>
                    <w:sz w:val="20"/>
                    <w:lang w:val="en-GB" w:eastAsia="en-GB"/>
                  </w:rPr>
                </w:pPr>
                <w:r>
                  <w:rPr>
                    <w:b/>
                    <w:sz w:val="20"/>
                    <w:lang w:val="en-GB" w:eastAsia="en-GB"/>
                  </w:rPr>
                  <w:t>10</w:t>
                </w:r>
                <w:r>
                  <w:rPr>
                    <w:b/>
                    <w:sz w:val="20"/>
                    <w:lang w:val="en-GB" w:eastAsia="lt-LT"/>
                  </w:rPr>
                  <w:t>.5. anglies dioksido (CO</w:t>
                </w:r>
                <w:r>
                  <w:rPr>
                    <w:b/>
                    <w:sz w:val="20"/>
                    <w:vertAlign w:val="subscript"/>
                    <w:lang w:val="en-GB" w:eastAsia="lt-LT"/>
                  </w:rPr>
                  <w:t>2</w:t>
                </w:r>
                <w:r>
                  <w:rPr>
                    <w:b/>
                    <w:sz w:val="20"/>
                    <w:lang w:val="en-GB" w:eastAsia="lt-LT"/>
                  </w:rPr>
                  <w:t>) saugojimas geologinėse saugyklose;</w:t>
                </w:r>
              </w:p>
              <w:p>
                <w:pPr>
                  <w:jc w:val="both"/>
                  <w:rPr>
                    <w:b/>
                    <w:color w:val="000000"/>
                    <w:sz w:val="20"/>
                    <w:lang w:val="en-GB" w:eastAsia="en-GB"/>
                  </w:rPr>
                </w:pPr>
                <w:r>
                  <w:rPr>
                    <w:b/>
                    <w:sz w:val="20"/>
                    <w:lang w:val="en-GB" w:eastAsia="en-GB"/>
                  </w:rPr>
                  <w:t>10</w:t>
                </w:r>
                <w:r>
                  <w:rPr>
                    <w:b/>
                    <w:color w:val="000000"/>
                    <w:sz w:val="20"/>
                    <w:lang w:val="en-GB" w:eastAsia="en-GB"/>
                  </w:rPr>
                  <w:t xml:space="preserve">.6. įrenginių, naudojamų anglies dioksido </w:t>
                </w:r>
                <w:r>
                  <w:rPr>
                    <w:b/>
                    <w:sz w:val="20"/>
                    <w:lang w:val="en-GB" w:eastAsia="lt-LT"/>
                  </w:rPr>
                  <w:t>(CO</w:t>
                </w:r>
                <w:r>
                  <w:rPr>
                    <w:b/>
                    <w:sz w:val="20"/>
                    <w:vertAlign w:val="subscript"/>
                    <w:lang w:val="en-GB" w:eastAsia="lt-LT"/>
                  </w:rPr>
                  <w:t>2</w:t>
                </w:r>
                <w:r>
                  <w:rPr>
                    <w:b/>
                    <w:sz w:val="20"/>
                    <w:lang w:val="en-GB" w:eastAsia="lt-LT"/>
                  </w:rPr>
                  <w:t>), kuris saugomas geologinėse saugyklose, surinkimui iš įrenginių, naudojamų šio priedo 10.5 papunktyje nurodytai veiklai vykdyti</w:t>
                </w:r>
                <w:r>
                  <w:rPr>
                    <w:b/>
                    <w:color w:val="000000"/>
                    <w:sz w:val="20"/>
                    <w:lang w:val="en-GB" w:eastAsia="en-GB"/>
                  </w:rPr>
                  <w:t xml:space="preserve">, įrengimas ar įrenginių, kurie per metus surenka </w:t>
                </w:r>
                <w:r>
                  <w:rPr>
                    <w:b/>
                    <w:sz w:val="20"/>
                    <w:lang w:val="en-GB" w:eastAsia="en-GB"/>
                  </w:rPr>
                  <w:t>1,5 milijono tonų arba daugiau anglies dioksido (CO</w:t>
                </w:r>
                <w:r>
                  <w:rPr>
                    <w:b/>
                    <w:sz w:val="20"/>
                    <w:vertAlign w:val="subscript"/>
                    <w:lang w:val="en-GB" w:eastAsia="en-GB"/>
                  </w:rPr>
                  <w:t>2</w:t>
                </w:r>
                <w:r>
                  <w:rPr>
                    <w:b/>
                    <w:sz w:val="20"/>
                    <w:lang w:val="en-GB" w:eastAsia="en-GB"/>
                  </w:rPr>
                  <w:t>), įrengimas.</w:t>
                </w:r>
              </w:p>
              <w:p>
                <w:pPr>
                  <w:jc w:val="both"/>
                  <w:rPr>
                    <w:b/>
                    <w:color w:val="000000"/>
                    <w:sz w:val="20"/>
                    <w:lang w:val="en-GB" w:eastAsia="en-GB"/>
                  </w:rPr>
                </w:pPr>
                <w:r>
                  <w:rPr>
                    <w:b/>
                    <w:color w:val="000000"/>
                    <w:sz w:val="20"/>
                    <w:lang w:val="en-GB" w:eastAsia="en-GB"/>
                  </w:rPr>
                  <w:t>11. Į šiame priede ar šio įstatymo 2 priede pateiktą rūšių sąrašą įrašytos planuojamos ūkinės veiklos pakeitimas ar išplėtimas, kai toks pakeitimas ar išplėtimas atitinka šiame priede nustatytus ribinius dydžius, jeigu jie nustatyti. Nustatant šiame punkte nurodyto veiklos pakeitimo ar išplėtimo mastą, sumuojami per paskutinius penkerius kalendorinius metus atlikti veiklos pakeitimai ar išplėtimai.</w:t>
                </w:r>
              </w:p>
              <w:p>
                <w:pPr>
                  <w:jc w:val="both"/>
                  <w:rPr>
                    <w:b/>
                    <w:sz w:val="20"/>
                    <w:lang w:val="en-GB" w:eastAsia="lt-LT"/>
                  </w:rPr>
                </w:pPr>
                <w:r>
                  <w:rPr>
                    <w:b/>
                    <w:color w:val="000000"/>
                    <w:sz w:val="20"/>
                    <w:lang w:val="en-GB" w:eastAsia="en-GB"/>
                  </w:rPr>
                  <w:t>Pastaba. Jeigu planuojama auginti skirtingų šio priedo 1.1–1.3 papunkčiuose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r>
                  <w:rPr>
                    <w:b/>
                    <w:sz w:val="20"/>
                    <w:lang w:val="en-GB" w:eastAsia="en-GB"/>
                  </w:rPr>
                  <w:t>”</w:t>
                </w:r>
              </w:p>
              <w:p>
                <w:pPr>
                  <w:jc w:val="both"/>
                  <w:rPr>
                    <w:b/>
                    <w:sz w:val="20"/>
                    <w:lang w:val="en-GB" w:eastAsia="lt-LT"/>
                  </w:rPr>
                </w:pPr>
              </w:p>
            </w:tc>
            <w:tc>
              <w:tcPr>
                <w:tcW w:w="1421" w:type="dxa"/>
              </w:tcPr>
              <w:p>
                <w:pPr>
                  <w:ind w:firstLine="312"/>
                  <w:jc w:val="center"/>
                  <w:rPr>
                    <w:b/>
                    <w:sz w:val="20"/>
                  </w:rPr>
                </w:pPr>
                <w:r>
                  <w:rPr>
                    <w:b/>
                    <w:sz w:val="20"/>
                  </w:rPr>
                  <w:t>Visiškas.</w:t>
                </w:r>
              </w:p>
            </w:tc>
          </w:tr>
          <w:tr>
            <w:tc>
              <w:tcPr>
                <w:tcW w:w="3652" w:type="dxa"/>
              </w:tcPr>
              <w:p>
                <w:pPr>
                  <w:rPr>
                    <w:b/>
                    <w:bCs/>
                    <w:color w:val="000000"/>
                    <w:sz w:val="20"/>
                    <w:lang w:eastAsia="lt-LT"/>
                  </w:rPr>
                </w:pPr>
                <w:r>
                  <w:rPr>
                    <w:b/>
                    <w:bCs/>
                    <w:color w:val="000000"/>
                    <w:sz w:val="20"/>
                    <w:lang w:eastAsia="lt-LT"/>
                  </w:rPr>
                  <w:t>B</w:t>
                </w:r>
              </w:p>
              <w:p>
                <w:pPr>
                  <w:rPr>
                    <w:color w:val="000000"/>
                    <w:sz w:val="20"/>
                    <w:lang w:eastAsia="lt-LT"/>
                  </w:rPr>
                </w:pPr>
                <w:r>
                  <w:rPr>
                    <w:b/>
                    <w:bCs/>
                    <w:color w:val="000000"/>
                    <w:sz w:val="20"/>
                    <w:lang w:eastAsia="lt-LT"/>
                  </w:rPr>
                  <w:t xml:space="preserve">4 STRAIPSNIO 2 DALYJE NURODYTI PROJEKTAI </w:t>
                </w:r>
              </w:p>
              <w:p>
                <w:pPr>
                  <w:rPr>
                    <w:color w:val="000000"/>
                    <w:sz w:val="20"/>
                    <w:lang w:eastAsia="lt-LT"/>
                  </w:rPr>
                </w:pPr>
                <w:r>
                  <w:rPr>
                    <w:color w:val="000000"/>
                    <w:sz w:val="20"/>
                    <w:lang w:eastAsia="lt-LT"/>
                  </w:rPr>
                  <w:t xml:space="preserve">1. MIŠKININKYSTĖ, ŽEMĖS IR VANDENS ŪKIS: </w:t>
                </w:r>
              </w:p>
              <w:p>
                <w:pPr>
                  <w:rPr>
                    <w:color w:val="000000"/>
                    <w:sz w:val="20"/>
                    <w:lang w:eastAsia="lt-LT"/>
                  </w:rPr>
                </w:pPr>
                <w:r>
                  <w:rPr>
                    <w:color w:val="000000"/>
                    <w:sz w:val="20"/>
                    <w:lang w:eastAsia="lt-LT"/>
                  </w:rPr>
                  <w:t xml:space="preserve">a) kaimo valdų pertvarkymo projektai; </w:t>
                </w:r>
              </w:p>
              <w:p>
                <w:pPr>
                  <w:rPr>
                    <w:color w:val="000000"/>
                    <w:sz w:val="20"/>
                    <w:lang w:eastAsia="lt-LT"/>
                  </w:rPr>
                </w:pPr>
                <w:r>
                  <w:rPr>
                    <w:color w:val="000000"/>
                    <w:sz w:val="20"/>
                    <w:lang w:eastAsia="lt-LT"/>
                  </w:rPr>
                  <w:t xml:space="preserve">b) nedirbamų ar pusiau natūralių žemės plotų naudojimas intensyviai žemdirbystei; </w:t>
                </w:r>
              </w:p>
              <w:p>
                <w:pPr>
                  <w:rPr>
                    <w:color w:val="000000"/>
                    <w:sz w:val="20"/>
                    <w:lang w:eastAsia="lt-LT"/>
                  </w:rPr>
                </w:pPr>
                <w:r>
                  <w:rPr>
                    <w:color w:val="000000"/>
                    <w:sz w:val="20"/>
                    <w:lang w:eastAsia="lt-LT"/>
                  </w:rPr>
                  <w:t xml:space="preserve">c) vandens išteklių naudojimo žemės ūkyje projektai, įskaitant drėkinimą ir melioraciją; </w:t>
                </w:r>
              </w:p>
              <w:p>
                <w:pPr>
                  <w:rPr>
                    <w:color w:val="000000"/>
                    <w:sz w:val="20"/>
                    <w:lang w:eastAsia="lt-LT"/>
                  </w:rPr>
                </w:pPr>
                <w:r>
                  <w:rPr>
                    <w:color w:val="000000"/>
                    <w:sz w:val="20"/>
                    <w:lang w:eastAsia="lt-LT"/>
                  </w:rPr>
                  <w:t xml:space="preserve">d) pirminis apželdinimas mišku ir miško kirtimas siekiant pakeisti žemėnaudos rūšį; </w:t>
                </w:r>
              </w:p>
              <w:p>
                <w:pPr>
                  <w:rPr>
                    <w:color w:val="000000"/>
                    <w:sz w:val="20"/>
                    <w:lang w:eastAsia="lt-LT"/>
                  </w:rPr>
                </w:pPr>
                <w:r>
                  <w:rPr>
                    <w:color w:val="000000"/>
                    <w:sz w:val="20"/>
                    <w:lang w:eastAsia="lt-LT"/>
                  </w:rPr>
                  <w:t xml:space="preserve">e) statiniai intensyviam naminių gyvulių auginimui (jei neįtraukti į I priedą); </w:t>
                </w:r>
              </w:p>
              <w:p>
                <w:pPr>
                  <w:rPr>
                    <w:color w:val="000000"/>
                    <w:sz w:val="20"/>
                    <w:lang w:eastAsia="lt-LT"/>
                  </w:rPr>
                </w:pPr>
                <w:r>
                  <w:rPr>
                    <w:color w:val="000000"/>
                    <w:sz w:val="20"/>
                    <w:lang w:eastAsia="lt-LT"/>
                  </w:rPr>
                  <w:t xml:space="preserve">f) žuvų veisimas; </w:t>
                </w:r>
              </w:p>
              <w:p>
                <w:pPr>
                  <w:rPr>
                    <w:color w:val="000000"/>
                    <w:sz w:val="20"/>
                    <w:lang w:eastAsia="lt-LT"/>
                  </w:rPr>
                </w:pPr>
                <w:r>
                  <w:rPr>
                    <w:color w:val="000000"/>
                    <w:sz w:val="20"/>
                    <w:lang w:eastAsia="lt-LT"/>
                  </w:rPr>
                  <w:t xml:space="preserve">g) žemės atgavimas iš jūros. </w:t>
                </w:r>
              </w:p>
              <w:p>
                <w:pPr>
                  <w:rPr>
                    <w:color w:val="000000"/>
                    <w:sz w:val="20"/>
                    <w:lang w:eastAsia="lt-LT"/>
                  </w:rPr>
                </w:pPr>
                <w:r>
                  <w:rPr>
                    <w:color w:val="000000"/>
                    <w:sz w:val="20"/>
                    <w:lang w:eastAsia="lt-LT"/>
                  </w:rPr>
                  <w:t xml:space="preserve">2. GAVYBOS PRAMONĖ: </w:t>
                </w:r>
              </w:p>
              <w:p>
                <w:pPr>
                  <w:rPr>
                    <w:color w:val="000000"/>
                    <w:sz w:val="20"/>
                    <w:lang w:eastAsia="lt-LT"/>
                  </w:rPr>
                </w:pPr>
                <w:r>
                  <w:rPr>
                    <w:color w:val="000000"/>
                    <w:sz w:val="20"/>
                    <w:lang w:eastAsia="lt-LT"/>
                  </w:rPr>
                  <w:t xml:space="preserve">a) akmens skaldyklos, atviros kasyklos ir durpių gavyba (jei projektai neįtraukti į I priedą); </w:t>
                </w:r>
              </w:p>
              <w:p>
                <w:pPr>
                  <w:rPr>
                    <w:color w:val="000000"/>
                    <w:sz w:val="20"/>
                    <w:lang w:eastAsia="lt-LT"/>
                  </w:rPr>
                </w:pPr>
                <w:r>
                  <w:rPr>
                    <w:color w:val="000000"/>
                    <w:sz w:val="20"/>
                    <w:lang w:eastAsia="lt-LT"/>
                  </w:rPr>
                  <w:t xml:space="preserve">b) požeminės kasyklos; </w:t>
                </w:r>
              </w:p>
              <w:p>
                <w:pPr>
                  <w:rPr>
                    <w:color w:val="000000"/>
                    <w:sz w:val="20"/>
                    <w:lang w:eastAsia="lt-LT"/>
                  </w:rPr>
                </w:pPr>
                <w:r>
                  <w:rPr>
                    <w:color w:val="000000"/>
                    <w:sz w:val="20"/>
                    <w:lang w:eastAsia="lt-LT"/>
                  </w:rPr>
                  <w:t xml:space="preserve">c) mineralų gavyba iš jūros ir upių laivu žemsiurbe; </w:t>
                </w:r>
              </w:p>
              <w:p>
                <w:pPr>
                  <w:rPr>
                    <w:color w:val="000000"/>
                    <w:sz w:val="20"/>
                    <w:lang w:eastAsia="lt-LT"/>
                  </w:rPr>
                </w:pPr>
                <w:r>
                  <w:rPr>
                    <w:color w:val="000000"/>
                    <w:sz w:val="20"/>
                    <w:lang w:eastAsia="lt-LT"/>
                  </w:rPr>
                  <w:t xml:space="preserve">d) giluminiai gręžiniai, ypač: </w:t>
                </w:r>
              </w:p>
              <w:p>
                <w:pPr>
                  <w:rPr>
                    <w:color w:val="000000"/>
                    <w:sz w:val="20"/>
                    <w:lang w:eastAsia="lt-LT"/>
                  </w:rPr>
                </w:pPr>
                <w:r>
                  <w:rPr>
                    <w:color w:val="000000"/>
                    <w:sz w:val="20"/>
                    <w:lang w:eastAsia="lt-LT"/>
                  </w:rPr>
                  <w:t xml:space="preserve">i) geoterminiai gręžiniai; </w:t>
                </w:r>
              </w:p>
              <w:p>
                <w:pPr>
                  <w:rPr>
                    <w:color w:val="000000"/>
                    <w:sz w:val="20"/>
                    <w:lang w:eastAsia="lt-LT"/>
                  </w:rPr>
                </w:pPr>
                <w:r>
                  <w:rPr>
                    <w:color w:val="000000"/>
                    <w:sz w:val="20"/>
                    <w:lang w:eastAsia="lt-LT"/>
                  </w:rPr>
                  <w:t xml:space="preserve">ii) gręžiniai, skirti atominėms atliekoms saugoti; </w:t>
                </w:r>
              </w:p>
              <w:p>
                <w:pPr>
                  <w:rPr>
                    <w:color w:val="000000"/>
                    <w:sz w:val="20"/>
                    <w:lang w:eastAsia="lt-LT"/>
                  </w:rPr>
                </w:pPr>
                <w:r>
                  <w:rPr>
                    <w:color w:val="000000"/>
                    <w:sz w:val="20"/>
                    <w:lang w:eastAsia="lt-LT"/>
                  </w:rPr>
                  <w:t xml:space="preserve">iii) vandens tiekimo gręžiniai; </w:t>
                </w:r>
              </w:p>
              <w:p>
                <w:pPr>
                  <w:rPr>
                    <w:color w:val="000000"/>
                    <w:sz w:val="20"/>
                    <w:lang w:eastAsia="lt-LT"/>
                  </w:rPr>
                </w:pPr>
                <w:r>
                  <w:rPr>
                    <w:color w:val="000000"/>
                    <w:sz w:val="20"/>
                    <w:lang w:eastAsia="lt-LT"/>
                  </w:rPr>
                  <w:t xml:space="preserve">išskyrus gręžinius, skirtus dirvožemio stabilumui tirti; </w:t>
                </w:r>
              </w:p>
              <w:p>
                <w:pPr>
                  <w:rPr>
                    <w:color w:val="000000"/>
                    <w:sz w:val="20"/>
                    <w:lang w:eastAsia="lt-LT"/>
                  </w:rPr>
                </w:pPr>
                <w:r>
                  <w:rPr>
                    <w:color w:val="000000"/>
                    <w:sz w:val="20"/>
                    <w:lang w:eastAsia="lt-LT"/>
                  </w:rPr>
                  <w:t xml:space="preserve">e) pramoniniai antžeminiai įrengimai, skirti anglių, naftos, gamtinių dujų, rūdų ir bituminio skalūno gavybai. </w:t>
                </w:r>
              </w:p>
              <w:p>
                <w:pPr>
                  <w:rPr>
                    <w:color w:val="000000"/>
                    <w:sz w:val="20"/>
                    <w:lang w:eastAsia="lt-LT"/>
                  </w:rPr>
                </w:pPr>
                <w:r>
                  <w:rPr>
                    <w:color w:val="000000"/>
                    <w:sz w:val="20"/>
                    <w:lang w:eastAsia="lt-LT"/>
                  </w:rPr>
                  <w:t xml:space="preserve">3. ENERGETIKA: </w:t>
                </w:r>
              </w:p>
              <w:p>
                <w:pPr>
                  <w:rPr>
                    <w:color w:val="000000"/>
                    <w:sz w:val="20"/>
                    <w:lang w:eastAsia="lt-LT"/>
                  </w:rPr>
                </w:pPr>
                <w:r>
                  <w:rPr>
                    <w:color w:val="000000"/>
                    <w:sz w:val="20"/>
                    <w:lang w:eastAsia="lt-LT"/>
                  </w:rPr>
                  <w:t xml:space="preserve">a) pramoniniai įrengimai, skirti elektros energijos, garo ir karšto vandens gamybai (jei projektai neįtraukti į I priedą); </w:t>
                </w:r>
              </w:p>
              <w:p>
                <w:pPr>
                  <w:rPr>
                    <w:color w:val="000000"/>
                    <w:sz w:val="20"/>
                    <w:lang w:eastAsia="lt-LT"/>
                  </w:rPr>
                </w:pPr>
                <w:r>
                  <w:rPr>
                    <w:color w:val="000000"/>
                    <w:sz w:val="20"/>
                    <w:lang w:eastAsia="lt-LT"/>
                  </w:rPr>
                  <w:t xml:space="preserve">b) pramoniniai įrengimai dujų, garo ar karšto vandens perdavimui, elektros energijos perdavimas antžeminiais tinklais (jei projektai neįtraukti į I priedą); </w:t>
                </w:r>
              </w:p>
              <w:p>
                <w:pPr>
                  <w:rPr>
                    <w:color w:val="000000"/>
                    <w:sz w:val="20"/>
                    <w:lang w:eastAsia="lt-LT"/>
                  </w:rPr>
                </w:pPr>
                <w:r>
                  <w:rPr>
                    <w:color w:val="000000"/>
                    <w:sz w:val="20"/>
                    <w:lang w:eastAsia="lt-LT"/>
                  </w:rPr>
                  <w:t xml:space="preserve">c) gamtinių dujų antžeminis saugojimas; </w:t>
                </w:r>
              </w:p>
              <w:p>
                <w:pPr>
                  <w:rPr>
                    <w:color w:val="000000"/>
                    <w:sz w:val="20"/>
                    <w:lang w:eastAsia="lt-LT"/>
                  </w:rPr>
                </w:pPr>
                <w:r>
                  <w:rPr>
                    <w:color w:val="000000"/>
                    <w:sz w:val="20"/>
                    <w:lang w:eastAsia="lt-LT"/>
                  </w:rPr>
                  <w:t xml:space="preserve">d) degiųjų dujų požeminis saugojimas; </w:t>
                </w:r>
              </w:p>
              <w:p>
                <w:pPr>
                  <w:rPr>
                    <w:color w:val="000000"/>
                    <w:sz w:val="20"/>
                    <w:lang w:eastAsia="lt-LT"/>
                  </w:rPr>
                </w:pPr>
                <w:r>
                  <w:rPr>
                    <w:color w:val="000000"/>
                    <w:sz w:val="20"/>
                    <w:lang w:eastAsia="lt-LT"/>
                  </w:rPr>
                  <w:t xml:space="preserve">e) iškastinio kuro antžeminis saugojimas; </w:t>
                </w:r>
              </w:p>
              <w:p>
                <w:pPr>
                  <w:rPr>
                    <w:color w:val="000000"/>
                    <w:sz w:val="20"/>
                    <w:lang w:eastAsia="lt-LT"/>
                  </w:rPr>
                </w:pPr>
                <w:r>
                  <w:rPr>
                    <w:color w:val="000000"/>
                    <w:sz w:val="20"/>
                    <w:lang w:eastAsia="lt-LT"/>
                  </w:rPr>
                  <w:t xml:space="preserve">f) pramoninė briketų gamyba iš anglių ir lignito; </w:t>
                </w:r>
              </w:p>
              <w:p>
                <w:pPr>
                  <w:rPr>
                    <w:color w:val="000000"/>
                    <w:sz w:val="20"/>
                    <w:lang w:eastAsia="lt-LT"/>
                  </w:rPr>
                </w:pPr>
                <w:r>
                  <w:rPr>
                    <w:color w:val="000000"/>
                    <w:sz w:val="20"/>
                    <w:lang w:eastAsia="lt-LT"/>
                  </w:rPr>
                  <w:t xml:space="preserve">g) radioaktyvių atliekų perdirbimo ir saugojimo įrengimai (jei projektai neįtraukti į I priedą); </w:t>
                </w:r>
              </w:p>
              <w:p>
                <w:pPr>
                  <w:rPr>
                    <w:color w:val="000000"/>
                    <w:sz w:val="20"/>
                    <w:lang w:eastAsia="lt-LT"/>
                  </w:rPr>
                </w:pPr>
                <w:r>
                  <w:rPr>
                    <w:color w:val="000000"/>
                    <w:sz w:val="20"/>
                    <w:lang w:eastAsia="lt-LT"/>
                  </w:rPr>
                  <w:t xml:space="preserve">h) hidroelektrinės; </w:t>
                </w:r>
              </w:p>
              <w:p>
                <w:pPr>
                  <w:rPr>
                    <w:color w:val="000000"/>
                    <w:sz w:val="20"/>
                    <w:lang w:eastAsia="lt-LT"/>
                  </w:rPr>
                </w:pPr>
                <w:r>
                  <w:rPr>
                    <w:color w:val="000000"/>
                    <w:sz w:val="20"/>
                    <w:lang w:eastAsia="lt-LT"/>
                  </w:rPr>
                  <w:t xml:space="preserve">i) vėjo jėgainės; </w:t>
                </w:r>
              </w:p>
              <w:p>
                <w:pPr>
                  <w:rPr>
                    <w:color w:val="000000"/>
                    <w:sz w:val="20"/>
                    <w:lang w:eastAsia="lt-LT"/>
                  </w:rPr>
                </w:pPr>
                <w:r>
                  <w:rPr>
                    <w:color w:val="000000"/>
                    <w:sz w:val="20"/>
                    <w:lang w:eastAsia="lt-LT"/>
                  </w:rPr>
                  <w:t xml:space="preserve">j) įrenginiai, naudojami geologiniam saugojimui skirtiems CO 2 srautams surinkti pagal Direktyvą </w:t>
                </w:r>
                <w:fldSimple w:instr="HYPERLINK http://eur-lex.europa.eu/legal-content/LIT/TXT/?uri=CELEX:32009L0031&amp;locale=lt \t _blank">
                  <w:r>
                    <w:rPr>
                      <w:color w:val="0000FF" w:themeColor="hyperlink"/>
                      <w:sz w:val="20"/>
                      <w:lang w:eastAsia="lt-LT"/>
                      <w:u w:val="single"/>
                    </w:rPr>
                    <w:t>2009/31/EB</w:t>
                  </w:r>
                </w:fldSimple>
                <w:r>
                  <w:rPr>
                    <w:color w:val="000000"/>
                    <w:sz w:val="20"/>
                    <w:lang w:eastAsia="lt-LT"/>
                  </w:rPr>
                  <w:t xml:space="preserve"> iš šios direktyvos I priede nenurodytų įrenginių. </w:t>
                </w:r>
              </w:p>
              <w:p>
                <w:pPr>
                  <w:rPr>
                    <w:color w:val="000000"/>
                    <w:sz w:val="20"/>
                    <w:lang w:eastAsia="lt-LT"/>
                  </w:rPr>
                </w:pPr>
                <w:r>
                  <w:rPr>
                    <w:color w:val="000000"/>
                    <w:sz w:val="20"/>
                    <w:lang w:eastAsia="lt-LT"/>
                  </w:rPr>
                  <w:t xml:space="preserve">4. METALŲ GAMYBA IR PERDIRBIMAS: </w:t>
                </w:r>
              </w:p>
              <w:p>
                <w:pPr>
                  <w:rPr>
                    <w:color w:val="000000"/>
                    <w:sz w:val="20"/>
                    <w:lang w:eastAsia="lt-LT"/>
                  </w:rPr>
                </w:pPr>
                <w:r>
                  <w:rPr>
                    <w:color w:val="000000"/>
                    <w:sz w:val="20"/>
                    <w:lang w:eastAsia="lt-LT"/>
                  </w:rPr>
                  <w:t xml:space="preserve">a) įrengimai geležies ir plieno gamybai (pirminis ir antrinis lydymas), įskaitant nuolatinį liejimą; </w:t>
                </w:r>
              </w:p>
              <w:p>
                <w:pPr>
                  <w:rPr>
                    <w:color w:val="000000"/>
                    <w:sz w:val="20"/>
                    <w:lang w:eastAsia="lt-LT"/>
                  </w:rPr>
                </w:pPr>
                <w:r>
                  <w:rPr>
                    <w:color w:val="000000"/>
                    <w:sz w:val="20"/>
                    <w:lang w:eastAsia="lt-LT"/>
                  </w:rPr>
                  <w:t xml:space="preserve">b) geležingų metalų perdirbimo įrengimai: </w:t>
                </w:r>
              </w:p>
              <w:p>
                <w:pPr>
                  <w:rPr>
                    <w:color w:val="000000"/>
                    <w:sz w:val="20"/>
                    <w:lang w:eastAsia="lt-LT"/>
                  </w:rPr>
                </w:pPr>
                <w:r>
                  <w:rPr>
                    <w:color w:val="000000"/>
                    <w:sz w:val="20"/>
                    <w:lang w:eastAsia="lt-LT"/>
                  </w:rPr>
                  <w:t xml:space="preserve">i) karšto valcavimo įrengimai; </w:t>
                </w:r>
              </w:p>
              <w:p>
                <w:pPr>
                  <w:rPr>
                    <w:color w:val="000000"/>
                    <w:sz w:val="20"/>
                    <w:lang w:eastAsia="lt-LT"/>
                  </w:rPr>
                </w:pPr>
                <w:r>
                  <w:rPr>
                    <w:color w:val="000000"/>
                    <w:sz w:val="20"/>
                    <w:lang w:eastAsia="lt-LT"/>
                  </w:rPr>
                  <w:t xml:space="preserve">ii) plaktukinė kalvystė; </w:t>
                </w:r>
              </w:p>
              <w:p>
                <w:pPr>
                  <w:rPr>
                    <w:color w:val="000000"/>
                    <w:sz w:val="20"/>
                    <w:lang w:eastAsia="lt-LT"/>
                  </w:rPr>
                </w:pPr>
                <w:r>
                  <w:rPr>
                    <w:color w:val="000000"/>
                    <w:sz w:val="20"/>
                    <w:lang w:eastAsia="lt-LT"/>
                  </w:rPr>
                  <w:t xml:space="preserve">iii) apsauginių lydmetalių dangos naudojimas; </w:t>
                </w:r>
              </w:p>
              <w:p>
                <w:pPr>
                  <w:rPr>
                    <w:color w:val="000000"/>
                    <w:sz w:val="20"/>
                    <w:lang w:eastAsia="lt-LT"/>
                  </w:rPr>
                </w:pPr>
                <w:r>
                  <w:rPr>
                    <w:color w:val="000000"/>
                    <w:sz w:val="20"/>
                    <w:lang w:eastAsia="lt-LT"/>
                  </w:rPr>
                  <w:t xml:space="preserve">c) geležingų metalų liejyklos; </w:t>
                </w:r>
              </w:p>
              <w:p>
                <w:pPr>
                  <w:rPr>
                    <w:color w:val="000000"/>
                    <w:sz w:val="20"/>
                    <w:lang w:eastAsia="lt-LT"/>
                  </w:rPr>
                </w:pPr>
                <w:r>
                  <w:rPr>
                    <w:color w:val="000000"/>
                    <w:sz w:val="20"/>
                    <w:lang w:eastAsia="lt-LT"/>
                  </w:rPr>
                  <w:t xml:space="preserve">d) įrengimai, skirti spalvotiesiems metalams (išskyrus tauriuosius metalus) lieti ir lydyti, įskaitant antrinių žaliavų perdirbimą (valymą, liejimą ir t. t.); </w:t>
                </w:r>
              </w:p>
              <w:p>
                <w:pPr>
                  <w:rPr>
                    <w:color w:val="000000"/>
                    <w:sz w:val="20"/>
                    <w:lang w:eastAsia="lt-LT"/>
                  </w:rPr>
                </w:pPr>
                <w:r>
                  <w:rPr>
                    <w:color w:val="000000"/>
                    <w:sz w:val="20"/>
                    <w:lang w:eastAsia="lt-LT"/>
                  </w:rPr>
                  <w:t xml:space="preserve">e) įrengimai, skirti metalų ir plastmasinių medžiagų paviršiams apdoroti, naudojant elektrolitinius ar cheminius procesus; </w:t>
                </w:r>
              </w:p>
              <w:p>
                <w:pPr>
                  <w:rPr>
                    <w:color w:val="000000"/>
                    <w:sz w:val="20"/>
                    <w:lang w:eastAsia="lt-LT"/>
                  </w:rPr>
                </w:pPr>
                <w:r>
                  <w:rPr>
                    <w:color w:val="000000"/>
                    <w:sz w:val="20"/>
                    <w:lang w:eastAsia="lt-LT"/>
                  </w:rPr>
                  <w:t xml:space="preserve">f) motorinių transporto priemonių ir jų variklių gamyba bei surinkimas; </w:t>
                </w:r>
              </w:p>
              <w:p>
                <w:pPr>
                  <w:rPr>
                    <w:color w:val="000000"/>
                    <w:sz w:val="20"/>
                    <w:lang w:eastAsia="lt-LT"/>
                  </w:rPr>
                </w:pPr>
                <w:r>
                  <w:rPr>
                    <w:color w:val="000000"/>
                    <w:sz w:val="20"/>
                    <w:lang w:eastAsia="lt-LT"/>
                  </w:rPr>
                  <w:t xml:space="preserve">g) laivų statyklos; </w:t>
                </w:r>
              </w:p>
              <w:p>
                <w:pPr>
                  <w:rPr>
                    <w:color w:val="000000"/>
                    <w:sz w:val="20"/>
                    <w:lang w:eastAsia="lt-LT"/>
                  </w:rPr>
                </w:pPr>
                <w:r>
                  <w:rPr>
                    <w:color w:val="000000"/>
                    <w:sz w:val="20"/>
                    <w:lang w:eastAsia="lt-LT"/>
                  </w:rPr>
                  <w:t xml:space="preserve">h) lėktuvų remonto ir gamybos įrengimai; </w:t>
                </w:r>
              </w:p>
              <w:p>
                <w:pPr>
                  <w:rPr>
                    <w:color w:val="000000"/>
                    <w:sz w:val="20"/>
                    <w:lang w:eastAsia="lt-LT"/>
                  </w:rPr>
                </w:pPr>
                <w:r>
                  <w:rPr>
                    <w:color w:val="000000"/>
                    <w:sz w:val="20"/>
                    <w:lang w:eastAsia="lt-LT"/>
                  </w:rPr>
                  <w:t xml:space="preserve">i) geležinkelių įrengimų gamyba; </w:t>
                </w:r>
              </w:p>
              <w:p>
                <w:pPr>
                  <w:rPr>
                    <w:color w:val="000000"/>
                    <w:sz w:val="20"/>
                    <w:lang w:eastAsia="lt-LT"/>
                  </w:rPr>
                </w:pPr>
                <w:r>
                  <w:rPr>
                    <w:color w:val="000000"/>
                    <w:sz w:val="20"/>
                    <w:lang w:eastAsia="lt-LT"/>
                  </w:rPr>
                  <w:t xml:space="preserve">j) presavimas sprogstamuoju būdu; </w:t>
                </w:r>
              </w:p>
              <w:p>
                <w:pPr>
                  <w:rPr>
                    <w:color w:val="000000"/>
                    <w:sz w:val="20"/>
                    <w:lang w:eastAsia="lt-LT"/>
                  </w:rPr>
                </w:pPr>
                <w:r>
                  <w:rPr>
                    <w:color w:val="000000"/>
                    <w:sz w:val="20"/>
                    <w:lang w:eastAsia="lt-LT"/>
                  </w:rPr>
                  <w:t xml:space="preserve">k) metalų rūdų sodrinimo ir lydymo įrengimai. </w:t>
                </w:r>
              </w:p>
              <w:p>
                <w:pPr>
                  <w:rPr>
                    <w:color w:val="000000"/>
                    <w:sz w:val="20"/>
                    <w:lang w:eastAsia="lt-LT"/>
                  </w:rPr>
                </w:pPr>
                <w:r>
                  <w:rPr>
                    <w:color w:val="000000"/>
                    <w:sz w:val="20"/>
                    <w:lang w:eastAsia="lt-LT"/>
                  </w:rPr>
                  <w:t xml:space="preserve">5. MINERALINIŲ MEDŽIAGŲ PRAMONĖ: </w:t>
                </w:r>
              </w:p>
              <w:p>
                <w:pPr>
                  <w:rPr>
                    <w:color w:val="000000"/>
                    <w:sz w:val="20"/>
                    <w:lang w:eastAsia="lt-LT"/>
                  </w:rPr>
                </w:pPr>
                <w:r>
                  <w:rPr>
                    <w:color w:val="000000"/>
                    <w:sz w:val="20"/>
                    <w:lang w:eastAsia="lt-LT"/>
                  </w:rPr>
                  <w:t xml:space="preserve">a) kokso gamyba (sausas anglių distiliavimas); </w:t>
                </w:r>
              </w:p>
              <w:p>
                <w:pPr>
                  <w:rPr>
                    <w:color w:val="000000"/>
                    <w:sz w:val="20"/>
                    <w:lang w:eastAsia="lt-LT"/>
                  </w:rPr>
                </w:pPr>
                <w:r>
                  <w:rPr>
                    <w:color w:val="000000"/>
                    <w:sz w:val="20"/>
                    <w:lang w:eastAsia="lt-LT"/>
                  </w:rPr>
                  <w:t xml:space="preserve">b) cemento gamybos įrengimai; </w:t>
                </w:r>
              </w:p>
              <w:p>
                <w:pPr>
                  <w:rPr>
                    <w:color w:val="000000"/>
                    <w:sz w:val="20"/>
                    <w:lang w:eastAsia="lt-LT"/>
                  </w:rPr>
                </w:pPr>
                <w:r>
                  <w:rPr>
                    <w:color w:val="000000"/>
                    <w:sz w:val="20"/>
                    <w:lang w:eastAsia="lt-LT"/>
                  </w:rPr>
                  <w:t xml:space="preserve">c) asbesto gamybos įrengimai ir asbesto produktų gamyba (jei projektai neįtraukti į I priedą); </w:t>
                </w:r>
              </w:p>
              <w:p>
                <w:pPr>
                  <w:rPr>
                    <w:color w:val="000000"/>
                    <w:sz w:val="20"/>
                    <w:lang w:eastAsia="lt-LT"/>
                  </w:rPr>
                </w:pPr>
                <w:r>
                  <w:rPr>
                    <w:color w:val="000000"/>
                    <w:sz w:val="20"/>
                    <w:lang w:eastAsia="lt-LT"/>
                  </w:rPr>
                  <w:t xml:space="preserve">d) stiklo ir stiklo pluošto gamybos įrengimai; </w:t>
                </w:r>
              </w:p>
              <w:p>
                <w:pPr>
                  <w:rPr>
                    <w:color w:val="000000"/>
                    <w:sz w:val="20"/>
                    <w:lang w:eastAsia="lt-LT"/>
                  </w:rPr>
                </w:pPr>
                <w:r>
                  <w:rPr>
                    <w:color w:val="000000"/>
                    <w:sz w:val="20"/>
                    <w:lang w:eastAsia="lt-LT"/>
                  </w:rPr>
                  <w:t xml:space="preserve">e) mineralinių medžiagų lydymo įrengimai, įskaitant mineralinio pluošto gamybą; </w:t>
                </w:r>
              </w:p>
              <w:p>
                <w:pPr>
                  <w:rPr>
                    <w:color w:val="000000"/>
                    <w:sz w:val="20"/>
                    <w:lang w:eastAsia="lt-LT"/>
                  </w:rPr>
                </w:pPr>
                <w:r>
                  <w:rPr>
                    <w:color w:val="000000"/>
                    <w:sz w:val="20"/>
                    <w:lang w:eastAsia="lt-LT"/>
                  </w:rPr>
                  <w:t xml:space="preserve">f) degimo keramika, ypač stoginių čerpių, plytų, ugniai atsparių plytų, čerpių, molio ir porceliano gamyba. </w:t>
                </w:r>
              </w:p>
              <w:p>
                <w:pPr>
                  <w:rPr>
                    <w:color w:val="000000"/>
                    <w:sz w:val="20"/>
                    <w:lang w:eastAsia="lt-LT"/>
                  </w:rPr>
                </w:pPr>
                <w:r>
                  <w:rPr>
                    <w:color w:val="000000"/>
                    <w:sz w:val="20"/>
                    <w:lang w:eastAsia="lt-LT"/>
                  </w:rPr>
                  <w:t xml:space="preserve">6. CHEMIJOS PRAMONĖ (JEI PROJEKTAI NEĮTRAUKTI Į I PRIEDĄ): </w:t>
                </w:r>
              </w:p>
              <w:p>
                <w:pPr>
                  <w:rPr>
                    <w:color w:val="000000"/>
                    <w:sz w:val="20"/>
                    <w:lang w:eastAsia="lt-LT"/>
                  </w:rPr>
                </w:pPr>
                <w:r>
                  <w:rPr>
                    <w:color w:val="000000"/>
                    <w:sz w:val="20"/>
                    <w:lang w:eastAsia="lt-LT"/>
                  </w:rPr>
                  <w:t xml:space="preserve">a) tarpinių produktų apdirbimas ir cheminių medžiagų gamyba; </w:t>
                </w:r>
              </w:p>
              <w:p>
                <w:pPr>
                  <w:rPr>
                    <w:color w:val="000000"/>
                    <w:sz w:val="20"/>
                    <w:lang w:eastAsia="lt-LT"/>
                  </w:rPr>
                </w:pPr>
                <w:r>
                  <w:rPr>
                    <w:color w:val="000000"/>
                    <w:sz w:val="20"/>
                    <w:lang w:eastAsia="lt-LT"/>
                  </w:rPr>
                  <w:t xml:space="preserve">b) farmacinių produktų, pesticidų, dažų ir lakų, elastomerų ir peroksidų gamyba; </w:t>
                </w:r>
              </w:p>
              <w:p>
                <w:pPr>
                  <w:rPr>
                    <w:color w:val="000000"/>
                    <w:sz w:val="20"/>
                    <w:lang w:eastAsia="lt-LT"/>
                  </w:rPr>
                </w:pPr>
                <w:r>
                  <w:rPr>
                    <w:color w:val="000000"/>
                    <w:sz w:val="20"/>
                    <w:lang w:eastAsia="lt-LT"/>
                  </w:rPr>
                  <w:t xml:space="preserve">c) naftos, naftos chemijos produktų ir cheminių produktų sandėliavimas. </w:t>
                </w:r>
              </w:p>
              <w:p>
                <w:pPr>
                  <w:rPr>
                    <w:color w:val="000000"/>
                    <w:sz w:val="20"/>
                    <w:lang w:eastAsia="lt-LT"/>
                  </w:rPr>
                </w:pPr>
                <w:r>
                  <w:rPr>
                    <w:color w:val="000000"/>
                    <w:sz w:val="20"/>
                    <w:lang w:eastAsia="lt-LT"/>
                  </w:rPr>
                  <w:t xml:space="preserve">7. MAISTO PRAMONĖ: </w:t>
                </w:r>
              </w:p>
              <w:p>
                <w:pPr>
                  <w:rPr>
                    <w:color w:val="000000"/>
                    <w:sz w:val="20"/>
                    <w:lang w:eastAsia="lt-LT"/>
                  </w:rPr>
                </w:pPr>
                <w:r>
                  <w:rPr>
                    <w:color w:val="000000"/>
                    <w:sz w:val="20"/>
                    <w:lang w:eastAsia="lt-LT"/>
                  </w:rPr>
                  <w:t xml:space="preserve">a) augalinių ir gyvulinių aliejų bei riebalų gamyba; </w:t>
                </w:r>
              </w:p>
              <w:p>
                <w:pPr>
                  <w:rPr>
                    <w:color w:val="000000"/>
                    <w:sz w:val="20"/>
                    <w:lang w:eastAsia="lt-LT"/>
                  </w:rPr>
                </w:pPr>
                <w:r>
                  <w:rPr>
                    <w:color w:val="000000"/>
                    <w:sz w:val="20"/>
                    <w:lang w:eastAsia="lt-LT"/>
                  </w:rPr>
                  <w:t xml:space="preserve">b) augalinių ir gyvulinių produktų pakavimas bei konservavimas; </w:t>
                </w:r>
              </w:p>
              <w:p>
                <w:pPr>
                  <w:rPr>
                    <w:color w:val="000000"/>
                    <w:sz w:val="20"/>
                    <w:lang w:eastAsia="lt-LT"/>
                  </w:rPr>
                </w:pPr>
                <w:r>
                  <w:rPr>
                    <w:color w:val="000000"/>
                    <w:sz w:val="20"/>
                    <w:lang w:eastAsia="lt-LT"/>
                  </w:rPr>
                  <w:t xml:space="preserve">c) pieno produktų gamyba; </w:t>
                </w:r>
              </w:p>
              <w:p>
                <w:pPr>
                  <w:rPr>
                    <w:color w:val="000000"/>
                    <w:sz w:val="20"/>
                    <w:lang w:eastAsia="lt-LT"/>
                  </w:rPr>
                </w:pPr>
                <w:r>
                  <w:rPr>
                    <w:color w:val="000000"/>
                    <w:sz w:val="20"/>
                    <w:lang w:eastAsia="lt-LT"/>
                  </w:rPr>
                  <w:t xml:space="preserve">d) salyklo ir alaus gamyba; </w:t>
                </w:r>
              </w:p>
              <w:p>
                <w:pPr>
                  <w:rPr>
                    <w:color w:val="000000"/>
                    <w:sz w:val="20"/>
                    <w:lang w:eastAsia="lt-LT"/>
                  </w:rPr>
                </w:pPr>
                <w:r>
                  <w:rPr>
                    <w:color w:val="000000"/>
                    <w:sz w:val="20"/>
                    <w:lang w:eastAsia="lt-LT"/>
                  </w:rPr>
                  <w:t xml:space="preserve">e) konditerijos gaminių ir sirupų gamyba; </w:t>
                </w:r>
              </w:p>
              <w:p>
                <w:pPr>
                  <w:rPr>
                    <w:color w:val="000000"/>
                    <w:sz w:val="20"/>
                    <w:lang w:eastAsia="lt-LT"/>
                  </w:rPr>
                </w:pPr>
                <w:r>
                  <w:rPr>
                    <w:color w:val="000000"/>
                    <w:sz w:val="20"/>
                    <w:lang w:eastAsia="lt-LT"/>
                  </w:rPr>
                  <w:t xml:space="preserve">f) gyvulių skerdyklos; </w:t>
                </w:r>
              </w:p>
              <w:p>
                <w:pPr>
                  <w:rPr>
                    <w:color w:val="000000"/>
                    <w:sz w:val="20"/>
                    <w:lang w:eastAsia="lt-LT"/>
                  </w:rPr>
                </w:pPr>
                <w:r>
                  <w:rPr>
                    <w:color w:val="000000"/>
                    <w:sz w:val="20"/>
                    <w:lang w:eastAsia="lt-LT"/>
                  </w:rPr>
                  <w:t xml:space="preserve">g) įrengimai, skirti pramoninei krakmolo gamybai; </w:t>
                </w:r>
              </w:p>
              <w:p>
                <w:pPr>
                  <w:rPr>
                    <w:color w:val="000000"/>
                    <w:sz w:val="20"/>
                    <w:lang w:eastAsia="lt-LT"/>
                  </w:rPr>
                </w:pPr>
                <w:r>
                  <w:rPr>
                    <w:color w:val="000000"/>
                    <w:sz w:val="20"/>
                    <w:lang w:eastAsia="lt-LT"/>
                  </w:rPr>
                  <w:t xml:space="preserve">h) žuvų produktų ir žuvų taukų gamyba; </w:t>
                </w:r>
              </w:p>
              <w:p>
                <w:pPr>
                  <w:rPr>
                    <w:color w:val="000000"/>
                    <w:sz w:val="20"/>
                    <w:lang w:eastAsia="lt-LT"/>
                  </w:rPr>
                </w:pPr>
                <w:r>
                  <w:rPr>
                    <w:color w:val="000000"/>
                    <w:sz w:val="20"/>
                    <w:lang w:eastAsia="lt-LT"/>
                  </w:rPr>
                  <w:t xml:space="preserve">i) cukraus fabrikai. </w:t>
                </w:r>
              </w:p>
              <w:p>
                <w:pPr>
                  <w:rPr>
                    <w:color w:val="000000"/>
                    <w:sz w:val="20"/>
                    <w:lang w:eastAsia="lt-LT"/>
                  </w:rPr>
                </w:pPr>
                <w:r>
                  <w:rPr>
                    <w:color w:val="000000"/>
                    <w:sz w:val="20"/>
                    <w:lang w:eastAsia="lt-LT"/>
                  </w:rPr>
                  <w:t xml:space="preserve">8. TEKSTILĖS, ODOS, MEDIENOS IR POPIERIAUS PRAMONĖ: </w:t>
                </w:r>
              </w:p>
              <w:p>
                <w:pPr>
                  <w:rPr>
                    <w:color w:val="000000"/>
                    <w:sz w:val="20"/>
                    <w:lang w:eastAsia="lt-LT"/>
                  </w:rPr>
                </w:pPr>
                <w:r>
                  <w:rPr>
                    <w:color w:val="000000"/>
                    <w:sz w:val="20"/>
                    <w:lang w:eastAsia="lt-LT"/>
                  </w:rPr>
                  <w:t xml:space="preserve">a) pramoninė popieriaus ir kartono gamyba (jei projektai neįtraukti į I priedą); </w:t>
                </w:r>
              </w:p>
              <w:p>
                <w:pPr>
                  <w:rPr>
                    <w:color w:val="000000"/>
                    <w:sz w:val="20"/>
                    <w:lang w:eastAsia="lt-LT"/>
                  </w:rPr>
                </w:pPr>
                <w:r>
                  <w:rPr>
                    <w:color w:val="000000"/>
                    <w:sz w:val="20"/>
                    <w:lang w:eastAsia="lt-LT"/>
                  </w:rPr>
                  <w:t xml:space="preserve">b) tekstilės ar siūlų dažymo ir išankstinio apdorojimo (plovimo, balinimo) įrengimai; </w:t>
                </w:r>
              </w:p>
              <w:p>
                <w:pPr>
                  <w:rPr>
                    <w:color w:val="000000"/>
                    <w:sz w:val="20"/>
                    <w:lang w:eastAsia="lt-LT"/>
                  </w:rPr>
                </w:pPr>
                <w:r>
                  <w:rPr>
                    <w:color w:val="000000"/>
                    <w:sz w:val="20"/>
                    <w:lang w:eastAsia="lt-LT"/>
                  </w:rPr>
                  <w:t xml:space="preserve">c) kailių ir odos rauginimo įrengimai; </w:t>
                </w:r>
              </w:p>
              <w:p>
                <w:pPr>
                  <w:rPr>
                    <w:color w:val="000000"/>
                    <w:sz w:val="20"/>
                    <w:lang w:eastAsia="lt-LT"/>
                  </w:rPr>
                </w:pPr>
                <w:r>
                  <w:rPr>
                    <w:color w:val="000000"/>
                    <w:sz w:val="20"/>
                    <w:lang w:eastAsia="lt-LT"/>
                  </w:rPr>
                  <w:t xml:space="preserve">d) celiuliozės perdirbimo ir gamybos įrengimai. </w:t>
                </w:r>
              </w:p>
              <w:p>
                <w:pPr>
                  <w:rPr>
                    <w:color w:val="000000"/>
                    <w:sz w:val="20"/>
                    <w:lang w:eastAsia="lt-LT"/>
                  </w:rPr>
                </w:pPr>
                <w:r>
                  <w:rPr>
                    <w:color w:val="000000"/>
                    <w:sz w:val="20"/>
                    <w:lang w:eastAsia="lt-LT"/>
                  </w:rPr>
                  <w:t xml:space="preserve">9. GUMOS PRAMONĖ: </w:t>
                </w:r>
              </w:p>
              <w:p>
                <w:pPr>
                  <w:rPr>
                    <w:color w:val="000000"/>
                    <w:sz w:val="20"/>
                    <w:lang w:eastAsia="lt-LT"/>
                  </w:rPr>
                </w:pPr>
                <w:r>
                  <w:rPr>
                    <w:color w:val="000000"/>
                    <w:sz w:val="20"/>
                    <w:lang w:eastAsia="lt-LT"/>
                  </w:rPr>
                  <w:t xml:space="preserve">Elastomerinių produktų gamyba ir perdirbimas. </w:t>
                </w:r>
              </w:p>
              <w:p>
                <w:pPr>
                  <w:rPr>
                    <w:color w:val="000000"/>
                    <w:sz w:val="20"/>
                    <w:lang w:eastAsia="lt-LT"/>
                  </w:rPr>
                </w:pPr>
                <w:r>
                  <w:rPr>
                    <w:color w:val="000000"/>
                    <w:sz w:val="20"/>
                    <w:lang w:eastAsia="lt-LT"/>
                  </w:rPr>
                  <w:t xml:space="preserve">10. INFRASTRUKTŪROS PROJEKTAI: </w:t>
                </w:r>
              </w:p>
              <w:p>
                <w:pPr>
                  <w:rPr>
                    <w:color w:val="000000"/>
                    <w:sz w:val="20"/>
                    <w:lang w:eastAsia="lt-LT"/>
                  </w:rPr>
                </w:pPr>
                <w:r>
                  <w:rPr>
                    <w:color w:val="000000"/>
                    <w:sz w:val="20"/>
                    <w:lang w:eastAsia="lt-LT"/>
                  </w:rPr>
                  <w:t xml:space="preserve">a) pramoninių objektų plėtros projektai; </w:t>
                </w:r>
              </w:p>
              <w:p>
                <w:pPr>
                  <w:rPr>
                    <w:color w:val="000000"/>
                    <w:sz w:val="20"/>
                    <w:lang w:eastAsia="lt-LT"/>
                  </w:rPr>
                </w:pPr>
                <w:r>
                  <w:rPr>
                    <w:color w:val="000000"/>
                    <w:sz w:val="20"/>
                    <w:lang w:eastAsia="lt-LT"/>
                  </w:rPr>
                  <w:t xml:space="preserve">b) urbanizavimo projektai, įskaitant prekybos centrų ir mašinų stovėjimo aikštelių statybą; </w:t>
                </w:r>
              </w:p>
              <w:p>
                <w:pPr>
                  <w:rPr>
                    <w:color w:val="000000"/>
                    <w:sz w:val="20"/>
                    <w:lang w:eastAsia="lt-LT"/>
                  </w:rPr>
                </w:pPr>
                <w:r>
                  <w:rPr>
                    <w:color w:val="000000"/>
                    <w:sz w:val="20"/>
                    <w:lang w:eastAsia="lt-LT"/>
                  </w:rPr>
                  <w:t xml:space="preserve">c) geležinkelių tiesimas, perkrovimo įrenginiai ir terminalai (jei projektai neįtraukti į I priedą); </w:t>
                </w:r>
              </w:p>
              <w:p>
                <w:pPr>
                  <w:rPr>
                    <w:color w:val="000000"/>
                    <w:sz w:val="20"/>
                    <w:lang w:eastAsia="lt-LT"/>
                  </w:rPr>
                </w:pPr>
                <w:r>
                  <w:rPr>
                    <w:color w:val="000000"/>
                    <w:sz w:val="20"/>
                    <w:lang w:eastAsia="lt-LT"/>
                  </w:rPr>
                  <w:t xml:space="preserve">d) oro uostų statyba (jei projektai neįtraukti į I priedą); </w:t>
                </w:r>
              </w:p>
              <w:p>
                <w:pPr>
                  <w:rPr>
                    <w:color w:val="000000"/>
                    <w:sz w:val="20"/>
                    <w:lang w:eastAsia="lt-LT"/>
                  </w:rPr>
                </w:pPr>
                <w:r>
                  <w:rPr>
                    <w:color w:val="000000"/>
                    <w:sz w:val="20"/>
                    <w:lang w:eastAsia="lt-LT"/>
                  </w:rPr>
                  <w:t xml:space="preserve">e) kelių tiesimas, uostų ir uostų įrengimų statyba, įskaitant žvejybos uostus (jei projektai neįtraukti į I priedą); </w:t>
                </w:r>
              </w:p>
              <w:p>
                <w:pPr>
                  <w:rPr>
                    <w:color w:val="000000"/>
                    <w:sz w:val="20"/>
                    <w:lang w:eastAsia="lt-LT"/>
                  </w:rPr>
                </w:pPr>
                <w:r>
                  <w:rPr>
                    <w:color w:val="000000"/>
                    <w:sz w:val="20"/>
                    <w:lang w:eastAsia="lt-LT"/>
                  </w:rPr>
                  <w:t xml:space="preserve">f) vidaus vandens keliai (jei projektai neįtraukti į I priedą), kanalų tiesimo ir apsisaugojimo nuo potvynio darbai; </w:t>
                </w:r>
              </w:p>
              <w:p>
                <w:pPr>
                  <w:rPr>
                    <w:color w:val="000000"/>
                    <w:sz w:val="20"/>
                    <w:lang w:eastAsia="lt-LT"/>
                  </w:rPr>
                </w:pPr>
                <w:r>
                  <w:rPr>
                    <w:color w:val="000000"/>
                    <w:sz w:val="20"/>
                    <w:lang w:eastAsia="lt-LT"/>
                  </w:rPr>
                  <w:t xml:space="preserve">g) užtvankos ir kiti įrengimai, skirti vandens sulaikymui ar ilgalaikiam jo saugojimui (jei projektai neįtraukti į I priedą); </w:t>
                </w:r>
              </w:p>
              <w:p>
                <w:pPr>
                  <w:rPr>
                    <w:color w:val="000000"/>
                    <w:sz w:val="20"/>
                    <w:lang w:eastAsia="lt-LT"/>
                  </w:rPr>
                </w:pPr>
                <w:r>
                  <w:rPr>
                    <w:color w:val="000000"/>
                    <w:sz w:val="20"/>
                    <w:lang w:eastAsia="lt-LT"/>
                  </w:rPr>
                  <w:t xml:space="preserve">h) tramvajaus bėgiai, antžeminiai ir požeminiai geležinkeliai, kabantis ar panašus transportas, kuris iš dalies ar išimtinai naudojamas keleiviams pervežti; </w:t>
                </w:r>
              </w:p>
              <w:p>
                <w:pPr>
                  <w:rPr>
                    <w:color w:val="000000"/>
                    <w:sz w:val="20"/>
                    <w:lang w:eastAsia="lt-LT"/>
                  </w:rPr>
                </w:pPr>
                <w:r>
                  <w:rPr>
                    <w:color w:val="000000"/>
                    <w:sz w:val="20"/>
                    <w:lang w:eastAsia="lt-LT"/>
                  </w:rPr>
                  <w:t>i) naftotiekių ir dujotiekių įrenginiai bei vamzdynai geologiniam saugojimui skirtiems CO</w:t>
                </w:r>
                <w:r>
                  <w:rPr>
                    <w:color w:val="000000"/>
                    <w:sz w:val="20"/>
                    <w:vertAlign w:val="subscript"/>
                    <w:lang w:eastAsia="lt-LT"/>
                  </w:rPr>
                  <w:t>2</w:t>
                </w:r>
                <w:r>
                  <w:rPr>
                    <w:color w:val="000000"/>
                    <w:sz w:val="20"/>
                    <w:lang w:eastAsia="lt-LT"/>
                  </w:rPr>
                  <w:t xml:space="preserve"> srautams transportuoti (jei projektai neįtraukti į I priedą); </w:t>
                </w:r>
              </w:p>
              <w:p>
                <w:pPr>
                  <w:rPr>
                    <w:color w:val="000000"/>
                    <w:sz w:val="20"/>
                    <w:lang w:eastAsia="lt-LT"/>
                  </w:rPr>
                </w:pPr>
                <w:r>
                  <w:rPr>
                    <w:color w:val="000000"/>
                    <w:sz w:val="20"/>
                    <w:lang w:eastAsia="lt-LT"/>
                  </w:rPr>
                  <w:t xml:space="preserve">j) ilgų vandens kanalų statyba; </w:t>
                </w:r>
              </w:p>
              <w:p>
                <w:pPr>
                  <w:rPr>
                    <w:color w:val="000000"/>
                    <w:sz w:val="20"/>
                    <w:lang w:eastAsia="lt-LT"/>
                  </w:rPr>
                </w:pPr>
                <w:r>
                  <w:rPr>
                    <w:color w:val="000000"/>
                    <w:sz w:val="20"/>
                    <w:lang w:eastAsia="lt-LT"/>
                  </w:rPr>
                  <w:t xml:space="preserve">k) priešeroziniai pakrantės darbai ir jūros statybos darbai, galintys pakeisti pakrantę, pvz.: pylimai, prieplaukos, molai ir kiti apsauginiai objektai, išskyrus šių objektų priežiūros ir rekonstrukcijos darbus; </w:t>
                </w:r>
              </w:p>
              <w:p>
                <w:pPr>
                  <w:rPr>
                    <w:color w:val="000000"/>
                    <w:sz w:val="20"/>
                    <w:lang w:eastAsia="lt-LT"/>
                  </w:rPr>
                </w:pPr>
                <w:r>
                  <w:rPr>
                    <w:color w:val="000000"/>
                    <w:sz w:val="20"/>
                    <w:lang w:eastAsia="lt-LT"/>
                  </w:rPr>
                  <w:t xml:space="preserve">l) gruntinio vandens gavyba ar gruntinio vandens dirbtinio papildymo projektai (jei projektai neįtraukti į I priedą); </w:t>
                </w:r>
              </w:p>
              <w:p>
                <w:pPr>
                  <w:rPr>
                    <w:color w:val="000000"/>
                    <w:sz w:val="20"/>
                    <w:lang w:eastAsia="lt-LT"/>
                  </w:rPr>
                </w:pPr>
                <w:r>
                  <w:rPr>
                    <w:color w:val="000000"/>
                    <w:sz w:val="20"/>
                    <w:lang w:eastAsia="lt-LT"/>
                  </w:rPr>
                  <w:t xml:space="preserve">m) vandens išteklių paskirstymo tarp upių baseinų darbai, neįtraukti į I priedą. </w:t>
                </w:r>
              </w:p>
              <w:p>
                <w:pPr>
                  <w:rPr>
                    <w:color w:val="000000"/>
                    <w:sz w:val="20"/>
                    <w:lang w:eastAsia="lt-LT"/>
                  </w:rPr>
                </w:pPr>
                <w:r>
                  <w:rPr>
                    <w:color w:val="000000"/>
                    <w:sz w:val="20"/>
                    <w:lang w:eastAsia="lt-LT"/>
                  </w:rPr>
                  <w:t xml:space="preserve">11. KITI PROJEKTAI: </w:t>
                </w:r>
              </w:p>
              <w:p>
                <w:pPr>
                  <w:rPr>
                    <w:color w:val="000000"/>
                    <w:sz w:val="20"/>
                    <w:lang w:eastAsia="lt-LT"/>
                  </w:rPr>
                </w:pPr>
                <w:r>
                  <w:rPr>
                    <w:color w:val="000000"/>
                    <w:sz w:val="20"/>
                    <w:lang w:eastAsia="lt-LT"/>
                  </w:rPr>
                  <w:t xml:space="preserve">a) motorinių transporto priemonių nuolatinių lenktynių ir bandomosios trasos; </w:t>
                </w:r>
              </w:p>
              <w:p>
                <w:pPr>
                  <w:rPr>
                    <w:color w:val="000000"/>
                    <w:sz w:val="20"/>
                    <w:lang w:eastAsia="lt-LT"/>
                  </w:rPr>
                </w:pPr>
                <w:r>
                  <w:rPr>
                    <w:color w:val="000000"/>
                    <w:sz w:val="20"/>
                    <w:lang w:eastAsia="lt-LT"/>
                  </w:rPr>
                  <w:t xml:space="preserve">b) įrengimai, skirti atsikratyti atliekomis (jei projektai neįtraukti į I priedą); </w:t>
                </w:r>
              </w:p>
              <w:p>
                <w:pPr>
                  <w:rPr>
                    <w:color w:val="000000"/>
                    <w:sz w:val="20"/>
                    <w:lang w:eastAsia="lt-LT"/>
                  </w:rPr>
                </w:pPr>
                <w:r>
                  <w:rPr>
                    <w:color w:val="000000"/>
                    <w:sz w:val="20"/>
                    <w:lang w:eastAsia="lt-LT"/>
                  </w:rPr>
                  <w:t xml:space="preserve">c) vandens valymo įrengimai (jei projektai neįtraukti į I priedą); </w:t>
                </w:r>
              </w:p>
              <w:p>
                <w:pPr>
                  <w:rPr>
                    <w:color w:val="000000"/>
                    <w:sz w:val="20"/>
                    <w:lang w:eastAsia="lt-LT"/>
                  </w:rPr>
                </w:pPr>
                <w:r>
                  <w:rPr>
                    <w:color w:val="000000"/>
                    <w:sz w:val="20"/>
                    <w:lang w:eastAsia="lt-LT"/>
                  </w:rPr>
                  <w:t xml:space="preserve">d) dumblo saugyklos; </w:t>
                </w:r>
              </w:p>
              <w:p>
                <w:pPr>
                  <w:rPr>
                    <w:color w:val="000000"/>
                    <w:sz w:val="20"/>
                    <w:lang w:eastAsia="lt-LT"/>
                  </w:rPr>
                </w:pPr>
                <w:r>
                  <w:rPr>
                    <w:color w:val="000000"/>
                    <w:sz w:val="20"/>
                    <w:lang w:eastAsia="lt-LT"/>
                  </w:rPr>
                  <w:t xml:space="preserve">e) saugyklos, skirtos metalo laužui, įskaitant senas transporto priemones; </w:t>
                </w:r>
              </w:p>
              <w:p>
                <w:pPr>
                  <w:rPr>
                    <w:color w:val="000000"/>
                    <w:sz w:val="20"/>
                    <w:lang w:eastAsia="lt-LT"/>
                  </w:rPr>
                </w:pPr>
                <w:r>
                  <w:rPr>
                    <w:color w:val="000000"/>
                    <w:sz w:val="20"/>
                    <w:lang w:eastAsia="lt-LT"/>
                  </w:rPr>
                  <w:t xml:space="preserve">f) variklių, turbinų ar reaktorių bandymų įrengimai; </w:t>
                </w:r>
              </w:p>
              <w:p>
                <w:pPr>
                  <w:rPr>
                    <w:color w:val="000000"/>
                    <w:sz w:val="20"/>
                    <w:lang w:eastAsia="lt-LT"/>
                  </w:rPr>
                </w:pPr>
                <w:r>
                  <w:rPr>
                    <w:color w:val="000000"/>
                    <w:sz w:val="20"/>
                    <w:lang w:eastAsia="lt-LT"/>
                  </w:rPr>
                  <w:t xml:space="preserve">g) dirbtinio mineralinio pluošto gamybos įrengimai; </w:t>
                </w:r>
              </w:p>
              <w:p>
                <w:pPr>
                  <w:rPr>
                    <w:color w:val="000000"/>
                    <w:sz w:val="20"/>
                    <w:lang w:eastAsia="lt-LT"/>
                  </w:rPr>
                </w:pPr>
                <w:r>
                  <w:rPr>
                    <w:color w:val="000000"/>
                    <w:sz w:val="20"/>
                    <w:lang w:eastAsia="lt-LT"/>
                  </w:rPr>
                  <w:t xml:space="preserve">h) sprogstamųjų medžiagų nukenksminimo ar panaudojimo įrengimai; </w:t>
                </w:r>
              </w:p>
              <w:p>
                <w:pPr>
                  <w:rPr>
                    <w:color w:val="000000"/>
                    <w:sz w:val="20"/>
                    <w:lang w:eastAsia="lt-LT"/>
                  </w:rPr>
                </w:pPr>
                <w:r>
                  <w:rPr>
                    <w:color w:val="000000"/>
                    <w:sz w:val="20"/>
                    <w:lang w:eastAsia="lt-LT"/>
                  </w:rPr>
                  <w:t xml:space="preserve">i) sergančių ir nebenaudotinų gyvulių supirkimo ir skerdimo punktai. </w:t>
                </w:r>
              </w:p>
              <w:p>
                <w:pPr>
                  <w:rPr>
                    <w:color w:val="000000"/>
                    <w:sz w:val="20"/>
                    <w:lang w:eastAsia="lt-LT"/>
                  </w:rPr>
                </w:pPr>
                <w:r>
                  <w:rPr>
                    <w:color w:val="000000"/>
                    <w:sz w:val="20"/>
                    <w:lang w:eastAsia="lt-LT"/>
                  </w:rPr>
                  <w:t xml:space="preserve">12. TURIZMAS IR LAISVALAIKIS: </w:t>
                </w:r>
              </w:p>
              <w:p>
                <w:pPr>
                  <w:rPr>
                    <w:color w:val="000000"/>
                    <w:sz w:val="20"/>
                    <w:lang w:eastAsia="lt-LT"/>
                  </w:rPr>
                </w:pPr>
                <w:r>
                  <w:rPr>
                    <w:color w:val="000000"/>
                    <w:sz w:val="20"/>
                    <w:lang w:eastAsia="lt-LT"/>
                  </w:rPr>
                  <w:t xml:space="preserve">a) slidinėjimo keltuvai, funikulieriai ir kiti panašūs įrengimai; </w:t>
                </w:r>
              </w:p>
              <w:p>
                <w:pPr>
                  <w:rPr>
                    <w:color w:val="000000"/>
                    <w:sz w:val="20"/>
                    <w:lang w:eastAsia="lt-LT"/>
                  </w:rPr>
                </w:pPr>
                <w:r>
                  <w:rPr>
                    <w:color w:val="000000"/>
                    <w:sz w:val="20"/>
                    <w:lang w:eastAsia="lt-LT"/>
                  </w:rPr>
                  <w:t xml:space="preserve">b) jachtų ar valčių prieplaukos; </w:t>
                </w:r>
              </w:p>
              <w:p>
                <w:pPr>
                  <w:rPr>
                    <w:color w:val="000000"/>
                    <w:sz w:val="20"/>
                    <w:lang w:eastAsia="lt-LT"/>
                  </w:rPr>
                </w:pPr>
                <w:r>
                  <w:rPr>
                    <w:color w:val="000000"/>
                    <w:sz w:val="20"/>
                    <w:lang w:eastAsia="lt-LT"/>
                  </w:rPr>
                  <w:t xml:space="preserve">c) vasarvietės ir viešbučių kompleksai už miestų ribų ir panašūs objektai; </w:t>
                </w:r>
              </w:p>
              <w:p>
                <w:pPr>
                  <w:rPr>
                    <w:color w:val="000000"/>
                    <w:sz w:val="20"/>
                    <w:lang w:eastAsia="lt-LT"/>
                  </w:rPr>
                </w:pPr>
                <w:r>
                  <w:rPr>
                    <w:color w:val="000000"/>
                    <w:sz w:val="20"/>
                    <w:lang w:eastAsia="lt-LT"/>
                  </w:rPr>
                  <w:t xml:space="preserve">d) nuolatinės stovyklavietės ir kempingai; </w:t>
                </w:r>
              </w:p>
              <w:p>
                <w:pPr>
                  <w:rPr>
                    <w:color w:val="000000"/>
                    <w:sz w:val="20"/>
                    <w:lang w:eastAsia="lt-LT"/>
                  </w:rPr>
                </w:pPr>
                <w:r>
                  <w:rPr>
                    <w:color w:val="000000"/>
                    <w:sz w:val="20"/>
                    <w:lang w:eastAsia="lt-LT"/>
                  </w:rPr>
                  <w:t xml:space="preserve">e) teminiai parkai. </w:t>
                </w:r>
              </w:p>
              <w:p>
                <w:pPr>
                  <w:rPr>
                    <w:color w:val="000000"/>
                    <w:sz w:val="20"/>
                    <w:lang w:eastAsia="lt-LT"/>
                  </w:rPr>
                </w:pPr>
                <w:r>
                  <w:rPr>
                    <w:color w:val="000000"/>
                    <w:sz w:val="20"/>
                    <w:lang w:eastAsia="lt-LT"/>
                  </w:rPr>
                  <w:t xml:space="preserve">13. a) Bet kurių I ir šiame priede išvardytų ir jau įgyvendintų, įgyvendinamų ar leistų įgyvendinti projektų pakeitimas ar išplėtimas, galintis daryti reikšmingą neigiamą poveikį aplinkai (pakeitimas ar išplėtimas, neįtrauktas į I priedą), </w:t>
                </w:r>
              </w:p>
              <w:p>
                <w:pPr>
                  <w:jc w:val="both"/>
                  <w:rPr>
                    <w:i/>
                    <w:iCs/>
                    <w:color w:val="000000"/>
                    <w:sz w:val="20"/>
                    <w:lang w:eastAsia="lt-LT"/>
                  </w:rPr>
                </w:pPr>
                <w:r>
                  <w:rPr>
                    <w:color w:val="000000"/>
                    <w:sz w:val="20"/>
                    <w:lang w:eastAsia="lt-LT"/>
                  </w:rPr>
                  <w:t>b) I priede išvardyti projektai, jei jie (daugiausia ar išimtinai) skirti naujiems produktams ar metodams išbandyti bei tobulinti ir nenaudojami ilgiau nei 2 metus.</w:t>
                </w:r>
              </w:p>
            </w:tc>
            <w:tc>
              <w:tcPr>
                <w:tcW w:w="9639" w:type="dxa"/>
              </w:tcPr>
              <w:p>
                <w:pPr>
                  <w:jc w:val="both"/>
                  <w:rPr>
                    <w:b/>
                    <w:sz w:val="20"/>
                    <w:lang w:val="en-GB" w:eastAsia="en-GB"/>
                  </w:rPr>
                </w:pPr>
                <w:r>
                  <w:rPr>
                    <w:b/>
                    <w:sz w:val="20"/>
                    <w:lang w:val="en-GB" w:eastAsia="en-GB"/>
                  </w:rPr>
                  <w:t>Projektas</w:t>
                </w:r>
              </w:p>
              <w:p>
                <w:pPr>
                  <w:jc w:val="both"/>
                  <w:rPr>
                    <w:b/>
                    <w:sz w:val="20"/>
                    <w:lang w:val="en-GB" w:eastAsia="en-GB"/>
                  </w:rPr>
                </w:pPr>
                <w:r>
                  <w:rPr>
                    <w:b/>
                    <w:sz w:val="20"/>
                    <w:lang w:val="en-GB" w:eastAsia="en-GB"/>
                  </w:rPr>
                  <w:t>2 priedas</w:t>
                </w:r>
              </w:p>
              <w:p>
                <w:pPr>
                  <w:ind w:firstLine="5760"/>
                  <w:jc w:val="both"/>
                  <w:rPr>
                    <w:b/>
                    <w:sz w:val="20"/>
                    <w:lang w:val="en-GB" w:eastAsia="en-GB"/>
                  </w:rPr>
                </w:pPr>
                <w:r>
                  <w:rPr>
                    <w:b/>
                    <w:sz w:val="20"/>
                    <w:lang w:val="en-GB" w:eastAsia="en-GB"/>
                  </w:rPr>
                  <w:t xml:space="preserve">„Lietuvos Respublikos </w:t>
                </w:r>
              </w:p>
              <w:p>
                <w:pPr>
                  <w:ind w:firstLine="5760"/>
                  <w:jc w:val="both"/>
                  <w:rPr>
                    <w:b/>
                    <w:sz w:val="20"/>
                    <w:lang w:val="en-GB" w:eastAsia="en-GB"/>
                  </w:rPr>
                </w:pPr>
                <w:r>
                  <w:rPr>
                    <w:b/>
                    <w:sz w:val="20"/>
                    <w:lang w:val="en-GB" w:eastAsia="en-GB"/>
                  </w:rPr>
                  <w:t xml:space="preserve">planuojamos ūkinės veiklos </w:t>
                </w:r>
              </w:p>
              <w:p>
                <w:pPr>
                  <w:ind w:firstLine="5760"/>
                  <w:jc w:val="both"/>
                  <w:rPr>
                    <w:b/>
                    <w:sz w:val="20"/>
                    <w:lang w:val="en-GB" w:eastAsia="en-GB"/>
                  </w:rPr>
                </w:pPr>
                <w:r>
                  <w:rPr>
                    <w:b/>
                    <w:sz w:val="20"/>
                    <w:lang w:val="en-GB" w:eastAsia="en-GB"/>
                  </w:rPr>
                  <w:t xml:space="preserve">poveikio aplinkai vertinimo </w:t>
                </w:r>
              </w:p>
              <w:p>
                <w:pPr>
                  <w:ind w:firstLine="5760"/>
                  <w:jc w:val="both"/>
                  <w:rPr>
                    <w:b/>
                    <w:sz w:val="20"/>
                    <w:lang w:val="en-GB" w:eastAsia="en-GB"/>
                  </w:rPr>
                </w:pPr>
                <w:r>
                  <w:rPr>
                    <w:b/>
                    <w:sz w:val="20"/>
                    <w:lang w:val="en-GB" w:eastAsia="en-GB"/>
                  </w:rPr>
                  <w:t xml:space="preserve">įstatymo </w:t>
                </w:r>
              </w:p>
              <w:p>
                <w:pPr>
                  <w:ind w:firstLine="5760"/>
                  <w:jc w:val="both"/>
                  <w:rPr>
                    <w:b/>
                    <w:sz w:val="20"/>
                    <w:lang w:val="en-GB" w:eastAsia="en-GB"/>
                  </w:rPr>
                </w:pPr>
                <w:r>
                  <w:rPr>
                    <w:b/>
                    <w:sz w:val="20"/>
                    <w:lang w:val="en-GB" w:eastAsia="en-GB"/>
                  </w:rPr>
                  <w:t>2 priedas</w:t>
                </w:r>
              </w:p>
              <w:p>
                <w:pPr>
                  <w:jc w:val="both"/>
                  <w:rPr>
                    <w:b/>
                    <w:sz w:val="20"/>
                    <w:lang w:val="en-GB" w:eastAsia="en-GB"/>
                  </w:rPr>
                </w:pPr>
              </w:p>
              <w:p>
                <w:pPr>
                  <w:jc w:val="both"/>
                  <w:rPr>
                    <w:b/>
                    <w:sz w:val="20"/>
                    <w:lang w:val="en-GB" w:eastAsia="en-GB"/>
                  </w:rPr>
                </w:pPr>
                <w:r>
                  <w:rPr>
                    <w:b/>
                    <w:sz w:val="20"/>
                    <w:lang w:val="en-GB" w:eastAsia="en-GB"/>
                  </w:rPr>
                  <w:t>PLANUOJAMOS ŪKINĖS VEIKLOS, KURIAI TURI BŪTI ATLIEKAMA ATRANKA DĖL POVEIKIO APLINKAI VERTINIMO, RŪŠIŲ SĄRAŠAS</w:t>
                </w:r>
              </w:p>
              <w:p>
                <w:pPr>
                  <w:ind w:firstLine="720"/>
                  <w:jc w:val="both"/>
                  <w:rPr>
                    <w:b/>
                    <w:sz w:val="20"/>
                    <w:lang w:val="en-GB" w:eastAsia="en-GB"/>
                  </w:rPr>
                </w:pPr>
              </w:p>
              <w:p>
                <w:pPr>
                  <w:jc w:val="both"/>
                  <w:rPr>
                    <w:b/>
                    <w:sz w:val="20"/>
                    <w:lang w:val="en-GB" w:eastAsia="en-GB"/>
                  </w:rPr>
                </w:pPr>
                <w:r>
                  <w:rPr>
                    <w:b/>
                    <w:sz w:val="20"/>
                    <w:lang w:val="en-GB" w:eastAsia="en-GB"/>
                  </w:rPr>
                  <w:t>1. Žemės ir vandens ūkis, miškininkystė:</w:t>
                </w:r>
              </w:p>
              <w:p>
                <w:pPr>
                  <w:jc w:val="both"/>
                  <w:rPr>
                    <w:b/>
                    <w:sz w:val="20"/>
                    <w:lang w:val="en-GB" w:eastAsia="en-GB"/>
                  </w:rPr>
                </w:pPr>
                <w:r>
                  <w:rPr>
                    <w:b/>
                    <w:sz w:val="20"/>
                    <w:lang w:val="en-GB" w:eastAsia="en-GB"/>
                  </w:rPr>
                  <w:t xml:space="preserve">1.1. intensyvus gyvūnų ar paukščių auginimas statiniuose, jeigu vietų jiems laikyti yra: </w:t>
                </w:r>
              </w:p>
              <w:p>
                <w:pPr>
                  <w:jc w:val="both"/>
                  <w:rPr>
                    <w:b/>
                    <w:sz w:val="20"/>
                    <w:lang w:val="en-GB" w:eastAsia="en-GB"/>
                  </w:rPr>
                </w:pPr>
                <w:r>
                  <w:rPr>
                    <w:b/>
                    <w:sz w:val="20"/>
                    <w:lang w:val="en-GB" w:eastAsia="en-GB"/>
                  </w:rPr>
                  <w:t xml:space="preserve">1.1.1. kiaulėms, sunkesnėms kaip 30 kg, – daugiau kaip 1 500, bet mažiau kaip 3 000; </w:t>
                </w:r>
              </w:p>
              <w:p>
                <w:pPr>
                  <w:jc w:val="both"/>
                  <w:rPr>
                    <w:b/>
                    <w:sz w:val="20"/>
                    <w:lang w:val="en-GB" w:eastAsia="en-GB"/>
                  </w:rPr>
                </w:pPr>
                <w:r>
                  <w:rPr>
                    <w:b/>
                    <w:sz w:val="20"/>
                    <w:lang w:val="en-GB" w:eastAsia="en-GB"/>
                  </w:rPr>
                  <w:t>1.1.2. paršavedėms (su paršeliais žindukliais) – daugiau kaip 450, bet mažiau kaip 900;</w:t>
                </w:r>
              </w:p>
              <w:p>
                <w:pPr>
                  <w:jc w:val="both"/>
                  <w:rPr>
                    <w:b/>
                    <w:sz w:val="20"/>
                    <w:lang w:val="en-GB" w:eastAsia="en-GB"/>
                  </w:rPr>
                </w:pPr>
                <w:r>
                  <w:rPr>
                    <w:b/>
                    <w:sz w:val="20"/>
                    <w:lang w:val="en-GB" w:eastAsia="en-GB"/>
                  </w:rPr>
                  <w:t>1.1.3. paršeliams nuo 7 iki 30 kg (3 mėn.) – 25 000 ar daugiau;</w:t>
                </w:r>
              </w:p>
              <w:p>
                <w:pPr>
                  <w:jc w:val="both"/>
                  <w:rPr>
                    <w:b/>
                    <w:sz w:val="20"/>
                    <w:lang w:val="en-GB" w:eastAsia="en-GB"/>
                  </w:rPr>
                </w:pPr>
                <w:r>
                  <w:rPr>
                    <w:b/>
                    <w:sz w:val="20"/>
                    <w:lang w:val="en-GB" w:eastAsia="en-GB"/>
                  </w:rPr>
                  <w:t xml:space="preserve">1.1.4. karvėms, buliams – 250 ar daugiau; </w:t>
                </w:r>
              </w:p>
              <w:p>
                <w:pPr>
                  <w:jc w:val="both"/>
                  <w:rPr>
                    <w:b/>
                    <w:sz w:val="20"/>
                    <w:lang w:val="en-GB" w:eastAsia="en-GB"/>
                  </w:rPr>
                </w:pPr>
                <w:r>
                  <w:rPr>
                    <w:b/>
                    <w:sz w:val="20"/>
                    <w:lang w:val="en-GB" w:eastAsia="en-GB"/>
                  </w:rPr>
                  <w:t>1.1.5. veršeliams iki 1 metų – 1 000 ar daugiau;</w:t>
                </w:r>
              </w:p>
              <w:p>
                <w:pPr>
                  <w:jc w:val="both"/>
                  <w:rPr>
                    <w:b/>
                    <w:sz w:val="20"/>
                    <w:lang w:val="en-GB" w:eastAsia="en-GB"/>
                  </w:rPr>
                </w:pPr>
                <w:r>
                  <w:rPr>
                    <w:b/>
                    <w:sz w:val="20"/>
                    <w:lang w:val="en-GB" w:eastAsia="en-GB"/>
                  </w:rPr>
                  <w:t>1.1.6. galvijų prieaugliui nuo 1 iki 2 metų – 350 ar daugiau;</w:t>
                </w:r>
              </w:p>
              <w:p>
                <w:pPr>
                  <w:jc w:val="both"/>
                  <w:rPr>
                    <w:b/>
                    <w:sz w:val="20"/>
                    <w:lang w:val="en-GB" w:eastAsia="en-GB"/>
                  </w:rPr>
                </w:pPr>
                <w:r>
                  <w:rPr>
                    <w:b/>
                    <w:sz w:val="20"/>
                    <w:lang w:val="en-GB" w:eastAsia="en-GB"/>
                  </w:rPr>
                  <w:t>1.1.7. avims, ožkoms – 2 500 ar daugiau;</w:t>
                </w:r>
              </w:p>
              <w:p>
                <w:pPr>
                  <w:jc w:val="both"/>
                  <w:rPr>
                    <w:b/>
                    <w:sz w:val="20"/>
                    <w:lang w:val="en-GB" w:eastAsia="en-GB"/>
                  </w:rPr>
                </w:pPr>
                <w:r>
                  <w:rPr>
                    <w:b/>
                    <w:sz w:val="20"/>
                    <w:lang w:val="en-GB" w:eastAsia="en-GB"/>
                  </w:rPr>
                  <w:t xml:space="preserve">1.1.8. arkliams nuo 1 metų – 250 ar daugiau; </w:t>
                </w:r>
              </w:p>
              <w:p>
                <w:pPr>
                  <w:jc w:val="both"/>
                  <w:rPr>
                    <w:b/>
                    <w:sz w:val="20"/>
                    <w:lang w:val="en-GB" w:eastAsia="en-GB"/>
                  </w:rPr>
                </w:pPr>
                <w:r>
                  <w:rPr>
                    <w:b/>
                    <w:sz w:val="20"/>
                    <w:lang w:val="en-GB" w:eastAsia="en-GB"/>
                  </w:rPr>
                  <w:t>1.1.9. kumeliukams iki 1 metų – 500 ar daugiau;</w:t>
                </w:r>
              </w:p>
              <w:p>
                <w:pPr>
                  <w:jc w:val="both"/>
                  <w:rPr>
                    <w:b/>
                    <w:sz w:val="20"/>
                    <w:lang w:val="en-GB" w:eastAsia="en-GB"/>
                  </w:rPr>
                </w:pPr>
                <w:r>
                  <w:rPr>
                    <w:b/>
                    <w:sz w:val="20"/>
                    <w:lang w:val="en-GB" w:eastAsia="en-GB"/>
                  </w:rPr>
                  <w:t>1.1.10. triušiams – 5 000 ar daugiau;</w:t>
                </w:r>
              </w:p>
              <w:p>
                <w:pPr>
                  <w:jc w:val="both"/>
                  <w:rPr>
                    <w:b/>
                    <w:sz w:val="20"/>
                    <w:lang w:val="en-GB" w:eastAsia="en-GB"/>
                  </w:rPr>
                </w:pPr>
                <w:r>
                  <w:rPr>
                    <w:b/>
                    <w:sz w:val="20"/>
                    <w:lang w:val="en-GB" w:eastAsia="en-GB"/>
                  </w:rPr>
                  <w:t>1.1.11. šinšiloms – 25 000 ar daugiau;</w:t>
                </w:r>
              </w:p>
              <w:p>
                <w:pPr>
                  <w:jc w:val="both"/>
                  <w:rPr>
                    <w:b/>
                    <w:sz w:val="20"/>
                    <w:lang w:val="en-GB" w:eastAsia="en-GB"/>
                  </w:rPr>
                </w:pPr>
                <w:r>
                  <w:rPr>
                    <w:b/>
                    <w:sz w:val="20"/>
                    <w:lang w:val="en-GB" w:eastAsia="en-GB"/>
                  </w:rPr>
                  <w:t>1.1.12. audinėms ir (ar) kiaunėms – 3 500 ar daugiau;</w:t>
                </w:r>
              </w:p>
              <w:p>
                <w:pPr>
                  <w:jc w:val="both"/>
                  <w:rPr>
                    <w:b/>
                    <w:sz w:val="20"/>
                    <w:lang w:val="en-GB" w:eastAsia="en-GB"/>
                  </w:rPr>
                </w:pPr>
                <w:r>
                  <w:rPr>
                    <w:b/>
                    <w:sz w:val="20"/>
                    <w:lang w:val="en-GB" w:eastAsia="en-GB"/>
                  </w:rPr>
                  <w:t>1.1.13. lapėms – 1 500 ar daugiau;</w:t>
                </w:r>
              </w:p>
              <w:p>
                <w:pPr>
                  <w:jc w:val="both"/>
                  <w:rPr>
                    <w:b/>
                    <w:sz w:val="20"/>
                    <w:lang w:val="en-GB" w:eastAsia="en-GB"/>
                  </w:rPr>
                </w:pPr>
                <w:r>
                  <w:rPr>
                    <w:b/>
                    <w:sz w:val="20"/>
                    <w:lang w:val="en-GB" w:eastAsia="en-GB"/>
                  </w:rPr>
                  <w:t>1.1.14. nutrijoms – 2 500 ar daugiau;</w:t>
                </w:r>
              </w:p>
              <w:p>
                <w:pPr>
                  <w:jc w:val="both"/>
                  <w:rPr>
                    <w:b/>
                    <w:sz w:val="20"/>
                    <w:lang w:val="en-GB" w:eastAsia="en-GB"/>
                  </w:rPr>
                </w:pPr>
                <w:r>
                  <w:rPr>
                    <w:b/>
                    <w:sz w:val="20"/>
                    <w:lang w:val="en-GB" w:eastAsia="en-GB"/>
                  </w:rPr>
                  <w:t>1.1.15. stručiams – 250 ar daugiau;</w:t>
                </w:r>
              </w:p>
              <w:p>
                <w:pPr>
                  <w:jc w:val="both"/>
                  <w:rPr>
                    <w:b/>
                    <w:sz w:val="20"/>
                    <w:lang w:val="en-GB" w:eastAsia="en-GB"/>
                  </w:rPr>
                </w:pPr>
                <w:r>
                  <w:rPr>
                    <w:b/>
                    <w:sz w:val="20"/>
                    <w:lang w:val="en-GB" w:eastAsia="en-GB"/>
                  </w:rPr>
                  <w:t xml:space="preserve">1.1.16. vištoms – mažiau kaip 60 000, bet daugiau kaip 20 000; </w:t>
                </w:r>
              </w:p>
              <w:p>
                <w:pPr>
                  <w:jc w:val="both"/>
                  <w:rPr>
                    <w:b/>
                    <w:sz w:val="20"/>
                    <w:lang w:val="en-GB" w:eastAsia="en-GB"/>
                  </w:rPr>
                </w:pPr>
                <w:r>
                  <w:rPr>
                    <w:b/>
                    <w:sz w:val="20"/>
                    <w:lang w:val="en-GB" w:eastAsia="en-GB"/>
                  </w:rPr>
                  <w:t xml:space="preserve">1.1.17. broileriams – mažiau kaip 85 000, bet daugiau kaip 20 000; </w:t>
                </w:r>
              </w:p>
              <w:p>
                <w:pPr>
                  <w:jc w:val="both"/>
                  <w:rPr>
                    <w:b/>
                    <w:sz w:val="20"/>
                    <w:lang w:val="en-GB" w:eastAsia="en-GB"/>
                  </w:rPr>
                </w:pPr>
                <w:r>
                  <w:rPr>
                    <w:b/>
                    <w:sz w:val="20"/>
                    <w:lang w:val="en-GB" w:eastAsia="en-GB"/>
                  </w:rPr>
                  <w:t>1.1.18. antims – 12 000 ar daugiau;</w:t>
                </w:r>
              </w:p>
              <w:p>
                <w:pPr>
                  <w:jc w:val="both"/>
                  <w:rPr>
                    <w:b/>
                    <w:sz w:val="20"/>
                    <w:lang w:val="en-GB" w:eastAsia="en-GB"/>
                  </w:rPr>
                </w:pPr>
                <w:r>
                  <w:rPr>
                    <w:b/>
                    <w:sz w:val="20"/>
                    <w:lang w:val="en-GB" w:eastAsia="en-GB"/>
                  </w:rPr>
                  <w:t>1.1.19. kalakutams, auginamiems iki 70 dienų, – 15 000 ar daugiau;</w:t>
                </w:r>
              </w:p>
              <w:p>
                <w:pPr>
                  <w:jc w:val="both"/>
                  <w:rPr>
                    <w:b/>
                    <w:sz w:val="20"/>
                    <w:lang w:val="en-GB" w:eastAsia="en-GB"/>
                  </w:rPr>
                </w:pPr>
                <w:r>
                  <w:rPr>
                    <w:b/>
                    <w:sz w:val="20"/>
                    <w:lang w:val="en-GB" w:eastAsia="en-GB"/>
                  </w:rPr>
                  <w:t>1.1.20. kalakutams, auginamiems iki 133 dienų, – 7 500 ar daugiau;</w:t>
                </w:r>
              </w:p>
              <w:p>
                <w:pPr>
                  <w:jc w:val="both"/>
                  <w:rPr>
                    <w:b/>
                    <w:sz w:val="20"/>
                    <w:lang w:val="en-GB" w:eastAsia="en-GB"/>
                  </w:rPr>
                </w:pPr>
                <w:r>
                  <w:rPr>
                    <w:b/>
                    <w:sz w:val="20"/>
                    <w:lang w:val="en-GB" w:eastAsia="en-GB"/>
                  </w:rPr>
                  <w:t>1.1.21. žąsims – 7 500 ar daugiau;</w:t>
                </w:r>
              </w:p>
              <w:p>
                <w:pPr>
                  <w:jc w:val="both"/>
                  <w:rPr>
                    <w:b/>
                    <w:sz w:val="20"/>
                    <w:lang w:val="en-GB" w:eastAsia="en-GB"/>
                  </w:rPr>
                </w:pPr>
                <w:r>
                  <w:rPr>
                    <w:b/>
                    <w:sz w:val="20"/>
                    <w:lang w:val="en-GB" w:eastAsia="en-GB"/>
                  </w:rPr>
                  <w:t xml:space="preserve">1.1.22. putpelėms – 20 000 ar daugiau; </w:t>
                </w:r>
              </w:p>
              <w:p>
                <w:pPr>
                  <w:jc w:val="both"/>
                  <w:rPr>
                    <w:b/>
                    <w:sz w:val="20"/>
                    <w:lang w:val="en-GB" w:eastAsia="en-GB"/>
                  </w:rPr>
                </w:pPr>
                <w:r>
                  <w:rPr>
                    <w:b/>
                    <w:sz w:val="20"/>
                    <w:lang w:val="en-GB" w:eastAsia="en-GB"/>
                  </w:rPr>
                  <w:t>1.2. žuvų auginimas ar veisimas (jūroje ar akvakultūros tvenkiniuose, kurių bendras plotas 5 ha ar didesnis);</w:t>
                </w:r>
              </w:p>
              <w:p>
                <w:pPr>
                  <w:jc w:val="both"/>
                  <w:rPr>
                    <w:b/>
                    <w:sz w:val="20"/>
                    <w:lang w:val="en-GB" w:eastAsia="en-GB"/>
                  </w:rPr>
                </w:pPr>
                <w:r>
                  <w:rPr>
                    <w:b/>
                    <w:sz w:val="20"/>
                    <w:lang w:val="en-GB" w:eastAsia="en-GB"/>
                  </w:rPr>
                  <w:t>1.3. vandens išteklių naudojimas žemės ūkio reikmėms, įskaitant sausinimo ir drėkinimo sistemų įrengimą (kai nusausinamas 5 ha ar didesnis plotas arba kai drėkinimui sunaudojama 50 m3 ar daugiau vandens per parą);</w:t>
                </w:r>
              </w:p>
              <w:p>
                <w:pPr>
                  <w:jc w:val="both"/>
                  <w:rPr>
                    <w:b/>
                    <w:sz w:val="20"/>
                    <w:lang w:val="en-GB" w:eastAsia="en-GB"/>
                  </w:rPr>
                </w:pPr>
                <w:r>
                  <w:rPr>
                    <w:b/>
                    <w:sz w:val="20"/>
                    <w:lang w:val="en-GB" w:eastAsia="en-GB"/>
                  </w:rPr>
                  <w:t>1.4. užtvankų ir kitų įrenginių, skirtų vandens sulaikymui ar nuolatiniam saugojimui, įrengimas (daugiau kaip 200 000 m3 vandens tūrio, bet mažiau kaip 5 milijonai m3 arba kai jų vandens paviršiaus plotas mažesnis kaip 250 ha, bet didesnis kaip 10 ha);</w:t>
                </w:r>
              </w:p>
              <w:p>
                <w:pPr>
                  <w:jc w:val="both"/>
                  <w:rPr>
                    <w:b/>
                    <w:sz w:val="20"/>
                    <w:lang w:val="en-GB" w:eastAsia="en-GB"/>
                  </w:rPr>
                </w:pPr>
                <w:r>
                  <w:rPr>
                    <w:b/>
                    <w:sz w:val="20"/>
                    <w:lang w:val="en-GB" w:eastAsia="en-GB"/>
                  </w:rPr>
                  <w:t xml:space="preserve">1.5. natūralių ar pusiau natūralių teritorijų (natūralios pievos ir ganyklos, miškai, kiti želdiniai, pelkės, nenaudojama žemė) panaudojimas intensyviai žemės ūkio veiklai, kai panaudojamas 0,5 ha ar didesnis plotas; </w:t>
                </w:r>
              </w:p>
              <w:p>
                <w:pPr>
                  <w:jc w:val="both"/>
                  <w:rPr>
                    <w:b/>
                    <w:sz w:val="20"/>
                    <w:lang w:val="en-GB" w:eastAsia="en-GB"/>
                  </w:rPr>
                </w:pPr>
                <w:r>
                  <w:rPr>
                    <w:b/>
                    <w:sz w:val="20"/>
                    <w:lang w:val="en-GB" w:eastAsia="en-GB"/>
                  </w:rPr>
                  <w:t>1.6. kaimo plėtros žemėtvarkos projektai (kai planuojamos teritorijos plotas 1 ha ar didesnis), kuriuose planuojamiems sprendiniams įgyvendinti bus keičiamos žemės naudmenos, išskyrus:</w:t>
                </w:r>
              </w:p>
              <w:p>
                <w:pPr>
                  <w:jc w:val="both"/>
                  <w:rPr>
                    <w:b/>
                    <w:sz w:val="20"/>
                    <w:lang w:val="en-GB" w:eastAsia="en-GB"/>
                  </w:rPr>
                </w:pPr>
                <w:r>
                  <w:rPr>
                    <w:b/>
                    <w:sz w:val="20"/>
                    <w:lang w:val="en-GB" w:eastAsia="en-GB"/>
                  </w:rPr>
                  <w:t>1.6.1. ūkininko sodybos statinių – vieno buto gyvenamosios paskirties pastato su pagalbinio ūkio paskirties statiniais statybos zonos nustatymą;</w:t>
                </w:r>
              </w:p>
              <w:p>
                <w:pPr>
                  <w:jc w:val="both"/>
                  <w:rPr>
                    <w:b/>
                    <w:sz w:val="20"/>
                    <w:lang w:val="en-GB" w:eastAsia="en-GB"/>
                  </w:rPr>
                </w:pPr>
                <w:r>
                  <w:rPr>
                    <w:b/>
                    <w:sz w:val="20"/>
                    <w:lang w:val="en-GB" w:eastAsia="en-GB"/>
                  </w:rPr>
                  <w:t>1.6.2. kai planuojamoje teritorijoje numatoma vykdyti šio įstatymo 1 priede ar šiame priede nurodytą ūkinę veiklą;</w:t>
                </w:r>
              </w:p>
              <w:p>
                <w:pPr>
                  <w:jc w:val="both"/>
                  <w:rPr>
                    <w:b/>
                    <w:sz w:val="20"/>
                    <w:lang w:val="en-GB" w:eastAsia="en-GB"/>
                  </w:rPr>
                </w:pPr>
                <w:r>
                  <w:rPr>
                    <w:b/>
                    <w:sz w:val="20"/>
                    <w:lang w:val="en-GB" w:eastAsia="en-GB"/>
                  </w:rPr>
                  <w:t>1.7. miško įveisimas ar miško iškirtimas keičiant žemės naudmenas, kai:</w:t>
                </w:r>
              </w:p>
              <w:p>
                <w:pPr>
                  <w:jc w:val="both"/>
                  <w:rPr>
                    <w:b/>
                    <w:sz w:val="20"/>
                    <w:lang w:val="en-GB" w:eastAsia="en-GB"/>
                  </w:rPr>
                </w:pPr>
                <w:r>
                  <w:rPr>
                    <w:b/>
                    <w:sz w:val="20"/>
                    <w:lang w:val="en-GB" w:eastAsia="en-GB"/>
                  </w:rPr>
                  <w:t>1.7.1. miškas įveisiamas didesniame kaip 10 ha žemės plote;</w:t>
                </w:r>
              </w:p>
              <w:p>
                <w:pPr>
                  <w:jc w:val="both"/>
                  <w:rPr>
                    <w:b/>
                    <w:sz w:val="20"/>
                    <w:lang w:val="en-GB" w:eastAsia="en-GB"/>
                  </w:rPr>
                </w:pPr>
                <w:r>
                  <w:rPr>
                    <w:b/>
                    <w:sz w:val="20"/>
                    <w:lang w:val="en-GB" w:eastAsia="en-GB"/>
                  </w:rPr>
                  <w:t>1.7.2. miškas iškertamas kaimo vietovėse 1 ha ir didesniame žemės plote, miestuose – bet kokio dydžio žemės plote, išskyrus atvejus, kai atkuriamos atviros Europos Bendrijos svarbos natūralios buveinės ar rūšių buveinės;</w:t>
                </w:r>
              </w:p>
              <w:p>
                <w:pPr>
                  <w:jc w:val="both"/>
                  <w:rPr>
                    <w:b/>
                    <w:sz w:val="20"/>
                    <w:lang w:val="en-GB" w:eastAsia="en-GB"/>
                  </w:rPr>
                </w:pPr>
                <w:r>
                  <w:rPr>
                    <w:b/>
                    <w:sz w:val="20"/>
                    <w:lang w:val="en-GB" w:eastAsia="en-GB"/>
                  </w:rPr>
                  <w:t>1.8. žemės plotų atgavimas iš jūros.</w:t>
                </w:r>
              </w:p>
              <w:p>
                <w:pPr>
                  <w:jc w:val="both"/>
                  <w:rPr>
                    <w:b/>
                    <w:sz w:val="20"/>
                    <w:lang w:val="en-GB" w:eastAsia="en-GB"/>
                  </w:rPr>
                </w:pPr>
                <w:r>
                  <w:rPr>
                    <w:b/>
                    <w:sz w:val="20"/>
                    <w:lang w:val="en-GB" w:eastAsia="en-GB"/>
                  </w:rPr>
                  <w:t>2. Gavyba ir perdirbamoji pramonė:</w:t>
                </w:r>
              </w:p>
              <w:p>
                <w:pPr>
                  <w:jc w:val="both"/>
                  <w:rPr>
                    <w:b/>
                    <w:sz w:val="20"/>
                    <w:lang w:val="en-GB" w:eastAsia="en-GB"/>
                  </w:rPr>
                </w:pPr>
                <w:r>
                  <w:rPr>
                    <w:b/>
                    <w:sz w:val="20"/>
                    <w:lang w:val="en-GB" w:eastAsia="en-GB"/>
                  </w:rPr>
                  <w:t>2.1. durpių gavyba (kai gavybos sklypas – mažesnis kaip 150 ha, bet didesnis kaip 0,5 ha);</w:t>
                </w:r>
              </w:p>
              <w:p>
                <w:pPr>
                  <w:jc w:val="both"/>
                  <w:rPr>
                    <w:b/>
                    <w:sz w:val="20"/>
                    <w:lang w:val="en-GB" w:eastAsia="en-GB"/>
                  </w:rPr>
                </w:pPr>
                <w:r>
                  <w:rPr>
                    <w:b/>
                    <w:sz w:val="20"/>
                    <w:lang w:val="en-GB" w:eastAsia="en-GB"/>
                  </w:rPr>
                  <w:t>2.2. tradicinių angliavandenilių (naftos) gavyba Lietuvos Respublikos žemyninėje dalyje (kai telkinyje išgaunama 500 ar mažiau tonų naftos per parą);</w:t>
                </w:r>
              </w:p>
              <w:p>
                <w:pPr>
                  <w:jc w:val="both"/>
                  <w:rPr>
                    <w:b/>
                    <w:sz w:val="20"/>
                    <w:lang w:val="en-GB" w:eastAsia="en-GB"/>
                  </w:rPr>
                </w:pPr>
                <w:r>
                  <w:rPr>
                    <w:b/>
                    <w:sz w:val="20"/>
                    <w:lang w:val="en-GB" w:eastAsia="en-GB"/>
                  </w:rPr>
                  <w:t>2.3. tradicinių angliavandenilių (dujų) gavyba Lietuvos Respublikos žemyninėje dalyje (kai telkinyje išgaunama 500 000 ar mažiau m3 dujų per parą);</w:t>
                </w:r>
              </w:p>
              <w:p>
                <w:pPr>
                  <w:jc w:val="both"/>
                  <w:rPr>
                    <w:b/>
                    <w:sz w:val="20"/>
                    <w:lang w:val="en-GB" w:eastAsia="en-GB"/>
                  </w:rPr>
                </w:pPr>
                <w:r>
                  <w:rPr>
                    <w:b/>
                    <w:sz w:val="20"/>
                    <w:lang w:val="en-GB" w:eastAsia="en-GB"/>
                  </w:rPr>
                  <w:t>2.4. kitų naudingųjų iškasenų gavyba (kai gavybos sklypas – mažesnis kaip 25 ha, bet didesnis kaip 0,5 ha);</w:t>
                </w:r>
              </w:p>
              <w:p>
                <w:pPr>
                  <w:jc w:val="both"/>
                  <w:rPr>
                    <w:b/>
                    <w:sz w:val="20"/>
                    <w:lang w:val="en-GB" w:eastAsia="en-GB"/>
                  </w:rPr>
                </w:pPr>
                <w:r>
                  <w:rPr>
                    <w:b/>
                    <w:sz w:val="20"/>
                    <w:lang w:val="en-GB" w:eastAsia="en-GB"/>
                  </w:rPr>
                  <w:t>2.5. mineralinių ar organinių medžiagų gavyba iš jūrų, ežerų ar upių dugno;</w:t>
                </w:r>
              </w:p>
              <w:p>
                <w:pPr>
                  <w:jc w:val="both"/>
                  <w:rPr>
                    <w:b/>
                    <w:sz w:val="20"/>
                    <w:lang w:val="en-GB" w:eastAsia="en-GB"/>
                  </w:rPr>
                </w:pPr>
                <w:r>
                  <w:rPr>
                    <w:b/>
                    <w:sz w:val="20"/>
                    <w:lang w:val="en-GB" w:eastAsia="en-GB"/>
                  </w:rPr>
                  <w:t>2.6. giluminių gręžinių (geoterminių, požeminio vandens, mineralinio vandens gavybos, išsklaidytųjų ir tradicinių angliavandenilių išteklių tiesioginio tyrimo gręžinių ir kt.), kurių gylis 300 m ir daugiau, gręžimas ir įrengimas, išskyrus šio įstatymo 1 priedo 2.7 papunktyje nurodytą veiklą ir gręžinius, skirtus grunto stabilumui tirti;</w:t>
                </w:r>
              </w:p>
              <w:p>
                <w:pPr>
                  <w:jc w:val="both"/>
                  <w:rPr>
                    <w:b/>
                    <w:sz w:val="20"/>
                    <w:lang w:val="en-GB" w:eastAsia="en-GB"/>
                  </w:rPr>
                </w:pPr>
                <w:r>
                  <w:rPr>
                    <w:b/>
                    <w:sz w:val="20"/>
                    <w:lang w:val="en-GB" w:eastAsia="en-GB"/>
                  </w:rPr>
                  <w:t>2.7. šachtų tipo kasyklų įrengimas.</w:t>
                </w:r>
              </w:p>
              <w:p>
                <w:pPr>
                  <w:jc w:val="both"/>
                  <w:rPr>
                    <w:b/>
                    <w:sz w:val="20"/>
                    <w:lang w:val="en-GB" w:eastAsia="en-GB"/>
                  </w:rPr>
                </w:pPr>
                <w:r>
                  <w:rPr>
                    <w:b/>
                    <w:sz w:val="20"/>
                    <w:lang w:val="en-GB" w:eastAsia="en-GB"/>
                  </w:rPr>
                  <w:t>3. Energetika:</w:t>
                </w:r>
              </w:p>
              <w:p>
                <w:pPr>
                  <w:jc w:val="both"/>
                  <w:rPr>
                    <w:b/>
                    <w:sz w:val="20"/>
                    <w:lang w:val="en-GB" w:eastAsia="en-GB"/>
                  </w:rPr>
                </w:pPr>
                <w:r>
                  <w:rPr>
                    <w:b/>
                    <w:sz w:val="20"/>
                    <w:lang w:val="en-GB" w:eastAsia="en-GB"/>
                  </w:rPr>
                  <w:t>3.1. šiluminių elektrinių bei kitų deginimo įrenginių, įskaitant pramoninius įrenginius elektrai, garui gaminti ar vandeniui šildyti, įrengimas (kai įrenginių vardinė (nominali) šiluminė galia – mažesnė kaip 150 MW, bet didesnė kaip 5 MW);</w:t>
                </w:r>
              </w:p>
              <w:p>
                <w:pPr>
                  <w:jc w:val="both"/>
                  <w:rPr>
                    <w:b/>
                    <w:sz w:val="20"/>
                    <w:lang w:val="en-GB" w:eastAsia="en-GB"/>
                  </w:rPr>
                </w:pPr>
                <w:r>
                  <w:rPr>
                    <w:b/>
                    <w:sz w:val="20"/>
                    <w:lang w:val="en-GB" w:eastAsia="en-GB"/>
                  </w:rPr>
                  <w:t>3.2. garo ar karšto vandens tiekimo vamzdynų tiesimas (kai ilgis – 2 ar daugiau km);</w:t>
                </w:r>
              </w:p>
              <w:p>
                <w:pPr>
                  <w:jc w:val="both"/>
                  <w:rPr>
                    <w:b/>
                    <w:sz w:val="20"/>
                    <w:lang w:val="en-GB" w:eastAsia="en-GB"/>
                  </w:rPr>
                </w:pPr>
                <w:r>
                  <w:rPr>
                    <w:b/>
                    <w:sz w:val="20"/>
                    <w:lang w:val="en-GB" w:eastAsia="en-GB"/>
                  </w:rPr>
                  <w:t>3.3. gamtinių dujų saugyklų įrengimas (kai talpa – 10 000 ar daugiau m3);</w:t>
                </w:r>
              </w:p>
              <w:p>
                <w:pPr>
                  <w:jc w:val="both"/>
                  <w:rPr>
                    <w:b/>
                    <w:sz w:val="20"/>
                    <w:lang w:val="en-GB" w:eastAsia="en-GB"/>
                  </w:rPr>
                </w:pPr>
                <w:r>
                  <w:rPr>
                    <w:b/>
                    <w:sz w:val="20"/>
                    <w:lang w:val="en-GB" w:eastAsia="en-GB"/>
                  </w:rPr>
                  <w:t>3.4. degiųjų dujų požeminių saugyklų įrengimas (kai talpa – 10 000 ar daugiau m3);</w:t>
                </w:r>
              </w:p>
              <w:p>
                <w:pPr>
                  <w:jc w:val="both"/>
                  <w:rPr>
                    <w:b/>
                    <w:sz w:val="20"/>
                    <w:lang w:val="en-GB" w:eastAsia="en-GB"/>
                  </w:rPr>
                </w:pPr>
                <w:r>
                  <w:rPr>
                    <w:b/>
                    <w:sz w:val="20"/>
                    <w:lang w:val="en-GB" w:eastAsia="en-GB"/>
                  </w:rPr>
                  <w:t>3.5. kito iškastinio kuro saugojimas statiniuose (sandėliuose ar aikštelėse) (kai talpa – 1 000 ar daugiau tonų), išskyrus šio priedo 3.3 ir 6.6 papunkčiuose nurodytą veiklą;</w:t>
                </w:r>
              </w:p>
              <w:p>
                <w:pPr>
                  <w:jc w:val="both"/>
                  <w:rPr>
                    <w:b/>
                    <w:sz w:val="20"/>
                    <w:lang w:val="en-GB" w:eastAsia="en-GB"/>
                  </w:rPr>
                </w:pPr>
                <w:r>
                  <w:rPr>
                    <w:b/>
                    <w:sz w:val="20"/>
                    <w:lang w:val="en-GB" w:eastAsia="en-GB"/>
                  </w:rPr>
                  <w:t>3.6. briketų gamyba iš anglių ar lignito;</w:t>
                </w:r>
              </w:p>
              <w:p>
                <w:pPr>
                  <w:jc w:val="both"/>
                  <w:rPr>
                    <w:b/>
                    <w:sz w:val="20"/>
                    <w:lang w:val="en-GB" w:eastAsia="en-GB"/>
                  </w:rPr>
                </w:pPr>
                <w:r>
                  <w:rPr>
                    <w:b/>
                    <w:sz w:val="20"/>
                    <w:lang w:val="en-GB" w:eastAsia="en-GB"/>
                  </w:rPr>
                  <w:t>3.7. vandens jėgainių (hidroelektrinių, malūnų, lentpjūvių, naudojančių sukauptą vandens energiją) įrengimas;</w:t>
                </w:r>
              </w:p>
              <w:p>
                <w:pPr>
                  <w:jc w:val="both"/>
                  <w:rPr>
                    <w:b/>
                    <w:sz w:val="20"/>
                    <w:lang w:val="en-GB" w:eastAsia="en-GB"/>
                  </w:rPr>
                </w:pPr>
                <w:r>
                  <w:rPr>
                    <w:b/>
                    <w:sz w:val="20"/>
                    <w:lang w:val="en-GB" w:eastAsia="en-GB"/>
                  </w:rPr>
                  <w:t>3.8. vėjo elektrinių įrengimas, kai:</w:t>
                </w:r>
              </w:p>
              <w:p>
                <w:pPr>
                  <w:jc w:val="both"/>
                  <w:rPr>
                    <w:b/>
                    <w:sz w:val="20"/>
                    <w:lang w:val="en-GB" w:eastAsia="en-GB"/>
                  </w:rPr>
                </w:pPr>
                <w:r>
                  <w:rPr>
                    <w:b/>
                    <w:sz w:val="20"/>
                    <w:lang w:val="en-GB" w:eastAsia="en-GB"/>
                  </w:rPr>
                  <w:t>3.8.1. įrengiamos 3 vėjo elektrinės, kurių bent vienos aukštis 50 m (matuojant iki aukščiausio konstrukcijų taško) ar daugiau;</w:t>
                </w:r>
              </w:p>
              <w:p>
                <w:pPr>
                  <w:jc w:val="both"/>
                  <w:rPr>
                    <w:b/>
                    <w:sz w:val="20"/>
                    <w:lang w:val="en-GB" w:eastAsia="en-GB"/>
                  </w:rPr>
                </w:pPr>
                <w:r>
                  <w:rPr>
                    <w:b/>
                    <w:sz w:val="20"/>
                    <w:lang w:val="en-GB" w:eastAsia="en-GB"/>
                  </w:rPr>
                  <w:t>3.8.2. vėjo elektrinė įrengiama arčiau kaip 1 km atstumu nuo saugomos teritorijos, išskyrus atvejus, kai įrengiama ne daugiau kaip viena ir ne aukštesnė kaip 25 m (matuojant iki aukščiausio konstrukcijų taško) vėjo elektrinė sodyboje ar prie ūkinių pastatų;</w:t>
                </w:r>
              </w:p>
              <w:p>
                <w:pPr>
                  <w:jc w:val="both"/>
                  <w:rPr>
                    <w:b/>
                    <w:sz w:val="20"/>
                    <w:lang w:val="en-GB" w:eastAsia="en-GB"/>
                  </w:rPr>
                </w:pPr>
                <w:r>
                  <w:rPr>
                    <w:b/>
                    <w:sz w:val="20"/>
                    <w:lang w:val="en-GB" w:eastAsia="en-GB"/>
                  </w:rPr>
                  <w:t>3.9. įrenginių, naudojamų anglies dioksido (CO2), kuris saugomas geologinėse saugyklose, surinkimui iš įrenginių, nenurodytų šio įstatymo 1 priedo 9.12 papunktyje, įrengimas.</w:t>
                </w:r>
              </w:p>
              <w:p>
                <w:pPr>
                  <w:jc w:val="both"/>
                  <w:rPr>
                    <w:b/>
                    <w:sz w:val="20"/>
                    <w:lang w:val="en-GB" w:eastAsia="en-GB"/>
                  </w:rPr>
                </w:pPr>
                <w:r>
                  <w:rPr>
                    <w:b/>
                    <w:sz w:val="20"/>
                    <w:lang w:val="en-GB" w:eastAsia="en-GB"/>
                  </w:rPr>
                  <w:t>4. Metalų gamybos, perdirbimo ir apdirbimo pramonė:</w:t>
                </w:r>
              </w:p>
              <w:p>
                <w:pPr>
                  <w:jc w:val="both"/>
                  <w:rPr>
                    <w:b/>
                    <w:sz w:val="20"/>
                    <w:lang w:val="en-GB" w:eastAsia="en-GB"/>
                  </w:rPr>
                </w:pPr>
                <w:r>
                  <w:rPr>
                    <w:b/>
                    <w:sz w:val="20"/>
                    <w:lang w:val="en-GB" w:eastAsia="en-GB"/>
                  </w:rPr>
                  <w:t>4.1. metalų rūdų perdirbimas, išskyrus šio įstatymo 1 priedo 4.2 papunktyje nurodytą veiklą;</w:t>
                </w:r>
              </w:p>
              <w:p>
                <w:pPr>
                  <w:jc w:val="both"/>
                  <w:rPr>
                    <w:b/>
                    <w:sz w:val="20"/>
                    <w:lang w:val="en-GB" w:eastAsia="en-GB"/>
                  </w:rPr>
                </w:pPr>
                <w:r>
                  <w:rPr>
                    <w:b/>
                    <w:sz w:val="20"/>
                    <w:lang w:val="en-GB" w:eastAsia="en-GB"/>
                  </w:rPr>
                  <w:t>4.2. juodųjų metalų (įskaitant ketų ir plieną) gamyba (pirminis ar antrinis lydymas arba liejimas), išskyrus šio įstatymo 1 priedo 4.1 papunktyje nurodytą veiklą;</w:t>
                </w:r>
              </w:p>
              <w:p>
                <w:pPr>
                  <w:jc w:val="both"/>
                  <w:rPr>
                    <w:b/>
                    <w:sz w:val="20"/>
                    <w:lang w:val="en-GB" w:eastAsia="en-GB"/>
                  </w:rPr>
                </w:pPr>
                <w:r>
                  <w:rPr>
                    <w:b/>
                    <w:sz w:val="20"/>
                    <w:lang w:val="en-GB" w:eastAsia="en-GB"/>
                  </w:rPr>
                  <w:t>4.3. juodųjų metalų perdirbimas ir (ar) apdirbimas, įskaitant:</w:t>
                </w:r>
              </w:p>
              <w:p>
                <w:pPr>
                  <w:jc w:val="both"/>
                  <w:rPr>
                    <w:b/>
                    <w:sz w:val="20"/>
                    <w:lang w:val="en-GB" w:eastAsia="en-GB"/>
                  </w:rPr>
                </w:pPr>
                <w:r>
                  <w:rPr>
                    <w:b/>
                    <w:sz w:val="20"/>
                    <w:lang w:val="en-GB" w:eastAsia="en-GB"/>
                  </w:rPr>
                  <w:t xml:space="preserve">4.3.1. karštą valcavimą </w:t>
                </w:r>
                <w:r>
                  <w:rPr>
                    <w:szCs w:val="24"/>
                    <w:lang w:val="en-GB" w:eastAsia="en-GB"/>
                  </w:rPr>
                  <w:t>(kai gamybos pajėgumas – 5 ar daugiau tonų per parą)</w:t>
                </w:r>
                <w:r>
                  <w:rPr>
                    <w:b/>
                    <w:sz w:val="20"/>
                    <w:lang w:val="en-GB" w:eastAsia="en-GB"/>
                  </w:rPr>
                  <w:t>;</w:t>
                </w:r>
              </w:p>
              <w:p>
                <w:pPr>
                  <w:jc w:val="both"/>
                  <w:rPr>
                    <w:b/>
                    <w:sz w:val="20"/>
                    <w:lang w:val="en-GB" w:eastAsia="en-GB"/>
                  </w:rPr>
                </w:pPr>
                <w:r>
                  <w:rPr>
                    <w:b/>
                    <w:sz w:val="20"/>
                    <w:lang w:val="en-GB" w:eastAsia="en-GB"/>
                  </w:rPr>
                  <w:t xml:space="preserve">4.3.2. kalimą </w:t>
                </w:r>
                <w:r>
                  <w:rPr>
                    <w:szCs w:val="24"/>
                    <w:lang w:val="en-GB" w:eastAsia="en-GB"/>
                  </w:rPr>
                  <w:t>(kai naudojami pneumatiniai, hidrauliniai ar gariniai kūjai)</w:t>
                </w:r>
                <w:r>
                  <w:rPr>
                    <w:b/>
                    <w:sz w:val="20"/>
                    <w:lang w:val="en-GB" w:eastAsia="en-GB"/>
                  </w:rPr>
                  <w:t>;</w:t>
                </w:r>
              </w:p>
              <w:p>
                <w:pPr>
                  <w:jc w:val="both"/>
                  <w:rPr>
                    <w:b/>
                    <w:sz w:val="20"/>
                    <w:lang w:val="en-GB" w:eastAsia="en-GB"/>
                  </w:rPr>
                </w:pPr>
                <w:r>
                  <w:rPr>
                    <w:b/>
                    <w:sz w:val="20"/>
                    <w:lang w:val="en-GB" w:eastAsia="en-GB"/>
                  </w:rPr>
                  <w:t xml:space="preserve">4.3.3. presavimą, štampavimą, profiliavimą </w:t>
                </w:r>
                <w:r>
                  <w:rPr>
                    <w:szCs w:val="24"/>
                    <w:lang w:val="en-GB" w:eastAsia="en-GB"/>
                  </w:rPr>
                  <w:t>(kai gamybos pajėgumas – 5 ar daugiau tonų per parą);</w:t>
                </w:r>
              </w:p>
              <w:p>
                <w:pPr>
                  <w:jc w:val="both"/>
                  <w:rPr>
                    <w:b/>
                    <w:sz w:val="20"/>
                    <w:lang w:val="en-GB" w:eastAsia="en-GB"/>
                  </w:rPr>
                </w:pPr>
                <w:r>
                  <w:rPr>
                    <w:b/>
                    <w:sz w:val="20"/>
                    <w:lang w:val="en-GB" w:eastAsia="en-GB"/>
                  </w:rPr>
                  <w:t xml:space="preserve">4.3.4. apsauginės aplydytosios dangos </w:t>
                </w:r>
                <w:r>
                  <w:rPr>
                    <w:szCs w:val="24"/>
                    <w:lang w:val="en-GB" w:eastAsia="en-GB"/>
                  </w:rPr>
                  <w:t xml:space="preserve">(kai jos įkrova didesnė kaip 0,5 tonos termiškai neapdoroto plieno per parą) </w:t>
                </w:r>
                <w:r>
                  <w:rPr>
                    <w:b/>
                    <w:sz w:val="20"/>
                    <w:lang w:val="en-GB" w:eastAsia="en-GB"/>
                  </w:rPr>
                  <w:t>taikymą;</w:t>
                </w:r>
              </w:p>
              <w:p>
                <w:pPr>
                  <w:jc w:val="both"/>
                  <w:rPr>
                    <w:b/>
                    <w:sz w:val="20"/>
                    <w:lang w:val="en-GB" w:eastAsia="en-GB"/>
                  </w:rPr>
                </w:pPr>
                <w:r>
                  <w:rPr>
                    <w:b/>
                    <w:sz w:val="20"/>
                    <w:lang w:val="en-GB" w:eastAsia="en-GB"/>
                  </w:rPr>
                  <w:t>4.4. spalvotųjų metalų (išskyrus tauriuosius) lydymas ar liejimas, įskaitant antrinių žaliavų perdirbimą (valymą, liejimą ir t. t.) (kai gamybos pajėgumas – 15 ar daugiau tonų per parą);</w:t>
                </w:r>
              </w:p>
              <w:p>
                <w:pPr>
                  <w:jc w:val="both"/>
                  <w:rPr>
                    <w:b/>
                    <w:sz w:val="20"/>
                    <w:lang w:val="en-GB" w:eastAsia="en-GB"/>
                  </w:rPr>
                </w:pPr>
                <w:r>
                  <w:rPr>
                    <w:b/>
                    <w:sz w:val="20"/>
                    <w:lang w:val="en-GB" w:eastAsia="en-GB"/>
                  </w:rPr>
                  <w:t>4.5. metalų ar plastikų paviršių apdorojimas elektrolizės ar cheminiais būdais (kai gamybos pajėgumas – 50 000 ar daugiau m2 per metus);</w:t>
                </w:r>
              </w:p>
              <w:p>
                <w:pPr>
                  <w:jc w:val="both"/>
                  <w:rPr>
                    <w:b/>
                    <w:sz w:val="20"/>
                    <w:lang w:val="en-GB" w:eastAsia="en-GB"/>
                  </w:rPr>
                </w:pPr>
                <w:r>
                  <w:rPr>
                    <w:b/>
                    <w:sz w:val="20"/>
                    <w:lang w:val="en-GB" w:eastAsia="en-GB"/>
                  </w:rPr>
                  <w:t>4.6. variklinių transporto priemonių gamyba ir surinkimas;</w:t>
                </w:r>
              </w:p>
              <w:p>
                <w:pPr>
                  <w:jc w:val="both"/>
                  <w:rPr>
                    <w:b/>
                    <w:sz w:val="20"/>
                    <w:lang w:val="en-GB" w:eastAsia="en-GB"/>
                  </w:rPr>
                </w:pPr>
                <w:r>
                  <w:rPr>
                    <w:b/>
                    <w:sz w:val="20"/>
                    <w:lang w:val="en-GB" w:eastAsia="en-GB"/>
                  </w:rPr>
                  <w:t>4.7. laivų statyba, perdirbimas ar remontas;</w:t>
                </w:r>
              </w:p>
              <w:p>
                <w:pPr>
                  <w:jc w:val="both"/>
                  <w:rPr>
                    <w:b/>
                    <w:sz w:val="20"/>
                    <w:lang w:val="en-GB" w:eastAsia="en-GB"/>
                  </w:rPr>
                </w:pPr>
                <w:r>
                  <w:rPr>
                    <w:b/>
                    <w:sz w:val="20"/>
                    <w:lang w:val="en-GB" w:eastAsia="en-GB"/>
                  </w:rPr>
                  <w:t>4.8. orlaivių gamyba ar remontas;</w:t>
                </w:r>
              </w:p>
              <w:p>
                <w:pPr>
                  <w:jc w:val="both"/>
                  <w:rPr>
                    <w:b/>
                    <w:sz w:val="20"/>
                    <w:lang w:val="en-GB" w:eastAsia="en-GB"/>
                  </w:rPr>
                </w:pPr>
                <w:r>
                  <w:rPr>
                    <w:b/>
                    <w:sz w:val="20"/>
                    <w:lang w:val="en-GB" w:eastAsia="en-GB"/>
                  </w:rPr>
                  <w:t>4.9. geležinkelių įrangos gamyba, kai gamybos pajėgumas 5 ar daugiau tonų per parą;</w:t>
                </w:r>
              </w:p>
              <w:p>
                <w:pPr>
                  <w:jc w:val="both"/>
                  <w:rPr>
                    <w:b/>
                    <w:sz w:val="20"/>
                    <w:lang w:val="en-GB" w:eastAsia="en-GB"/>
                  </w:rPr>
                </w:pPr>
                <w:r>
                  <w:rPr>
                    <w:b/>
                    <w:sz w:val="20"/>
                    <w:lang w:val="en-GB" w:eastAsia="en-GB"/>
                  </w:rPr>
                  <w:t>4.10. metalų kalimas, presavimas ar štampavimas sprogstamuoju būdu.</w:t>
                </w:r>
              </w:p>
              <w:p>
                <w:pPr>
                  <w:jc w:val="both"/>
                  <w:rPr>
                    <w:b/>
                    <w:sz w:val="20"/>
                    <w:lang w:val="en-GB" w:eastAsia="en-GB"/>
                  </w:rPr>
                </w:pPr>
                <w:r>
                  <w:rPr>
                    <w:b/>
                    <w:sz w:val="20"/>
                    <w:lang w:val="en-GB" w:eastAsia="en-GB"/>
                  </w:rPr>
                  <w:t>5. Mineralinių statybinių medžiagų pramonė:</w:t>
                </w:r>
              </w:p>
              <w:p>
                <w:pPr>
                  <w:jc w:val="both"/>
                  <w:rPr>
                    <w:b/>
                    <w:sz w:val="20"/>
                    <w:lang w:val="en-GB" w:eastAsia="en-GB"/>
                  </w:rPr>
                </w:pPr>
                <w:r>
                  <w:rPr>
                    <w:b/>
                    <w:sz w:val="20"/>
                    <w:lang w:val="en-GB" w:eastAsia="en-GB"/>
                  </w:rPr>
                  <w:t>5.1. kokso gamyba (sausas anglių distiliavimas);</w:t>
                </w:r>
              </w:p>
              <w:p>
                <w:pPr>
                  <w:jc w:val="both"/>
                  <w:rPr>
                    <w:b/>
                    <w:sz w:val="20"/>
                    <w:lang w:val="en-GB" w:eastAsia="en-GB"/>
                  </w:rPr>
                </w:pPr>
                <w:r>
                  <w:rPr>
                    <w:b/>
                    <w:sz w:val="20"/>
                    <w:lang w:val="en-GB" w:eastAsia="en-GB"/>
                  </w:rPr>
                  <w:t>5.2. asbesto perdirbimas, asbesto turinčių gaminių gamyba, išskyrus šio įstatymo 1 priedo 5 punkte nurodytą veiklą;</w:t>
                </w:r>
              </w:p>
              <w:p>
                <w:pPr>
                  <w:jc w:val="both"/>
                  <w:rPr>
                    <w:b/>
                    <w:sz w:val="20"/>
                    <w:lang w:val="en-GB" w:eastAsia="en-GB"/>
                  </w:rPr>
                </w:pPr>
                <w:r>
                  <w:rPr>
                    <w:b/>
                    <w:sz w:val="20"/>
                    <w:lang w:val="en-GB" w:eastAsia="en-GB"/>
                  </w:rPr>
                  <w:t>5.3. stiklo ar stiklo pluoštų gamyba;</w:t>
                </w:r>
              </w:p>
              <w:p>
                <w:pPr>
                  <w:jc w:val="both"/>
                  <w:rPr>
                    <w:b/>
                    <w:sz w:val="20"/>
                    <w:lang w:val="en-GB" w:eastAsia="en-GB"/>
                  </w:rPr>
                </w:pPr>
                <w:r>
                  <w:rPr>
                    <w:b/>
                    <w:sz w:val="20"/>
                    <w:lang w:val="en-GB" w:eastAsia="en-GB"/>
                  </w:rPr>
                  <w:t>5.4. mineralinių medžiagų lydymas (pvz., natūralaus asfalto (bitumo) gamyba iš gamtinių dervų arba perdirbant naftą), įskaitant mineralinių pluoštų gamybą;</w:t>
                </w:r>
              </w:p>
              <w:p>
                <w:pPr>
                  <w:jc w:val="both"/>
                  <w:rPr>
                    <w:b/>
                    <w:sz w:val="20"/>
                    <w:lang w:val="en-GB" w:eastAsia="en-GB"/>
                  </w:rPr>
                </w:pPr>
                <w:r>
                  <w:rPr>
                    <w:b/>
                    <w:sz w:val="20"/>
                    <w:lang w:val="en-GB" w:eastAsia="en-GB"/>
                  </w:rPr>
                  <w:t>5.5. dirbtinių mineralinių pluoštų gamyba;</w:t>
                </w:r>
              </w:p>
              <w:p>
                <w:pPr>
                  <w:jc w:val="both"/>
                  <w:rPr>
                    <w:b/>
                    <w:sz w:val="20"/>
                    <w:lang w:val="en-GB" w:eastAsia="en-GB"/>
                  </w:rPr>
                </w:pPr>
                <w:r>
                  <w:rPr>
                    <w:b/>
                    <w:sz w:val="20"/>
                    <w:lang w:val="en-GB" w:eastAsia="en-GB"/>
                  </w:rPr>
                  <w:t>5.6. keramikos gaminių iš molio – čerpių, blokelių, plytų, koklių, įskaitant porceliano dirbinius, gamyba degimo būdu (kai gamybos pajėgumas – 3 ar daugiau tonų per parą);</w:t>
                </w:r>
              </w:p>
              <w:p>
                <w:pPr>
                  <w:jc w:val="both"/>
                  <w:rPr>
                    <w:b/>
                    <w:sz w:val="20"/>
                    <w:lang w:val="en-GB" w:eastAsia="en-GB"/>
                  </w:rPr>
                </w:pPr>
                <w:r>
                  <w:rPr>
                    <w:b/>
                    <w:sz w:val="20"/>
                    <w:lang w:val="en-GB" w:eastAsia="en-GB"/>
                  </w:rPr>
                  <w:t>5.7. cemento gamyba.</w:t>
                </w:r>
              </w:p>
              <w:p>
                <w:pPr>
                  <w:jc w:val="both"/>
                  <w:rPr>
                    <w:b/>
                    <w:sz w:val="20"/>
                    <w:lang w:val="en-GB" w:eastAsia="en-GB"/>
                  </w:rPr>
                </w:pPr>
                <w:r>
                  <w:rPr>
                    <w:b/>
                    <w:sz w:val="20"/>
                    <w:lang w:val="en-GB" w:eastAsia="en-GB"/>
                  </w:rPr>
                  <w:t>6. Chemijos pramonė:</w:t>
                </w:r>
              </w:p>
              <w:p>
                <w:pPr>
                  <w:jc w:val="both"/>
                  <w:rPr>
                    <w:b/>
                    <w:sz w:val="20"/>
                    <w:lang w:val="en-GB" w:eastAsia="en-GB"/>
                  </w:rPr>
                </w:pPr>
                <w:r>
                  <w:rPr>
                    <w:b/>
                    <w:sz w:val="20"/>
                    <w:lang w:val="en-GB" w:eastAsia="en-GB"/>
                  </w:rPr>
                  <w:t>6.1. tarpinių cheminių medžiagų apdorojimas ir cheminių medžiagų gamyba, išskyrus šio įstatymo 1 priedo 6.1 ir 6.2 papunkčiuose nurodytą veiklą, kai gamybos pajėgumas – 5 ar daugiau tonų per parą;</w:t>
                </w:r>
              </w:p>
              <w:p>
                <w:pPr>
                  <w:jc w:val="both"/>
                  <w:rPr>
                    <w:b/>
                    <w:sz w:val="20"/>
                    <w:lang w:val="en-GB" w:eastAsia="en-GB"/>
                  </w:rPr>
                </w:pPr>
                <w:r>
                  <w:rPr>
                    <w:b/>
                    <w:sz w:val="20"/>
                    <w:lang w:val="en-GB" w:eastAsia="en-GB"/>
                  </w:rPr>
                  <w:t>6.2. pesticidų gamyba (kai gamybos pajėgumas – 5 ar daugiau tonų per parą);</w:t>
                </w:r>
              </w:p>
              <w:p>
                <w:pPr>
                  <w:jc w:val="both"/>
                  <w:rPr>
                    <w:b/>
                    <w:sz w:val="20"/>
                    <w:lang w:val="en-GB" w:eastAsia="en-GB"/>
                  </w:rPr>
                </w:pPr>
                <w:r>
                  <w:rPr>
                    <w:b/>
                    <w:sz w:val="20"/>
                    <w:lang w:val="en-GB" w:eastAsia="en-GB"/>
                  </w:rPr>
                  <w:t>6.3. dažų ir lakų gamyba (kai gamybos pajėgumas – 5 ar daugiau tonų per parą);</w:t>
                </w:r>
              </w:p>
              <w:p>
                <w:pPr>
                  <w:jc w:val="both"/>
                  <w:rPr>
                    <w:b/>
                    <w:sz w:val="20"/>
                    <w:lang w:val="en-GB" w:eastAsia="en-GB"/>
                  </w:rPr>
                </w:pPr>
                <w:r>
                  <w:rPr>
                    <w:b/>
                    <w:sz w:val="20"/>
                    <w:lang w:val="en-GB" w:eastAsia="en-GB"/>
                  </w:rPr>
                  <w:t>6.4. peroksidų gamyba (kai gamybos pajėgumas – 5 ar daugiau tonų per parą);</w:t>
                </w:r>
              </w:p>
              <w:p>
                <w:pPr>
                  <w:jc w:val="both"/>
                  <w:rPr>
                    <w:b/>
                    <w:sz w:val="20"/>
                    <w:lang w:val="en-GB" w:eastAsia="en-GB"/>
                  </w:rPr>
                </w:pPr>
                <w:r>
                  <w:rPr>
                    <w:b/>
                    <w:sz w:val="20"/>
                    <w:lang w:val="en-GB" w:eastAsia="en-GB"/>
                  </w:rPr>
                  <w:t>6.5. elastomerų gamyba (kai gamybos pajėgumas – 5 ar daugiau tonų per parą);</w:t>
                </w:r>
              </w:p>
              <w:p>
                <w:pPr>
                  <w:jc w:val="both"/>
                  <w:rPr>
                    <w:b/>
                    <w:sz w:val="20"/>
                    <w:lang w:val="en-GB" w:eastAsia="en-GB"/>
                  </w:rPr>
                </w:pPr>
                <w:r>
                  <w:rPr>
                    <w:b/>
                    <w:sz w:val="20"/>
                    <w:lang w:val="en-GB" w:eastAsia="en-GB"/>
                  </w:rPr>
                  <w:t>6.6. naftos, naftos chemijos produktų, cheminių medžiagų ir cheminių mišinių saugojimas statiniuose (sandėliuose ar aikštelėse) (kai talpa – mažiau kaip 200 000, bet daugiau kaip 5 000 tonų);</w:t>
                </w:r>
              </w:p>
              <w:p>
                <w:pPr>
                  <w:jc w:val="both"/>
                  <w:rPr>
                    <w:b/>
                    <w:sz w:val="20"/>
                    <w:lang w:val="en-GB" w:eastAsia="en-GB"/>
                  </w:rPr>
                </w:pPr>
                <w:r>
                  <w:rPr>
                    <w:szCs w:val="24"/>
                    <w:lang w:val="en-GB" w:eastAsia="en-GB"/>
                  </w:rPr>
                  <w:t>6.7. farmacinių produktų gamyba, išskyrus šio įstatymo 1 priedo 6.5 papunktyje nurodytą veiklą (kai gamybos pajėgumas – 5 ar daugiau tonų per parą).</w:t>
                </w:r>
              </w:p>
              <w:p>
                <w:pPr>
                  <w:jc w:val="both"/>
                  <w:rPr>
                    <w:b/>
                    <w:sz w:val="20"/>
                    <w:lang w:val="en-GB" w:eastAsia="en-GB"/>
                  </w:rPr>
                </w:pPr>
                <w:r>
                  <w:rPr>
                    <w:b/>
                    <w:sz w:val="20"/>
                    <w:lang w:val="en-GB" w:eastAsia="en-GB"/>
                  </w:rPr>
                  <w:t>7. Maisto pramonė:</w:t>
                </w:r>
              </w:p>
              <w:p>
                <w:pPr>
                  <w:jc w:val="both"/>
                  <w:rPr>
                    <w:b/>
                    <w:sz w:val="20"/>
                    <w:lang w:val="en-GB" w:eastAsia="en-GB"/>
                  </w:rPr>
                </w:pPr>
                <w:r>
                  <w:rPr>
                    <w:b/>
                    <w:sz w:val="20"/>
                    <w:lang w:val="en-GB" w:eastAsia="en-GB"/>
                  </w:rPr>
                  <w:t>7.1. augalinių ar gyvulinių riebalų ir aliejaus gamyba (kai gamybos pajėgumas – 5 ar daugiau tonų per parą);</w:t>
                </w:r>
              </w:p>
              <w:p>
                <w:pPr>
                  <w:jc w:val="both"/>
                  <w:rPr>
                    <w:b/>
                    <w:sz w:val="20"/>
                    <w:lang w:val="en-GB" w:eastAsia="en-GB"/>
                  </w:rPr>
                </w:pPr>
                <w:r>
                  <w:rPr>
                    <w:b/>
                    <w:sz w:val="20"/>
                    <w:lang w:val="en-GB" w:eastAsia="en-GB"/>
                  </w:rPr>
                  <w:t>7.2. augalinių ar gyvulinių maisto produktų konservavimas ar pakavimas (kai gamybos pajėgumas – 5 ar daugiau tonų per parą);</w:t>
                </w:r>
              </w:p>
              <w:p>
                <w:pPr>
                  <w:jc w:val="both"/>
                  <w:rPr>
                    <w:b/>
                    <w:sz w:val="20"/>
                    <w:lang w:val="en-GB" w:eastAsia="en-GB"/>
                  </w:rPr>
                </w:pPr>
                <w:r>
                  <w:rPr>
                    <w:b/>
                    <w:sz w:val="20"/>
                    <w:lang w:val="en-GB" w:eastAsia="en-GB"/>
                  </w:rPr>
                  <w:t>7.3. pieno produktų gamyba (kai gamybos pajėgumas – 50 ar daugiau tonų per parą);</w:t>
                </w:r>
              </w:p>
              <w:p>
                <w:pPr>
                  <w:jc w:val="both"/>
                  <w:rPr>
                    <w:b/>
                    <w:sz w:val="20"/>
                    <w:lang w:val="en-GB" w:eastAsia="en-GB"/>
                  </w:rPr>
                </w:pPr>
                <w:r>
                  <w:rPr>
                    <w:b/>
                    <w:sz w:val="20"/>
                    <w:lang w:val="en-GB" w:eastAsia="en-GB"/>
                  </w:rPr>
                  <w:t>7.4. salyklo ar alaus gamyba (kai gamybos pajėgumas – 10 ar daugiau tonų salyklo per parą ar 10 000 ar daugiau litrų alaus per parą);</w:t>
                </w:r>
              </w:p>
              <w:p>
                <w:pPr>
                  <w:jc w:val="both"/>
                  <w:rPr>
                    <w:b/>
                    <w:sz w:val="20"/>
                    <w:lang w:val="en-GB" w:eastAsia="en-GB"/>
                  </w:rPr>
                </w:pPr>
                <w:r>
                  <w:rPr>
                    <w:b/>
                    <w:sz w:val="20"/>
                    <w:lang w:val="en-GB" w:eastAsia="en-GB"/>
                  </w:rPr>
                  <w:t>7.5. konditerijos gaminių ar sirupų gamyba (kai gamybos pajėgumas – 5 ar daugiau tonų per parą);</w:t>
                </w:r>
              </w:p>
              <w:p>
                <w:pPr>
                  <w:jc w:val="both"/>
                  <w:rPr>
                    <w:b/>
                    <w:sz w:val="20"/>
                    <w:lang w:val="en-GB" w:eastAsia="en-GB"/>
                  </w:rPr>
                </w:pPr>
                <w:r>
                  <w:rPr>
                    <w:b/>
                    <w:sz w:val="20"/>
                    <w:lang w:val="en-GB" w:eastAsia="en-GB"/>
                  </w:rPr>
                  <w:t>7.6. cukraus gamyba;</w:t>
                </w:r>
              </w:p>
              <w:p>
                <w:pPr>
                  <w:jc w:val="both"/>
                  <w:rPr>
                    <w:b/>
                    <w:sz w:val="20"/>
                    <w:lang w:val="en-GB" w:eastAsia="en-GB"/>
                  </w:rPr>
                </w:pPr>
                <w:r>
                  <w:rPr>
                    <w:b/>
                    <w:sz w:val="20"/>
                    <w:lang w:val="en-GB" w:eastAsia="en-GB"/>
                  </w:rPr>
                  <w:t xml:space="preserve">7.7. mėsos ar paukštienos perdirbimas, įskaitant gyvūnų skerdimą ar paukščių skerdimą (kai gamybos pajėgumas – 5 ar daugiau tonų per parą); </w:t>
                </w:r>
              </w:p>
              <w:p>
                <w:pPr>
                  <w:jc w:val="both"/>
                  <w:rPr>
                    <w:b/>
                    <w:sz w:val="20"/>
                    <w:lang w:val="en-GB" w:eastAsia="en-GB"/>
                  </w:rPr>
                </w:pPr>
                <w:r>
                  <w:rPr>
                    <w:b/>
                    <w:sz w:val="20"/>
                    <w:lang w:val="en-GB" w:eastAsia="en-GB"/>
                  </w:rPr>
                  <w:t>7.8. krakmolo gamyba (kai gamybos pajėgumas – 5 ar daugiau tonų per parą);</w:t>
                </w:r>
              </w:p>
              <w:p>
                <w:pPr>
                  <w:jc w:val="both"/>
                  <w:rPr>
                    <w:b/>
                    <w:sz w:val="20"/>
                    <w:lang w:val="en-GB" w:eastAsia="en-GB"/>
                  </w:rPr>
                </w:pPr>
                <w:r>
                  <w:rPr>
                    <w:b/>
                    <w:sz w:val="20"/>
                    <w:lang w:val="en-GB" w:eastAsia="en-GB"/>
                  </w:rPr>
                  <w:t>7.9. žuvų perdirbimas, įskaitant žuvų taukų gamybą (kai gamybos pajėgumas – 5 ar daugiau tonų per parą).</w:t>
                </w:r>
              </w:p>
              <w:p>
                <w:pPr>
                  <w:jc w:val="both"/>
                  <w:rPr>
                    <w:b/>
                    <w:sz w:val="20"/>
                    <w:lang w:val="en-GB" w:eastAsia="en-GB"/>
                  </w:rPr>
                </w:pPr>
                <w:r>
                  <w:rPr>
                    <w:b/>
                    <w:sz w:val="20"/>
                    <w:lang w:val="en-GB" w:eastAsia="en-GB"/>
                  </w:rPr>
                  <w:t>8. Tekstilės, odos, medienos ir popieriaus pramonė:</w:t>
                </w:r>
              </w:p>
              <w:p>
                <w:pPr>
                  <w:jc w:val="both"/>
                  <w:rPr>
                    <w:b/>
                    <w:sz w:val="20"/>
                    <w:lang w:val="en-GB" w:eastAsia="en-GB"/>
                  </w:rPr>
                </w:pPr>
                <w:r>
                  <w:rPr>
                    <w:b/>
                    <w:sz w:val="20"/>
                    <w:lang w:val="en-GB" w:eastAsia="en-GB"/>
                  </w:rPr>
                  <w:t>8.1. celiuliozės gamyba ar perdirbimas;</w:t>
                </w:r>
              </w:p>
              <w:p>
                <w:pPr>
                  <w:jc w:val="both"/>
                  <w:rPr>
                    <w:b/>
                    <w:sz w:val="20"/>
                    <w:lang w:val="en-GB" w:eastAsia="en-GB"/>
                  </w:rPr>
                </w:pPr>
                <w:r>
                  <w:rPr>
                    <w:b/>
                    <w:sz w:val="20"/>
                    <w:lang w:val="en-GB" w:eastAsia="en-GB"/>
                  </w:rPr>
                  <w:t>8.2. popieriaus ar kartono gamyba (kai gamybos pajėgumas – mažiau kaip 200, bet daugiau kaip 20 tonų per parą);</w:t>
                </w:r>
              </w:p>
              <w:p>
                <w:pPr>
                  <w:jc w:val="both"/>
                  <w:rPr>
                    <w:b/>
                    <w:sz w:val="20"/>
                    <w:lang w:val="en-GB" w:eastAsia="en-GB"/>
                  </w:rPr>
                </w:pPr>
                <w:r>
                  <w:rPr>
                    <w:b/>
                    <w:sz w:val="20"/>
                    <w:lang w:val="en-GB" w:eastAsia="en-GB"/>
                  </w:rPr>
                  <w:t>8.3. pluoštų ar tekstilės dažymas ar pirminis apdorojimas (toks kaip plovimas, balinimas, merserizavimas (kai dažoma ar apdorojama 100 000 ar daugiau m2 tekstilės per metus; kai dažoma ar apdorojama 5 ar daugiau tonų pluošto per parą);</w:t>
                </w:r>
              </w:p>
              <w:p>
                <w:pPr>
                  <w:jc w:val="both"/>
                  <w:rPr>
                    <w:b/>
                    <w:sz w:val="20"/>
                    <w:lang w:val="en-GB" w:eastAsia="en-GB"/>
                  </w:rPr>
                </w:pPr>
                <w:r>
                  <w:rPr>
                    <w:b/>
                    <w:sz w:val="20"/>
                    <w:lang w:val="en-GB" w:eastAsia="en-GB"/>
                  </w:rPr>
                  <w:t>8.4. odų ar kailių išdirbimas (kai gamybos pajėgumas – 500 ar daugiau m2 per parą).</w:t>
                </w:r>
              </w:p>
              <w:p>
                <w:pPr>
                  <w:jc w:val="both"/>
                  <w:rPr>
                    <w:b/>
                    <w:sz w:val="20"/>
                    <w:lang w:val="en-GB" w:eastAsia="en-GB"/>
                  </w:rPr>
                </w:pPr>
                <w:r>
                  <w:rPr>
                    <w:b/>
                    <w:sz w:val="20"/>
                    <w:lang w:val="en-GB" w:eastAsia="en-GB"/>
                  </w:rPr>
                  <w:t>9. Gumos pramonė:</w:t>
                </w:r>
              </w:p>
              <w:p>
                <w:pPr>
                  <w:jc w:val="both"/>
                  <w:rPr>
                    <w:b/>
                    <w:sz w:val="20"/>
                    <w:lang w:val="en-GB" w:eastAsia="en-GB"/>
                  </w:rPr>
                </w:pPr>
                <w:r>
                  <w:rPr>
                    <w:b/>
                    <w:sz w:val="20"/>
                    <w:lang w:val="en-GB" w:eastAsia="en-GB"/>
                  </w:rPr>
                  <w:t>Produktų iš elastomerų gamyba ar perdirbimas (kai gamybos ar perdirbimo pajėgumas – 10 ar daugiau tonų per parą).</w:t>
                </w:r>
              </w:p>
              <w:p>
                <w:pPr>
                  <w:jc w:val="both"/>
                  <w:rPr>
                    <w:b/>
                    <w:sz w:val="20"/>
                    <w:lang w:val="en-GB" w:eastAsia="en-GB"/>
                  </w:rPr>
                </w:pPr>
                <w:r>
                  <w:rPr>
                    <w:b/>
                    <w:sz w:val="20"/>
                    <w:lang w:val="en-GB" w:eastAsia="en-GB"/>
                  </w:rPr>
                  <w:t>10. Inžineriniai ir kiti statiniai:</w:t>
                </w:r>
              </w:p>
              <w:p>
                <w:pPr>
                  <w:jc w:val="both"/>
                  <w:rPr>
                    <w:b/>
                    <w:sz w:val="20"/>
                    <w:lang w:val="en-GB" w:eastAsia="en-GB"/>
                  </w:rPr>
                </w:pPr>
                <w:r>
                  <w:rPr>
                    <w:b/>
                    <w:sz w:val="20"/>
                    <w:lang w:val="en-GB" w:eastAsia="en-GB"/>
                  </w:rPr>
                  <w:t>10.1. antžeminių elektros perdavimo linijų tiesimas, kai tiesiama 3 km ar ilgesnė linija, išskyrus šio įstatymo 1 priedo 8.8 papunktyje nurodytą veiklą;</w:t>
                </w:r>
              </w:p>
              <w:p>
                <w:pPr>
                  <w:jc w:val="both"/>
                  <w:rPr>
                    <w:b/>
                    <w:sz w:val="20"/>
                    <w:lang w:val="en-GB" w:eastAsia="en-GB"/>
                  </w:rPr>
                </w:pPr>
                <w:r>
                  <w:rPr>
                    <w:b/>
                    <w:sz w:val="20"/>
                    <w:lang w:val="en-GB" w:eastAsia="en-GB"/>
                  </w:rPr>
                  <w:t>10.2. urbanistinių objektų (išskyrus gyvenamuosius pastatus, kai jų statyba numatyta savivaldybės lygmens bendruosiuose planuose), įskaitant prekybos ar pramogų centrus, autobusų ar troleibusų parkus, automobilių stovėjimo aikšteles ar garažų kompleksus, sporto ir sveikatingumo kompleksus, statyba (kai objekto ir jo priklausinių užimamas plotas didesnis kaip 1 ha);</w:t>
                </w:r>
              </w:p>
              <w:p>
                <w:pPr>
                  <w:jc w:val="both"/>
                  <w:rPr>
                    <w:b/>
                    <w:sz w:val="20"/>
                    <w:lang w:val="en-GB" w:eastAsia="en-GB"/>
                  </w:rPr>
                </w:pPr>
                <w:r>
                  <w:rPr>
                    <w:b/>
                    <w:sz w:val="20"/>
                    <w:lang w:val="en-GB" w:eastAsia="en-GB"/>
                  </w:rPr>
                  <w:t>10.3. geležinkelių, išskyrus pagrindinius viešojo naudojimo geležinkelius, tiesimas (kai tiesiamas 2 km ar ilgesnis geležinkelis);</w:t>
                </w:r>
              </w:p>
              <w:p>
                <w:pPr>
                  <w:jc w:val="both"/>
                  <w:rPr>
                    <w:b/>
                    <w:sz w:val="20"/>
                    <w:lang w:val="en-GB" w:eastAsia="en-GB"/>
                  </w:rPr>
                </w:pPr>
                <w:r>
                  <w:rPr>
                    <w:b/>
                    <w:sz w:val="20"/>
                    <w:lang w:val="en-GB" w:eastAsia="en-GB"/>
                  </w:rPr>
                  <w:t>10.4. intermodalinių perkrovimo įrenginių ir terminalų statyba (kai užstatomas 0,5 ha ar didesnis plotas);</w:t>
                </w:r>
              </w:p>
              <w:p>
                <w:pPr>
                  <w:jc w:val="both"/>
                  <w:rPr>
                    <w:b/>
                    <w:sz w:val="20"/>
                    <w:lang w:val="en-GB" w:eastAsia="en-GB"/>
                  </w:rPr>
                </w:pPr>
                <w:r>
                  <w:rPr>
                    <w:b/>
                    <w:sz w:val="20"/>
                    <w:lang w:val="en-GB" w:eastAsia="en-GB"/>
                  </w:rPr>
                  <w:t>10.5. oro uostų ar aerodromų įrengimas (kai kilimo ir tūpimo takas trumpesnis kaip 2 100 m);</w:t>
                </w:r>
              </w:p>
              <w:p>
                <w:pPr>
                  <w:jc w:val="both"/>
                  <w:rPr>
                    <w:b/>
                    <w:sz w:val="20"/>
                    <w:lang w:val="en-GB" w:eastAsia="en-GB"/>
                  </w:rPr>
                </w:pPr>
                <w:r>
                  <w:rPr>
                    <w:b/>
                    <w:sz w:val="20"/>
                    <w:lang w:val="en-GB" w:eastAsia="en-GB"/>
                  </w:rPr>
                  <w:t>10.6. kelių (2 km ar ilgesnių) tiesimas, išskyrus vietinės reikšmės vidaus kelius ir šio įstatymo 1 priedo 8.3 ir 8.4 papunkčiuose nurodytą veiklą;</w:t>
                </w:r>
              </w:p>
              <w:p>
                <w:pPr>
                  <w:jc w:val="both"/>
                  <w:rPr>
                    <w:b/>
                    <w:sz w:val="20"/>
                    <w:lang w:val="en-GB" w:eastAsia="en-GB"/>
                  </w:rPr>
                </w:pPr>
                <w:r>
                  <w:rPr>
                    <w:b/>
                    <w:sz w:val="20"/>
                    <w:lang w:val="en-GB" w:eastAsia="en-GB"/>
                  </w:rPr>
                  <w:t>10.7. kelių, nurodytų šio įstatymo 1 priedo 8.3 ir 8.4 papunkčiuose ir šio priedo 10.6 papunktyje rekonstravimas (kai rekonstruojamas nenutrūkstamas ilgesnis kaip 2 km kelio ruožas), išskyrus inžinerinių saugaus eismo priemonių (greitėjimo, lėtėjimo juostų, pėsčiųjų ir dviračių takų, esamų sankryžų pertvarkymo kelio juostos ribose dėl eismo saugos) ir aplinkos apsaugos priemonių (laukinių gyvūnų apsaugos sistemų, triukšmo užtvarų sistemų) įdiegimą bei kelio techninių normatyvinių parametrų atstatymą kelio juostos ribose, nekeičiant kelio kategorijos;</w:t>
                </w:r>
              </w:p>
              <w:p>
                <w:pPr>
                  <w:jc w:val="both"/>
                  <w:rPr>
                    <w:b/>
                    <w:sz w:val="20"/>
                    <w:lang w:val="en-GB" w:eastAsia="en-GB"/>
                  </w:rPr>
                </w:pPr>
                <w:r>
                  <w:rPr>
                    <w:b/>
                    <w:sz w:val="20"/>
                    <w:lang w:val="en-GB" w:eastAsia="en-GB"/>
                  </w:rPr>
                  <w:t xml:space="preserve">10.8. jūros uostų ar vidaus vandenų uostų (įskaitant žvejybos uostus, pakrovimo ar iškrovimo terminalus) įrengimas (laivams, kurių keliamoji galia mažesnė kaip 1 350 tonų, arba kai įrengiamas 0,5 ha ar didesnis plotas akvatorijoje ir sausumoje); </w:t>
                </w:r>
              </w:p>
              <w:p>
                <w:pPr>
                  <w:jc w:val="both"/>
                  <w:rPr>
                    <w:b/>
                    <w:sz w:val="20"/>
                    <w:lang w:val="en-GB" w:eastAsia="en-GB"/>
                  </w:rPr>
                </w:pPr>
                <w:r>
                  <w:rPr>
                    <w:b/>
                    <w:sz w:val="20"/>
                    <w:lang w:val="en-GB" w:eastAsia="en-GB"/>
                  </w:rPr>
                  <w:t>10.9. vidaus vandenų kelių (laivams, kurių keliamoji galia mažesnė kaip 1 350 tonų) įrengimas ir (ar) gilinimas;</w:t>
                </w:r>
              </w:p>
              <w:p>
                <w:pPr>
                  <w:jc w:val="both"/>
                  <w:rPr>
                    <w:b/>
                    <w:sz w:val="20"/>
                    <w:lang w:val="en-GB" w:eastAsia="en-GB"/>
                  </w:rPr>
                </w:pPr>
                <w:r>
                  <w:rPr>
                    <w:b/>
                    <w:sz w:val="20"/>
                    <w:lang w:val="en-GB" w:eastAsia="en-GB"/>
                  </w:rPr>
                  <w:t>10.10. jūros uostų akvatorijų gilinimas;</w:t>
                </w:r>
              </w:p>
              <w:p>
                <w:pPr>
                  <w:jc w:val="both"/>
                  <w:rPr>
                    <w:b/>
                    <w:sz w:val="20"/>
                    <w:lang w:val="en-GB" w:eastAsia="en-GB"/>
                  </w:rPr>
                </w:pPr>
                <w:r>
                  <w:rPr>
                    <w:b/>
                    <w:sz w:val="20"/>
                    <w:lang w:val="en-GB" w:eastAsia="en-GB"/>
                  </w:rPr>
                  <w:t xml:space="preserve">10.11. hidrotechnikos statinių, skirtų apsisaugoti nuo potvynių, statyba; </w:t>
                </w:r>
              </w:p>
              <w:p>
                <w:pPr>
                  <w:jc w:val="both"/>
                  <w:rPr>
                    <w:b/>
                    <w:sz w:val="20"/>
                    <w:lang w:val="en-GB" w:eastAsia="en-GB"/>
                  </w:rPr>
                </w:pPr>
                <w:r>
                  <w:rPr>
                    <w:b/>
                    <w:sz w:val="20"/>
                    <w:lang w:val="en-GB" w:eastAsia="en-GB"/>
                  </w:rPr>
                  <w:t>10.12. tramvajaus, antžeminio ar požeminio geležinkelio, kabančių ar kitokio transporto priemonių, iš dalies ar išimtinai naudojamų keleiviams vežti, linijų (2 km ar ilgesnių) tiesimas;</w:t>
                </w:r>
              </w:p>
              <w:p>
                <w:pPr>
                  <w:jc w:val="both"/>
                  <w:rPr>
                    <w:b/>
                    <w:sz w:val="20"/>
                    <w:lang w:val="en-GB" w:eastAsia="en-GB"/>
                  </w:rPr>
                </w:pPr>
                <w:r>
                  <w:rPr>
                    <w:b/>
                    <w:sz w:val="20"/>
                    <w:lang w:val="en-GB" w:eastAsia="en-GB"/>
                  </w:rPr>
                  <w:t>10.13. slidinėjimo trasų, slidinėjimo keltuvų, funikulierių ar kitų panašių įrenginių (500 m ar ilgesnio atstumo) įrengimas;</w:t>
                </w:r>
              </w:p>
              <w:p>
                <w:pPr>
                  <w:jc w:val="both"/>
                  <w:rPr>
                    <w:b/>
                    <w:sz w:val="20"/>
                    <w:lang w:val="en-GB" w:eastAsia="en-GB"/>
                  </w:rPr>
                </w:pPr>
                <w:r>
                  <w:rPr>
                    <w:b/>
                    <w:sz w:val="20"/>
                    <w:lang w:val="en-GB" w:eastAsia="en-GB"/>
                  </w:rPr>
                  <w:t>10.14. naftos ar cheminių medžiagų tiekimo vamzdynų tiesimas (kai vamzdžio skersmuo – 800 ar daugiau mm, o ilgis – mažiau kaip 40 km);</w:t>
                </w:r>
              </w:p>
              <w:p>
                <w:pPr>
                  <w:jc w:val="both"/>
                  <w:rPr>
                    <w:b/>
                    <w:sz w:val="20"/>
                    <w:lang w:val="en-GB" w:eastAsia="en-GB"/>
                  </w:rPr>
                </w:pPr>
                <w:r>
                  <w:rPr>
                    <w:b/>
                    <w:sz w:val="20"/>
                    <w:lang w:val="en-GB" w:eastAsia="en-GB"/>
                  </w:rPr>
                  <w:t>10.15. dujų tiekimo vamzdynų tiesimas (kai vamzdžio skersmuo – 800 ar daugiau mm, o ilgis – mažiau kaip 40 km, bet daugiau kaip 5 km);</w:t>
                </w:r>
              </w:p>
              <w:p>
                <w:pPr>
                  <w:jc w:val="both"/>
                  <w:rPr>
                    <w:b/>
                    <w:sz w:val="20"/>
                    <w:lang w:val="en-GB" w:eastAsia="en-GB"/>
                  </w:rPr>
                </w:pPr>
                <w:r>
                  <w:rPr>
                    <w:b/>
                    <w:sz w:val="20"/>
                    <w:lang w:val="en-GB" w:eastAsia="en-GB"/>
                  </w:rPr>
                  <w:t>10.16. dujų tiekimo vamzdynų tiesimas (kai vamzdžio skersmuo – mažiau kaip 800 mm, o ilgis – 5 ar daugiau km);</w:t>
                </w:r>
              </w:p>
              <w:p>
                <w:pPr>
                  <w:jc w:val="both"/>
                  <w:rPr>
                    <w:b/>
                    <w:sz w:val="20"/>
                    <w:lang w:val="en-GB" w:eastAsia="en-GB"/>
                  </w:rPr>
                </w:pPr>
                <w:r>
                  <w:rPr>
                    <w:b/>
                    <w:sz w:val="20"/>
                    <w:lang w:val="en-GB" w:eastAsia="en-GB"/>
                  </w:rPr>
                  <w:t>10.17. vandens kanalų (0,5 km ar ilgesnių) įrengimas;</w:t>
                </w:r>
              </w:p>
              <w:p>
                <w:pPr>
                  <w:jc w:val="both"/>
                  <w:rPr>
                    <w:b/>
                    <w:sz w:val="20"/>
                    <w:lang w:val="en-GB" w:eastAsia="en-GB"/>
                  </w:rPr>
                </w:pPr>
                <w:r>
                  <w:rPr>
                    <w:b/>
                    <w:sz w:val="20"/>
                    <w:lang w:val="en-GB" w:eastAsia="en-GB"/>
                  </w:rPr>
                  <w:t>10.18. priešerozinių jūros pakrantės statinių ar įrenginių, galinčių pakeisti jūros pakrantę (pvz., pylimų, molų ir kt.), statyba ar įrengimas;</w:t>
                </w:r>
              </w:p>
              <w:p>
                <w:pPr>
                  <w:jc w:val="both"/>
                  <w:rPr>
                    <w:b/>
                    <w:sz w:val="20"/>
                    <w:lang w:val="en-GB" w:eastAsia="en-GB"/>
                  </w:rPr>
                </w:pPr>
                <w:r>
                  <w:rPr>
                    <w:b/>
                    <w:sz w:val="20"/>
                    <w:lang w:val="en-GB" w:eastAsia="en-GB"/>
                  </w:rPr>
                  <w:t>10.19. požeminio vandens vandenviečių įrengimas (kai pajėgumas – mažiau kaip 10 milijonų m3, bet daugiau kaip 350 000 m3 per metus);</w:t>
                </w:r>
              </w:p>
              <w:p>
                <w:pPr>
                  <w:jc w:val="both"/>
                  <w:rPr>
                    <w:b/>
                    <w:sz w:val="20"/>
                    <w:lang w:val="en-GB" w:eastAsia="en-GB"/>
                  </w:rPr>
                </w:pPr>
                <w:r>
                  <w:rPr>
                    <w:b/>
                    <w:sz w:val="20"/>
                    <w:lang w:val="en-GB" w:eastAsia="en-GB"/>
                  </w:rPr>
                  <w:t>10.20. geologiniam saugojimui skirto anglies dioksido (CO2) tiekimo vamzdynų, tiesimas (kai vamzdžio skersmuo – 800 ir daugiau mm, o ilgis – 40 km ar mažiau), įskaitant funkciškai susijusių slėginių įrenginių įrengimą.</w:t>
                </w:r>
              </w:p>
              <w:p>
                <w:pPr>
                  <w:jc w:val="both"/>
                  <w:rPr>
                    <w:b/>
                    <w:sz w:val="20"/>
                    <w:lang w:val="en-GB" w:eastAsia="en-GB"/>
                  </w:rPr>
                </w:pPr>
                <w:r>
                  <w:rPr>
                    <w:b/>
                    <w:sz w:val="20"/>
                    <w:lang w:val="en-GB" w:eastAsia="en-GB"/>
                  </w:rPr>
                  <w:t>11. Kitos planuojamos ūkinės veiklos rūšys:</w:t>
                </w:r>
              </w:p>
              <w:p>
                <w:pPr>
                  <w:jc w:val="both"/>
                  <w:rPr>
                    <w:b/>
                    <w:sz w:val="20"/>
                    <w:lang w:val="en-GB" w:eastAsia="en-GB"/>
                  </w:rPr>
                </w:pPr>
                <w:r>
                  <w:rPr>
                    <w:b/>
                    <w:sz w:val="20"/>
                    <w:lang w:val="en-GB" w:eastAsia="en-GB"/>
                  </w:rPr>
                  <w:t>11.1. variklinių transporto priemonių nuolatinių lenktyniavimo ar išbandymo trasų įrengimas (kai įrengiamas 1 ha ar didesnis plotas);</w:t>
                </w:r>
              </w:p>
              <w:p>
                <w:pPr>
                  <w:jc w:val="both"/>
                  <w:rPr>
                    <w:b/>
                    <w:sz w:val="20"/>
                    <w:lang w:val="en-GB" w:eastAsia="en-GB"/>
                  </w:rPr>
                </w:pPr>
                <w:r>
                  <w:rPr>
                    <w:b/>
                    <w:sz w:val="20"/>
                    <w:lang w:val="en-GB" w:eastAsia="en-GB"/>
                  </w:rPr>
                  <w:t>11.2. nepavojingųjų atliekų naudojimas ar šalinimas jas apdorojant terminiais būdais, tokiais kaip deginimas, pirolizė, dujofikavimas, degazacija, plazminis procesas, ar derinant kuriuos nors būdus įrenginiuose, kurių pajėgumas – mažiau kaip 100 tonų per parą;</w:t>
                </w:r>
              </w:p>
              <w:p>
                <w:pPr>
                  <w:jc w:val="both"/>
                  <w:rPr>
                    <w:b/>
                    <w:sz w:val="20"/>
                    <w:lang w:val="en-GB" w:eastAsia="en-GB"/>
                  </w:rPr>
                </w:pPr>
                <w:r>
                  <w:rPr>
                    <w:b/>
                    <w:sz w:val="20"/>
                    <w:lang w:val="en-GB" w:eastAsia="en-GB"/>
                  </w:rPr>
                  <w:t>11.3. nepavojingųjų atliekų naudojimas ar šalinimas jas apdorojant cheminiu būdu įrenginiuose, kurių pajėgumas – mažiau kaip 100 tonų per parą;</w:t>
                </w:r>
              </w:p>
              <w:p>
                <w:pPr>
                  <w:jc w:val="both"/>
                  <w:rPr>
                    <w:b/>
                    <w:sz w:val="20"/>
                    <w:lang w:val="en-GB" w:eastAsia="en-GB"/>
                  </w:rPr>
                </w:pPr>
                <w:r>
                  <w:rPr>
                    <w:b/>
                    <w:sz w:val="20"/>
                    <w:lang w:val="en-GB" w:eastAsia="en-GB"/>
                  </w:rPr>
                  <w:t>11.4. nepavojingųjų atliekų naudojimas jas apdorojant biologiniu būdu įrenginiuose, kurių pajėgumas – 10 ar daugiau tonų per parą;</w:t>
                </w:r>
              </w:p>
              <w:p>
                <w:pPr>
                  <w:jc w:val="both"/>
                  <w:rPr>
                    <w:b/>
                    <w:sz w:val="20"/>
                    <w:lang w:val="en-GB" w:eastAsia="en-GB"/>
                  </w:rPr>
                </w:pPr>
                <w:r>
                  <w:rPr>
                    <w:b/>
                    <w:sz w:val="20"/>
                    <w:lang w:val="en-GB" w:eastAsia="en-GB"/>
                  </w:rPr>
                  <w:t>11.5. nepavojingųjų atliekų laikymas, įskaitant jų paruošimą naudoti, išskyrus paruošimą naudoti pakartotinai, arba šalinti, kai vienu metu laikoma 100 ar daugiau tonų atliekų ir (ar) paruošimo naudoti ar šalinti pajėgumas 10 ar daugiau tonų per parą;</w:t>
                </w:r>
              </w:p>
              <w:p>
                <w:pPr>
                  <w:jc w:val="both"/>
                  <w:rPr>
                    <w:b/>
                    <w:sz w:val="20"/>
                    <w:lang w:val="en-GB" w:eastAsia="en-GB"/>
                  </w:rPr>
                </w:pPr>
                <w:r>
                  <w:rPr>
                    <w:b/>
                    <w:sz w:val="20"/>
                    <w:lang w:val="en-GB" w:eastAsia="en-GB"/>
                  </w:rPr>
                  <w:t>11.6. nepavojingųjų atliekų šalinimas, kai netaikomi šio priedo 11.2–11.5 papunkčiai;</w:t>
                </w:r>
              </w:p>
              <w:p>
                <w:pPr>
                  <w:jc w:val="both"/>
                  <w:rPr>
                    <w:b/>
                    <w:sz w:val="20"/>
                    <w:lang w:val="en-GB" w:eastAsia="en-GB"/>
                  </w:rPr>
                </w:pPr>
                <w:r>
                  <w:rPr>
                    <w:b/>
                    <w:sz w:val="20"/>
                    <w:lang w:val="en-GB" w:eastAsia="en-GB"/>
                  </w:rPr>
                  <w:t>11.7. pavojingųjų atliekų tvarkymas:</w:t>
                </w:r>
              </w:p>
              <w:p>
                <w:pPr>
                  <w:jc w:val="both"/>
                  <w:rPr>
                    <w:b/>
                    <w:sz w:val="20"/>
                    <w:lang w:val="en-GB" w:eastAsia="en-GB"/>
                  </w:rPr>
                </w:pPr>
                <w:r>
                  <w:rPr>
                    <w:b/>
                    <w:sz w:val="20"/>
                    <w:lang w:val="en-GB" w:eastAsia="en-GB"/>
                  </w:rPr>
                  <w:t>11.7.1. pavojingųjų atliekų šalinimas ar naudojimas, išskyrus šio įstatymo 1 priedo 9.6, 9.7 ir 9.8 papunkčiuose nurodytą veiklą;</w:t>
                </w:r>
              </w:p>
              <w:p>
                <w:pPr>
                  <w:jc w:val="both"/>
                  <w:rPr>
                    <w:b/>
                    <w:sz w:val="20"/>
                    <w:lang w:val="en-GB" w:eastAsia="en-GB"/>
                  </w:rPr>
                </w:pPr>
                <w:r>
                  <w:rPr>
                    <w:b/>
                    <w:sz w:val="20"/>
                    <w:lang w:val="en-GB" w:eastAsia="en-GB"/>
                  </w:rPr>
                  <w:t>11.7.2. pavojingųjų atliekų laikymas, įskaitant jų paruošimą naudoti, išskyrus paruošimą naudoti pakartotinai, arba šalinti, kai vienu metu laikoma ne daugiau kaip 10 ar daugiau tonų atliekų ir (ar) paruošimo naudoti ar šalinti pajėgumas 5 ar daugiau tonų per parą;</w:t>
                </w:r>
              </w:p>
              <w:p>
                <w:pPr>
                  <w:jc w:val="both"/>
                  <w:rPr>
                    <w:b/>
                    <w:sz w:val="20"/>
                    <w:lang w:val="en-GB" w:eastAsia="en-GB"/>
                  </w:rPr>
                </w:pPr>
                <w:r>
                  <w:rPr>
                    <w:b/>
                    <w:sz w:val="20"/>
                    <w:lang w:val="en-GB" w:eastAsia="en-GB"/>
                  </w:rPr>
                  <w:t>11.7.3. pavojingųjų atliekų paruošimą naudoti pakartotinai, įskaitant tokių atliekų laikymą;</w:t>
                </w:r>
              </w:p>
              <w:p>
                <w:pPr>
                  <w:jc w:val="both"/>
                  <w:rPr>
                    <w:b/>
                    <w:sz w:val="20"/>
                    <w:lang w:val="en-GB" w:eastAsia="en-GB"/>
                  </w:rPr>
                </w:pPr>
                <w:r>
                  <w:rPr>
                    <w:b/>
                    <w:sz w:val="20"/>
                    <w:lang w:val="en-GB" w:eastAsia="en-GB"/>
                  </w:rPr>
                  <w:t xml:space="preserve">11.8. biodujų gamyba, išskyrus gamybą, skirtą individualaus ūkio poreikių tenkinimui; </w:t>
                </w:r>
              </w:p>
              <w:p>
                <w:pPr>
                  <w:jc w:val="both"/>
                  <w:rPr>
                    <w:b/>
                    <w:sz w:val="20"/>
                    <w:lang w:val="en-GB" w:eastAsia="en-GB"/>
                  </w:rPr>
                </w:pPr>
                <w:r>
                  <w:rPr>
                    <w:b/>
                    <w:sz w:val="20"/>
                    <w:lang w:val="en-GB" w:eastAsia="en-GB"/>
                  </w:rPr>
                  <w:t>11.9. vandenvalos įrenginių įrengimas:</w:t>
                </w:r>
              </w:p>
              <w:p>
                <w:pPr>
                  <w:jc w:val="both"/>
                  <w:rPr>
                    <w:b/>
                    <w:sz w:val="20"/>
                    <w:lang w:val="en-GB" w:eastAsia="en-GB"/>
                  </w:rPr>
                </w:pPr>
                <w:r>
                  <w:rPr>
                    <w:b/>
                    <w:sz w:val="20"/>
                    <w:lang w:val="en-GB" w:eastAsia="en-GB"/>
                  </w:rPr>
                  <w:t>11.9.1. miestų, miestelių ar kaimų nuotekų valymo įrenginiai (galintys išvalyti mažiau kaip 150 000, bet daugiau kaip 2 000 gyventojų ekvivalentą atitinkantį teršalų kiekį);</w:t>
                </w:r>
              </w:p>
              <w:p>
                <w:pPr>
                  <w:jc w:val="both"/>
                  <w:rPr>
                    <w:b/>
                    <w:sz w:val="20"/>
                    <w:lang w:val="en-GB" w:eastAsia="en-GB"/>
                  </w:rPr>
                </w:pPr>
                <w:r>
                  <w:rPr>
                    <w:b/>
                    <w:sz w:val="20"/>
                    <w:lang w:val="en-GB" w:eastAsia="en-GB"/>
                  </w:rPr>
                  <w:t>11.9.2. paviršinių nuotekų valymo įrenginiai (skirti paviršinėms nuotekoms, surenkamoms kanalizacijos tinklais iš 50 ha ir didesnės teritorijos);</w:t>
                </w:r>
              </w:p>
              <w:p>
                <w:pPr>
                  <w:jc w:val="both"/>
                  <w:rPr>
                    <w:b/>
                    <w:sz w:val="20"/>
                    <w:lang w:val="en-GB" w:eastAsia="en-GB"/>
                  </w:rPr>
                </w:pPr>
                <w:r>
                  <w:rPr>
                    <w:b/>
                    <w:sz w:val="20"/>
                    <w:lang w:val="en-GB" w:eastAsia="en-GB"/>
                  </w:rPr>
                  <w:t xml:space="preserve">11.10. dumblo laikymas ar šalinimas specialiai įrengtose vietose; </w:t>
                </w:r>
              </w:p>
              <w:p>
                <w:pPr>
                  <w:jc w:val="both"/>
                  <w:rPr>
                    <w:b/>
                    <w:sz w:val="20"/>
                    <w:lang w:val="en-GB" w:eastAsia="en-GB"/>
                  </w:rPr>
                </w:pPr>
                <w:r>
                  <w:rPr>
                    <w:b/>
                    <w:sz w:val="20"/>
                    <w:lang w:val="en-GB" w:eastAsia="en-GB"/>
                  </w:rPr>
                  <w:t>11.11. požeminio vandens vandenviečių dirbtinis papildymas (kai per metus papildoma mažiau kaip 10 milijonų m3 vandens);</w:t>
                </w:r>
              </w:p>
              <w:p>
                <w:pPr>
                  <w:jc w:val="both"/>
                  <w:rPr>
                    <w:b/>
                    <w:sz w:val="20"/>
                    <w:lang w:val="en-GB" w:eastAsia="en-GB"/>
                  </w:rPr>
                </w:pPr>
                <w:r>
                  <w:rPr>
                    <w:b/>
                    <w:sz w:val="20"/>
                    <w:lang w:val="en-GB" w:eastAsia="en-GB"/>
                  </w:rPr>
                  <w:t>11.12. vandens išteklių, išskyrus geriamąjį vandenį, perskirstymas upių baseinams, kai per metus perskirstoma mažiau kaip 100 milijonų m3 vandens ir (ar) kai daugiametis vidutinis baseino, iš kurio imamas vanduo, nuotėkis yra mažesnis kaip 2 000 milijonų m3 vandens per metus ir perskirstoma mažiau kaip 5 procentai šio nuotėkio;</w:t>
                </w:r>
              </w:p>
              <w:p>
                <w:pPr>
                  <w:jc w:val="both"/>
                  <w:rPr>
                    <w:b/>
                    <w:sz w:val="20"/>
                    <w:lang w:val="en-GB" w:eastAsia="en-GB"/>
                  </w:rPr>
                </w:pPr>
                <w:r>
                  <w:rPr>
                    <w:b/>
                    <w:sz w:val="20"/>
                    <w:lang w:val="en-GB" w:eastAsia="en-GB"/>
                  </w:rPr>
                  <w:t>11.13. metalo laužo, įskaitant nebetinkamas naudoti (eksploatuoti) transporto priemones, saugyklų įrengimas (kai bendras saugojimo plotas 0,5 ha ar didesnis arba bendras saugojimo pajėgumas 500 tonų ar daugiau);</w:t>
                </w:r>
              </w:p>
              <w:p>
                <w:pPr>
                  <w:jc w:val="both"/>
                  <w:rPr>
                    <w:b/>
                    <w:sz w:val="20"/>
                    <w:lang w:val="en-GB" w:eastAsia="en-GB"/>
                  </w:rPr>
                </w:pPr>
                <w:r>
                  <w:rPr>
                    <w:b/>
                    <w:sz w:val="20"/>
                    <w:lang w:val="en-GB" w:eastAsia="en-GB"/>
                  </w:rPr>
                  <w:t>11.14. variklių, turbinų ar reaktorių išbandymų įrenginių įrengimas (kai bandymams skiriamas 500 m2 ar didesnis plotas);</w:t>
                </w:r>
              </w:p>
              <w:p>
                <w:pPr>
                  <w:jc w:val="both"/>
                  <w:rPr>
                    <w:b/>
                    <w:sz w:val="20"/>
                    <w:lang w:val="en-GB" w:eastAsia="en-GB"/>
                  </w:rPr>
                </w:pPr>
                <w:r>
                  <w:rPr>
                    <w:b/>
                    <w:sz w:val="20"/>
                    <w:lang w:val="en-GB" w:eastAsia="en-GB"/>
                  </w:rPr>
                  <w:t xml:space="preserve">11.15. sprogstamųjų medžiagų sunaikinimo ar jų atliekų naudojimo įrenginių įrengimas, kenksmingumo pašalinimas; </w:t>
                </w:r>
              </w:p>
              <w:p>
                <w:pPr>
                  <w:jc w:val="both"/>
                  <w:rPr>
                    <w:b/>
                    <w:sz w:val="20"/>
                    <w:lang w:val="en-GB" w:eastAsia="en-GB"/>
                  </w:rPr>
                </w:pPr>
                <w:r>
                  <w:rPr>
                    <w:b/>
                    <w:sz w:val="20"/>
                    <w:lang w:val="en-GB" w:eastAsia="en-GB"/>
                  </w:rPr>
                  <w:t>11.16. nereikalingų ar netinkamų naudoti gyvūnų šalinimas ar naikinimas, išskyrus kritusių ar sergančių gyvulių naikinimą epidemiologinio židinio vietoje siekiant išvengti užkrečiamųjų ligų išplitimo;</w:t>
                </w:r>
              </w:p>
              <w:p>
                <w:pPr>
                  <w:jc w:val="both"/>
                  <w:rPr>
                    <w:b/>
                    <w:sz w:val="20"/>
                    <w:lang w:val="en-GB" w:eastAsia="en-GB"/>
                  </w:rPr>
                </w:pPr>
                <w:r>
                  <w:rPr>
                    <w:b/>
                    <w:sz w:val="20"/>
                    <w:lang w:val="en-GB" w:eastAsia="en-GB"/>
                  </w:rPr>
                  <w:t>11.17. upių vagų gilinimas ir (ar) kranto (krantų) keitimas, įskaitant salų, dambos įrengimą ar nukasimą;</w:t>
                </w:r>
              </w:p>
              <w:p>
                <w:pPr>
                  <w:jc w:val="both"/>
                  <w:rPr>
                    <w:b/>
                    <w:sz w:val="20"/>
                    <w:lang w:val="en-GB" w:eastAsia="en-GB"/>
                  </w:rPr>
                </w:pPr>
                <w:r>
                  <w:rPr>
                    <w:b/>
                    <w:sz w:val="20"/>
                    <w:lang w:val="en-GB" w:eastAsia="en-GB"/>
                  </w:rPr>
                  <w:t>11.18. gamybos, pramonės ir sandėliavimo objektų, kuriuose numatoma vykdyti veiklą, neįtrauktą į šio įstatymo 1 priedą ir šį priedą, statyba pramonės</w:t>
                </w:r>
                <w:r>
                  <w:rPr>
                    <w:szCs w:val="24"/>
                    <w:lang w:val="en-GB" w:eastAsia="en-GB"/>
                  </w:rPr>
                  <w:t xml:space="preserve"> ar kitokio verslo tikslais suformuotoje teritorijoje, kuri skirta bendram naudojimuisi įmonėms, sudarančioms eksploatacinį ar funkcinį vienetą,</w:t>
                </w:r>
                <w:r>
                  <w:rPr>
                    <w:b/>
                    <w:sz w:val="20"/>
                    <w:lang w:val="en-GB" w:eastAsia="en-GB"/>
                  </w:rPr>
                  <w:t xml:space="preserve"> kai </w:t>
                </w:r>
                <w:r>
                  <w:rPr>
                    <w:szCs w:val="24"/>
                    <w:lang w:val="en-GB" w:eastAsia="en-GB"/>
                  </w:rPr>
                  <w:t xml:space="preserve">objekto ir jo priklausinių </w:t>
                </w:r>
                <w:r>
                  <w:rPr>
                    <w:b/>
                    <w:sz w:val="20"/>
                    <w:lang w:val="en-GB" w:eastAsia="en-GB"/>
                  </w:rPr>
                  <w:t xml:space="preserve">užimamas 1 ha ar didesnis plotas. </w:t>
                </w:r>
              </w:p>
              <w:p>
                <w:pPr>
                  <w:jc w:val="both"/>
                  <w:rPr>
                    <w:b/>
                    <w:sz w:val="20"/>
                    <w:lang w:val="en-GB" w:eastAsia="en-GB"/>
                  </w:rPr>
                </w:pPr>
                <w:r>
                  <w:rPr>
                    <w:b/>
                    <w:sz w:val="20"/>
                    <w:lang w:val="en-GB" w:eastAsia="en-GB"/>
                  </w:rPr>
                  <w:t>12. Turizmas ir laisvalaikis:</w:t>
                </w:r>
              </w:p>
              <w:p>
                <w:pPr>
                  <w:jc w:val="both"/>
                  <w:rPr>
                    <w:b/>
                    <w:sz w:val="20"/>
                    <w:lang w:val="en-GB" w:eastAsia="en-GB"/>
                  </w:rPr>
                </w:pPr>
                <w:r>
                  <w:rPr>
                    <w:b/>
                    <w:sz w:val="20"/>
                    <w:lang w:val="en-GB" w:eastAsia="en-GB"/>
                  </w:rPr>
                  <w:t>12.1. jachtų ar valčių prieplaukų įrengimas (kai prieplaukos plotas 0,2 ha ar didesnis);</w:t>
                </w:r>
              </w:p>
              <w:p>
                <w:pPr>
                  <w:jc w:val="both"/>
                  <w:rPr>
                    <w:b/>
                    <w:sz w:val="20"/>
                    <w:lang w:val="en-GB" w:eastAsia="en-GB"/>
                  </w:rPr>
                </w:pPr>
                <w:r>
                  <w:rPr>
                    <w:b/>
                    <w:sz w:val="20"/>
                    <w:lang w:val="en-GB" w:eastAsia="en-GB"/>
                  </w:rPr>
                  <w:t>12.2. poilsio namų, viešbučių kompleksų, kaimo turizmo sodybų ar panašių objektų už miestų ribų statyba (turinčiuose 100 ar daugiau lovų ir kai nėra centralizuotos inžinerinių tinklų infrastruktūros);</w:t>
                </w:r>
              </w:p>
              <w:p>
                <w:pPr>
                  <w:jc w:val="both"/>
                  <w:rPr>
                    <w:b/>
                    <w:sz w:val="20"/>
                    <w:lang w:val="en-GB" w:eastAsia="en-GB"/>
                  </w:rPr>
                </w:pPr>
                <w:r>
                  <w:rPr>
                    <w:b/>
                    <w:sz w:val="20"/>
                    <w:lang w:val="en-GB" w:eastAsia="en-GB"/>
                  </w:rPr>
                  <w:t xml:space="preserve">12.3. nuolatinių </w:t>
                </w:r>
                <w:r>
                  <w:rPr>
                    <w:szCs w:val="24"/>
                    <w:lang w:val="en-GB" w:eastAsia="en-GB"/>
                  </w:rPr>
                  <w:t xml:space="preserve">stovyklaviečių ir </w:t>
                </w:r>
                <w:r>
                  <w:rPr>
                    <w:b/>
                    <w:sz w:val="20"/>
                    <w:lang w:val="en-GB" w:eastAsia="en-GB"/>
                  </w:rPr>
                  <w:t>kempingų, kai sklypo plotas 1 ha ar didesnis, įrengimas;</w:t>
                </w:r>
              </w:p>
              <w:p>
                <w:pPr>
                  <w:jc w:val="both"/>
                  <w:rPr>
                    <w:b/>
                    <w:sz w:val="20"/>
                    <w:lang w:val="en-GB" w:eastAsia="en-GB"/>
                  </w:rPr>
                </w:pPr>
                <w:r>
                  <w:rPr>
                    <w:b/>
                    <w:sz w:val="20"/>
                    <w:lang w:val="en-GB" w:eastAsia="en-GB"/>
                  </w:rPr>
                  <w:t>12.4. teminių parkų (pvz., zoologijos sodų, golfo laukų, teniso kortų, šaudyklų</w:t>
                </w:r>
                <w:r>
                  <w:rPr>
                    <w:szCs w:val="24"/>
                    <w:lang w:val="en-GB" w:eastAsia="en-GB"/>
                  </w:rPr>
                  <w:t>, vandens pramogų parkų ant paviršinių vandens telkinių</w:t>
                </w:r>
                <w:r>
                  <w:rPr>
                    <w:b/>
                    <w:sz w:val="20"/>
                    <w:lang w:val="en-GB" w:eastAsia="en-GB"/>
                  </w:rPr>
                  <w:t xml:space="preserve"> ir pan.), kurių plotas 1 ha ar didesnis, įrengimas.</w:t>
                </w:r>
              </w:p>
              <w:p>
                <w:pPr>
                  <w:jc w:val="both"/>
                  <w:rPr>
                    <w:b/>
                    <w:sz w:val="20"/>
                    <w:lang w:val="en-GB" w:eastAsia="en-GB"/>
                  </w:rPr>
                </w:pPr>
                <w:r>
                  <w:rPr>
                    <w:b/>
                    <w:sz w:val="20"/>
                    <w:lang w:val="en-GB" w:eastAsia="en-GB"/>
                  </w:rPr>
                  <w:t>13. Į Planuojamos ūkinės veiklos, kurios poveikis aplinkai privalo būti vertinamas, rūšių sąrašą įrašyta planuojama ūkinė veikla, skirta eksperimentiniam tobulinimui ar bandymui ir vykdoma ne ilgiau kaip dvejus metus.</w:t>
                </w:r>
              </w:p>
              <w:p>
                <w:pPr>
                  <w:jc w:val="both"/>
                  <w:rPr>
                    <w:b/>
                    <w:sz w:val="20"/>
                    <w:lang w:val="en-GB" w:eastAsia="en-GB"/>
                  </w:rPr>
                </w:pPr>
                <w:r>
                  <w:rPr>
                    <w:b/>
                    <w:sz w:val="20"/>
                    <w:lang w:val="en-GB" w:eastAsia="en-GB"/>
                  </w:rPr>
                  <w:t>14. Į šio įstatymo 1 priede pateiktą rūšių sąrašą įrašytos planuojamos ūkinės veiklos bet koks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w:t>
                </w:r>
              </w:p>
              <w:p>
                <w:pPr>
                  <w:jc w:val="both"/>
                  <w:rPr>
                    <w:b/>
                    <w:sz w:val="20"/>
                    <w:lang w:val="en-GB" w:eastAsia="en-GB"/>
                  </w:rPr>
                </w:pPr>
                <w:r>
                  <w:rPr>
                    <w:b/>
                    <w:sz w:val="20"/>
                    <w:lang w:val="en-GB" w:eastAsia="en-GB"/>
                  </w:rPr>
                  <w:t>15. Į šiame priede pateiktą rūšių sąrašą įrašytos planuojamos ūkinės veiklos bet koks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 Šio punkto reikalavimas taikomas veiklai:</w:t>
                </w:r>
              </w:p>
              <w:p>
                <w:pPr>
                  <w:jc w:val="both"/>
                  <w:rPr>
                    <w:b/>
                    <w:sz w:val="20"/>
                    <w:lang w:val="en-GB" w:eastAsia="en-GB"/>
                  </w:rPr>
                </w:pPr>
                <w:r>
                  <w:rPr>
                    <w:b/>
                    <w:sz w:val="20"/>
                    <w:lang w:val="en-GB" w:eastAsia="en-GB"/>
                  </w:rPr>
                  <w:t>15.1. kuriai nenustatyti ribiniai dydžiai, – jeigu planuojamos ūkinės veiklos keitimas ar išplėtimas gali daryti neigiamą poveikį aplinkai;</w:t>
                </w:r>
              </w:p>
              <w:p>
                <w:pPr>
                  <w:jc w:val="both"/>
                  <w:rPr>
                    <w:b/>
                    <w:sz w:val="20"/>
                    <w:lang w:val="en-GB" w:eastAsia="en-GB"/>
                  </w:rPr>
                </w:pPr>
                <w:r>
                  <w:rPr>
                    <w:b/>
                    <w:sz w:val="20"/>
                    <w:lang w:val="en-GB" w:eastAsia="en-GB"/>
                  </w:rPr>
                  <w:t>15.2. kuriai nustatyti ribiniai dydžiai, – jeigu vykdoma veikla ir jos pakeitimas ar išplėtimas yra mažesnis, negu sąraše nustatyti žemutiniai ribiniai dydžiai, pakeitus ar išplėtus, – veikla atitiks žemutinius ribinius dydžius;</w:t>
                </w:r>
              </w:p>
              <w:p>
                <w:pPr>
                  <w:jc w:val="both"/>
                  <w:rPr>
                    <w:b/>
                    <w:sz w:val="20"/>
                    <w:lang w:val="en-GB" w:eastAsia="en-GB"/>
                  </w:rPr>
                </w:pPr>
                <w:r>
                  <w:rPr>
                    <w:b/>
                    <w:sz w:val="20"/>
                    <w:lang w:val="en-GB" w:eastAsia="en-GB"/>
                  </w:rPr>
                  <w:t>15.3. kuriai nustatyti ribiniai dydžiai, – kai toks pakeitimas atitinka sąraše nustatytus žemutinius ribinius dydžius ar yra didesnis už jį.</w:t>
                </w:r>
              </w:p>
              <w:p>
                <w:pPr>
                  <w:jc w:val="both"/>
                  <w:rPr>
                    <w:b/>
                    <w:sz w:val="20"/>
                    <w:lang w:val="en-GB" w:eastAsia="en-GB"/>
                  </w:rPr>
                </w:pPr>
                <w:r>
                  <w:rPr>
                    <w:b/>
                    <w:sz w:val="20"/>
                    <w:lang w:val="en-GB" w:eastAsia="en-GB"/>
                  </w:rPr>
                  <w:t xml:space="preserve">Nustatant 15.2 ir 15.3 papunkčiuose nurodyto veiklos pakeitimo ar išplėtimo  mastą, sumuojami per paskutinius penkerius kalendorinius metus atlikti veiklos pakeitimai ar išplėtimai.</w:t>
                </w:r>
              </w:p>
              <w:p>
                <w:pPr>
                  <w:jc w:val="both"/>
                  <w:rPr>
                    <w:b/>
                    <w:sz w:val="20"/>
                    <w:lang w:val="en-GB" w:eastAsia="en-GB"/>
                  </w:rPr>
                </w:pPr>
                <w:r>
                  <w:rPr>
                    <w:b/>
                    <w:sz w:val="20"/>
                    <w:lang w:val="en-GB" w:eastAsia="en-GB"/>
                  </w:rPr>
                  <w:t>Pastabos:</w:t>
                </w:r>
              </w:p>
              <w:p>
                <w:pPr>
                  <w:jc w:val="both"/>
                  <w:rPr>
                    <w:b/>
                    <w:sz w:val="20"/>
                    <w:lang w:val="en-GB" w:eastAsia="en-GB"/>
                  </w:rPr>
                </w:pPr>
                <w:r>
                  <w:rPr>
                    <w:b/>
                    <w:sz w:val="20"/>
                    <w:lang w:val="en-GB" w:eastAsia="en-GB"/>
                  </w:rPr>
                  <w:t>1. Jeigu planuojama auginti skirtingų šio priedo 1.1 papunktyje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p>
              <w:p>
                <w:pPr>
                  <w:jc w:val="both"/>
                  <w:rPr>
                    <w:b/>
                    <w:sz w:val="20"/>
                    <w:lang w:val="en-GB" w:eastAsia="en-GB"/>
                  </w:rPr>
                </w:pPr>
                <w:r>
                  <w:rPr>
                    <w:b/>
                    <w:sz w:val="20"/>
                    <w:lang w:val="en-GB" w:eastAsia="en-GB"/>
                  </w:rPr>
                  <w:t>2. Šio priedo 1.1.7, 1.1.10–1.1.15, 1.1.18, 1.1.21 ir 1.1.22 papunkčiuose nurodyta viena vieta atitinka vieną suaugusį gyvūną ar paukštį, t. y. jaunikliai neskaičiuojami.”</w:t>
                </w:r>
              </w:p>
              <w:p>
                <w:pPr>
                  <w:jc w:val="both"/>
                  <w:rPr>
                    <w:b/>
                    <w:sz w:val="20"/>
                    <w:lang w:val="en-GB" w:eastAsia="en-GB"/>
                  </w:rPr>
                </w:pPr>
              </w:p>
            </w:tc>
            <w:tc>
              <w:tcPr>
                <w:tcW w:w="1421" w:type="dxa"/>
              </w:tcPr>
              <w:p>
                <w:pPr>
                  <w:ind w:firstLine="312"/>
                  <w:jc w:val="center"/>
                  <w:rPr>
                    <w:b/>
                    <w:sz w:val="20"/>
                  </w:rPr>
                </w:pPr>
                <w:r>
                  <w:rPr>
                    <w:b/>
                    <w:sz w:val="20"/>
                  </w:rPr>
                  <w:t>Visiškas.</w:t>
                </w:r>
              </w:p>
            </w:tc>
          </w:tr>
        </w:tbl>
        <w:p>
          <w:pPr>
            <w:jc w:val="both"/>
            <w:rPr>
              <w:b/>
              <w:bCs/>
              <w:color w:val="000000"/>
              <w:sz w:val="20"/>
              <w:lang w:eastAsia="lt-LT"/>
            </w:rPr>
            <w:sectPr>
              <w:pgSz w:w="16838" w:h="11906" w:orient="landscape"/>
              <w:pgMar w:top="1418" w:right="1134" w:bottom="567" w:left="1134" w:header="709" w:footer="709" w:gutter="0"/>
              <w:cols w:space="708"/>
              <w:titlePg/>
              <w:docGrid w:linePitch="360"/>
            </w:sectPr>
          </w:pPr>
        </w:p>
      </w:sdtContent>
    </w:sdt>
    <w:sdt>
      <w:sdtPr>
        <w:alias w:val="lentele"/>
        <w:tag w:val="part_a31ee450e5594ea49f33706c77922d78"/>
        <w:lock w:val="sdtLocked"/>
        <w:richText/>
      </w:sdtPr>
      <w:sdtContent>
        <w:tbl>
          <w:tblPr>
            <w:tblW w:w="14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9639"/>
            <w:gridCol w:w="1421"/>
          </w:tblGrid>
          <w:tr>
            <w:tc>
              <w:tcPr>
                <w:tcW w:w="3652" w:type="dxa"/>
              </w:tcPr>
              <w:p>
                <w:pPr>
                  <w:tabs>
                    <w:tab w:val="center" w:pos="4819"/>
                    <w:tab w:val="right" w:pos="9638"/>
                  </w:tabs>
                  <w:spacing w:line="259" w:lineRule="auto"/>
                  <w:rPr>
                    <w:szCs w:val="24"/>
                    <w:lang w:val="en-GB" w:eastAsia="en-GB"/>
                  </w:rPr>
                </w:pPr>
              </w:p>
              <w:p>
                <w:pPr>
                  <w:rPr>
                    <w:sz w:val="14"/>
                    <w:szCs w:val="14"/>
                  </w:rPr>
                </w:pPr>
              </w:p>
              <w:p>
                <w:pPr>
                  <w:jc w:val="both"/>
                  <w:rPr>
                    <w:b/>
                    <w:bCs/>
                    <w:color w:val="000000"/>
                    <w:sz w:val="20"/>
                    <w:lang w:eastAsia="lt-LT"/>
                  </w:rPr>
                </w:pPr>
                <w:r>
                  <w:rPr>
                    <w:b/>
                    <w:bCs/>
                    <w:color w:val="000000"/>
                    <w:sz w:val="20"/>
                    <w:lang w:eastAsia="lt-LT"/>
                  </w:rPr>
                  <w:t>M1</w:t>
                </w:r>
              </w:p>
              <w:p>
                <w:pPr>
                  <w:jc w:val="both"/>
                  <w:rPr>
                    <w:i/>
                    <w:iCs/>
                    <w:color w:val="000000"/>
                    <w:sz w:val="20"/>
                    <w:lang w:eastAsia="lt-LT"/>
                  </w:rPr>
                </w:pPr>
                <w:r>
                  <w:rPr>
                    <w:i/>
                    <w:iCs/>
                    <w:color w:val="000000"/>
                    <w:sz w:val="20"/>
                    <w:lang w:eastAsia="lt-LT"/>
                  </w:rPr>
                  <w:t xml:space="preserve">II.A PRIEDAS </w:t>
                </w:r>
              </w:p>
              <w:p>
                <w:pPr>
                  <w:jc w:val="both"/>
                  <w:rPr>
                    <w:b/>
                    <w:bCs/>
                    <w:color w:val="000000"/>
                    <w:sz w:val="20"/>
                    <w:lang w:eastAsia="lt-LT"/>
                  </w:rPr>
                </w:pPr>
                <w:r>
                  <w:rPr>
                    <w:b/>
                    <w:bCs/>
                    <w:color w:val="000000"/>
                    <w:sz w:val="20"/>
                    <w:lang w:eastAsia="lt-LT"/>
                  </w:rPr>
                  <w:t>4 STRAIPSNIO 4 DALYJE NURODYTA INFORMACIJA</w:t>
                </w:r>
              </w:p>
              <w:p>
                <w:pPr>
                  <w:ind w:firstLine="53"/>
                  <w:jc w:val="both"/>
                  <w:rPr>
                    <w:color w:val="000000"/>
                    <w:sz w:val="20"/>
                    <w:lang w:eastAsia="lt-LT"/>
                  </w:rPr>
                </w:pPr>
                <w:r>
                  <w:rPr>
                    <w:color w:val="000000"/>
                    <w:sz w:val="20"/>
                    <w:lang w:eastAsia="lt-LT"/>
                  </w:rPr>
                  <w:t xml:space="preserve">(INFORMACIJA, SUSIJUSI SU II PRIEDE IŠVARDYTAIS PROJEKTAIS, KURIĄ PATEIKIA UŽSAKOVAS) </w:t>
                </w:r>
              </w:p>
              <w:p>
                <w:pPr>
                  <w:jc w:val="both"/>
                  <w:rPr>
                    <w:color w:val="000000"/>
                    <w:sz w:val="20"/>
                    <w:lang w:eastAsia="lt-LT"/>
                  </w:rPr>
                </w:pPr>
                <w:r>
                  <w:rPr>
                    <w:color w:val="000000"/>
                    <w:sz w:val="20"/>
                    <w:lang w:eastAsia="lt-LT"/>
                  </w:rPr>
                  <w:t xml:space="preserve">1. Projekto aprašymas, būtinai įskaitant: </w:t>
                </w:r>
              </w:p>
              <w:p>
                <w:pPr>
                  <w:jc w:val="both"/>
                  <w:rPr>
                    <w:color w:val="000000"/>
                    <w:sz w:val="20"/>
                    <w:lang w:eastAsia="lt-LT"/>
                  </w:rPr>
                </w:pPr>
                <w:r>
                  <w:rPr>
                    <w:color w:val="000000"/>
                    <w:sz w:val="20"/>
                    <w:lang w:eastAsia="lt-LT"/>
                  </w:rPr>
                  <w:t xml:space="preserve">a) viso projekto fizinių charakteristikų, taip pat, kai tinkama, griovimo darbų aprašymą; </w:t>
                </w:r>
              </w:p>
              <w:p>
                <w:pPr>
                  <w:jc w:val="both"/>
                  <w:rPr>
                    <w:color w:val="000000"/>
                    <w:sz w:val="20"/>
                    <w:lang w:eastAsia="lt-LT"/>
                  </w:rPr>
                </w:pPr>
                <w:r>
                  <w:rPr>
                    <w:color w:val="000000"/>
                    <w:sz w:val="20"/>
                    <w:lang w:eastAsia="lt-LT"/>
                  </w:rPr>
                  <w:t xml:space="preserve">b) projekto vietos aprašymą, ypatingą dėmesį skiriant geografinių vietovių, kurioms projektas gali daryti poveikį, jautrumui aplinkosaugos požiūriu. </w:t>
                </w:r>
              </w:p>
              <w:p>
                <w:pPr>
                  <w:jc w:val="both"/>
                  <w:rPr>
                    <w:color w:val="000000"/>
                    <w:sz w:val="20"/>
                    <w:lang w:eastAsia="lt-LT"/>
                  </w:rPr>
                </w:pPr>
                <w:r>
                  <w:rPr>
                    <w:color w:val="000000"/>
                    <w:sz w:val="20"/>
                    <w:lang w:eastAsia="lt-LT"/>
                  </w:rPr>
                  <w:t>2. Aplinkos aspektų, kuriems projektas gali daryti reikšmingą poveikį, aprašymas.</w:t>
                </w:r>
              </w:p>
              <w:p>
                <w:pPr>
                  <w:jc w:val="both"/>
                  <w:rPr>
                    <w:color w:val="000000"/>
                    <w:sz w:val="20"/>
                    <w:lang w:eastAsia="lt-LT"/>
                  </w:rPr>
                </w:pPr>
                <w:r>
                  <w:rPr>
                    <w:color w:val="000000"/>
                    <w:sz w:val="20"/>
                    <w:lang w:eastAsia="lt-LT"/>
                  </w:rPr>
                  <w:t xml:space="preserve">3. Bet kokio galimo reikšmingo projekto poveikio aplinkai tiek, kiek turima informacijos apie tokį poveikį, aprašymas, kai poveikį gali sukelti: </w:t>
                </w:r>
              </w:p>
              <w:p>
                <w:pPr>
                  <w:jc w:val="both"/>
                  <w:rPr>
                    <w:color w:val="000000"/>
                    <w:sz w:val="20"/>
                    <w:lang w:eastAsia="lt-LT"/>
                  </w:rPr>
                </w:pPr>
                <w:r>
                  <w:rPr>
                    <w:color w:val="000000"/>
                    <w:sz w:val="20"/>
                    <w:lang w:eastAsia="lt-LT"/>
                  </w:rPr>
                  <w:t xml:space="preserve">a) numatomos liekanos ir išmetalai, taip pat susidarančios atliekos, kai tinkama; </w:t>
                </w:r>
              </w:p>
              <w:p>
                <w:pPr>
                  <w:jc w:val="both"/>
                  <w:rPr>
                    <w:color w:val="000000"/>
                    <w:sz w:val="20"/>
                    <w:lang w:eastAsia="lt-LT"/>
                  </w:rPr>
                </w:pPr>
                <w:r>
                  <w:rPr>
                    <w:color w:val="000000"/>
                    <w:sz w:val="20"/>
                    <w:lang w:eastAsia="lt-LT"/>
                  </w:rPr>
                  <w:t xml:space="preserve">b) gamtinių išteklių, visų pirma dirvožemio, žemės, vandens ir biologinės įvairovės naudojimas. </w:t>
                </w:r>
              </w:p>
              <w:p>
                <w:pPr>
                  <w:jc w:val="both"/>
                  <w:rPr>
                    <w:color w:val="000000"/>
                    <w:sz w:val="20"/>
                    <w:lang w:eastAsia="lt-LT"/>
                  </w:rPr>
                </w:pPr>
                <w:r>
                  <w:rPr>
                    <w:color w:val="000000"/>
                    <w:sz w:val="20"/>
                    <w:lang w:eastAsia="lt-LT"/>
                  </w:rPr>
                  <w:t>4. Kaupiant informaciją pagal 1–3 punktus, kai tinkama, atsižvelgiama į III priede nustatytus kriterijus.</w:t>
                </w:r>
              </w:p>
              <w:p>
                <w:pPr>
                  <w:jc w:val="both"/>
                  <w:rPr>
                    <w:b/>
                    <w:color w:val="000000"/>
                    <w:sz w:val="20"/>
                    <w:lang w:eastAsia="lt-LT"/>
                  </w:rPr>
                </w:pPr>
              </w:p>
            </w:tc>
            <w:tc>
              <w:tcPr>
                <w:tcW w:w="9639" w:type="dxa"/>
              </w:tcPr>
              <w:p>
                <w:pPr>
                  <w:jc w:val="both"/>
                  <w:rPr>
                    <w:b/>
                    <w:sz w:val="20"/>
                  </w:rPr>
                </w:pPr>
                <w:r>
                  <w:rPr>
                    <w:b/>
                    <w:sz w:val="20"/>
                  </w:rPr>
                  <w:t>Projektas</w:t>
                </w:r>
              </w:p>
              <w:p>
                <w:pPr>
                  <w:jc w:val="both"/>
                  <w:rPr>
                    <w:b/>
                    <w:sz w:val="20"/>
                  </w:rPr>
                </w:pPr>
                <w:r>
                  <w:rPr>
                    <w:b/>
                    <w:sz w:val="20"/>
                  </w:rPr>
                  <w:t>3 straipsnio 3 dalis</w:t>
                </w:r>
              </w:p>
              <w:p>
                <w:pPr>
                  <w:jc w:val="both"/>
                  <w:rPr>
                    <w:b/>
                    <w:sz w:val="20"/>
                    <w:lang w:eastAsia="en-GB"/>
                  </w:rPr>
                </w:pPr>
                <w:r>
                  <w:rPr>
                    <w:b/>
                    <w:sz w:val="20"/>
                  </w:rPr>
                  <w:t>„</w:t>
                </w:r>
                <w:r>
                  <w:rPr>
                    <w:b/>
                    <w:sz w:val="20"/>
                    <w:lang w:eastAsia="lt-LT"/>
                  </w:rPr>
                  <w:t xml:space="preserve">3. </w:t>
                </w:r>
                <w:r>
                  <w:rPr>
                    <w:b/>
                    <w:sz w:val="20"/>
                    <w:lang w:eastAsia="en-GB"/>
                  </w:rPr>
                  <w:t>Atranka dėl poveikio aplinkai vertinimo atliekama planuojamai ūkinei veiklai, įrašytai į Planuojamos ūkinės veiklos, kuriai turi būti atliekama atranka dėl poveikio aplinkai vertinimo, rūšių sąrašą, nurodytą šio įstatymo 2 priede.“</w:t>
                </w:r>
              </w:p>
              <w:p>
                <w:pPr>
                  <w:jc w:val="both"/>
                  <w:rPr>
                    <w:b/>
                    <w:sz w:val="20"/>
                    <w:lang w:eastAsia="en-GB"/>
                  </w:rPr>
                </w:pPr>
              </w:p>
              <w:p>
                <w:pPr>
                  <w:jc w:val="both"/>
                  <w:rPr>
                    <w:b/>
                    <w:sz w:val="20"/>
                    <w:lang w:eastAsia="lt-LT"/>
                  </w:rPr>
                </w:pPr>
                <w:r>
                  <w:rPr>
                    <w:b/>
                    <w:sz w:val="20"/>
                    <w:lang w:eastAsia="en-GB"/>
                  </w:rPr>
                  <w:t>7 straipsnio 3 dalis</w:t>
                </w:r>
              </w:p>
              <w:p>
                <w:pPr>
                  <w:jc w:val="both"/>
                  <w:rPr>
                    <w:rFonts w:eastAsia="Calibri"/>
                    <w:b/>
                    <w:sz w:val="20"/>
                    <w:lang w:eastAsia="en-GB"/>
                  </w:rPr>
                </w:pPr>
                <w:r>
                  <w:rPr>
                    <w:rFonts w:eastAsia="Calibri"/>
                    <w:b/>
                    <w:sz w:val="20"/>
                    <w:lang w:eastAsia="lt-LT"/>
                  </w:rPr>
                  <w:t>„3. Planuojamos ūkinės veiklos organizatorius (užsakovas) ar poveikio aplinkai vertinimo dokumentų rengėjas aplinkos ministro nustatyta tvarka rengia informaciją atrankai dėl poveikio aplinkai vertinimo atlikti ir pateikia ją atsakingajai institucijai.</w:t>
                </w:r>
                <w:r>
                  <w:rPr>
                    <w:rFonts w:eastAsia="Calibri"/>
                    <w:b/>
                    <w:sz w:val="20"/>
                    <w:lang w:eastAsia="en-GB"/>
                  </w:rPr>
                  <w:t xml:space="preserve">” </w:t>
                </w:r>
              </w:p>
              <w:p>
                <w:pPr>
                  <w:jc w:val="both"/>
                  <w:rPr>
                    <w:b/>
                    <w:sz w:val="20"/>
                    <w:lang w:eastAsia="lt-LT"/>
                  </w:rPr>
                </w:pPr>
              </w:p>
            </w:tc>
            <w:tc>
              <w:tcPr>
                <w:tcW w:w="1421" w:type="dxa"/>
              </w:tcPr>
              <w:p>
                <w:pPr>
                  <w:ind w:firstLine="312"/>
                  <w:jc w:val="center"/>
                  <w:rPr>
                    <w:b/>
                    <w:sz w:val="20"/>
                  </w:rPr>
                </w:pPr>
                <w:r>
                  <w:rPr>
                    <w:b/>
                    <w:sz w:val="20"/>
                  </w:rPr>
                  <w:t>Visiškas.</w:t>
                </w:r>
              </w:p>
            </w:tc>
          </w:tr>
          <w:tr>
            <w:tc>
              <w:tcPr>
                <w:tcW w:w="3652" w:type="dxa"/>
              </w:tcPr>
              <w:p>
                <w:pPr>
                  <w:jc w:val="both"/>
                  <w:rPr>
                    <w:b/>
                    <w:bCs/>
                    <w:color w:val="000000"/>
                    <w:sz w:val="20"/>
                    <w:lang w:eastAsia="lt-LT"/>
                  </w:rPr>
                </w:pPr>
                <w:r>
                  <w:rPr>
                    <w:b/>
                    <w:bCs/>
                    <w:color w:val="000000"/>
                    <w:sz w:val="20"/>
                    <w:lang w:eastAsia="lt-LT"/>
                  </w:rPr>
                  <w:t>M1</w:t>
                </w:r>
              </w:p>
              <w:p>
                <w:pPr>
                  <w:jc w:val="both"/>
                  <w:rPr>
                    <w:i/>
                    <w:iCs/>
                    <w:color w:val="000000"/>
                    <w:sz w:val="20"/>
                    <w:lang w:eastAsia="lt-LT"/>
                  </w:rPr>
                </w:pPr>
                <w:r>
                  <w:rPr>
                    <w:i/>
                    <w:iCs/>
                    <w:color w:val="000000"/>
                    <w:sz w:val="20"/>
                    <w:lang w:eastAsia="lt-LT"/>
                  </w:rPr>
                  <w:t xml:space="preserve">III PRIEDAS </w:t>
                </w:r>
              </w:p>
              <w:p>
                <w:pPr>
                  <w:jc w:val="both"/>
                  <w:rPr>
                    <w:b/>
                    <w:bCs/>
                    <w:color w:val="000000"/>
                    <w:sz w:val="20"/>
                    <w:lang w:eastAsia="lt-LT"/>
                  </w:rPr>
                </w:pPr>
                <w:r>
                  <w:rPr>
                    <w:b/>
                    <w:bCs/>
                    <w:color w:val="000000"/>
                    <w:sz w:val="20"/>
                    <w:lang w:eastAsia="lt-LT"/>
                  </w:rPr>
                  <w:t xml:space="preserve">4 STRAIPSNIO 3 DALYJE NURODYTI ATRANKOS KRITERIJAI </w:t>
                </w:r>
              </w:p>
              <w:p>
                <w:pPr>
                  <w:jc w:val="both"/>
                  <w:rPr>
                    <w:color w:val="000000"/>
                    <w:sz w:val="20"/>
                    <w:lang w:eastAsia="lt-LT"/>
                  </w:rPr>
                </w:pPr>
                <w:r>
                  <w:rPr>
                    <w:color w:val="000000"/>
                    <w:sz w:val="20"/>
                    <w:lang w:eastAsia="lt-LT"/>
                  </w:rPr>
                  <w:t xml:space="preserve">(KRITERIJAI, PAGAL KURIUOS SPRENDŽIAMA, AR TURI BŪTI VYKDOMAS II PRIEDE IŠVARDYTŲ PROJEKTŲ POVEIKIO APLINKAI VERTINIMAS) </w:t>
                </w:r>
              </w:p>
              <w:p>
                <w:pPr>
                  <w:jc w:val="both"/>
                  <w:rPr>
                    <w:color w:val="000000"/>
                    <w:sz w:val="20"/>
                    <w:lang w:eastAsia="lt-LT"/>
                  </w:rPr>
                </w:pPr>
                <w:r>
                  <w:rPr>
                    <w:color w:val="000000"/>
                    <w:sz w:val="20"/>
                    <w:lang w:eastAsia="lt-LT"/>
                  </w:rPr>
                  <w:t xml:space="preserve">1. </w:t>
                </w:r>
                <w:r>
                  <w:rPr>
                    <w:b/>
                    <w:bCs/>
                    <w:color w:val="000000"/>
                    <w:sz w:val="20"/>
                    <w:lang w:eastAsia="lt-LT"/>
                  </w:rPr>
                  <w:t xml:space="preserve">Projekto charakteristikos </w:t>
                </w:r>
                <w:r>
                  <w:rPr>
                    <w:color w:val="000000"/>
                    <w:sz w:val="20"/>
                    <w:lang w:eastAsia="lt-LT"/>
                  </w:rPr>
                  <w:t xml:space="preserve">Projektų charakteristikos turi būti svarstomos ypač kreipiant dėmesį į: </w:t>
                </w:r>
              </w:p>
              <w:p>
                <w:pPr>
                  <w:jc w:val="both"/>
                  <w:rPr>
                    <w:color w:val="000000"/>
                    <w:sz w:val="20"/>
                    <w:lang w:eastAsia="lt-LT"/>
                  </w:rPr>
                </w:pPr>
                <w:r>
                  <w:rPr>
                    <w:color w:val="000000"/>
                    <w:sz w:val="20"/>
                    <w:lang w:eastAsia="lt-LT"/>
                  </w:rPr>
                  <w:t xml:space="preserve">a) viso projekto dydį ir sumanymą; </w:t>
                </w:r>
              </w:p>
              <w:p>
                <w:pPr>
                  <w:jc w:val="both"/>
                  <w:rPr>
                    <w:color w:val="000000"/>
                    <w:sz w:val="20"/>
                    <w:lang w:eastAsia="lt-LT"/>
                  </w:rPr>
                </w:pPr>
                <w:r>
                  <w:rPr>
                    <w:color w:val="000000"/>
                    <w:sz w:val="20"/>
                    <w:lang w:eastAsia="lt-LT"/>
                  </w:rPr>
                  <w:t>b) sąveiką su kitais esamais ir (arba) patvirtintais projektais;</w:t>
                </w:r>
              </w:p>
              <w:p>
                <w:pPr>
                  <w:jc w:val="both"/>
                  <w:rPr>
                    <w:color w:val="000000"/>
                    <w:sz w:val="20"/>
                    <w:lang w:eastAsia="lt-LT"/>
                  </w:rPr>
                </w:pPr>
                <w:r>
                  <w:rPr>
                    <w:color w:val="000000"/>
                    <w:sz w:val="20"/>
                    <w:lang w:eastAsia="lt-LT"/>
                  </w:rPr>
                  <w:t xml:space="preserve">c) gamtinių išteklių, visų pirma žemės, dirvožemio, vandens ir biologinės įvairovės naudojimą; </w:t>
                </w:r>
              </w:p>
              <w:p>
                <w:pPr>
                  <w:jc w:val="both"/>
                  <w:rPr>
                    <w:color w:val="000000"/>
                    <w:sz w:val="20"/>
                    <w:lang w:eastAsia="lt-LT"/>
                  </w:rPr>
                </w:pPr>
                <w:r>
                  <w:rPr>
                    <w:color w:val="000000"/>
                    <w:sz w:val="20"/>
                    <w:lang w:eastAsia="lt-LT"/>
                  </w:rPr>
                  <w:t xml:space="preserve">d) atliekų susidarymą; </w:t>
                </w:r>
              </w:p>
              <w:p>
                <w:pPr>
                  <w:jc w:val="both"/>
                  <w:rPr>
                    <w:color w:val="000000"/>
                    <w:sz w:val="20"/>
                    <w:lang w:eastAsia="lt-LT"/>
                  </w:rPr>
                </w:pPr>
                <w:r>
                  <w:rPr>
                    <w:color w:val="000000"/>
                    <w:sz w:val="20"/>
                    <w:lang w:eastAsia="lt-LT"/>
                  </w:rPr>
                  <w:t xml:space="preserve">e) taršą ir trukdžius; </w:t>
                </w:r>
              </w:p>
              <w:p>
                <w:pPr>
                  <w:jc w:val="both"/>
                  <w:rPr>
                    <w:color w:val="000000"/>
                    <w:sz w:val="20"/>
                    <w:lang w:eastAsia="lt-LT"/>
                  </w:rPr>
                </w:pPr>
                <w:r>
                  <w:rPr>
                    <w:color w:val="000000"/>
                    <w:sz w:val="20"/>
                    <w:lang w:eastAsia="lt-LT"/>
                  </w:rPr>
                  <w:t xml:space="preserve">f) didelių avarijų ir (arba) nelaimių, svarbių atitinkamam projektui, riziką, įskaitant avarijas ir nelaimes, kurias lemia klimato kaita, kaip teigia mokslas; </w:t>
                </w:r>
              </w:p>
              <w:p>
                <w:pPr>
                  <w:jc w:val="both"/>
                  <w:rPr>
                    <w:color w:val="000000"/>
                    <w:sz w:val="20"/>
                    <w:lang w:eastAsia="lt-LT"/>
                  </w:rPr>
                </w:pPr>
                <w:r>
                  <w:rPr>
                    <w:color w:val="000000"/>
                    <w:sz w:val="20"/>
                    <w:lang w:eastAsia="lt-LT"/>
                  </w:rPr>
                  <w:t>g) riziką žmonių sveikatai (pvz., dėl vandens ar oro užterštumo).</w:t>
                </w:r>
              </w:p>
              <w:p>
                <w:pPr>
                  <w:jc w:val="both"/>
                  <w:rPr>
                    <w:color w:val="000000"/>
                    <w:sz w:val="20"/>
                    <w:lang w:eastAsia="lt-LT"/>
                  </w:rPr>
                </w:pPr>
                <w:r>
                  <w:rPr>
                    <w:color w:val="000000"/>
                    <w:sz w:val="20"/>
                    <w:lang w:eastAsia="lt-LT"/>
                  </w:rPr>
                  <w:t xml:space="preserve">2. </w:t>
                </w:r>
                <w:r>
                  <w:rPr>
                    <w:b/>
                    <w:bCs/>
                    <w:color w:val="000000"/>
                    <w:sz w:val="20"/>
                    <w:lang w:eastAsia="lt-LT"/>
                  </w:rPr>
                  <w:t xml:space="preserve">Projektų vieta </w:t>
                </w:r>
                <w:r>
                  <w:rPr>
                    <w:color w:val="000000"/>
                    <w:sz w:val="20"/>
                    <w:lang w:eastAsia="lt-LT"/>
                  </w:rPr>
                  <w:t xml:space="preserve">Geografinės vietovės, kuriai projektas gali daryti poveikį, jautrumas aplinkosaugos požiūriu turi būti svarstomas ypač kreipiant dėmesį į: </w:t>
                </w:r>
              </w:p>
              <w:p>
                <w:pPr>
                  <w:jc w:val="both"/>
                  <w:rPr>
                    <w:color w:val="000000"/>
                    <w:sz w:val="20"/>
                    <w:lang w:eastAsia="lt-LT"/>
                  </w:rPr>
                </w:pPr>
                <w:r>
                  <w:rPr>
                    <w:color w:val="000000"/>
                    <w:sz w:val="20"/>
                    <w:lang w:eastAsia="lt-LT"/>
                  </w:rPr>
                  <w:t xml:space="preserve">a) esamą ir patvirtintą žemės naudojimą; </w:t>
                </w:r>
              </w:p>
              <w:p>
                <w:pPr>
                  <w:jc w:val="both"/>
                  <w:rPr>
                    <w:color w:val="000000"/>
                    <w:sz w:val="20"/>
                    <w:lang w:eastAsia="lt-LT"/>
                  </w:rPr>
                </w:pPr>
                <w:r>
                  <w:rPr>
                    <w:color w:val="000000"/>
                    <w:sz w:val="20"/>
                    <w:lang w:eastAsia="lt-LT"/>
                  </w:rPr>
                  <w:t xml:space="preserve">b) santykinį vietovės ir jos žemės gelmių gamtinių išteklių (įskaitant dirvožemį, žemę, vandenį ir biologinę įvairovę) gausumą, kiekį, kokybę ir regeneracinį pajėgumą; </w:t>
                </w:r>
              </w:p>
              <w:p>
                <w:pPr>
                  <w:jc w:val="both"/>
                  <w:rPr>
                    <w:color w:val="000000"/>
                    <w:sz w:val="20"/>
                    <w:lang w:eastAsia="lt-LT"/>
                  </w:rPr>
                </w:pPr>
                <w:r>
                  <w:rPr>
                    <w:color w:val="000000"/>
                    <w:sz w:val="20"/>
                    <w:lang w:eastAsia="lt-LT"/>
                  </w:rPr>
                  <w:t xml:space="preserve">c) natūralios aplinkos buferinį pajėgumą, atkreipiant ypatingą dėmesį į šių tipų vietoves: </w:t>
                </w:r>
              </w:p>
              <w:p>
                <w:pPr>
                  <w:jc w:val="both"/>
                  <w:rPr>
                    <w:color w:val="000000"/>
                    <w:sz w:val="20"/>
                    <w:lang w:eastAsia="lt-LT"/>
                  </w:rPr>
                </w:pPr>
                <w:r>
                  <w:rPr>
                    <w:color w:val="000000"/>
                    <w:sz w:val="20"/>
                    <w:lang w:eastAsia="lt-LT"/>
                  </w:rPr>
                  <w:t xml:space="preserve">i) pelkes, upių pakrantes, upių žiotis; </w:t>
                </w:r>
              </w:p>
              <w:p>
                <w:pPr>
                  <w:jc w:val="both"/>
                  <w:rPr>
                    <w:color w:val="000000"/>
                    <w:sz w:val="20"/>
                    <w:lang w:eastAsia="lt-LT"/>
                  </w:rPr>
                </w:pPr>
                <w:r>
                  <w:rPr>
                    <w:color w:val="000000"/>
                    <w:sz w:val="20"/>
                    <w:lang w:eastAsia="lt-LT"/>
                  </w:rPr>
                  <w:t xml:space="preserve">ii) pakrančių zonas ir jūrų aplinką; </w:t>
                </w:r>
              </w:p>
              <w:p>
                <w:pPr>
                  <w:jc w:val="both"/>
                  <w:rPr>
                    <w:color w:val="000000"/>
                    <w:sz w:val="20"/>
                    <w:lang w:eastAsia="lt-LT"/>
                  </w:rPr>
                </w:pPr>
                <w:r>
                  <w:rPr>
                    <w:color w:val="000000"/>
                    <w:sz w:val="20"/>
                    <w:lang w:eastAsia="lt-LT"/>
                  </w:rPr>
                  <w:t>iii) kalnus ir miškus; iv) gamtos draustinius ir parkus;</w:t>
                </w:r>
              </w:p>
              <w:p>
                <w:pPr>
                  <w:jc w:val="both"/>
                  <w:rPr>
                    <w:color w:val="000000"/>
                    <w:sz w:val="20"/>
                    <w:lang w:eastAsia="lt-LT"/>
                  </w:rPr>
                </w:pPr>
                <w:r>
                  <w:rPr>
                    <w:color w:val="000000"/>
                    <w:sz w:val="20"/>
                    <w:lang w:eastAsia="lt-LT"/>
                  </w:rPr>
                  <w:t xml:space="preserve">v) teritorijas, kurioms nacionalinės teisės aktai suteikia saugomų teritorijų statusą; „Natura 2000“ vietoves, kurioms tokį statusą valstybės narės suteikė pagal Direktyvą </w:t>
                </w:r>
                <w:fldSimple w:instr="HYPERLINK http://eur-lex.europa.eu/legal-content/LIT/TXT/?uri=CELEX:31992L0043&amp;locale=lt \t _blank">
                  <w:r>
                    <w:rPr>
                      <w:color w:val="0000FF" w:themeColor="hyperlink"/>
                      <w:sz w:val="20"/>
                      <w:lang w:eastAsia="lt-LT"/>
                      <w:u w:val="single"/>
                    </w:rPr>
                    <w:t>92/43/EEB</w:t>
                  </w:r>
                </w:fldSimple>
                <w:r>
                  <w:rPr>
                    <w:color w:val="000000"/>
                    <w:sz w:val="20"/>
                    <w:lang w:eastAsia="lt-LT"/>
                  </w:rPr>
                  <w:t xml:space="preserve"> ir Direktyvą </w:t>
                </w:r>
                <w:fldSimple w:instr="HYPERLINK http://eur-lex.europa.eu/legal-content/LIT/TXT/?uri=CELEX:32009L0147&amp;locale=lt \t _blank">
                  <w:r>
                    <w:rPr>
                      <w:color w:val="0000FF" w:themeColor="hyperlink"/>
                      <w:sz w:val="20"/>
                      <w:lang w:eastAsia="lt-LT"/>
                      <w:u w:val="single"/>
                    </w:rPr>
                    <w:t>2009/147/EB</w:t>
                  </w:r>
                </w:fldSimple>
                <w:r>
                  <w:rPr>
                    <w:color w:val="000000"/>
                    <w:sz w:val="20"/>
                    <w:lang w:eastAsia="lt-LT"/>
                  </w:rPr>
                  <w:t xml:space="preserve">; </w:t>
                </w:r>
              </w:p>
              <w:p>
                <w:pPr>
                  <w:jc w:val="both"/>
                  <w:rPr>
                    <w:color w:val="000000"/>
                    <w:sz w:val="20"/>
                    <w:lang w:eastAsia="lt-LT"/>
                  </w:rPr>
                </w:pPr>
                <w:r>
                  <w:rPr>
                    <w:color w:val="000000"/>
                    <w:sz w:val="20"/>
                    <w:lang w:eastAsia="lt-LT"/>
                  </w:rPr>
                  <w:t xml:space="preserve">vi) teritorijas, kuriose jau buvo nesilaikoma projektui taikomų aplinkos kokybės standartų, nustatytų Sąjungos teisės aktais, arba manoma, kad jų nesilaikoma; </w:t>
                </w:r>
              </w:p>
              <w:p>
                <w:pPr>
                  <w:jc w:val="both"/>
                  <w:rPr>
                    <w:color w:val="000000"/>
                    <w:sz w:val="20"/>
                    <w:lang w:eastAsia="lt-LT"/>
                  </w:rPr>
                </w:pPr>
                <w:r>
                  <w:rPr>
                    <w:color w:val="000000"/>
                    <w:sz w:val="20"/>
                    <w:lang w:eastAsia="lt-LT"/>
                  </w:rPr>
                  <w:t xml:space="preserve">vii) tankiai apgyvendintas teritorijas; </w:t>
                </w:r>
              </w:p>
              <w:p>
                <w:pPr>
                  <w:jc w:val="both"/>
                  <w:rPr>
                    <w:color w:val="000000"/>
                    <w:sz w:val="20"/>
                    <w:lang w:eastAsia="lt-LT"/>
                  </w:rPr>
                </w:pPr>
                <w:r>
                  <w:rPr>
                    <w:color w:val="000000"/>
                    <w:sz w:val="20"/>
                    <w:lang w:eastAsia="lt-LT"/>
                  </w:rPr>
                  <w:t>viii) istorinės, kultūrinės ar archeologinės svarbos kraštovaizdžius ir vietoves.</w:t>
                </w:r>
              </w:p>
              <w:p>
                <w:pPr>
                  <w:jc w:val="both"/>
                  <w:rPr>
                    <w:color w:val="000000"/>
                    <w:sz w:val="20"/>
                    <w:lang w:eastAsia="lt-LT"/>
                  </w:rPr>
                </w:pPr>
                <w:r>
                  <w:rPr>
                    <w:color w:val="000000"/>
                    <w:sz w:val="20"/>
                    <w:lang w:eastAsia="lt-LT"/>
                  </w:rPr>
                  <w:t xml:space="preserve">3. </w:t>
                </w:r>
                <w:r>
                  <w:rPr>
                    <w:b/>
                    <w:bCs/>
                    <w:color w:val="000000"/>
                    <w:sz w:val="20"/>
                    <w:lang w:eastAsia="lt-LT"/>
                  </w:rPr>
                  <w:t xml:space="preserve">Galimo poveikio rūšis ir apibūdinimas </w:t>
                </w:r>
                <w:r>
                  <w:rPr>
                    <w:color w:val="000000"/>
                    <w:sz w:val="20"/>
                    <w:lang w:eastAsia="lt-LT"/>
                  </w:rPr>
                  <w:t xml:space="preserve">Tikėtinas reikšmingas projekto poveikis aplinkai turi būti svarstomas pagal kriterijus, išvardytus šio priedo 1 ir 2 dalyse, ypač kreipiant dėmesį į projekto poveikį veiksniams, išvardytiems 3 straipsnio 1 dalyje, atsižvelgiant į: </w:t>
                </w:r>
              </w:p>
              <w:p>
                <w:pPr>
                  <w:jc w:val="both"/>
                  <w:rPr>
                    <w:color w:val="000000"/>
                    <w:sz w:val="20"/>
                    <w:lang w:eastAsia="lt-LT"/>
                  </w:rPr>
                </w:pPr>
                <w:r>
                  <w:rPr>
                    <w:color w:val="000000"/>
                    <w:sz w:val="20"/>
                    <w:lang w:eastAsia="lt-LT"/>
                  </w:rPr>
                  <w:t xml:space="preserve">a) poveikio dydį ir erdvinį mastą (pvz., geografinę vietovę ir gyventojų, kuriems gali būti daromas poveikis, skaičių); b) poveikio pobūdį; </w:t>
                </w:r>
              </w:p>
              <w:p>
                <w:pPr>
                  <w:jc w:val="both"/>
                  <w:rPr>
                    <w:color w:val="000000"/>
                    <w:sz w:val="20"/>
                    <w:lang w:eastAsia="lt-LT"/>
                  </w:rPr>
                </w:pPr>
                <w:r>
                  <w:rPr>
                    <w:color w:val="000000"/>
                    <w:sz w:val="20"/>
                    <w:lang w:eastAsia="lt-LT"/>
                  </w:rPr>
                  <w:t xml:space="preserve">c) tarpvalstybinį poveikio pobūdį; </w:t>
                </w:r>
              </w:p>
              <w:p>
                <w:pPr>
                  <w:jc w:val="both"/>
                  <w:rPr>
                    <w:color w:val="000000"/>
                    <w:sz w:val="20"/>
                    <w:lang w:eastAsia="lt-LT"/>
                  </w:rPr>
                </w:pPr>
                <w:r>
                  <w:rPr>
                    <w:color w:val="000000"/>
                    <w:sz w:val="20"/>
                    <w:lang w:eastAsia="lt-LT"/>
                  </w:rPr>
                  <w:t xml:space="preserve">d) poveikio intensyvumą ir sudėtingumą; </w:t>
                </w:r>
              </w:p>
              <w:p>
                <w:pPr>
                  <w:jc w:val="both"/>
                  <w:rPr>
                    <w:color w:val="000000"/>
                    <w:sz w:val="20"/>
                    <w:lang w:eastAsia="lt-LT"/>
                  </w:rPr>
                </w:pPr>
                <w:r>
                  <w:rPr>
                    <w:color w:val="000000"/>
                    <w:sz w:val="20"/>
                    <w:lang w:eastAsia="lt-LT"/>
                  </w:rPr>
                  <w:t xml:space="preserve">e) poveikio tikimybę; </w:t>
                </w:r>
              </w:p>
              <w:p>
                <w:pPr>
                  <w:jc w:val="both"/>
                  <w:rPr>
                    <w:color w:val="000000"/>
                    <w:sz w:val="20"/>
                    <w:lang w:eastAsia="lt-LT"/>
                  </w:rPr>
                </w:pPr>
                <w:r>
                  <w:rPr>
                    <w:color w:val="000000"/>
                    <w:sz w:val="20"/>
                    <w:lang w:eastAsia="lt-LT"/>
                  </w:rPr>
                  <w:t xml:space="preserve">f) tikėtiną poveikio pradžią, trukmę, dažnumą ir grįžtamumą; </w:t>
                </w:r>
              </w:p>
              <w:p>
                <w:pPr>
                  <w:jc w:val="both"/>
                  <w:rPr>
                    <w:color w:val="000000"/>
                    <w:sz w:val="20"/>
                    <w:lang w:eastAsia="lt-LT"/>
                  </w:rPr>
                </w:pPr>
                <w:r>
                  <w:rPr>
                    <w:color w:val="000000"/>
                    <w:sz w:val="20"/>
                    <w:lang w:eastAsia="lt-LT"/>
                  </w:rPr>
                  <w:t xml:space="preserve">g) bendrą poveikį su kitais jau esamais ir (arba) patvirtintais projektais; </w:t>
                </w:r>
              </w:p>
              <w:p>
                <w:pPr>
                  <w:jc w:val="both"/>
                  <w:rPr>
                    <w:color w:val="000000"/>
                    <w:sz w:val="20"/>
                    <w:lang w:eastAsia="lt-LT"/>
                  </w:rPr>
                </w:pPr>
                <w:r>
                  <w:rPr>
                    <w:color w:val="000000"/>
                    <w:sz w:val="20"/>
                    <w:lang w:eastAsia="lt-LT"/>
                  </w:rPr>
                  <w:t>h) galimybę veiksmingai sumažinti poveikį.</w:t>
                </w:r>
              </w:p>
              <w:p>
                <w:pPr>
                  <w:jc w:val="both"/>
                  <w:rPr>
                    <w:rFonts w:ascii="EUAlbertina" w:hAnsi="EUAlbertina" w:cs="EUAlbertina"/>
                    <w:i/>
                    <w:iCs/>
                    <w:color w:val="000000"/>
                    <w:sz w:val="17"/>
                    <w:szCs w:val="17"/>
                    <w:lang w:eastAsia="lt-LT"/>
                  </w:rPr>
                </w:pPr>
              </w:p>
            </w:tc>
            <w:tc>
              <w:tcPr>
                <w:tcW w:w="9639" w:type="dxa"/>
              </w:tcPr>
              <w:p>
                <w:pPr>
                  <w:rPr>
                    <w:b/>
                    <w:sz w:val="20"/>
                    <w:lang w:eastAsia="lt-LT"/>
                  </w:rPr>
                </w:pPr>
                <w:r>
                  <w:rPr>
                    <w:b/>
                    <w:sz w:val="20"/>
                    <w:lang w:eastAsia="lt-LT"/>
                  </w:rPr>
                  <w:t>Projektas</w:t>
                </w:r>
              </w:p>
              <w:p>
                <w:pPr>
                  <w:jc w:val="both"/>
                  <w:rPr>
                    <w:b/>
                    <w:sz w:val="20"/>
                    <w:lang w:eastAsia="lt-LT"/>
                  </w:rPr>
                </w:pPr>
                <w:r>
                  <w:rPr>
                    <w:b/>
                    <w:sz w:val="20"/>
                    <w:lang w:eastAsia="en-GB"/>
                  </w:rPr>
                  <w:t>7 straipsnio 3-4 dalys</w:t>
                </w:r>
              </w:p>
              <w:p>
                <w:pPr>
                  <w:jc w:val="both"/>
                  <w:rPr>
                    <w:rFonts w:eastAsia="Calibri"/>
                    <w:b/>
                    <w:sz w:val="20"/>
                    <w:lang w:eastAsia="lt-LT"/>
                  </w:rPr>
                </w:pPr>
                <w:r>
                  <w:rPr>
                    <w:rFonts w:eastAsia="Calibri"/>
                    <w:b/>
                    <w:sz w:val="20"/>
                    <w:lang w:eastAsia="lt-LT"/>
                  </w:rPr>
                  <w:t>„3. Planuojamos ūkinės veiklos organizatorius (užsakovas) ar poveikio aplinkai vertinimo dokumentų rengėjas aplinkos ministro nustatyta tvarka rengia informaciją atrankai dėl poveikio aplinkai vertinimo atlikti ir pateikia ją atsakingajai institucijai.</w:t>
                </w:r>
              </w:p>
              <w:p>
                <w:pPr>
                  <w:jc w:val="both"/>
                  <w:rPr>
                    <w:rFonts w:eastAsia="Calibri"/>
                    <w:b/>
                    <w:sz w:val="20"/>
                    <w:lang w:eastAsia="lt-LT"/>
                  </w:rPr>
                </w:pPr>
                <w:r>
                  <w:rPr>
                    <w:rFonts w:eastAsia="Calibri"/>
                    <w:b/>
                    <w:sz w:val="20"/>
                    <w:lang w:eastAsia="lt-LT"/>
                  </w:rPr>
                  <w:t>4. Atsakingoji institucija, išnagrinėjusi atrankos informaciją, atlieka atranką dėl poveikio aplinkai vertinimo atsižvelgdama į:</w:t>
                </w:r>
              </w:p>
              <w:p>
                <w:pPr>
                  <w:jc w:val="both"/>
                  <w:rPr>
                    <w:rFonts w:eastAsia="Calibri"/>
                    <w:b/>
                    <w:sz w:val="20"/>
                    <w:lang w:eastAsia="lt-LT"/>
                  </w:rPr>
                </w:pPr>
                <w:r>
                  <w:rPr>
                    <w:rFonts w:eastAsia="Calibri"/>
                    <w:b/>
                    <w:sz w:val="20"/>
                    <w:lang w:eastAsia="lt-LT"/>
                  </w:rPr>
                  <w:t xml:space="preserve">1) planuojamos ūkinės veiklos mastą, pobūdį, jos sąveiką su kita vykdoma ūkine veikla ir (ar) pagal teisės aktų reikalavimus patvirtinta ūkinės veiklos plėtra gretimose teritorijose; gamtos išteklių, tokių kaip vandens, žemės (jos paviršiaus ir gelmių), dirvožemio ir biologinės įvairovės, naudojimą; atliekų susidarymą; galimą planuojamos ūkinės veiklos poveikį dirvožemiui, žemės paviršiui ir jos gelmėms, orui, vandeniui, klimatui, kraštovaizdžiui ir biologinei įvairovei, ypatingą dėmesį skirdama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 galimą planuojamos ūkinės veiklos sukeliamų biologinių, cheminių ir fizikinių veiksnių poveikį visuomenės sveikatai ir ekstremaliųjų įvykių ir (ar) ekstremaliųjų situacijų riziką; </w:t>
                </w:r>
              </w:p>
              <w:p>
                <w:pPr>
                  <w:jc w:val="both"/>
                  <w:rPr>
                    <w:rFonts w:eastAsia="Calibri"/>
                    <w:b/>
                    <w:sz w:val="20"/>
                    <w:lang w:eastAsia="lt-LT"/>
                  </w:rPr>
                </w:pPr>
                <w:r>
                  <w:rPr>
                    <w:rFonts w:eastAsia="Calibri"/>
                    <w:b/>
                    <w:sz w:val="20"/>
                    <w:lang w:eastAsia="lt-LT"/>
                  </w:rPr>
                  <w:t xml:space="preserve">2) vietovės, kurią planuojama ūkinė veikla gali paveikti, jautrumą aplinkosaugos požiūriu, ekosistemos savybes, žemės naudmenas, vietovėje esančius gamtinius ir žemės gelmių išteklius, jų gausumą, kiekį, kokybę ir regeneracijos galimybes; natūralios aplinkos atsparumą, ypatingą dėmesį atkreipdama į saugomas teritorijas, taip pat į Europos ekologinio tinklo „Natura 2000“ teritorijos apsaugos tikslus, tankiai gyvenamas teritorijas, pelkes, miškus, apsaugos zonas, vykdytos aplinkos stebėsenos (monitoringo) duomenis, teritorijas, kuriose jau viršytas leistinas užterštumo lygis ar kurios vertingos istoriniu, kultūriniu ar archeologiniu aspektu; </w:t>
                </w:r>
              </w:p>
              <w:p>
                <w:pPr>
                  <w:jc w:val="both"/>
                  <w:rPr>
                    <w:rFonts w:eastAsia="Calibri"/>
                    <w:b/>
                    <w:sz w:val="20"/>
                    <w:lang w:eastAsia="en-GB"/>
                  </w:rPr>
                </w:pPr>
                <w:r>
                  <w:rPr>
                    <w:rFonts w:eastAsia="Calibri"/>
                    <w:b/>
                    <w:sz w:val="20"/>
                    <w:lang w:eastAsia="lt-LT"/>
                  </w:rPr>
                  <w:t>3) planuojamos ūkinės veiklos poveikio dydį ir erdvinį mastą, jo tikimybę ir pobūdį, intensyvumą, sudėtingumą, trukmę, dažnumą, grįžtamumą, tarpvalstybinį poveikį, suminį poveikį su toje vietoje vykdoma ar planuojama vykdyti ūkine veikla ir galimybes išvengti poveikio ar užkirsti jam kelią.</w:t>
                </w:r>
                <w:r>
                  <w:rPr>
                    <w:rFonts w:eastAsia="Calibri"/>
                    <w:b/>
                    <w:sz w:val="20"/>
                    <w:lang w:eastAsia="en-GB"/>
                  </w:rPr>
                  <w:t xml:space="preserve">” </w:t>
                </w:r>
              </w:p>
              <w:p>
                <w:pPr>
                  <w:jc w:val="both"/>
                  <w:rPr>
                    <w:b/>
                    <w:sz w:val="20"/>
                    <w:lang w:eastAsia="lt-LT"/>
                  </w:rPr>
                </w:pPr>
              </w:p>
            </w:tc>
            <w:tc>
              <w:tcPr>
                <w:tcW w:w="1421" w:type="dxa"/>
              </w:tcPr>
              <w:p>
                <w:pPr>
                  <w:ind w:firstLine="312"/>
                  <w:jc w:val="center"/>
                  <w:rPr>
                    <w:b/>
                    <w:sz w:val="20"/>
                  </w:rPr>
                </w:pPr>
                <w:r>
                  <w:rPr>
                    <w:b/>
                    <w:sz w:val="20"/>
                  </w:rPr>
                  <w:t xml:space="preserve">Visiškas. </w:t>
                </w:r>
              </w:p>
              <w:p>
                <w:pPr>
                  <w:ind w:firstLine="312"/>
                  <w:jc w:val="center"/>
                  <w:rPr>
                    <w:b/>
                    <w:sz w:val="20"/>
                  </w:rPr>
                </w:pPr>
              </w:p>
            </w:tc>
          </w:tr>
          <w:tr>
            <w:tc>
              <w:tcPr>
                <w:tcW w:w="3652" w:type="dxa"/>
              </w:tcPr>
              <w:p>
                <w:pPr>
                  <w:jc w:val="both"/>
                  <w:rPr>
                    <w:b/>
                    <w:iCs/>
                    <w:sz w:val="20"/>
                    <w:lang w:eastAsia="en-GB"/>
                  </w:rPr>
                </w:pPr>
                <w:r>
                  <w:rPr>
                    <w:b/>
                    <w:iCs/>
                    <w:sz w:val="20"/>
                    <w:lang w:eastAsia="en-GB"/>
                  </w:rPr>
                  <w:t>M1</w:t>
                </w:r>
              </w:p>
              <w:p>
                <w:pPr>
                  <w:jc w:val="both"/>
                  <w:rPr>
                    <w:i/>
                    <w:iCs/>
                    <w:sz w:val="20"/>
                    <w:lang w:eastAsia="en-GB"/>
                  </w:rPr>
                </w:pPr>
                <w:r>
                  <w:rPr>
                    <w:i/>
                    <w:iCs/>
                    <w:sz w:val="20"/>
                    <w:lang w:eastAsia="en-GB"/>
                  </w:rPr>
                  <w:t xml:space="preserve">IV PRIEDAS </w:t>
                </w:r>
              </w:p>
              <w:p>
                <w:pPr>
                  <w:jc w:val="both"/>
                  <w:rPr>
                    <w:b/>
                    <w:bCs/>
                    <w:sz w:val="20"/>
                    <w:lang w:eastAsia="en-GB"/>
                  </w:rPr>
                </w:pPr>
                <w:r>
                  <w:rPr>
                    <w:b/>
                    <w:bCs/>
                    <w:sz w:val="20"/>
                    <w:lang w:eastAsia="en-GB"/>
                  </w:rPr>
                  <w:t>5 STRAIPSNIO 1 DALYJE NURODYTA INFORMACIJA</w:t>
                </w:r>
              </w:p>
              <w:p>
                <w:pPr>
                  <w:ind w:firstLine="53"/>
                  <w:jc w:val="both"/>
                  <w:rPr>
                    <w:sz w:val="20"/>
                    <w:lang w:eastAsia="en-GB"/>
                  </w:rPr>
                </w:pPr>
                <w:r>
                  <w:rPr>
                    <w:sz w:val="20"/>
                    <w:lang w:eastAsia="en-GB"/>
                  </w:rPr>
                  <w:t xml:space="preserve">(POVEIKIO APLINKAI VERTINIMO ATASKAITOJE PATEIKIAMA INFORMACIJA) </w:t>
                </w:r>
              </w:p>
              <w:p>
                <w:pPr>
                  <w:jc w:val="both"/>
                  <w:rPr>
                    <w:sz w:val="20"/>
                    <w:lang w:eastAsia="en-GB"/>
                  </w:rPr>
                </w:pPr>
                <w:r>
                  <w:rPr>
                    <w:sz w:val="20"/>
                    <w:lang w:eastAsia="en-GB"/>
                  </w:rPr>
                  <w:t xml:space="preserve">1. Projekto aprašymas, būtinai pateikiant: </w:t>
                </w:r>
              </w:p>
              <w:p>
                <w:pPr>
                  <w:jc w:val="both"/>
                  <w:rPr>
                    <w:sz w:val="20"/>
                    <w:lang w:eastAsia="en-GB"/>
                  </w:rPr>
                </w:pPr>
                <w:r>
                  <w:rPr>
                    <w:sz w:val="20"/>
                    <w:lang w:eastAsia="en-GB"/>
                  </w:rPr>
                  <w:t xml:space="preserve">a) projekto vykdymo vietos aprašymą; </w:t>
                </w:r>
              </w:p>
              <w:p>
                <w:pPr>
                  <w:jc w:val="both"/>
                  <w:rPr>
                    <w:sz w:val="20"/>
                    <w:lang w:eastAsia="en-GB"/>
                  </w:rPr>
                </w:pPr>
                <w:r>
                  <w:rPr>
                    <w:sz w:val="20"/>
                    <w:lang w:eastAsia="en-GB"/>
                  </w:rPr>
                  <w:t xml:space="preserve">b) viso projekto (įskaitant, kai tinkama, reikalingus griovimo darbus) fizinių charakteristikų ir žemės naudojimo reikalavimų statybos ir eksploatavimo etapais aprašymą; </w:t>
                </w:r>
              </w:p>
              <w:p>
                <w:pPr>
                  <w:jc w:val="both"/>
                  <w:rPr>
                    <w:sz w:val="20"/>
                    <w:lang w:eastAsia="en-GB"/>
                  </w:rPr>
                </w:pPr>
                <w:r>
                  <w:rPr>
                    <w:sz w:val="20"/>
                    <w:lang w:eastAsia="en-GB"/>
                  </w:rPr>
                  <w:t xml:space="preserve">c) pagrindinių projekto eksploatacijos etapo (ypač bet kurio gamybos proceso) charakteristikų aprašymą, pavyzdžiui, energijos poreikį ir naudojamą energiją, naudojamų medžiagų ir gamtinių išteklių (įskaitant vandenį, žemę, dirvožemį ir biologinę įvairovę) pobūdį ir kiekį; </w:t>
                </w:r>
              </w:p>
              <w:p>
                <w:pPr>
                  <w:jc w:val="both"/>
                  <w:rPr>
                    <w:sz w:val="20"/>
                    <w:lang w:eastAsia="en-GB"/>
                  </w:rPr>
                </w:pPr>
                <w:r>
                  <w:rPr>
                    <w:sz w:val="20"/>
                    <w:lang w:eastAsia="en-GB"/>
                  </w:rPr>
                  <w:t xml:space="preserve">d)siūlomo projekto eksploatavimo metu numatomų liekanų ir išmetalų rūšies (kaip antai vandens, oro, dirvožemio ir podirvio taršos, triukšmo, vibracijos, šviesos, šilumos, radiacijos) bei kiekio, taip pat atliekų, susidarančių statybos ir eksploatavimo etapais, kiekio ir rūšies įvertinimą. </w:t>
                </w:r>
              </w:p>
              <w:p>
                <w:pPr>
                  <w:jc w:val="both"/>
                  <w:rPr>
                    <w:b/>
                    <w:iCs/>
                    <w:sz w:val="20"/>
                    <w:lang w:eastAsia="en-GB"/>
                  </w:rPr>
                </w:pPr>
              </w:p>
            </w:tc>
            <w:tc>
              <w:tcPr>
                <w:tcW w:w="9639" w:type="dxa"/>
              </w:tcPr>
              <w:p>
                <w:pPr>
                  <w:rPr>
                    <w:b/>
                    <w:sz w:val="20"/>
                    <w:lang w:eastAsia="lt-LT"/>
                  </w:rPr>
                </w:pPr>
                <w:r>
                  <w:rPr>
                    <w:b/>
                    <w:sz w:val="20"/>
                    <w:lang w:eastAsia="lt-LT"/>
                  </w:rPr>
                  <w:t>Projektas</w:t>
                </w:r>
              </w:p>
              <w:p>
                <w:pPr>
                  <w:rPr>
                    <w:b/>
                    <w:sz w:val="20"/>
                    <w:lang w:eastAsia="lt-LT"/>
                  </w:rPr>
                </w:pPr>
                <w:r>
                  <w:rPr>
                    <w:b/>
                    <w:sz w:val="20"/>
                    <w:lang w:eastAsia="lt-LT"/>
                  </w:rPr>
                  <w:t>11 straipsnio 1 dalis</w:t>
                </w:r>
              </w:p>
              <w:p>
                <w:pPr>
                  <w:jc w:val="both"/>
                  <w:rPr>
                    <w:b/>
                    <w:sz w:val="20"/>
                    <w:lang w:val="en-GB" w:eastAsia="en-GB"/>
                  </w:rPr>
                </w:pPr>
                <w:r>
                  <w:rPr>
                    <w:b/>
                    <w:sz w:val="20"/>
                    <w:lang w:eastAsia="lt-LT"/>
                  </w:rPr>
                  <w:t xml:space="preserve">„1. Poveikio aplinkai vertinimo dokumentų rengėjas rengia ataskaitą, vadovaudamasis atsakingosios institucijos </w:t>
                </w:r>
                <w:r>
                  <w:rPr>
                    <w:b/>
                    <w:sz w:val="20"/>
                    <w:lang w:eastAsia="en-GB"/>
                  </w:rPr>
                  <w:t>patvirtinta</w:t>
                </w:r>
                <w:r>
                  <w:rPr>
                    <w:b/>
                    <w:sz w:val="20"/>
                    <w:lang w:eastAsia="lt-LT"/>
                  </w:rPr>
                  <w:t xml:space="preserve"> programa arba, jeigu buvo teiktas pranešimas apie PAV pradžią, atsižvelgdamas į gautus pasiūlymus.</w:t>
                </w:r>
                <w:r>
                  <w:rPr>
                    <w:b/>
                    <w:sz w:val="20"/>
                    <w:lang w:eastAsia="en-GB"/>
                  </w:rPr>
                  <w:t xml:space="preserve"> </w:t>
                </w:r>
                <w:r>
                  <w:rPr>
                    <w:b/>
                    <w:sz w:val="20"/>
                    <w:lang w:val="en-GB" w:eastAsia="lt-LT"/>
                  </w:rPr>
                  <w:t>Ataskaitos rengimo reikalavimus tvirtina aplinkos ministras.”</w:t>
                </w:r>
              </w:p>
              <w:p>
                <w:pPr>
                  <w:jc w:val="both"/>
                  <w:rPr>
                    <w:b/>
                    <w:sz w:val="20"/>
                    <w:lang w:eastAsia="lt-LT"/>
                  </w:rPr>
                </w:pPr>
              </w:p>
            </w:tc>
            <w:tc>
              <w:tcPr>
                <w:tcW w:w="1421" w:type="dxa"/>
              </w:tcPr>
              <w:p>
                <w:pPr>
                  <w:jc w:val="center"/>
                  <w:rPr>
                    <w:b/>
                    <w:sz w:val="20"/>
                  </w:rPr>
                </w:pPr>
                <w:r>
                  <w:rPr>
                    <w:b/>
                    <w:sz w:val="20"/>
                  </w:rPr>
                  <w:t>Visiškas.</w:t>
                </w:r>
              </w:p>
              <w:p>
                <w:pPr>
                  <w:jc w:val="center"/>
                  <w:rPr>
                    <w:b/>
                    <w:sz w:val="20"/>
                  </w:rPr>
                </w:pPr>
              </w:p>
            </w:tc>
          </w:tr>
        </w:tbl>
        <w:p>
          <w:pPr>
            <w:rPr>
              <w:szCs w:val="24"/>
              <w:lang w:eastAsia="en-GB"/>
            </w:rPr>
          </w:pPr>
        </w:p>
      </w:sdtContent>
    </w:sdt>
    <w:sectPr>
      <w:pgSz w:w="16838" w:h="11906" w:orient="landscape"/>
      <w:pgMar w:top="1418" w:right="1134" w:bottom="567" w:left="1134"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eastAsia="en-GB"/>
        </w:rPr>
      </w:pPr>
      <w:r>
        <w:rPr>
          <w:szCs w:val="24"/>
          <w:lang w:val="en-GB" w:eastAsia="en-GB"/>
        </w:rPr>
        <w:separator/>
      </w:r>
    </w:p>
  </w:endnote>
  <w:endnote w:type="continuationSeparator" w:id="0">
    <w:p>
      <w:pPr>
        <w:rPr>
          <w:szCs w:val="24"/>
          <w:lang w:val="en-GB" w:eastAsia="en-GB"/>
        </w:rPr>
      </w:pPr>
      <w:r>
        <w:rPr>
          <w:szCs w:val="24"/>
          <w:lang w:val="en-GB"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EUAlbertina">
    <w:altName w:val="MS Gothic"/>
    <w:panose1 w:val="00000000000000000000"/>
    <w:charset w:val="00"/>
    <w:family w:val="roman"/>
    <w:notTrueType/>
    <w:pitch w:val="default"/>
    <w:sig w:usb0="00000001"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GB"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GB"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GB"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eastAsia="en-GB"/>
        </w:rPr>
      </w:pPr>
      <w:r>
        <w:rPr>
          <w:szCs w:val="24"/>
          <w:lang w:val="en-GB" w:eastAsia="en-GB"/>
        </w:rPr>
        <w:separator/>
      </w:r>
    </w:p>
  </w:footnote>
  <w:footnote w:type="continuationSeparator" w:id="0">
    <w:p>
      <w:pPr>
        <w:rPr>
          <w:szCs w:val="24"/>
          <w:lang w:val="en-GB" w:eastAsia="en-GB"/>
        </w:rPr>
      </w:pPr>
      <w:r>
        <w:rPr>
          <w:szCs w:val="24"/>
          <w:lang w:val="en-GB" w:eastAsia="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GB"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szCs w:val="24"/>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4</w:t>
    </w:r>
    <w:r>
      <w:rPr>
        <w:szCs w:val="24"/>
        <w:lang w:val="en-GB" w:eastAsia="en-GB"/>
      </w:rPr>
      <w:fldChar w:fldCharType="end"/>
    </w:r>
  </w:p>
  <w:p>
    <w:pPr>
      <w:tabs>
        <w:tab w:val="center" w:pos="4819"/>
        <w:tab w:val="right" w:pos="9638"/>
      </w:tabs>
      <w:spacing w:after="160" w:line="259" w:lineRule="auto"/>
      <w:rPr>
        <w:szCs w:val="24"/>
        <w:lang w:val="en-GB"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GB"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284"/>
  <w:hyphenationZone w:val="396"/>
  <w:doNotHyphenateCaps/>
  <w:drawingGridHorizontalSpacing w:val="120"/>
  <w:noPunctuationKerning/>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7845"/>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F4BC661-ACC2-409B-ADA4-8CD033AF25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4172">
      <w:bodyDiv w:val="1"/>
      <w:marLeft w:val="0"/>
      <w:marRight w:val="0"/>
      <w:marTop w:val="0"/>
      <w:marBottom w:val="0"/>
      <w:divBdr>
        <w:top w:val="none" w:sz="0" w:space="0" w:color="auto"/>
        <w:left w:val="none" w:sz="0" w:space="0" w:color="auto"/>
        <w:bottom w:val="none" w:sz="0" w:space="0" w:color="auto"/>
        <w:right w:val="none" w:sz="0" w:space="0" w:color="auto"/>
      </w:divBdr>
    </w:div>
    <w:div w:id="7220509">
      <w:bodyDiv w:val="1"/>
      <w:marLeft w:val="0"/>
      <w:marRight w:val="0"/>
      <w:marTop w:val="0"/>
      <w:marBottom w:val="0"/>
      <w:divBdr>
        <w:top w:val="none" w:sz="0" w:space="0" w:color="auto"/>
        <w:left w:val="none" w:sz="0" w:space="0" w:color="auto"/>
        <w:bottom w:val="none" w:sz="0" w:space="0" w:color="auto"/>
        <w:right w:val="none" w:sz="0" w:space="0" w:color="auto"/>
      </w:divBdr>
      <w:divsChild>
        <w:div w:id="807239167">
          <w:marLeft w:val="0"/>
          <w:marRight w:val="0"/>
          <w:marTop w:val="0"/>
          <w:marBottom w:val="0"/>
          <w:divBdr>
            <w:top w:val="none" w:sz="0" w:space="0" w:color="auto"/>
            <w:left w:val="none" w:sz="0" w:space="0" w:color="auto"/>
            <w:bottom w:val="none" w:sz="0" w:space="0" w:color="auto"/>
            <w:right w:val="none" w:sz="0" w:space="0" w:color="auto"/>
          </w:divBdr>
        </w:div>
        <w:div w:id="1428311229">
          <w:marLeft w:val="0"/>
          <w:marRight w:val="0"/>
          <w:marTop w:val="0"/>
          <w:marBottom w:val="0"/>
          <w:divBdr>
            <w:top w:val="none" w:sz="0" w:space="0" w:color="auto"/>
            <w:left w:val="none" w:sz="0" w:space="0" w:color="auto"/>
            <w:bottom w:val="none" w:sz="0" w:space="0" w:color="auto"/>
            <w:right w:val="none" w:sz="0" w:space="0" w:color="auto"/>
          </w:divBdr>
        </w:div>
        <w:div w:id="301621963">
          <w:marLeft w:val="0"/>
          <w:marRight w:val="0"/>
          <w:marTop w:val="0"/>
          <w:marBottom w:val="0"/>
          <w:divBdr>
            <w:top w:val="none" w:sz="0" w:space="0" w:color="auto"/>
            <w:left w:val="none" w:sz="0" w:space="0" w:color="auto"/>
            <w:bottom w:val="none" w:sz="0" w:space="0" w:color="auto"/>
            <w:right w:val="none" w:sz="0" w:space="0" w:color="auto"/>
          </w:divBdr>
        </w:div>
        <w:div w:id="817720518">
          <w:marLeft w:val="0"/>
          <w:marRight w:val="0"/>
          <w:marTop w:val="0"/>
          <w:marBottom w:val="0"/>
          <w:divBdr>
            <w:top w:val="none" w:sz="0" w:space="0" w:color="auto"/>
            <w:left w:val="none" w:sz="0" w:space="0" w:color="auto"/>
            <w:bottom w:val="none" w:sz="0" w:space="0" w:color="auto"/>
            <w:right w:val="none" w:sz="0" w:space="0" w:color="auto"/>
          </w:divBdr>
        </w:div>
        <w:div w:id="386729571">
          <w:marLeft w:val="0"/>
          <w:marRight w:val="0"/>
          <w:marTop w:val="0"/>
          <w:marBottom w:val="0"/>
          <w:divBdr>
            <w:top w:val="none" w:sz="0" w:space="0" w:color="auto"/>
            <w:left w:val="none" w:sz="0" w:space="0" w:color="auto"/>
            <w:bottom w:val="none" w:sz="0" w:space="0" w:color="auto"/>
            <w:right w:val="none" w:sz="0" w:space="0" w:color="auto"/>
          </w:divBdr>
        </w:div>
        <w:div w:id="32729110">
          <w:marLeft w:val="0"/>
          <w:marRight w:val="0"/>
          <w:marTop w:val="0"/>
          <w:marBottom w:val="0"/>
          <w:divBdr>
            <w:top w:val="none" w:sz="0" w:space="0" w:color="auto"/>
            <w:left w:val="none" w:sz="0" w:space="0" w:color="auto"/>
            <w:bottom w:val="none" w:sz="0" w:space="0" w:color="auto"/>
            <w:right w:val="none" w:sz="0" w:space="0" w:color="auto"/>
          </w:divBdr>
        </w:div>
        <w:div w:id="859975306">
          <w:marLeft w:val="0"/>
          <w:marRight w:val="0"/>
          <w:marTop w:val="0"/>
          <w:marBottom w:val="0"/>
          <w:divBdr>
            <w:top w:val="none" w:sz="0" w:space="0" w:color="auto"/>
            <w:left w:val="none" w:sz="0" w:space="0" w:color="auto"/>
            <w:bottom w:val="none" w:sz="0" w:space="0" w:color="auto"/>
            <w:right w:val="none" w:sz="0" w:space="0" w:color="auto"/>
          </w:divBdr>
        </w:div>
        <w:div w:id="2073310538">
          <w:marLeft w:val="0"/>
          <w:marRight w:val="0"/>
          <w:marTop w:val="0"/>
          <w:marBottom w:val="0"/>
          <w:divBdr>
            <w:top w:val="none" w:sz="0" w:space="0" w:color="auto"/>
            <w:left w:val="none" w:sz="0" w:space="0" w:color="auto"/>
            <w:bottom w:val="none" w:sz="0" w:space="0" w:color="auto"/>
            <w:right w:val="none" w:sz="0" w:space="0" w:color="auto"/>
          </w:divBdr>
        </w:div>
        <w:div w:id="2051027250">
          <w:marLeft w:val="0"/>
          <w:marRight w:val="0"/>
          <w:marTop w:val="0"/>
          <w:marBottom w:val="0"/>
          <w:divBdr>
            <w:top w:val="none" w:sz="0" w:space="0" w:color="auto"/>
            <w:left w:val="none" w:sz="0" w:space="0" w:color="auto"/>
            <w:bottom w:val="none" w:sz="0" w:space="0" w:color="auto"/>
            <w:right w:val="none" w:sz="0" w:space="0" w:color="auto"/>
          </w:divBdr>
        </w:div>
        <w:div w:id="1588542550">
          <w:marLeft w:val="0"/>
          <w:marRight w:val="0"/>
          <w:marTop w:val="0"/>
          <w:marBottom w:val="0"/>
          <w:divBdr>
            <w:top w:val="none" w:sz="0" w:space="0" w:color="auto"/>
            <w:left w:val="none" w:sz="0" w:space="0" w:color="auto"/>
            <w:bottom w:val="none" w:sz="0" w:space="0" w:color="auto"/>
            <w:right w:val="none" w:sz="0" w:space="0" w:color="auto"/>
          </w:divBdr>
        </w:div>
        <w:div w:id="1166245366">
          <w:marLeft w:val="0"/>
          <w:marRight w:val="0"/>
          <w:marTop w:val="0"/>
          <w:marBottom w:val="0"/>
          <w:divBdr>
            <w:top w:val="none" w:sz="0" w:space="0" w:color="auto"/>
            <w:left w:val="none" w:sz="0" w:space="0" w:color="auto"/>
            <w:bottom w:val="none" w:sz="0" w:space="0" w:color="auto"/>
            <w:right w:val="none" w:sz="0" w:space="0" w:color="auto"/>
          </w:divBdr>
        </w:div>
        <w:div w:id="1832019906">
          <w:marLeft w:val="0"/>
          <w:marRight w:val="0"/>
          <w:marTop w:val="0"/>
          <w:marBottom w:val="0"/>
          <w:divBdr>
            <w:top w:val="none" w:sz="0" w:space="0" w:color="auto"/>
            <w:left w:val="none" w:sz="0" w:space="0" w:color="auto"/>
            <w:bottom w:val="none" w:sz="0" w:space="0" w:color="auto"/>
            <w:right w:val="none" w:sz="0" w:space="0" w:color="auto"/>
          </w:divBdr>
        </w:div>
        <w:div w:id="622804460">
          <w:marLeft w:val="0"/>
          <w:marRight w:val="0"/>
          <w:marTop w:val="0"/>
          <w:marBottom w:val="0"/>
          <w:divBdr>
            <w:top w:val="none" w:sz="0" w:space="0" w:color="auto"/>
            <w:left w:val="none" w:sz="0" w:space="0" w:color="auto"/>
            <w:bottom w:val="none" w:sz="0" w:space="0" w:color="auto"/>
            <w:right w:val="none" w:sz="0" w:space="0" w:color="auto"/>
          </w:divBdr>
        </w:div>
        <w:div w:id="847793081">
          <w:marLeft w:val="0"/>
          <w:marRight w:val="0"/>
          <w:marTop w:val="0"/>
          <w:marBottom w:val="0"/>
          <w:divBdr>
            <w:top w:val="none" w:sz="0" w:space="0" w:color="auto"/>
            <w:left w:val="none" w:sz="0" w:space="0" w:color="auto"/>
            <w:bottom w:val="none" w:sz="0" w:space="0" w:color="auto"/>
            <w:right w:val="none" w:sz="0" w:space="0" w:color="auto"/>
          </w:divBdr>
        </w:div>
        <w:div w:id="544677776">
          <w:marLeft w:val="0"/>
          <w:marRight w:val="0"/>
          <w:marTop w:val="0"/>
          <w:marBottom w:val="0"/>
          <w:divBdr>
            <w:top w:val="none" w:sz="0" w:space="0" w:color="auto"/>
            <w:left w:val="none" w:sz="0" w:space="0" w:color="auto"/>
            <w:bottom w:val="none" w:sz="0" w:space="0" w:color="auto"/>
            <w:right w:val="none" w:sz="0" w:space="0" w:color="auto"/>
          </w:divBdr>
        </w:div>
        <w:div w:id="1812625998">
          <w:marLeft w:val="0"/>
          <w:marRight w:val="0"/>
          <w:marTop w:val="0"/>
          <w:marBottom w:val="0"/>
          <w:divBdr>
            <w:top w:val="none" w:sz="0" w:space="0" w:color="auto"/>
            <w:left w:val="none" w:sz="0" w:space="0" w:color="auto"/>
            <w:bottom w:val="none" w:sz="0" w:space="0" w:color="auto"/>
            <w:right w:val="none" w:sz="0" w:space="0" w:color="auto"/>
          </w:divBdr>
        </w:div>
        <w:div w:id="909119909">
          <w:marLeft w:val="0"/>
          <w:marRight w:val="0"/>
          <w:marTop w:val="0"/>
          <w:marBottom w:val="0"/>
          <w:divBdr>
            <w:top w:val="none" w:sz="0" w:space="0" w:color="auto"/>
            <w:left w:val="none" w:sz="0" w:space="0" w:color="auto"/>
            <w:bottom w:val="none" w:sz="0" w:space="0" w:color="auto"/>
            <w:right w:val="none" w:sz="0" w:space="0" w:color="auto"/>
          </w:divBdr>
        </w:div>
        <w:div w:id="1863743204">
          <w:marLeft w:val="0"/>
          <w:marRight w:val="0"/>
          <w:marTop w:val="0"/>
          <w:marBottom w:val="0"/>
          <w:divBdr>
            <w:top w:val="none" w:sz="0" w:space="0" w:color="auto"/>
            <w:left w:val="none" w:sz="0" w:space="0" w:color="auto"/>
            <w:bottom w:val="none" w:sz="0" w:space="0" w:color="auto"/>
            <w:right w:val="none" w:sz="0" w:space="0" w:color="auto"/>
          </w:divBdr>
        </w:div>
        <w:div w:id="1128082974">
          <w:marLeft w:val="0"/>
          <w:marRight w:val="0"/>
          <w:marTop w:val="0"/>
          <w:marBottom w:val="0"/>
          <w:divBdr>
            <w:top w:val="none" w:sz="0" w:space="0" w:color="auto"/>
            <w:left w:val="none" w:sz="0" w:space="0" w:color="auto"/>
            <w:bottom w:val="none" w:sz="0" w:space="0" w:color="auto"/>
            <w:right w:val="none" w:sz="0" w:space="0" w:color="auto"/>
          </w:divBdr>
        </w:div>
        <w:div w:id="1339499505">
          <w:marLeft w:val="0"/>
          <w:marRight w:val="0"/>
          <w:marTop w:val="0"/>
          <w:marBottom w:val="0"/>
          <w:divBdr>
            <w:top w:val="none" w:sz="0" w:space="0" w:color="auto"/>
            <w:left w:val="none" w:sz="0" w:space="0" w:color="auto"/>
            <w:bottom w:val="none" w:sz="0" w:space="0" w:color="auto"/>
            <w:right w:val="none" w:sz="0" w:space="0" w:color="auto"/>
          </w:divBdr>
        </w:div>
        <w:div w:id="1534919752">
          <w:marLeft w:val="0"/>
          <w:marRight w:val="0"/>
          <w:marTop w:val="0"/>
          <w:marBottom w:val="0"/>
          <w:divBdr>
            <w:top w:val="none" w:sz="0" w:space="0" w:color="auto"/>
            <w:left w:val="none" w:sz="0" w:space="0" w:color="auto"/>
            <w:bottom w:val="none" w:sz="0" w:space="0" w:color="auto"/>
            <w:right w:val="none" w:sz="0" w:space="0" w:color="auto"/>
          </w:divBdr>
        </w:div>
        <w:div w:id="1497305394">
          <w:marLeft w:val="0"/>
          <w:marRight w:val="0"/>
          <w:marTop w:val="0"/>
          <w:marBottom w:val="0"/>
          <w:divBdr>
            <w:top w:val="none" w:sz="0" w:space="0" w:color="auto"/>
            <w:left w:val="none" w:sz="0" w:space="0" w:color="auto"/>
            <w:bottom w:val="none" w:sz="0" w:space="0" w:color="auto"/>
            <w:right w:val="none" w:sz="0" w:space="0" w:color="auto"/>
          </w:divBdr>
        </w:div>
        <w:div w:id="892737385">
          <w:marLeft w:val="0"/>
          <w:marRight w:val="0"/>
          <w:marTop w:val="0"/>
          <w:marBottom w:val="0"/>
          <w:divBdr>
            <w:top w:val="none" w:sz="0" w:space="0" w:color="auto"/>
            <w:left w:val="none" w:sz="0" w:space="0" w:color="auto"/>
            <w:bottom w:val="none" w:sz="0" w:space="0" w:color="auto"/>
            <w:right w:val="none" w:sz="0" w:space="0" w:color="auto"/>
          </w:divBdr>
        </w:div>
        <w:div w:id="447898237">
          <w:marLeft w:val="0"/>
          <w:marRight w:val="0"/>
          <w:marTop w:val="0"/>
          <w:marBottom w:val="0"/>
          <w:divBdr>
            <w:top w:val="none" w:sz="0" w:space="0" w:color="auto"/>
            <w:left w:val="none" w:sz="0" w:space="0" w:color="auto"/>
            <w:bottom w:val="none" w:sz="0" w:space="0" w:color="auto"/>
            <w:right w:val="none" w:sz="0" w:space="0" w:color="auto"/>
          </w:divBdr>
        </w:div>
        <w:div w:id="2041972328">
          <w:marLeft w:val="0"/>
          <w:marRight w:val="0"/>
          <w:marTop w:val="0"/>
          <w:marBottom w:val="0"/>
          <w:divBdr>
            <w:top w:val="none" w:sz="0" w:space="0" w:color="auto"/>
            <w:left w:val="none" w:sz="0" w:space="0" w:color="auto"/>
            <w:bottom w:val="none" w:sz="0" w:space="0" w:color="auto"/>
            <w:right w:val="none" w:sz="0" w:space="0" w:color="auto"/>
          </w:divBdr>
        </w:div>
        <w:div w:id="1533495180">
          <w:marLeft w:val="0"/>
          <w:marRight w:val="0"/>
          <w:marTop w:val="0"/>
          <w:marBottom w:val="0"/>
          <w:divBdr>
            <w:top w:val="none" w:sz="0" w:space="0" w:color="auto"/>
            <w:left w:val="none" w:sz="0" w:space="0" w:color="auto"/>
            <w:bottom w:val="none" w:sz="0" w:space="0" w:color="auto"/>
            <w:right w:val="none" w:sz="0" w:space="0" w:color="auto"/>
          </w:divBdr>
        </w:div>
        <w:div w:id="1763333770">
          <w:marLeft w:val="0"/>
          <w:marRight w:val="0"/>
          <w:marTop w:val="0"/>
          <w:marBottom w:val="0"/>
          <w:divBdr>
            <w:top w:val="none" w:sz="0" w:space="0" w:color="auto"/>
            <w:left w:val="none" w:sz="0" w:space="0" w:color="auto"/>
            <w:bottom w:val="none" w:sz="0" w:space="0" w:color="auto"/>
            <w:right w:val="none" w:sz="0" w:space="0" w:color="auto"/>
          </w:divBdr>
        </w:div>
        <w:div w:id="116798686">
          <w:marLeft w:val="0"/>
          <w:marRight w:val="0"/>
          <w:marTop w:val="0"/>
          <w:marBottom w:val="0"/>
          <w:divBdr>
            <w:top w:val="none" w:sz="0" w:space="0" w:color="auto"/>
            <w:left w:val="none" w:sz="0" w:space="0" w:color="auto"/>
            <w:bottom w:val="none" w:sz="0" w:space="0" w:color="auto"/>
            <w:right w:val="none" w:sz="0" w:space="0" w:color="auto"/>
          </w:divBdr>
        </w:div>
        <w:div w:id="1196581970">
          <w:marLeft w:val="0"/>
          <w:marRight w:val="0"/>
          <w:marTop w:val="0"/>
          <w:marBottom w:val="0"/>
          <w:divBdr>
            <w:top w:val="none" w:sz="0" w:space="0" w:color="auto"/>
            <w:left w:val="none" w:sz="0" w:space="0" w:color="auto"/>
            <w:bottom w:val="none" w:sz="0" w:space="0" w:color="auto"/>
            <w:right w:val="none" w:sz="0" w:space="0" w:color="auto"/>
          </w:divBdr>
        </w:div>
        <w:div w:id="1438863191">
          <w:marLeft w:val="0"/>
          <w:marRight w:val="0"/>
          <w:marTop w:val="0"/>
          <w:marBottom w:val="0"/>
          <w:divBdr>
            <w:top w:val="none" w:sz="0" w:space="0" w:color="auto"/>
            <w:left w:val="none" w:sz="0" w:space="0" w:color="auto"/>
            <w:bottom w:val="none" w:sz="0" w:space="0" w:color="auto"/>
            <w:right w:val="none" w:sz="0" w:space="0" w:color="auto"/>
          </w:divBdr>
        </w:div>
        <w:div w:id="1730299833">
          <w:marLeft w:val="0"/>
          <w:marRight w:val="0"/>
          <w:marTop w:val="0"/>
          <w:marBottom w:val="0"/>
          <w:divBdr>
            <w:top w:val="none" w:sz="0" w:space="0" w:color="auto"/>
            <w:left w:val="none" w:sz="0" w:space="0" w:color="auto"/>
            <w:bottom w:val="none" w:sz="0" w:space="0" w:color="auto"/>
            <w:right w:val="none" w:sz="0" w:space="0" w:color="auto"/>
          </w:divBdr>
        </w:div>
        <w:div w:id="756292382">
          <w:marLeft w:val="0"/>
          <w:marRight w:val="0"/>
          <w:marTop w:val="0"/>
          <w:marBottom w:val="0"/>
          <w:divBdr>
            <w:top w:val="none" w:sz="0" w:space="0" w:color="auto"/>
            <w:left w:val="none" w:sz="0" w:space="0" w:color="auto"/>
            <w:bottom w:val="none" w:sz="0" w:space="0" w:color="auto"/>
            <w:right w:val="none" w:sz="0" w:space="0" w:color="auto"/>
          </w:divBdr>
        </w:div>
        <w:div w:id="1761245526">
          <w:marLeft w:val="0"/>
          <w:marRight w:val="0"/>
          <w:marTop w:val="0"/>
          <w:marBottom w:val="0"/>
          <w:divBdr>
            <w:top w:val="none" w:sz="0" w:space="0" w:color="auto"/>
            <w:left w:val="none" w:sz="0" w:space="0" w:color="auto"/>
            <w:bottom w:val="none" w:sz="0" w:space="0" w:color="auto"/>
            <w:right w:val="none" w:sz="0" w:space="0" w:color="auto"/>
          </w:divBdr>
        </w:div>
        <w:div w:id="182715891">
          <w:marLeft w:val="0"/>
          <w:marRight w:val="0"/>
          <w:marTop w:val="0"/>
          <w:marBottom w:val="0"/>
          <w:divBdr>
            <w:top w:val="none" w:sz="0" w:space="0" w:color="auto"/>
            <w:left w:val="none" w:sz="0" w:space="0" w:color="auto"/>
            <w:bottom w:val="none" w:sz="0" w:space="0" w:color="auto"/>
            <w:right w:val="none" w:sz="0" w:space="0" w:color="auto"/>
          </w:divBdr>
        </w:div>
        <w:div w:id="1301958662">
          <w:marLeft w:val="0"/>
          <w:marRight w:val="0"/>
          <w:marTop w:val="0"/>
          <w:marBottom w:val="0"/>
          <w:divBdr>
            <w:top w:val="none" w:sz="0" w:space="0" w:color="auto"/>
            <w:left w:val="none" w:sz="0" w:space="0" w:color="auto"/>
            <w:bottom w:val="none" w:sz="0" w:space="0" w:color="auto"/>
            <w:right w:val="none" w:sz="0" w:space="0" w:color="auto"/>
          </w:divBdr>
        </w:div>
        <w:div w:id="328023922">
          <w:marLeft w:val="0"/>
          <w:marRight w:val="0"/>
          <w:marTop w:val="0"/>
          <w:marBottom w:val="0"/>
          <w:divBdr>
            <w:top w:val="none" w:sz="0" w:space="0" w:color="auto"/>
            <w:left w:val="none" w:sz="0" w:space="0" w:color="auto"/>
            <w:bottom w:val="none" w:sz="0" w:space="0" w:color="auto"/>
            <w:right w:val="none" w:sz="0" w:space="0" w:color="auto"/>
          </w:divBdr>
        </w:div>
        <w:div w:id="474028868">
          <w:marLeft w:val="0"/>
          <w:marRight w:val="0"/>
          <w:marTop w:val="0"/>
          <w:marBottom w:val="0"/>
          <w:divBdr>
            <w:top w:val="none" w:sz="0" w:space="0" w:color="auto"/>
            <w:left w:val="none" w:sz="0" w:space="0" w:color="auto"/>
            <w:bottom w:val="none" w:sz="0" w:space="0" w:color="auto"/>
            <w:right w:val="none" w:sz="0" w:space="0" w:color="auto"/>
          </w:divBdr>
        </w:div>
        <w:div w:id="436951752">
          <w:marLeft w:val="0"/>
          <w:marRight w:val="0"/>
          <w:marTop w:val="0"/>
          <w:marBottom w:val="0"/>
          <w:divBdr>
            <w:top w:val="none" w:sz="0" w:space="0" w:color="auto"/>
            <w:left w:val="none" w:sz="0" w:space="0" w:color="auto"/>
            <w:bottom w:val="none" w:sz="0" w:space="0" w:color="auto"/>
            <w:right w:val="none" w:sz="0" w:space="0" w:color="auto"/>
          </w:divBdr>
        </w:div>
        <w:div w:id="1543520755">
          <w:marLeft w:val="0"/>
          <w:marRight w:val="0"/>
          <w:marTop w:val="0"/>
          <w:marBottom w:val="0"/>
          <w:divBdr>
            <w:top w:val="none" w:sz="0" w:space="0" w:color="auto"/>
            <w:left w:val="none" w:sz="0" w:space="0" w:color="auto"/>
            <w:bottom w:val="none" w:sz="0" w:space="0" w:color="auto"/>
            <w:right w:val="none" w:sz="0" w:space="0" w:color="auto"/>
          </w:divBdr>
        </w:div>
        <w:div w:id="629164642">
          <w:marLeft w:val="0"/>
          <w:marRight w:val="0"/>
          <w:marTop w:val="0"/>
          <w:marBottom w:val="0"/>
          <w:divBdr>
            <w:top w:val="none" w:sz="0" w:space="0" w:color="auto"/>
            <w:left w:val="none" w:sz="0" w:space="0" w:color="auto"/>
            <w:bottom w:val="none" w:sz="0" w:space="0" w:color="auto"/>
            <w:right w:val="none" w:sz="0" w:space="0" w:color="auto"/>
          </w:divBdr>
        </w:div>
        <w:div w:id="1082095306">
          <w:marLeft w:val="0"/>
          <w:marRight w:val="0"/>
          <w:marTop w:val="0"/>
          <w:marBottom w:val="0"/>
          <w:divBdr>
            <w:top w:val="none" w:sz="0" w:space="0" w:color="auto"/>
            <w:left w:val="none" w:sz="0" w:space="0" w:color="auto"/>
            <w:bottom w:val="none" w:sz="0" w:space="0" w:color="auto"/>
            <w:right w:val="none" w:sz="0" w:space="0" w:color="auto"/>
          </w:divBdr>
        </w:div>
        <w:div w:id="1401178147">
          <w:marLeft w:val="0"/>
          <w:marRight w:val="0"/>
          <w:marTop w:val="0"/>
          <w:marBottom w:val="0"/>
          <w:divBdr>
            <w:top w:val="none" w:sz="0" w:space="0" w:color="auto"/>
            <w:left w:val="none" w:sz="0" w:space="0" w:color="auto"/>
            <w:bottom w:val="none" w:sz="0" w:space="0" w:color="auto"/>
            <w:right w:val="none" w:sz="0" w:space="0" w:color="auto"/>
          </w:divBdr>
        </w:div>
        <w:div w:id="188110917">
          <w:marLeft w:val="0"/>
          <w:marRight w:val="0"/>
          <w:marTop w:val="0"/>
          <w:marBottom w:val="0"/>
          <w:divBdr>
            <w:top w:val="none" w:sz="0" w:space="0" w:color="auto"/>
            <w:left w:val="none" w:sz="0" w:space="0" w:color="auto"/>
            <w:bottom w:val="none" w:sz="0" w:space="0" w:color="auto"/>
            <w:right w:val="none" w:sz="0" w:space="0" w:color="auto"/>
          </w:divBdr>
        </w:div>
        <w:div w:id="2130663042">
          <w:marLeft w:val="0"/>
          <w:marRight w:val="0"/>
          <w:marTop w:val="0"/>
          <w:marBottom w:val="0"/>
          <w:divBdr>
            <w:top w:val="none" w:sz="0" w:space="0" w:color="auto"/>
            <w:left w:val="none" w:sz="0" w:space="0" w:color="auto"/>
            <w:bottom w:val="none" w:sz="0" w:space="0" w:color="auto"/>
            <w:right w:val="none" w:sz="0" w:space="0" w:color="auto"/>
          </w:divBdr>
        </w:div>
        <w:div w:id="1553299765">
          <w:marLeft w:val="0"/>
          <w:marRight w:val="0"/>
          <w:marTop w:val="0"/>
          <w:marBottom w:val="0"/>
          <w:divBdr>
            <w:top w:val="none" w:sz="0" w:space="0" w:color="auto"/>
            <w:left w:val="none" w:sz="0" w:space="0" w:color="auto"/>
            <w:bottom w:val="none" w:sz="0" w:space="0" w:color="auto"/>
            <w:right w:val="none" w:sz="0" w:space="0" w:color="auto"/>
          </w:divBdr>
        </w:div>
        <w:div w:id="212275443">
          <w:marLeft w:val="0"/>
          <w:marRight w:val="0"/>
          <w:marTop w:val="0"/>
          <w:marBottom w:val="0"/>
          <w:divBdr>
            <w:top w:val="none" w:sz="0" w:space="0" w:color="auto"/>
            <w:left w:val="none" w:sz="0" w:space="0" w:color="auto"/>
            <w:bottom w:val="none" w:sz="0" w:space="0" w:color="auto"/>
            <w:right w:val="none" w:sz="0" w:space="0" w:color="auto"/>
          </w:divBdr>
        </w:div>
        <w:div w:id="1419673363">
          <w:marLeft w:val="0"/>
          <w:marRight w:val="0"/>
          <w:marTop w:val="0"/>
          <w:marBottom w:val="0"/>
          <w:divBdr>
            <w:top w:val="none" w:sz="0" w:space="0" w:color="auto"/>
            <w:left w:val="none" w:sz="0" w:space="0" w:color="auto"/>
            <w:bottom w:val="none" w:sz="0" w:space="0" w:color="auto"/>
            <w:right w:val="none" w:sz="0" w:space="0" w:color="auto"/>
          </w:divBdr>
        </w:div>
        <w:div w:id="926498298">
          <w:marLeft w:val="0"/>
          <w:marRight w:val="0"/>
          <w:marTop w:val="0"/>
          <w:marBottom w:val="0"/>
          <w:divBdr>
            <w:top w:val="none" w:sz="0" w:space="0" w:color="auto"/>
            <w:left w:val="none" w:sz="0" w:space="0" w:color="auto"/>
            <w:bottom w:val="none" w:sz="0" w:space="0" w:color="auto"/>
            <w:right w:val="none" w:sz="0" w:space="0" w:color="auto"/>
          </w:divBdr>
        </w:div>
        <w:div w:id="972564608">
          <w:marLeft w:val="0"/>
          <w:marRight w:val="0"/>
          <w:marTop w:val="0"/>
          <w:marBottom w:val="0"/>
          <w:divBdr>
            <w:top w:val="none" w:sz="0" w:space="0" w:color="auto"/>
            <w:left w:val="none" w:sz="0" w:space="0" w:color="auto"/>
            <w:bottom w:val="none" w:sz="0" w:space="0" w:color="auto"/>
            <w:right w:val="none" w:sz="0" w:space="0" w:color="auto"/>
          </w:divBdr>
        </w:div>
        <w:div w:id="1276254337">
          <w:marLeft w:val="0"/>
          <w:marRight w:val="0"/>
          <w:marTop w:val="0"/>
          <w:marBottom w:val="0"/>
          <w:divBdr>
            <w:top w:val="none" w:sz="0" w:space="0" w:color="auto"/>
            <w:left w:val="none" w:sz="0" w:space="0" w:color="auto"/>
            <w:bottom w:val="none" w:sz="0" w:space="0" w:color="auto"/>
            <w:right w:val="none" w:sz="0" w:space="0" w:color="auto"/>
          </w:divBdr>
        </w:div>
        <w:div w:id="314801896">
          <w:marLeft w:val="0"/>
          <w:marRight w:val="0"/>
          <w:marTop w:val="0"/>
          <w:marBottom w:val="0"/>
          <w:divBdr>
            <w:top w:val="none" w:sz="0" w:space="0" w:color="auto"/>
            <w:left w:val="none" w:sz="0" w:space="0" w:color="auto"/>
            <w:bottom w:val="none" w:sz="0" w:space="0" w:color="auto"/>
            <w:right w:val="none" w:sz="0" w:space="0" w:color="auto"/>
          </w:divBdr>
        </w:div>
        <w:div w:id="959069242">
          <w:marLeft w:val="0"/>
          <w:marRight w:val="0"/>
          <w:marTop w:val="0"/>
          <w:marBottom w:val="0"/>
          <w:divBdr>
            <w:top w:val="none" w:sz="0" w:space="0" w:color="auto"/>
            <w:left w:val="none" w:sz="0" w:space="0" w:color="auto"/>
            <w:bottom w:val="none" w:sz="0" w:space="0" w:color="auto"/>
            <w:right w:val="none" w:sz="0" w:space="0" w:color="auto"/>
          </w:divBdr>
        </w:div>
        <w:div w:id="487476625">
          <w:marLeft w:val="0"/>
          <w:marRight w:val="0"/>
          <w:marTop w:val="0"/>
          <w:marBottom w:val="0"/>
          <w:divBdr>
            <w:top w:val="none" w:sz="0" w:space="0" w:color="auto"/>
            <w:left w:val="none" w:sz="0" w:space="0" w:color="auto"/>
            <w:bottom w:val="none" w:sz="0" w:space="0" w:color="auto"/>
            <w:right w:val="none" w:sz="0" w:space="0" w:color="auto"/>
          </w:divBdr>
        </w:div>
        <w:div w:id="1685395486">
          <w:marLeft w:val="0"/>
          <w:marRight w:val="0"/>
          <w:marTop w:val="0"/>
          <w:marBottom w:val="0"/>
          <w:divBdr>
            <w:top w:val="none" w:sz="0" w:space="0" w:color="auto"/>
            <w:left w:val="none" w:sz="0" w:space="0" w:color="auto"/>
            <w:bottom w:val="none" w:sz="0" w:space="0" w:color="auto"/>
            <w:right w:val="none" w:sz="0" w:space="0" w:color="auto"/>
          </w:divBdr>
        </w:div>
        <w:div w:id="1253129860">
          <w:marLeft w:val="0"/>
          <w:marRight w:val="0"/>
          <w:marTop w:val="0"/>
          <w:marBottom w:val="0"/>
          <w:divBdr>
            <w:top w:val="none" w:sz="0" w:space="0" w:color="auto"/>
            <w:left w:val="none" w:sz="0" w:space="0" w:color="auto"/>
            <w:bottom w:val="none" w:sz="0" w:space="0" w:color="auto"/>
            <w:right w:val="none" w:sz="0" w:space="0" w:color="auto"/>
          </w:divBdr>
        </w:div>
        <w:div w:id="1745756607">
          <w:marLeft w:val="0"/>
          <w:marRight w:val="0"/>
          <w:marTop w:val="0"/>
          <w:marBottom w:val="0"/>
          <w:divBdr>
            <w:top w:val="none" w:sz="0" w:space="0" w:color="auto"/>
            <w:left w:val="none" w:sz="0" w:space="0" w:color="auto"/>
            <w:bottom w:val="none" w:sz="0" w:space="0" w:color="auto"/>
            <w:right w:val="none" w:sz="0" w:space="0" w:color="auto"/>
          </w:divBdr>
        </w:div>
        <w:div w:id="1066881842">
          <w:marLeft w:val="0"/>
          <w:marRight w:val="0"/>
          <w:marTop w:val="0"/>
          <w:marBottom w:val="0"/>
          <w:divBdr>
            <w:top w:val="none" w:sz="0" w:space="0" w:color="auto"/>
            <w:left w:val="none" w:sz="0" w:space="0" w:color="auto"/>
            <w:bottom w:val="none" w:sz="0" w:space="0" w:color="auto"/>
            <w:right w:val="none" w:sz="0" w:space="0" w:color="auto"/>
          </w:divBdr>
        </w:div>
        <w:div w:id="905604047">
          <w:marLeft w:val="0"/>
          <w:marRight w:val="0"/>
          <w:marTop w:val="0"/>
          <w:marBottom w:val="0"/>
          <w:divBdr>
            <w:top w:val="none" w:sz="0" w:space="0" w:color="auto"/>
            <w:left w:val="none" w:sz="0" w:space="0" w:color="auto"/>
            <w:bottom w:val="none" w:sz="0" w:space="0" w:color="auto"/>
            <w:right w:val="none" w:sz="0" w:space="0" w:color="auto"/>
          </w:divBdr>
        </w:div>
        <w:div w:id="437608154">
          <w:marLeft w:val="0"/>
          <w:marRight w:val="0"/>
          <w:marTop w:val="0"/>
          <w:marBottom w:val="0"/>
          <w:divBdr>
            <w:top w:val="none" w:sz="0" w:space="0" w:color="auto"/>
            <w:left w:val="none" w:sz="0" w:space="0" w:color="auto"/>
            <w:bottom w:val="none" w:sz="0" w:space="0" w:color="auto"/>
            <w:right w:val="none" w:sz="0" w:space="0" w:color="auto"/>
          </w:divBdr>
        </w:div>
        <w:div w:id="1744792729">
          <w:marLeft w:val="0"/>
          <w:marRight w:val="0"/>
          <w:marTop w:val="0"/>
          <w:marBottom w:val="0"/>
          <w:divBdr>
            <w:top w:val="none" w:sz="0" w:space="0" w:color="auto"/>
            <w:left w:val="none" w:sz="0" w:space="0" w:color="auto"/>
            <w:bottom w:val="none" w:sz="0" w:space="0" w:color="auto"/>
            <w:right w:val="none" w:sz="0" w:space="0" w:color="auto"/>
          </w:divBdr>
        </w:div>
        <w:div w:id="1129086844">
          <w:marLeft w:val="0"/>
          <w:marRight w:val="0"/>
          <w:marTop w:val="0"/>
          <w:marBottom w:val="0"/>
          <w:divBdr>
            <w:top w:val="none" w:sz="0" w:space="0" w:color="auto"/>
            <w:left w:val="none" w:sz="0" w:space="0" w:color="auto"/>
            <w:bottom w:val="none" w:sz="0" w:space="0" w:color="auto"/>
            <w:right w:val="none" w:sz="0" w:space="0" w:color="auto"/>
          </w:divBdr>
        </w:div>
        <w:div w:id="1649283916">
          <w:marLeft w:val="0"/>
          <w:marRight w:val="0"/>
          <w:marTop w:val="0"/>
          <w:marBottom w:val="0"/>
          <w:divBdr>
            <w:top w:val="none" w:sz="0" w:space="0" w:color="auto"/>
            <w:left w:val="none" w:sz="0" w:space="0" w:color="auto"/>
            <w:bottom w:val="none" w:sz="0" w:space="0" w:color="auto"/>
            <w:right w:val="none" w:sz="0" w:space="0" w:color="auto"/>
          </w:divBdr>
        </w:div>
        <w:div w:id="1302152243">
          <w:marLeft w:val="0"/>
          <w:marRight w:val="0"/>
          <w:marTop w:val="0"/>
          <w:marBottom w:val="0"/>
          <w:divBdr>
            <w:top w:val="none" w:sz="0" w:space="0" w:color="auto"/>
            <w:left w:val="none" w:sz="0" w:space="0" w:color="auto"/>
            <w:bottom w:val="none" w:sz="0" w:space="0" w:color="auto"/>
            <w:right w:val="none" w:sz="0" w:space="0" w:color="auto"/>
          </w:divBdr>
        </w:div>
        <w:div w:id="1691486942">
          <w:marLeft w:val="0"/>
          <w:marRight w:val="0"/>
          <w:marTop w:val="0"/>
          <w:marBottom w:val="0"/>
          <w:divBdr>
            <w:top w:val="none" w:sz="0" w:space="0" w:color="auto"/>
            <w:left w:val="none" w:sz="0" w:space="0" w:color="auto"/>
            <w:bottom w:val="none" w:sz="0" w:space="0" w:color="auto"/>
            <w:right w:val="none" w:sz="0" w:space="0" w:color="auto"/>
          </w:divBdr>
        </w:div>
        <w:div w:id="1660964389">
          <w:marLeft w:val="0"/>
          <w:marRight w:val="0"/>
          <w:marTop w:val="0"/>
          <w:marBottom w:val="0"/>
          <w:divBdr>
            <w:top w:val="none" w:sz="0" w:space="0" w:color="auto"/>
            <w:left w:val="none" w:sz="0" w:space="0" w:color="auto"/>
            <w:bottom w:val="none" w:sz="0" w:space="0" w:color="auto"/>
            <w:right w:val="none" w:sz="0" w:space="0" w:color="auto"/>
          </w:divBdr>
        </w:div>
        <w:div w:id="1851337712">
          <w:marLeft w:val="0"/>
          <w:marRight w:val="0"/>
          <w:marTop w:val="0"/>
          <w:marBottom w:val="0"/>
          <w:divBdr>
            <w:top w:val="none" w:sz="0" w:space="0" w:color="auto"/>
            <w:left w:val="none" w:sz="0" w:space="0" w:color="auto"/>
            <w:bottom w:val="none" w:sz="0" w:space="0" w:color="auto"/>
            <w:right w:val="none" w:sz="0" w:space="0" w:color="auto"/>
          </w:divBdr>
        </w:div>
        <w:div w:id="975720887">
          <w:marLeft w:val="0"/>
          <w:marRight w:val="0"/>
          <w:marTop w:val="0"/>
          <w:marBottom w:val="0"/>
          <w:divBdr>
            <w:top w:val="none" w:sz="0" w:space="0" w:color="auto"/>
            <w:left w:val="none" w:sz="0" w:space="0" w:color="auto"/>
            <w:bottom w:val="none" w:sz="0" w:space="0" w:color="auto"/>
            <w:right w:val="none" w:sz="0" w:space="0" w:color="auto"/>
          </w:divBdr>
        </w:div>
        <w:div w:id="1922793206">
          <w:marLeft w:val="0"/>
          <w:marRight w:val="0"/>
          <w:marTop w:val="0"/>
          <w:marBottom w:val="0"/>
          <w:divBdr>
            <w:top w:val="none" w:sz="0" w:space="0" w:color="auto"/>
            <w:left w:val="none" w:sz="0" w:space="0" w:color="auto"/>
            <w:bottom w:val="none" w:sz="0" w:space="0" w:color="auto"/>
            <w:right w:val="none" w:sz="0" w:space="0" w:color="auto"/>
          </w:divBdr>
        </w:div>
        <w:div w:id="1637296344">
          <w:marLeft w:val="0"/>
          <w:marRight w:val="0"/>
          <w:marTop w:val="0"/>
          <w:marBottom w:val="0"/>
          <w:divBdr>
            <w:top w:val="none" w:sz="0" w:space="0" w:color="auto"/>
            <w:left w:val="none" w:sz="0" w:space="0" w:color="auto"/>
            <w:bottom w:val="none" w:sz="0" w:space="0" w:color="auto"/>
            <w:right w:val="none" w:sz="0" w:space="0" w:color="auto"/>
          </w:divBdr>
        </w:div>
        <w:div w:id="1912037737">
          <w:marLeft w:val="0"/>
          <w:marRight w:val="0"/>
          <w:marTop w:val="0"/>
          <w:marBottom w:val="0"/>
          <w:divBdr>
            <w:top w:val="none" w:sz="0" w:space="0" w:color="auto"/>
            <w:left w:val="none" w:sz="0" w:space="0" w:color="auto"/>
            <w:bottom w:val="none" w:sz="0" w:space="0" w:color="auto"/>
            <w:right w:val="none" w:sz="0" w:space="0" w:color="auto"/>
          </w:divBdr>
        </w:div>
        <w:div w:id="492255157">
          <w:marLeft w:val="0"/>
          <w:marRight w:val="0"/>
          <w:marTop w:val="0"/>
          <w:marBottom w:val="0"/>
          <w:divBdr>
            <w:top w:val="none" w:sz="0" w:space="0" w:color="auto"/>
            <w:left w:val="none" w:sz="0" w:space="0" w:color="auto"/>
            <w:bottom w:val="none" w:sz="0" w:space="0" w:color="auto"/>
            <w:right w:val="none" w:sz="0" w:space="0" w:color="auto"/>
          </w:divBdr>
        </w:div>
        <w:div w:id="1131484764">
          <w:marLeft w:val="0"/>
          <w:marRight w:val="0"/>
          <w:marTop w:val="0"/>
          <w:marBottom w:val="0"/>
          <w:divBdr>
            <w:top w:val="none" w:sz="0" w:space="0" w:color="auto"/>
            <w:left w:val="none" w:sz="0" w:space="0" w:color="auto"/>
            <w:bottom w:val="none" w:sz="0" w:space="0" w:color="auto"/>
            <w:right w:val="none" w:sz="0" w:space="0" w:color="auto"/>
          </w:divBdr>
        </w:div>
        <w:div w:id="1180463229">
          <w:marLeft w:val="0"/>
          <w:marRight w:val="0"/>
          <w:marTop w:val="0"/>
          <w:marBottom w:val="0"/>
          <w:divBdr>
            <w:top w:val="none" w:sz="0" w:space="0" w:color="auto"/>
            <w:left w:val="none" w:sz="0" w:space="0" w:color="auto"/>
            <w:bottom w:val="none" w:sz="0" w:space="0" w:color="auto"/>
            <w:right w:val="none" w:sz="0" w:space="0" w:color="auto"/>
          </w:divBdr>
        </w:div>
        <w:div w:id="430592788">
          <w:marLeft w:val="0"/>
          <w:marRight w:val="0"/>
          <w:marTop w:val="0"/>
          <w:marBottom w:val="0"/>
          <w:divBdr>
            <w:top w:val="none" w:sz="0" w:space="0" w:color="auto"/>
            <w:left w:val="none" w:sz="0" w:space="0" w:color="auto"/>
            <w:bottom w:val="none" w:sz="0" w:space="0" w:color="auto"/>
            <w:right w:val="none" w:sz="0" w:space="0" w:color="auto"/>
          </w:divBdr>
        </w:div>
        <w:div w:id="943541292">
          <w:marLeft w:val="0"/>
          <w:marRight w:val="0"/>
          <w:marTop w:val="0"/>
          <w:marBottom w:val="0"/>
          <w:divBdr>
            <w:top w:val="none" w:sz="0" w:space="0" w:color="auto"/>
            <w:left w:val="none" w:sz="0" w:space="0" w:color="auto"/>
            <w:bottom w:val="none" w:sz="0" w:space="0" w:color="auto"/>
            <w:right w:val="none" w:sz="0" w:space="0" w:color="auto"/>
          </w:divBdr>
        </w:div>
        <w:div w:id="1691636789">
          <w:marLeft w:val="0"/>
          <w:marRight w:val="0"/>
          <w:marTop w:val="0"/>
          <w:marBottom w:val="0"/>
          <w:divBdr>
            <w:top w:val="none" w:sz="0" w:space="0" w:color="auto"/>
            <w:left w:val="none" w:sz="0" w:space="0" w:color="auto"/>
            <w:bottom w:val="none" w:sz="0" w:space="0" w:color="auto"/>
            <w:right w:val="none" w:sz="0" w:space="0" w:color="auto"/>
          </w:divBdr>
        </w:div>
        <w:div w:id="89473177">
          <w:marLeft w:val="0"/>
          <w:marRight w:val="0"/>
          <w:marTop w:val="0"/>
          <w:marBottom w:val="0"/>
          <w:divBdr>
            <w:top w:val="none" w:sz="0" w:space="0" w:color="auto"/>
            <w:left w:val="none" w:sz="0" w:space="0" w:color="auto"/>
            <w:bottom w:val="none" w:sz="0" w:space="0" w:color="auto"/>
            <w:right w:val="none" w:sz="0" w:space="0" w:color="auto"/>
          </w:divBdr>
        </w:div>
        <w:div w:id="1536314495">
          <w:marLeft w:val="0"/>
          <w:marRight w:val="0"/>
          <w:marTop w:val="0"/>
          <w:marBottom w:val="0"/>
          <w:divBdr>
            <w:top w:val="none" w:sz="0" w:space="0" w:color="auto"/>
            <w:left w:val="none" w:sz="0" w:space="0" w:color="auto"/>
            <w:bottom w:val="none" w:sz="0" w:space="0" w:color="auto"/>
            <w:right w:val="none" w:sz="0" w:space="0" w:color="auto"/>
          </w:divBdr>
        </w:div>
        <w:div w:id="1330255789">
          <w:marLeft w:val="0"/>
          <w:marRight w:val="0"/>
          <w:marTop w:val="0"/>
          <w:marBottom w:val="0"/>
          <w:divBdr>
            <w:top w:val="none" w:sz="0" w:space="0" w:color="auto"/>
            <w:left w:val="none" w:sz="0" w:space="0" w:color="auto"/>
            <w:bottom w:val="none" w:sz="0" w:space="0" w:color="auto"/>
            <w:right w:val="none" w:sz="0" w:space="0" w:color="auto"/>
          </w:divBdr>
        </w:div>
        <w:div w:id="1596284256">
          <w:marLeft w:val="0"/>
          <w:marRight w:val="0"/>
          <w:marTop w:val="0"/>
          <w:marBottom w:val="0"/>
          <w:divBdr>
            <w:top w:val="none" w:sz="0" w:space="0" w:color="auto"/>
            <w:left w:val="none" w:sz="0" w:space="0" w:color="auto"/>
            <w:bottom w:val="none" w:sz="0" w:space="0" w:color="auto"/>
            <w:right w:val="none" w:sz="0" w:space="0" w:color="auto"/>
          </w:divBdr>
        </w:div>
        <w:div w:id="1083799482">
          <w:marLeft w:val="0"/>
          <w:marRight w:val="0"/>
          <w:marTop w:val="0"/>
          <w:marBottom w:val="0"/>
          <w:divBdr>
            <w:top w:val="none" w:sz="0" w:space="0" w:color="auto"/>
            <w:left w:val="none" w:sz="0" w:space="0" w:color="auto"/>
            <w:bottom w:val="none" w:sz="0" w:space="0" w:color="auto"/>
            <w:right w:val="none" w:sz="0" w:space="0" w:color="auto"/>
          </w:divBdr>
        </w:div>
        <w:div w:id="1048534402">
          <w:marLeft w:val="0"/>
          <w:marRight w:val="0"/>
          <w:marTop w:val="0"/>
          <w:marBottom w:val="0"/>
          <w:divBdr>
            <w:top w:val="none" w:sz="0" w:space="0" w:color="auto"/>
            <w:left w:val="none" w:sz="0" w:space="0" w:color="auto"/>
            <w:bottom w:val="none" w:sz="0" w:space="0" w:color="auto"/>
            <w:right w:val="none" w:sz="0" w:space="0" w:color="auto"/>
          </w:divBdr>
        </w:div>
        <w:div w:id="1709522234">
          <w:marLeft w:val="0"/>
          <w:marRight w:val="0"/>
          <w:marTop w:val="0"/>
          <w:marBottom w:val="0"/>
          <w:divBdr>
            <w:top w:val="none" w:sz="0" w:space="0" w:color="auto"/>
            <w:left w:val="none" w:sz="0" w:space="0" w:color="auto"/>
            <w:bottom w:val="none" w:sz="0" w:space="0" w:color="auto"/>
            <w:right w:val="none" w:sz="0" w:space="0" w:color="auto"/>
          </w:divBdr>
        </w:div>
        <w:div w:id="115297187">
          <w:marLeft w:val="0"/>
          <w:marRight w:val="0"/>
          <w:marTop w:val="0"/>
          <w:marBottom w:val="0"/>
          <w:divBdr>
            <w:top w:val="none" w:sz="0" w:space="0" w:color="auto"/>
            <w:left w:val="none" w:sz="0" w:space="0" w:color="auto"/>
            <w:bottom w:val="none" w:sz="0" w:space="0" w:color="auto"/>
            <w:right w:val="none" w:sz="0" w:space="0" w:color="auto"/>
          </w:divBdr>
        </w:div>
        <w:div w:id="1520240711">
          <w:marLeft w:val="0"/>
          <w:marRight w:val="0"/>
          <w:marTop w:val="0"/>
          <w:marBottom w:val="0"/>
          <w:divBdr>
            <w:top w:val="none" w:sz="0" w:space="0" w:color="auto"/>
            <w:left w:val="none" w:sz="0" w:space="0" w:color="auto"/>
            <w:bottom w:val="none" w:sz="0" w:space="0" w:color="auto"/>
            <w:right w:val="none" w:sz="0" w:space="0" w:color="auto"/>
          </w:divBdr>
        </w:div>
        <w:div w:id="674117846">
          <w:marLeft w:val="0"/>
          <w:marRight w:val="0"/>
          <w:marTop w:val="0"/>
          <w:marBottom w:val="0"/>
          <w:divBdr>
            <w:top w:val="none" w:sz="0" w:space="0" w:color="auto"/>
            <w:left w:val="none" w:sz="0" w:space="0" w:color="auto"/>
            <w:bottom w:val="none" w:sz="0" w:space="0" w:color="auto"/>
            <w:right w:val="none" w:sz="0" w:space="0" w:color="auto"/>
          </w:divBdr>
        </w:div>
        <w:div w:id="1899393560">
          <w:marLeft w:val="0"/>
          <w:marRight w:val="0"/>
          <w:marTop w:val="0"/>
          <w:marBottom w:val="0"/>
          <w:divBdr>
            <w:top w:val="none" w:sz="0" w:space="0" w:color="auto"/>
            <w:left w:val="none" w:sz="0" w:space="0" w:color="auto"/>
            <w:bottom w:val="none" w:sz="0" w:space="0" w:color="auto"/>
            <w:right w:val="none" w:sz="0" w:space="0" w:color="auto"/>
          </w:divBdr>
        </w:div>
        <w:div w:id="1068042659">
          <w:marLeft w:val="0"/>
          <w:marRight w:val="0"/>
          <w:marTop w:val="0"/>
          <w:marBottom w:val="0"/>
          <w:divBdr>
            <w:top w:val="none" w:sz="0" w:space="0" w:color="auto"/>
            <w:left w:val="none" w:sz="0" w:space="0" w:color="auto"/>
            <w:bottom w:val="none" w:sz="0" w:space="0" w:color="auto"/>
            <w:right w:val="none" w:sz="0" w:space="0" w:color="auto"/>
          </w:divBdr>
        </w:div>
        <w:div w:id="716900441">
          <w:marLeft w:val="0"/>
          <w:marRight w:val="0"/>
          <w:marTop w:val="0"/>
          <w:marBottom w:val="0"/>
          <w:divBdr>
            <w:top w:val="none" w:sz="0" w:space="0" w:color="auto"/>
            <w:left w:val="none" w:sz="0" w:space="0" w:color="auto"/>
            <w:bottom w:val="none" w:sz="0" w:space="0" w:color="auto"/>
            <w:right w:val="none" w:sz="0" w:space="0" w:color="auto"/>
          </w:divBdr>
        </w:div>
        <w:div w:id="1069377676">
          <w:marLeft w:val="0"/>
          <w:marRight w:val="0"/>
          <w:marTop w:val="0"/>
          <w:marBottom w:val="0"/>
          <w:divBdr>
            <w:top w:val="none" w:sz="0" w:space="0" w:color="auto"/>
            <w:left w:val="none" w:sz="0" w:space="0" w:color="auto"/>
            <w:bottom w:val="none" w:sz="0" w:space="0" w:color="auto"/>
            <w:right w:val="none" w:sz="0" w:space="0" w:color="auto"/>
          </w:divBdr>
        </w:div>
        <w:div w:id="1784425145">
          <w:marLeft w:val="0"/>
          <w:marRight w:val="0"/>
          <w:marTop w:val="0"/>
          <w:marBottom w:val="0"/>
          <w:divBdr>
            <w:top w:val="none" w:sz="0" w:space="0" w:color="auto"/>
            <w:left w:val="none" w:sz="0" w:space="0" w:color="auto"/>
            <w:bottom w:val="none" w:sz="0" w:space="0" w:color="auto"/>
            <w:right w:val="none" w:sz="0" w:space="0" w:color="auto"/>
          </w:divBdr>
        </w:div>
        <w:div w:id="482963163">
          <w:marLeft w:val="0"/>
          <w:marRight w:val="0"/>
          <w:marTop w:val="0"/>
          <w:marBottom w:val="0"/>
          <w:divBdr>
            <w:top w:val="none" w:sz="0" w:space="0" w:color="auto"/>
            <w:left w:val="none" w:sz="0" w:space="0" w:color="auto"/>
            <w:bottom w:val="none" w:sz="0" w:space="0" w:color="auto"/>
            <w:right w:val="none" w:sz="0" w:space="0" w:color="auto"/>
          </w:divBdr>
        </w:div>
        <w:div w:id="1785886072">
          <w:marLeft w:val="0"/>
          <w:marRight w:val="0"/>
          <w:marTop w:val="0"/>
          <w:marBottom w:val="0"/>
          <w:divBdr>
            <w:top w:val="none" w:sz="0" w:space="0" w:color="auto"/>
            <w:left w:val="none" w:sz="0" w:space="0" w:color="auto"/>
            <w:bottom w:val="none" w:sz="0" w:space="0" w:color="auto"/>
            <w:right w:val="none" w:sz="0" w:space="0" w:color="auto"/>
          </w:divBdr>
        </w:div>
        <w:div w:id="478227233">
          <w:marLeft w:val="0"/>
          <w:marRight w:val="0"/>
          <w:marTop w:val="0"/>
          <w:marBottom w:val="0"/>
          <w:divBdr>
            <w:top w:val="none" w:sz="0" w:space="0" w:color="auto"/>
            <w:left w:val="none" w:sz="0" w:space="0" w:color="auto"/>
            <w:bottom w:val="none" w:sz="0" w:space="0" w:color="auto"/>
            <w:right w:val="none" w:sz="0" w:space="0" w:color="auto"/>
          </w:divBdr>
        </w:div>
        <w:div w:id="362900149">
          <w:marLeft w:val="0"/>
          <w:marRight w:val="0"/>
          <w:marTop w:val="0"/>
          <w:marBottom w:val="0"/>
          <w:divBdr>
            <w:top w:val="none" w:sz="0" w:space="0" w:color="auto"/>
            <w:left w:val="none" w:sz="0" w:space="0" w:color="auto"/>
            <w:bottom w:val="none" w:sz="0" w:space="0" w:color="auto"/>
            <w:right w:val="none" w:sz="0" w:space="0" w:color="auto"/>
          </w:divBdr>
        </w:div>
        <w:div w:id="1107315825">
          <w:marLeft w:val="0"/>
          <w:marRight w:val="0"/>
          <w:marTop w:val="0"/>
          <w:marBottom w:val="0"/>
          <w:divBdr>
            <w:top w:val="none" w:sz="0" w:space="0" w:color="auto"/>
            <w:left w:val="none" w:sz="0" w:space="0" w:color="auto"/>
            <w:bottom w:val="none" w:sz="0" w:space="0" w:color="auto"/>
            <w:right w:val="none" w:sz="0" w:space="0" w:color="auto"/>
          </w:divBdr>
        </w:div>
        <w:div w:id="910776916">
          <w:marLeft w:val="0"/>
          <w:marRight w:val="0"/>
          <w:marTop w:val="0"/>
          <w:marBottom w:val="0"/>
          <w:divBdr>
            <w:top w:val="none" w:sz="0" w:space="0" w:color="auto"/>
            <w:left w:val="none" w:sz="0" w:space="0" w:color="auto"/>
            <w:bottom w:val="none" w:sz="0" w:space="0" w:color="auto"/>
            <w:right w:val="none" w:sz="0" w:space="0" w:color="auto"/>
          </w:divBdr>
        </w:div>
        <w:div w:id="1828471673">
          <w:marLeft w:val="0"/>
          <w:marRight w:val="0"/>
          <w:marTop w:val="0"/>
          <w:marBottom w:val="0"/>
          <w:divBdr>
            <w:top w:val="none" w:sz="0" w:space="0" w:color="auto"/>
            <w:left w:val="none" w:sz="0" w:space="0" w:color="auto"/>
            <w:bottom w:val="none" w:sz="0" w:space="0" w:color="auto"/>
            <w:right w:val="none" w:sz="0" w:space="0" w:color="auto"/>
          </w:divBdr>
        </w:div>
        <w:div w:id="190342248">
          <w:marLeft w:val="0"/>
          <w:marRight w:val="0"/>
          <w:marTop w:val="0"/>
          <w:marBottom w:val="0"/>
          <w:divBdr>
            <w:top w:val="none" w:sz="0" w:space="0" w:color="auto"/>
            <w:left w:val="none" w:sz="0" w:space="0" w:color="auto"/>
            <w:bottom w:val="none" w:sz="0" w:space="0" w:color="auto"/>
            <w:right w:val="none" w:sz="0" w:space="0" w:color="auto"/>
          </w:divBdr>
        </w:div>
        <w:div w:id="520749702">
          <w:marLeft w:val="0"/>
          <w:marRight w:val="0"/>
          <w:marTop w:val="0"/>
          <w:marBottom w:val="0"/>
          <w:divBdr>
            <w:top w:val="none" w:sz="0" w:space="0" w:color="auto"/>
            <w:left w:val="none" w:sz="0" w:space="0" w:color="auto"/>
            <w:bottom w:val="none" w:sz="0" w:space="0" w:color="auto"/>
            <w:right w:val="none" w:sz="0" w:space="0" w:color="auto"/>
          </w:divBdr>
        </w:div>
        <w:div w:id="1775664333">
          <w:marLeft w:val="0"/>
          <w:marRight w:val="0"/>
          <w:marTop w:val="0"/>
          <w:marBottom w:val="0"/>
          <w:divBdr>
            <w:top w:val="none" w:sz="0" w:space="0" w:color="auto"/>
            <w:left w:val="none" w:sz="0" w:space="0" w:color="auto"/>
            <w:bottom w:val="none" w:sz="0" w:space="0" w:color="auto"/>
            <w:right w:val="none" w:sz="0" w:space="0" w:color="auto"/>
          </w:divBdr>
        </w:div>
        <w:div w:id="1973248367">
          <w:marLeft w:val="0"/>
          <w:marRight w:val="0"/>
          <w:marTop w:val="0"/>
          <w:marBottom w:val="0"/>
          <w:divBdr>
            <w:top w:val="none" w:sz="0" w:space="0" w:color="auto"/>
            <w:left w:val="none" w:sz="0" w:space="0" w:color="auto"/>
            <w:bottom w:val="none" w:sz="0" w:space="0" w:color="auto"/>
            <w:right w:val="none" w:sz="0" w:space="0" w:color="auto"/>
          </w:divBdr>
        </w:div>
        <w:div w:id="20982238">
          <w:marLeft w:val="0"/>
          <w:marRight w:val="0"/>
          <w:marTop w:val="0"/>
          <w:marBottom w:val="0"/>
          <w:divBdr>
            <w:top w:val="none" w:sz="0" w:space="0" w:color="auto"/>
            <w:left w:val="none" w:sz="0" w:space="0" w:color="auto"/>
            <w:bottom w:val="none" w:sz="0" w:space="0" w:color="auto"/>
            <w:right w:val="none" w:sz="0" w:space="0" w:color="auto"/>
          </w:divBdr>
        </w:div>
        <w:div w:id="1259290171">
          <w:marLeft w:val="0"/>
          <w:marRight w:val="0"/>
          <w:marTop w:val="0"/>
          <w:marBottom w:val="0"/>
          <w:divBdr>
            <w:top w:val="none" w:sz="0" w:space="0" w:color="auto"/>
            <w:left w:val="none" w:sz="0" w:space="0" w:color="auto"/>
            <w:bottom w:val="none" w:sz="0" w:space="0" w:color="auto"/>
            <w:right w:val="none" w:sz="0" w:space="0" w:color="auto"/>
          </w:divBdr>
        </w:div>
        <w:div w:id="89398521">
          <w:marLeft w:val="0"/>
          <w:marRight w:val="0"/>
          <w:marTop w:val="0"/>
          <w:marBottom w:val="0"/>
          <w:divBdr>
            <w:top w:val="none" w:sz="0" w:space="0" w:color="auto"/>
            <w:left w:val="none" w:sz="0" w:space="0" w:color="auto"/>
            <w:bottom w:val="none" w:sz="0" w:space="0" w:color="auto"/>
            <w:right w:val="none" w:sz="0" w:space="0" w:color="auto"/>
          </w:divBdr>
        </w:div>
        <w:div w:id="379746752">
          <w:marLeft w:val="0"/>
          <w:marRight w:val="0"/>
          <w:marTop w:val="0"/>
          <w:marBottom w:val="0"/>
          <w:divBdr>
            <w:top w:val="none" w:sz="0" w:space="0" w:color="auto"/>
            <w:left w:val="none" w:sz="0" w:space="0" w:color="auto"/>
            <w:bottom w:val="none" w:sz="0" w:space="0" w:color="auto"/>
            <w:right w:val="none" w:sz="0" w:space="0" w:color="auto"/>
          </w:divBdr>
        </w:div>
        <w:div w:id="1727682224">
          <w:marLeft w:val="0"/>
          <w:marRight w:val="0"/>
          <w:marTop w:val="0"/>
          <w:marBottom w:val="0"/>
          <w:divBdr>
            <w:top w:val="none" w:sz="0" w:space="0" w:color="auto"/>
            <w:left w:val="none" w:sz="0" w:space="0" w:color="auto"/>
            <w:bottom w:val="none" w:sz="0" w:space="0" w:color="auto"/>
            <w:right w:val="none" w:sz="0" w:space="0" w:color="auto"/>
          </w:divBdr>
        </w:div>
        <w:div w:id="1001658982">
          <w:marLeft w:val="0"/>
          <w:marRight w:val="0"/>
          <w:marTop w:val="0"/>
          <w:marBottom w:val="0"/>
          <w:divBdr>
            <w:top w:val="none" w:sz="0" w:space="0" w:color="auto"/>
            <w:left w:val="none" w:sz="0" w:space="0" w:color="auto"/>
            <w:bottom w:val="none" w:sz="0" w:space="0" w:color="auto"/>
            <w:right w:val="none" w:sz="0" w:space="0" w:color="auto"/>
          </w:divBdr>
        </w:div>
        <w:div w:id="1211770490">
          <w:marLeft w:val="0"/>
          <w:marRight w:val="0"/>
          <w:marTop w:val="0"/>
          <w:marBottom w:val="0"/>
          <w:divBdr>
            <w:top w:val="none" w:sz="0" w:space="0" w:color="auto"/>
            <w:left w:val="none" w:sz="0" w:space="0" w:color="auto"/>
            <w:bottom w:val="none" w:sz="0" w:space="0" w:color="auto"/>
            <w:right w:val="none" w:sz="0" w:space="0" w:color="auto"/>
          </w:divBdr>
        </w:div>
        <w:div w:id="946502540">
          <w:marLeft w:val="0"/>
          <w:marRight w:val="0"/>
          <w:marTop w:val="0"/>
          <w:marBottom w:val="0"/>
          <w:divBdr>
            <w:top w:val="none" w:sz="0" w:space="0" w:color="auto"/>
            <w:left w:val="none" w:sz="0" w:space="0" w:color="auto"/>
            <w:bottom w:val="none" w:sz="0" w:space="0" w:color="auto"/>
            <w:right w:val="none" w:sz="0" w:space="0" w:color="auto"/>
          </w:divBdr>
        </w:div>
        <w:div w:id="1194155076">
          <w:marLeft w:val="0"/>
          <w:marRight w:val="0"/>
          <w:marTop w:val="0"/>
          <w:marBottom w:val="0"/>
          <w:divBdr>
            <w:top w:val="none" w:sz="0" w:space="0" w:color="auto"/>
            <w:left w:val="none" w:sz="0" w:space="0" w:color="auto"/>
            <w:bottom w:val="none" w:sz="0" w:space="0" w:color="auto"/>
            <w:right w:val="none" w:sz="0" w:space="0" w:color="auto"/>
          </w:divBdr>
        </w:div>
        <w:div w:id="869144605">
          <w:marLeft w:val="0"/>
          <w:marRight w:val="0"/>
          <w:marTop w:val="0"/>
          <w:marBottom w:val="0"/>
          <w:divBdr>
            <w:top w:val="none" w:sz="0" w:space="0" w:color="auto"/>
            <w:left w:val="none" w:sz="0" w:space="0" w:color="auto"/>
            <w:bottom w:val="none" w:sz="0" w:space="0" w:color="auto"/>
            <w:right w:val="none" w:sz="0" w:space="0" w:color="auto"/>
          </w:divBdr>
        </w:div>
        <w:div w:id="843251979">
          <w:marLeft w:val="0"/>
          <w:marRight w:val="0"/>
          <w:marTop w:val="0"/>
          <w:marBottom w:val="0"/>
          <w:divBdr>
            <w:top w:val="none" w:sz="0" w:space="0" w:color="auto"/>
            <w:left w:val="none" w:sz="0" w:space="0" w:color="auto"/>
            <w:bottom w:val="none" w:sz="0" w:space="0" w:color="auto"/>
            <w:right w:val="none" w:sz="0" w:space="0" w:color="auto"/>
          </w:divBdr>
        </w:div>
        <w:div w:id="2025981276">
          <w:marLeft w:val="0"/>
          <w:marRight w:val="0"/>
          <w:marTop w:val="0"/>
          <w:marBottom w:val="0"/>
          <w:divBdr>
            <w:top w:val="none" w:sz="0" w:space="0" w:color="auto"/>
            <w:left w:val="none" w:sz="0" w:space="0" w:color="auto"/>
            <w:bottom w:val="none" w:sz="0" w:space="0" w:color="auto"/>
            <w:right w:val="none" w:sz="0" w:space="0" w:color="auto"/>
          </w:divBdr>
        </w:div>
        <w:div w:id="393432921">
          <w:marLeft w:val="0"/>
          <w:marRight w:val="0"/>
          <w:marTop w:val="0"/>
          <w:marBottom w:val="0"/>
          <w:divBdr>
            <w:top w:val="none" w:sz="0" w:space="0" w:color="auto"/>
            <w:left w:val="none" w:sz="0" w:space="0" w:color="auto"/>
            <w:bottom w:val="none" w:sz="0" w:space="0" w:color="auto"/>
            <w:right w:val="none" w:sz="0" w:space="0" w:color="auto"/>
          </w:divBdr>
        </w:div>
        <w:div w:id="471871471">
          <w:marLeft w:val="0"/>
          <w:marRight w:val="0"/>
          <w:marTop w:val="0"/>
          <w:marBottom w:val="0"/>
          <w:divBdr>
            <w:top w:val="none" w:sz="0" w:space="0" w:color="auto"/>
            <w:left w:val="none" w:sz="0" w:space="0" w:color="auto"/>
            <w:bottom w:val="none" w:sz="0" w:space="0" w:color="auto"/>
            <w:right w:val="none" w:sz="0" w:space="0" w:color="auto"/>
          </w:divBdr>
        </w:div>
        <w:div w:id="174611703">
          <w:marLeft w:val="0"/>
          <w:marRight w:val="0"/>
          <w:marTop w:val="0"/>
          <w:marBottom w:val="0"/>
          <w:divBdr>
            <w:top w:val="none" w:sz="0" w:space="0" w:color="auto"/>
            <w:left w:val="none" w:sz="0" w:space="0" w:color="auto"/>
            <w:bottom w:val="none" w:sz="0" w:space="0" w:color="auto"/>
            <w:right w:val="none" w:sz="0" w:space="0" w:color="auto"/>
          </w:divBdr>
        </w:div>
        <w:div w:id="192966118">
          <w:marLeft w:val="0"/>
          <w:marRight w:val="0"/>
          <w:marTop w:val="0"/>
          <w:marBottom w:val="0"/>
          <w:divBdr>
            <w:top w:val="none" w:sz="0" w:space="0" w:color="auto"/>
            <w:left w:val="none" w:sz="0" w:space="0" w:color="auto"/>
            <w:bottom w:val="none" w:sz="0" w:space="0" w:color="auto"/>
            <w:right w:val="none" w:sz="0" w:space="0" w:color="auto"/>
          </w:divBdr>
        </w:div>
        <w:div w:id="795561211">
          <w:marLeft w:val="0"/>
          <w:marRight w:val="0"/>
          <w:marTop w:val="0"/>
          <w:marBottom w:val="0"/>
          <w:divBdr>
            <w:top w:val="none" w:sz="0" w:space="0" w:color="auto"/>
            <w:left w:val="none" w:sz="0" w:space="0" w:color="auto"/>
            <w:bottom w:val="none" w:sz="0" w:space="0" w:color="auto"/>
            <w:right w:val="none" w:sz="0" w:space="0" w:color="auto"/>
          </w:divBdr>
        </w:div>
        <w:div w:id="1766682422">
          <w:marLeft w:val="0"/>
          <w:marRight w:val="0"/>
          <w:marTop w:val="0"/>
          <w:marBottom w:val="0"/>
          <w:divBdr>
            <w:top w:val="none" w:sz="0" w:space="0" w:color="auto"/>
            <w:left w:val="none" w:sz="0" w:space="0" w:color="auto"/>
            <w:bottom w:val="none" w:sz="0" w:space="0" w:color="auto"/>
            <w:right w:val="none" w:sz="0" w:space="0" w:color="auto"/>
          </w:divBdr>
        </w:div>
        <w:div w:id="270164104">
          <w:marLeft w:val="0"/>
          <w:marRight w:val="0"/>
          <w:marTop w:val="0"/>
          <w:marBottom w:val="0"/>
          <w:divBdr>
            <w:top w:val="none" w:sz="0" w:space="0" w:color="auto"/>
            <w:left w:val="none" w:sz="0" w:space="0" w:color="auto"/>
            <w:bottom w:val="none" w:sz="0" w:space="0" w:color="auto"/>
            <w:right w:val="none" w:sz="0" w:space="0" w:color="auto"/>
          </w:divBdr>
        </w:div>
        <w:div w:id="1636645233">
          <w:marLeft w:val="0"/>
          <w:marRight w:val="0"/>
          <w:marTop w:val="0"/>
          <w:marBottom w:val="0"/>
          <w:divBdr>
            <w:top w:val="none" w:sz="0" w:space="0" w:color="auto"/>
            <w:left w:val="none" w:sz="0" w:space="0" w:color="auto"/>
            <w:bottom w:val="none" w:sz="0" w:space="0" w:color="auto"/>
            <w:right w:val="none" w:sz="0" w:space="0" w:color="auto"/>
          </w:divBdr>
        </w:div>
        <w:div w:id="1157108478">
          <w:marLeft w:val="0"/>
          <w:marRight w:val="0"/>
          <w:marTop w:val="0"/>
          <w:marBottom w:val="0"/>
          <w:divBdr>
            <w:top w:val="none" w:sz="0" w:space="0" w:color="auto"/>
            <w:left w:val="none" w:sz="0" w:space="0" w:color="auto"/>
            <w:bottom w:val="none" w:sz="0" w:space="0" w:color="auto"/>
            <w:right w:val="none" w:sz="0" w:space="0" w:color="auto"/>
          </w:divBdr>
        </w:div>
        <w:div w:id="817381572">
          <w:marLeft w:val="0"/>
          <w:marRight w:val="0"/>
          <w:marTop w:val="0"/>
          <w:marBottom w:val="0"/>
          <w:divBdr>
            <w:top w:val="none" w:sz="0" w:space="0" w:color="auto"/>
            <w:left w:val="none" w:sz="0" w:space="0" w:color="auto"/>
            <w:bottom w:val="none" w:sz="0" w:space="0" w:color="auto"/>
            <w:right w:val="none" w:sz="0" w:space="0" w:color="auto"/>
          </w:divBdr>
        </w:div>
        <w:div w:id="731123863">
          <w:marLeft w:val="0"/>
          <w:marRight w:val="0"/>
          <w:marTop w:val="0"/>
          <w:marBottom w:val="0"/>
          <w:divBdr>
            <w:top w:val="none" w:sz="0" w:space="0" w:color="auto"/>
            <w:left w:val="none" w:sz="0" w:space="0" w:color="auto"/>
            <w:bottom w:val="none" w:sz="0" w:space="0" w:color="auto"/>
            <w:right w:val="none" w:sz="0" w:space="0" w:color="auto"/>
          </w:divBdr>
        </w:div>
        <w:div w:id="18167558">
          <w:marLeft w:val="0"/>
          <w:marRight w:val="0"/>
          <w:marTop w:val="0"/>
          <w:marBottom w:val="0"/>
          <w:divBdr>
            <w:top w:val="none" w:sz="0" w:space="0" w:color="auto"/>
            <w:left w:val="none" w:sz="0" w:space="0" w:color="auto"/>
            <w:bottom w:val="none" w:sz="0" w:space="0" w:color="auto"/>
            <w:right w:val="none" w:sz="0" w:space="0" w:color="auto"/>
          </w:divBdr>
        </w:div>
        <w:div w:id="149493091">
          <w:marLeft w:val="0"/>
          <w:marRight w:val="0"/>
          <w:marTop w:val="0"/>
          <w:marBottom w:val="0"/>
          <w:divBdr>
            <w:top w:val="none" w:sz="0" w:space="0" w:color="auto"/>
            <w:left w:val="none" w:sz="0" w:space="0" w:color="auto"/>
            <w:bottom w:val="none" w:sz="0" w:space="0" w:color="auto"/>
            <w:right w:val="none" w:sz="0" w:space="0" w:color="auto"/>
          </w:divBdr>
        </w:div>
        <w:div w:id="409155311">
          <w:marLeft w:val="0"/>
          <w:marRight w:val="0"/>
          <w:marTop w:val="0"/>
          <w:marBottom w:val="0"/>
          <w:divBdr>
            <w:top w:val="none" w:sz="0" w:space="0" w:color="auto"/>
            <w:left w:val="none" w:sz="0" w:space="0" w:color="auto"/>
            <w:bottom w:val="none" w:sz="0" w:space="0" w:color="auto"/>
            <w:right w:val="none" w:sz="0" w:space="0" w:color="auto"/>
          </w:divBdr>
        </w:div>
        <w:div w:id="93792286">
          <w:marLeft w:val="0"/>
          <w:marRight w:val="0"/>
          <w:marTop w:val="0"/>
          <w:marBottom w:val="0"/>
          <w:divBdr>
            <w:top w:val="none" w:sz="0" w:space="0" w:color="auto"/>
            <w:left w:val="none" w:sz="0" w:space="0" w:color="auto"/>
            <w:bottom w:val="none" w:sz="0" w:space="0" w:color="auto"/>
            <w:right w:val="none" w:sz="0" w:space="0" w:color="auto"/>
          </w:divBdr>
        </w:div>
        <w:div w:id="283538610">
          <w:marLeft w:val="0"/>
          <w:marRight w:val="0"/>
          <w:marTop w:val="0"/>
          <w:marBottom w:val="0"/>
          <w:divBdr>
            <w:top w:val="none" w:sz="0" w:space="0" w:color="auto"/>
            <w:left w:val="none" w:sz="0" w:space="0" w:color="auto"/>
            <w:bottom w:val="none" w:sz="0" w:space="0" w:color="auto"/>
            <w:right w:val="none" w:sz="0" w:space="0" w:color="auto"/>
          </w:divBdr>
        </w:div>
        <w:div w:id="1979914700">
          <w:marLeft w:val="0"/>
          <w:marRight w:val="0"/>
          <w:marTop w:val="0"/>
          <w:marBottom w:val="0"/>
          <w:divBdr>
            <w:top w:val="none" w:sz="0" w:space="0" w:color="auto"/>
            <w:left w:val="none" w:sz="0" w:space="0" w:color="auto"/>
            <w:bottom w:val="none" w:sz="0" w:space="0" w:color="auto"/>
            <w:right w:val="none" w:sz="0" w:space="0" w:color="auto"/>
          </w:divBdr>
        </w:div>
        <w:div w:id="1164930149">
          <w:marLeft w:val="0"/>
          <w:marRight w:val="0"/>
          <w:marTop w:val="0"/>
          <w:marBottom w:val="0"/>
          <w:divBdr>
            <w:top w:val="none" w:sz="0" w:space="0" w:color="auto"/>
            <w:left w:val="none" w:sz="0" w:space="0" w:color="auto"/>
            <w:bottom w:val="none" w:sz="0" w:space="0" w:color="auto"/>
            <w:right w:val="none" w:sz="0" w:space="0" w:color="auto"/>
          </w:divBdr>
        </w:div>
        <w:div w:id="2124952618">
          <w:marLeft w:val="0"/>
          <w:marRight w:val="0"/>
          <w:marTop w:val="0"/>
          <w:marBottom w:val="0"/>
          <w:divBdr>
            <w:top w:val="none" w:sz="0" w:space="0" w:color="auto"/>
            <w:left w:val="none" w:sz="0" w:space="0" w:color="auto"/>
            <w:bottom w:val="none" w:sz="0" w:space="0" w:color="auto"/>
            <w:right w:val="none" w:sz="0" w:space="0" w:color="auto"/>
          </w:divBdr>
        </w:div>
        <w:div w:id="987785170">
          <w:marLeft w:val="0"/>
          <w:marRight w:val="0"/>
          <w:marTop w:val="0"/>
          <w:marBottom w:val="0"/>
          <w:divBdr>
            <w:top w:val="none" w:sz="0" w:space="0" w:color="auto"/>
            <w:left w:val="none" w:sz="0" w:space="0" w:color="auto"/>
            <w:bottom w:val="none" w:sz="0" w:space="0" w:color="auto"/>
            <w:right w:val="none" w:sz="0" w:space="0" w:color="auto"/>
          </w:divBdr>
        </w:div>
        <w:div w:id="73821913">
          <w:marLeft w:val="0"/>
          <w:marRight w:val="0"/>
          <w:marTop w:val="0"/>
          <w:marBottom w:val="0"/>
          <w:divBdr>
            <w:top w:val="none" w:sz="0" w:space="0" w:color="auto"/>
            <w:left w:val="none" w:sz="0" w:space="0" w:color="auto"/>
            <w:bottom w:val="none" w:sz="0" w:space="0" w:color="auto"/>
            <w:right w:val="none" w:sz="0" w:space="0" w:color="auto"/>
          </w:divBdr>
        </w:div>
        <w:div w:id="573663051">
          <w:marLeft w:val="0"/>
          <w:marRight w:val="0"/>
          <w:marTop w:val="0"/>
          <w:marBottom w:val="0"/>
          <w:divBdr>
            <w:top w:val="none" w:sz="0" w:space="0" w:color="auto"/>
            <w:left w:val="none" w:sz="0" w:space="0" w:color="auto"/>
            <w:bottom w:val="none" w:sz="0" w:space="0" w:color="auto"/>
            <w:right w:val="none" w:sz="0" w:space="0" w:color="auto"/>
          </w:divBdr>
        </w:div>
        <w:div w:id="1330014878">
          <w:marLeft w:val="0"/>
          <w:marRight w:val="0"/>
          <w:marTop w:val="0"/>
          <w:marBottom w:val="0"/>
          <w:divBdr>
            <w:top w:val="none" w:sz="0" w:space="0" w:color="auto"/>
            <w:left w:val="none" w:sz="0" w:space="0" w:color="auto"/>
            <w:bottom w:val="none" w:sz="0" w:space="0" w:color="auto"/>
            <w:right w:val="none" w:sz="0" w:space="0" w:color="auto"/>
          </w:divBdr>
        </w:div>
        <w:div w:id="1207444953">
          <w:marLeft w:val="0"/>
          <w:marRight w:val="0"/>
          <w:marTop w:val="0"/>
          <w:marBottom w:val="0"/>
          <w:divBdr>
            <w:top w:val="none" w:sz="0" w:space="0" w:color="auto"/>
            <w:left w:val="none" w:sz="0" w:space="0" w:color="auto"/>
            <w:bottom w:val="none" w:sz="0" w:space="0" w:color="auto"/>
            <w:right w:val="none" w:sz="0" w:space="0" w:color="auto"/>
          </w:divBdr>
        </w:div>
        <w:div w:id="295139893">
          <w:marLeft w:val="0"/>
          <w:marRight w:val="0"/>
          <w:marTop w:val="0"/>
          <w:marBottom w:val="0"/>
          <w:divBdr>
            <w:top w:val="none" w:sz="0" w:space="0" w:color="auto"/>
            <w:left w:val="none" w:sz="0" w:space="0" w:color="auto"/>
            <w:bottom w:val="none" w:sz="0" w:space="0" w:color="auto"/>
            <w:right w:val="none" w:sz="0" w:space="0" w:color="auto"/>
          </w:divBdr>
        </w:div>
        <w:div w:id="1938829023">
          <w:marLeft w:val="0"/>
          <w:marRight w:val="0"/>
          <w:marTop w:val="0"/>
          <w:marBottom w:val="0"/>
          <w:divBdr>
            <w:top w:val="none" w:sz="0" w:space="0" w:color="auto"/>
            <w:left w:val="none" w:sz="0" w:space="0" w:color="auto"/>
            <w:bottom w:val="none" w:sz="0" w:space="0" w:color="auto"/>
            <w:right w:val="none" w:sz="0" w:space="0" w:color="auto"/>
          </w:divBdr>
        </w:div>
        <w:div w:id="1058480010">
          <w:marLeft w:val="0"/>
          <w:marRight w:val="0"/>
          <w:marTop w:val="0"/>
          <w:marBottom w:val="0"/>
          <w:divBdr>
            <w:top w:val="none" w:sz="0" w:space="0" w:color="auto"/>
            <w:left w:val="none" w:sz="0" w:space="0" w:color="auto"/>
            <w:bottom w:val="none" w:sz="0" w:space="0" w:color="auto"/>
            <w:right w:val="none" w:sz="0" w:space="0" w:color="auto"/>
          </w:divBdr>
        </w:div>
        <w:div w:id="1930961255">
          <w:marLeft w:val="0"/>
          <w:marRight w:val="0"/>
          <w:marTop w:val="0"/>
          <w:marBottom w:val="0"/>
          <w:divBdr>
            <w:top w:val="none" w:sz="0" w:space="0" w:color="auto"/>
            <w:left w:val="none" w:sz="0" w:space="0" w:color="auto"/>
            <w:bottom w:val="none" w:sz="0" w:space="0" w:color="auto"/>
            <w:right w:val="none" w:sz="0" w:space="0" w:color="auto"/>
          </w:divBdr>
        </w:div>
        <w:div w:id="249244503">
          <w:marLeft w:val="0"/>
          <w:marRight w:val="0"/>
          <w:marTop w:val="0"/>
          <w:marBottom w:val="0"/>
          <w:divBdr>
            <w:top w:val="none" w:sz="0" w:space="0" w:color="auto"/>
            <w:left w:val="none" w:sz="0" w:space="0" w:color="auto"/>
            <w:bottom w:val="none" w:sz="0" w:space="0" w:color="auto"/>
            <w:right w:val="none" w:sz="0" w:space="0" w:color="auto"/>
          </w:divBdr>
        </w:div>
        <w:div w:id="1085616428">
          <w:marLeft w:val="0"/>
          <w:marRight w:val="0"/>
          <w:marTop w:val="0"/>
          <w:marBottom w:val="0"/>
          <w:divBdr>
            <w:top w:val="none" w:sz="0" w:space="0" w:color="auto"/>
            <w:left w:val="none" w:sz="0" w:space="0" w:color="auto"/>
            <w:bottom w:val="none" w:sz="0" w:space="0" w:color="auto"/>
            <w:right w:val="none" w:sz="0" w:space="0" w:color="auto"/>
          </w:divBdr>
        </w:div>
        <w:div w:id="28457035">
          <w:marLeft w:val="0"/>
          <w:marRight w:val="0"/>
          <w:marTop w:val="0"/>
          <w:marBottom w:val="0"/>
          <w:divBdr>
            <w:top w:val="none" w:sz="0" w:space="0" w:color="auto"/>
            <w:left w:val="none" w:sz="0" w:space="0" w:color="auto"/>
            <w:bottom w:val="none" w:sz="0" w:space="0" w:color="auto"/>
            <w:right w:val="none" w:sz="0" w:space="0" w:color="auto"/>
          </w:divBdr>
        </w:div>
        <w:div w:id="606929974">
          <w:marLeft w:val="0"/>
          <w:marRight w:val="0"/>
          <w:marTop w:val="0"/>
          <w:marBottom w:val="0"/>
          <w:divBdr>
            <w:top w:val="none" w:sz="0" w:space="0" w:color="auto"/>
            <w:left w:val="none" w:sz="0" w:space="0" w:color="auto"/>
            <w:bottom w:val="none" w:sz="0" w:space="0" w:color="auto"/>
            <w:right w:val="none" w:sz="0" w:space="0" w:color="auto"/>
          </w:divBdr>
        </w:div>
        <w:div w:id="449131179">
          <w:marLeft w:val="0"/>
          <w:marRight w:val="0"/>
          <w:marTop w:val="0"/>
          <w:marBottom w:val="0"/>
          <w:divBdr>
            <w:top w:val="none" w:sz="0" w:space="0" w:color="auto"/>
            <w:left w:val="none" w:sz="0" w:space="0" w:color="auto"/>
            <w:bottom w:val="none" w:sz="0" w:space="0" w:color="auto"/>
            <w:right w:val="none" w:sz="0" w:space="0" w:color="auto"/>
          </w:divBdr>
        </w:div>
        <w:div w:id="1489832439">
          <w:marLeft w:val="0"/>
          <w:marRight w:val="0"/>
          <w:marTop w:val="0"/>
          <w:marBottom w:val="0"/>
          <w:divBdr>
            <w:top w:val="none" w:sz="0" w:space="0" w:color="auto"/>
            <w:left w:val="none" w:sz="0" w:space="0" w:color="auto"/>
            <w:bottom w:val="none" w:sz="0" w:space="0" w:color="auto"/>
            <w:right w:val="none" w:sz="0" w:space="0" w:color="auto"/>
          </w:divBdr>
        </w:div>
        <w:div w:id="1613324982">
          <w:marLeft w:val="0"/>
          <w:marRight w:val="0"/>
          <w:marTop w:val="0"/>
          <w:marBottom w:val="0"/>
          <w:divBdr>
            <w:top w:val="none" w:sz="0" w:space="0" w:color="auto"/>
            <w:left w:val="none" w:sz="0" w:space="0" w:color="auto"/>
            <w:bottom w:val="none" w:sz="0" w:space="0" w:color="auto"/>
            <w:right w:val="none" w:sz="0" w:space="0" w:color="auto"/>
          </w:divBdr>
        </w:div>
        <w:div w:id="68039109">
          <w:marLeft w:val="0"/>
          <w:marRight w:val="0"/>
          <w:marTop w:val="0"/>
          <w:marBottom w:val="0"/>
          <w:divBdr>
            <w:top w:val="none" w:sz="0" w:space="0" w:color="auto"/>
            <w:left w:val="none" w:sz="0" w:space="0" w:color="auto"/>
            <w:bottom w:val="none" w:sz="0" w:space="0" w:color="auto"/>
            <w:right w:val="none" w:sz="0" w:space="0" w:color="auto"/>
          </w:divBdr>
        </w:div>
        <w:div w:id="1784417051">
          <w:marLeft w:val="0"/>
          <w:marRight w:val="0"/>
          <w:marTop w:val="0"/>
          <w:marBottom w:val="0"/>
          <w:divBdr>
            <w:top w:val="none" w:sz="0" w:space="0" w:color="auto"/>
            <w:left w:val="none" w:sz="0" w:space="0" w:color="auto"/>
            <w:bottom w:val="none" w:sz="0" w:space="0" w:color="auto"/>
            <w:right w:val="none" w:sz="0" w:space="0" w:color="auto"/>
          </w:divBdr>
        </w:div>
        <w:div w:id="358354421">
          <w:marLeft w:val="0"/>
          <w:marRight w:val="0"/>
          <w:marTop w:val="0"/>
          <w:marBottom w:val="0"/>
          <w:divBdr>
            <w:top w:val="none" w:sz="0" w:space="0" w:color="auto"/>
            <w:left w:val="none" w:sz="0" w:space="0" w:color="auto"/>
            <w:bottom w:val="none" w:sz="0" w:space="0" w:color="auto"/>
            <w:right w:val="none" w:sz="0" w:space="0" w:color="auto"/>
          </w:divBdr>
        </w:div>
        <w:div w:id="2146503575">
          <w:marLeft w:val="0"/>
          <w:marRight w:val="0"/>
          <w:marTop w:val="0"/>
          <w:marBottom w:val="0"/>
          <w:divBdr>
            <w:top w:val="none" w:sz="0" w:space="0" w:color="auto"/>
            <w:left w:val="none" w:sz="0" w:space="0" w:color="auto"/>
            <w:bottom w:val="none" w:sz="0" w:space="0" w:color="auto"/>
            <w:right w:val="none" w:sz="0" w:space="0" w:color="auto"/>
          </w:divBdr>
        </w:div>
        <w:div w:id="689340002">
          <w:marLeft w:val="0"/>
          <w:marRight w:val="0"/>
          <w:marTop w:val="0"/>
          <w:marBottom w:val="0"/>
          <w:divBdr>
            <w:top w:val="none" w:sz="0" w:space="0" w:color="auto"/>
            <w:left w:val="none" w:sz="0" w:space="0" w:color="auto"/>
            <w:bottom w:val="none" w:sz="0" w:space="0" w:color="auto"/>
            <w:right w:val="none" w:sz="0" w:space="0" w:color="auto"/>
          </w:divBdr>
        </w:div>
        <w:div w:id="658191197">
          <w:marLeft w:val="0"/>
          <w:marRight w:val="0"/>
          <w:marTop w:val="0"/>
          <w:marBottom w:val="0"/>
          <w:divBdr>
            <w:top w:val="none" w:sz="0" w:space="0" w:color="auto"/>
            <w:left w:val="none" w:sz="0" w:space="0" w:color="auto"/>
            <w:bottom w:val="none" w:sz="0" w:space="0" w:color="auto"/>
            <w:right w:val="none" w:sz="0" w:space="0" w:color="auto"/>
          </w:divBdr>
        </w:div>
        <w:div w:id="541097720">
          <w:marLeft w:val="0"/>
          <w:marRight w:val="0"/>
          <w:marTop w:val="0"/>
          <w:marBottom w:val="0"/>
          <w:divBdr>
            <w:top w:val="none" w:sz="0" w:space="0" w:color="auto"/>
            <w:left w:val="none" w:sz="0" w:space="0" w:color="auto"/>
            <w:bottom w:val="none" w:sz="0" w:space="0" w:color="auto"/>
            <w:right w:val="none" w:sz="0" w:space="0" w:color="auto"/>
          </w:divBdr>
        </w:div>
        <w:div w:id="705329194">
          <w:marLeft w:val="0"/>
          <w:marRight w:val="0"/>
          <w:marTop w:val="0"/>
          <w:marBottom w:val="0"/>
          <w:divBdr>
            <w:top w:val="none" w:sz="0" w:space="0" w:color="auto"/>
            <w:left w:val="none" w:sz="0" w:space="0" w:color="auto"/>
            <w:bottom w:val="none" w:sz="0" w:space="0" w:color="auto"/>
            <w:right w:val="none" w:sz="0" w:space="0" w:color="auto"/>
          </w:divBdr>
        </w:div>
        <w:div w:id="199784005">
          <w:marLeft w:val="0"/>
          <w:marRight w:val="0"/>
          <w:marTop w:val="0"/>
          <w:marBottom w:val="0"/>
          <w:divBdr>
            <w:top w:val="none" w:sz="0" w:space="0" w:color="auto"/>
            <w:left w:val="none" w:sz="0" w:space="0" w:color="auto"/>
            <w:bottom w:val="none" w:sz="0" w:space="0" w:color="auto"/>
            <w:right w:val="none" w:sz="0" w:space="0" w:color="auto"/>
          </w:divBdr>
        </w:div>
        <w:div w:id="1325936994">
          <w:marLeft w:val="0"/>
          <w:marRight w:val="0"/>
          <w:marTop w:val="0"/>
          <w:marBottom w:val="0"/>
          <w:divBdr>
            <w:top w:val="none" w:sz="0" w:space="0" w:color="auto"/>
            <w:left w:val="none" w:sz="0" w:space="0" w:color="auto"/>
            <w:bottom w:val="none" w:sz="0" w:space="0" w:color="auto"/>
            <w:right w:val="none" w:sz="0" w:space="0" w:color="auto"/>
          </w:divBdr>
        </w:div>
        <w:div w:id="1977710">
          <w:marLeft w:val="0"/>
          <w:marRight w:val="0"/>
          <w:marTop w:val="0"/>
          <w:marBottom w:val="0"/>
          <w:divBdr>
            <w:top w:val="none" w:sz="0" w:space="0" w:color="auto"/>
            <w:left w:val="none" w:sz="0" w:space="0" w:color="auto"/>
            <w:bottom w:val="none" w:sz="0" w:space="0" w:color="auto"/>
            <w:right w:val="none" w:sz="0" w:space="0" w:color="auto"/>
          </w:divBdr>
        </w:div>
        <w:div w:id="1546605557">
          <w:marLeft w:val="0"/>
          <w:marRight w:val="0"/>
          <w:marTop w:val="0"/>
          <w:marBottom w:val="0"/>
          <w:divBdr>
            <w:top w:val="none" w:sz="0" w:space="0" w:color="auto"/>
            <w:left w:val="none" w:sz="0" w:space="0" w:color="auto"/>
            <w:bottom w:val="none" w:sz="0" w:space="0" w:color="auto"/>
            <w:right w:val="none" w:sz="0" w:space="0" w:color="auto"/>
          </w:divBdr>
        </w:div>
        <w:div w:id="34354418">
          <w:marLeft w:val="0"/>
          <w:marRight w:val="0"/>
          <w:marTop w:val="0"/>
          <w:marBottom w:val="0"/>
          <w:divBdr>
            <w:top w:val="none" w:sz="0" w:space="0" w:color="auto"/>
            <w:left w:val="none" w:sz="0" w:space="0" w:color="auto"/>
            <w:bottom w:val="none" w:sz="0" w:space="0" w:color="auto"/>
            <w:right w:val="none" w:sz="0" w:space="0" w:color="auto"/>
          </w:divBdr>
        </w:div>
        <w:div w:id="877471867">
          <w:marLeft w:val="0"/>
          <w:marRight w:val="0"/>
          <w:marTop w:val="0"/>
          <w:marBottom w:val="0"/>
          <w:divBdr>
            <w:top w:val="none" w:sz="0" w:space="0" w:color="auto"/>
            <w:left w:val="none" w:sz="0" w:space="0" w:color="auto"/>
            <w:bottom w:val="none" w:sz="0" w:space="0" w:color="auto"/>
            <w:right w:val="none" w:sz="0" w:space="0" w:color="auto"/>
          </w:divBdr>
        </w:div>
      </w:divsChild>
    </w:div>
    <w:div w:id="19824046">
      <w:bodyDiv w:val="1"/>
      <w:marLeft w:val="0"/>
      <w:marRight w:val="0"/>
      <w:marTop w:val="0"/>
      <w:marBottom w:val="0"/>
      <w:divBdr>
        <w:top w:val="none" w:sz="0" w:space="0" w:color="auto"/>
        <w:left w:val="none" w:sz="0" w:space="0" w:color="auto"/>
        <w:bottom w:val="none" w:sz="0" w:space="0" w:color="auto"/>
        <w:right w:val="none" w:sz="0" w:space="0" w:color="auto"/>
      </w:divBdr>
    </w:div>
    <w:div w:id="35082232">
      <w:bodyDiv w:val="1"/>
      <w:marLeft w:val="0"/>
      <w:marRight w:val="0"/>
      <w:marTop w:val="0"/>
      <w:marBottom w:val="0"/>
      <w:divBdr>
        <w:top w:val="none" w:sz="0" w:space="0" w:color="auto"/>
        <w:left w:val="none" w:sz="0" w:space="0" w:color="auto"/>
        <w:bottom w:val="none" w:sz="0" w:space="0" w:color="auto"/>
        <w:right w:val="none" w:sz="0" w:space="0" w:color="auto"/>
      </w:divBdr>
      <w:divsChild>
        <w:div w:id="1814449713">
          <w:marLeft w:val="0"/>
          <w:marRight w:val="0"/>
          <w:marTop w:val="0"/>
          <w:marBottom w:val="0"/>
          <w:divBdr>
            <w:top w:val="none" w:sz="0" w:space="0" w:color="auto"/>
            <w:left w:val="none" w:sz="0" w:space="0" w:color="auto"/>
            <w:bottom w:val="none" w:sz="0" w:space="0" w:color="auto"/>
            <w:right w:val="none" w:sz="0" w:space="0" w:color="auto"/>
          </w:divBdr>
        </w:div>
        <w:div w:id="1331719050">
          <w:marLeft w:val="0"/>
          <w:marRight w:val="0"/>
          <w:marTop w:val="0"/>
          <w:marBottom w:val="0"/>
          <w:divBdr>
            <w:top w:val="none" w:sz="0" w:space="0" w:color="auto"/>
            <w:left w:val="none" w:sz="0" w:space="0" w:color="auto"/>
            <w:bottom w:val="none" w:sz="0" w:space="0" w:color="auto"/>
            <w:right w:val="none" w:sz="0" w:space="0" w:color="auto"/>
          </w:divBdr>
        </w:div>
        <w:div w:id="715086284">
          <w:marLeft w:val="0"/>
          <w:marRight w:val="0"/>
          <w:marTop w:val="0"/>
          <w:marBottom w:val="0"/>
          <w:divBdr>
            <w:top w:val="none" w:sz="0" w:space="0" w:color="auto"/>
            <w:left w:val="none" w:sz="0" w:space="0" w:color="auto"/>
            <w:bottom w:val="none" w:sz="0" w:space="0" w:color="auto"/>
            <w:right w:val="none" w:sz="0" w:space="0" w:color="auto"/>
          </w:divBdr>
        </w:div>
      </w:divsChild>
    </w:div>
    <w:div w:id="67726405">
      <w:bodyDiv w:val="1"/>
      <w:marLeft w:val="0"/>
      <w:marRight w:val="0"/>
      <w:marTop w:val="0"/>
      <w:marBottom w:val="0"/>
      <w:divBdr>
        <w:top w:val="none" w:sz="0" w:space="0" w:color="auto"/>
        <w:left w:val="none" w:sz="0" w:space="0" w:color="auto"/>
        <w:bottom w:val="none" w:sz="0" w:space="0" w:color="auto"/>
        <w:right w:val="none" w:sz="0" w:space="0" w:color="auto"/>
      </w:divBdr>
    </w:div>
    <w:div w:id="75716252">
      <w:bodyDiv w:val="1"/>
      <w:marLeft w:val="0"/>
      <w:marRight w:val="0"/>
      <w:marTop w:val="0"/>
      <w:marBottom w:val="0"/>
      <w:divBdr>
        <w:top w:val="none" w:sz="0" w:space="0" w:color="auto"/>
        <w:left w:val="none" w:sz="0" w:space="0" w:color="auto"/>
        <w:bottom w:val="none" w:sz="0" w:space="0" w:color="auto"/>
        <w:right w:val="none" w:sz="0" w:space="0" w:color="auto"/>
      </w:divBdr>
      <w:divsChild>
        <w:div w:id="2087651180">
          <w:marLeft w:val="0"/>
          <w:marRight w:val="0"/>
          <w:marTop w:val="0"/>
          <w:marBottom w:val="0"/>
          <w:divBdr>
            <w:top w:val="none" w:sz="0" w:space="0" w:color="auto"/>
            <w:left w:val="none" w:sz="0" w:space="0" w:color="auto"/>
            <w:bottom w:val="none" w:sz="0" w:space="0" w:color="auto"/>
            <w:right w:val="none" w:sz="0" w:space="0" w:color="auto"/>
          </w:divBdr>
        </w:div>
        <w:div w:id="1190950081">
          <w:marLeft w:val="0"/>
          <w:marRight w:val="0"/>
          <w:marTop w:val="0"/>
          <w:marBottom w:val="0"/>
          <w:divBdr>
            <w:top w:val="none" w:sz="0" w:space="0" w:color="auto"/>
            <w:left w:val="none" w:sz="0" w:space="0" w:color="auto"/>
            <w:bottom w:val="none" w:sz="0" w:space="0" w:color="auto"/>
            <w:right w:val="none" w:sz="0" w:space="0" w:color="auto"/>
          </w:divBdr>
        </w:div>
        <w:div w:id="1158571367">
          <w:marLeft w:val="0"/>
          <w:marRight w:val="0"/>
          <w:marTop w:val="0"/>
          <w:marBottom w:val="0"/>
          <w:divBdr>
            <w:top w:val="none" w:sz="0" w:space="0" w:color="auto"/>
            <w:left w:val="none" w:sz="0" w:space="0" w:color="auto"/>
            <w:bottom w:val="none" w:sz="0" w:space="0" w:color="auto"/>
            <w:right w:val="none" w:sz="0" w:space="0" w:color="auto"/>
          </w:divBdr>
        </w:div>
        <w:div w:id="1007056911">
          <w:marLeft w:val="0"/>
          <w:marRight w:val="0"/>
          <w:marTop w:val="0"/>
          <w:marBottom w:val="0"/>
          <w:divBdr>
            <w:top w:val="none" w:sz="0" w:space="0" w:color="auto"/>
            <w:left w:val="none" w:sz="0" w:space="0" w:color="auto"/>
            <w:bottom w:val="none" w:sz="0" w:space="0" w:color="auto"/>
            <w:right w:val="none" w:sz="0" w:space="0" w:color="auto"/>
          </w:divBdr>
        </w:div>
      </w:divsChild>
    </w:div>
    <w:div w:id="78672490">
      <w:bodyDiv w:val="1"/>
      <w:marLeft w:val="0"/>
      <w:marRight w:val="0"/>
      <w:marTop w:val="0"/>
      <w:marBottom w:val="0"/>
      <w:divBdr>
        <w:top w:val="none" w:sz="0" w:space="0" w:color="auto"/>
        <w:left w:val="none" w:sz="0" w:space="0" w:color="auto"/>
        <w:bottom w:val="none" w:sz="0" w:space="0" w:color="auto"/>
        <w:right w:val="none" w:sz="0" w:space="0" w:color="auto"/>
      </w:divBdr>
      <w:divsChild>
        <w:div w:id="469443557">
          <w:marLeft w:val="0"/>
          <w:marRight w:val="0"/>
          <w:marTop w:val="0"/>
          <w:marBottom w:val="0"/>
          <w:divBdr>
            <w:top w:val="none" w:sz="0" w:space="0" w:color="auto"/>
            <w:left w:val="none" w:sz="0" w:space="0" w:color="auto"/>
            <w:bottom w:val="none" w:sz="0" w:space="0" w:color="auto"/>
            <w:right w:val="none" w:sz="0" w:space="0" w:color="auto"/>
          </w:divBdr>
          <w:divsChild>
            <w:div w:id="756898950">
              <w:marLeft w:val="0"/>
              <w:marRight w:val="0"/>
              <w:marTop w:val="0"/>
              <w:marBottom w:val="0"/>
              <w:divBdr>
                <w:top w:val="none" w:sz="0" w:space="0" w:color="auto"/>
                <w:left w:val="none" w:sz="0" w:space="0" w:color="auto"/>
                <w:bottom w:val="none" w:sz="0" w:space="0" w:color="auto"/>
                <w:right w:val="none" w:sz="0" w:space="0" w:color="auto"/>
              </w:divBdr>
            </w:div>
            <w:div w:id="1278831075">
              <w:marLeft w:val="0"/>
              <w:marRight w:val="0"/>
              <w:marTop w:val="0"/>
              <w:marBottom w:val="0"/>
              <w:divBdr>
                <w:top w:val="none" w:sz="0" w:space="0" w:color="auto"/>
                <w:left w:val="none" w:sz="0" w:space="0" w:color="auto"/>
                <w:bottom w:val="none" w:sz="0" w:space="0" w:color="auto"/>
                <w:right w:val="none" w:sz="0" w:space="0" w:color="auto"/>
              </w:divBdr>
              <w:divsChild>
                <w:div w:id="850073059">
                  <w:marLeft w:val="0"/>
                  <w:marRight w:val="0"/>
                  <w:marTop w:val="0"/>
                  <w:marBottom w:val="0"/>
                  <w:divBdr>
                    <w:top w:val="none" w:sz="0" w:space="0" w:color="auto"/>
                    <w:left w:val="none" w:sz="0" w:space="0" w:color="auto"/>
                    <w:bottom w:val="none" w:sz="0" w:space="0" w:color="auto"/>
                    <w:right w:val="none" w:sz="0" w:space="0" w:color="auto"/>
                  </w:divBdr>
                </w:div>
                <w:div w:id="922565643">
                  <w:marLeft w:val="0"/>
                  <w:marRight w:val="0"/>
                  <w:marTop w:val="0"/>
                  <w:marBottom w:val="0"/>
                  <w:divBdr>
                    <w:top w:val="none" w:sz="0" w:space="0" w:color="auto"/>
                    <w:left w:val="none" w:sz="0" w:space="0" w:color="auto"/>
                    <w:bottom w:val="none" w:sz="0" w:space="0" w:color="auto"/>
                    <w:right w:val="none" w:sz="0" w:space="0" w:color="auto"/>
                  </w:divBdr>
                </w:div>
                <w:div w:id="419642963">
                  <w:marLeft w:val="0"/>
                  <w:marRight w:val="0"/>
                  <w:marTop w:val="0"/>
                  <w:marBottom w:val="0"/>
                  <w:divBdr>
                    <w:top w:val="none" w:sz="0" w:space="0" w:color="auto"/>
                    <w:left w:val="none" w:sz="0" w:space="0" w:color="auto"/>
                    <w:bottom w:val="none" w:sz="0" w:space="0" w:color="auto"/>
                    <w:right w:val="none" w:sz="0" w:space="0" w:color="auto"/>
                  </w:divBdr>
                </w:div>
                <w:div w:id="2140799016">
                  <w:marLeft w:val="0"/>
                  <w:marRight w:val="0"/>
                  <w:marTop w:val="0"/>
                  <w:marBottom w:val="0"/>
                  <w:divBdr>
                    <w:top w:val="none" w:sz="0" w:space="0" w:color="auto"/>
                    <w:left w:val="none" w:sz="0" w:space="0" w:color="auto"/>
                    <w:bottom w:val="none" w:sz="0" w:space="0" w:color="auto"/>
                    <w:right w:val="none" w:sz="0" w:space="0" w:color="auto"/>
                  </w:divBdr>
                </w:div>
                <w:div w:id="104883689">
                  <w:marLeft w:val="0"/>
                  <w:marRight w:val="0"/>
                  <w:marTop w:val="0"/>
                  <w:marBottom w:val="0"/>
                  <w:divBdr>
                    <w:top w:val="none" w:sz="0" w:space="0" w:color="auto"/>
                    <w:left w:val="none" w:sz="0" w:space="0" w:color="auto"/>
                    <w:bottom w:val="none" w:sz="0" w:space="0" w:color="auto"/>
                    <w:right w:val="none" w:sz="0" w:space="0" w:color="auto"/>
                  </w:divBdr>
                </w:div>
              </w:divsChild>
            </w:div>
            <w:div w:id="1932618769">
              <w:marLeft w:val="0"/>
              <w:marRight w:val="0"/>
              <w:marTop w:val="0"/>
              <w:marBottom w:val="0"/>
              <w:divBdr>
                <w:top w:val="none" w:sz="0" w:space="0" w:color="auto"/>
                <w:left w:val="none" w:sz="0" w:space="0" w:color="auto"/>
                <w:bottom w:val="none" w:sz="0" w:space="0" w:color="auto"/>
                <w:right w:val="none" w:sz="0" w:space="0" w:color="auto"/>
              </w:divBdr>
              <w:divsChild>
                <w:div w:id="1347899079">
                  <w:marLeft w:val="0"/>
                  <w:marRight w:val="0"/>
                  <w:marTop w:val="0"/>
                  <w:marBottom w:val="0"/>
                  <w:divBdr>
                    <w:top w:val="none" w:sz="0" w:space="0" w:color="auto"/>
                    <w:left w:val="none" w:sz="0" w:space="0" w:color="auto"/>
                    <w:bottom w:val="none" w:sz="0" w:space="0" w:color="auto"/>
                    <w:right w:val="none" w:sz="0" w:space="0" w:color="auto"/>
                  </w:divBdr>
                </w:div>
                <w:div w:id="1274479596">
                  <w:marLeft w:val="0"/>
                  <w:marRight w:val="0"/>
                  <w:marTop w:val="0"/>
                  <w:marBottom w:val="0"/>
                  <w:divBdr>
                    <w:top w:val="none" w:sz="0" w:space="0" w:color="auto"/>
                    <w:left w:val="none" w:sz="0" w:space="0" w:color="auto"/>
                    <w:bottom w:val="none" w:sz="0" w:space="0" w:color="auto"/>
                    <w:right w:val="none" w:sz="0" w:space="0" w:color="auto"/>
                  </w:divBdr>
                </w:div>
                <w:div w:id="104082908">
                  <w:marLeft w:val="0"/>
                  <w:marRight w:val="0"/>
                  <w:marTop w:val="0"/>
                  <w:marBottom w:val="0"/>
                  <w:divBdr>
                    <w:top w:val="none" w:sz="0" w:space="0" w:color="auto"/>
                    <w:left w:val="none" w:sz="0" w:space="0" w:color="auto"/>
                    <w:bottom w:val="none" w:sz="0" w:space="0" w:color="auto"/>
                    <w:right w:val="none" w:sz="0" w:space="0" w:color="auto"/>
                  </w:divBdr>
                </w:div>
              </w:divsChild>
            </w:div>
            <w:div w:id="1310524700">
              <w:marLeft w:val="0"/>
              <w:marRight w:val="0"/>
              <w:marTop w:val="0"/>
              <w:marBottom w:val="0"/>
              <w:divBdr>
                <w:top w:val="none" w:sz="0" w:space="0" w:color="auto"/>
                <w:left w:val="none" w:sz="0" w:space="0" w:color="auto"/>
                <w:bottom w:val="none" w:sz="0" w:space="0" w:color="auto"/>
                <w:right w:val="none" w:sz="0" w:space="0" w:color="auto"/>
              </w:divBdr>
              <w:divsChild>
                <w:div w:id="848108421">
                  <w:marLeft w:val="0"/>
                  <w:marRight w:val="0"/>
                  <w:marTop w:val="0"/>
                  <w:marBottom w:val="0"/>
                  <w:divBdr>
                    <w:top w:val="none" w:sz="0" w:space="0" w:color="auto"/>
                    <w:left w:val="none" w:sz="0" w:space="0" w:color="auto"/>
                    <w:bottom w:val="none" w:sz="0" w:space="0" w:color="auto"/>
                    <w:right w:val="none" w:sz="0" w:space="0" w:color="auto"/>
                  </w:divBdr>
                  <w:divsChild>
                    <w:div w:id="1883052470">
                      <w:marLeft w:val="0"/>
                      <w:marRight w:val="0"/>
                      <w:marTop w:val="0"/>
                      <w:marBottom w:val="0"/>
                      <w:divBdr>
                        <w:top w:val="none" w:sz="0" w:space="0" w:color="auto"/>
                        <w:left w:val="none" w:sz="0" w:space="0" w:color="auto"/>
                        <w:bottom w:val="none" w:sz="0" w:space="0" w:color="auto"/>
                        <w:right w:val="none" w:sz="0" w:space="0" w:color="auto"/>
                      </w:divBdr>
                    </w:div>
                    <w:div w:id="1764105424">
                      <w:marLeft w:val="0"/>
                      <w:marRight w:val="0"/>
                      <w:marTop w:val="0"/>
                      <w:marBottom w:val="0"/>
                      <w:divBdr>
                        <w:top w:val="none" w:sz="0" w:space="0" w:color="auto"/>
                        <w:left w:val="none" w:sz="0" w:space="0" w:color="auto"/>
                        <w:bottom w:val="none" w:sz="0" w:space="0" w:color="auto"/>
                        <w:right w:val="none" w:sz="0" w:space="0" w:color="auto"/>
                      </w:divBdr>
                    </w:div>
                    <w:div w:id="1712147704">
                      <w:marLeft w:val="0"/>
                      <w:marRight w:val="0"/>
                      <w:marTop w:val="0"/>
                      <w:marBottom w:val="0"/>
                      <w:divBdr>
                        <w:top w:val="none" w:sz="0" w:space="0" w:color="auto"/>
                        <w:left w:val="none" w:sz="0" w:space="0" w:color="auto"/>
                        <w:bottom w:val="none" w:sz="0" w:space="0" w:color="auto"/>
                        <w:right w:val="none" w:sz="0" w:space="0" w:color="auto"/>
                      </w:divBdr>
                    </w:div>
                    <w:div w:id="1758751116">
                      <w:marLeft w:val="0"/>
                      <w:marRight w:val="0"/>
                      <w:marTop w:val="0"/>
                      <w:marBottom w:val="0"/>
                      <w:divBdr>
                        <w:top w:val="none" w:sz="0" w:space="0" w:color="auto"/>
                        <w:left w:val="none" w:sz="0" w:space="0" w:color="auto"/>
                        <w:bottom w:val="none" w:sz="0" w:space="0" w:color="auto"/>
                        <w:right w:val="none" w:sz="0" w:space="0" w:color="auto"/>
                      </w:divBdr>
                    </w:div>
                    <w:div w:id="1235436926">
                      <w:marLeft w:val="0"/>
                      <w:marRight w:val="0"/>
                      <w:marTop w:val="0"/>
                      <w:marBottom w:val="0"/>
                      <w:divBdr>
                        <w:top w:val="none" w:sz="0" w:space="0" w:color="auto"/>
                        <w:left w:val="none" w:sz="0" w:space="0" w:color="auto"/>
                        <w:bottom w:val="none" w:sz="0" w:space="0" w:color="auto"/>
                        <w:right w:val="none" w:sz="0" w:space="0" w:color="auto"/>
                      </w:divBdr>
                    </w:div>
                    <w:div w:id="2109617671">
                      <w:marLeft w:val="0"/>
                      <w:marRight w:val="0"/>
                      <w:marTop w:val="0"/>
                      <w:marBottom w:val="0"/>
                      <w:divBdr>
                        <w:top w:val="none" w:sz="0" w:space="0" w:color="auto"/>
                        <w:left w:val="none" w:sz="0" w:space="0" w:color="auto"/>
                        <w:bottom w:val="none" w:sz="0" w:space="0" w:color="auto"/>
                        <w:right w:val="none" w:sz="0" w:space="0" w:color="auto"/>
                      </w:divBdr>
                    </w:div>
                    <w:div w:id="1311208210">
                      <w:marLeft w:val="0"/>
                      <w:marRight w:val="0"/>
                      <w:marTop w:val="0"/>
                      <w:marBottom w:val="0"/>
                      <w:divBdr>
                        <w:top w:val="none" w:sz="0" w:space="0" w:color="auto"/>
                        <w:left w:val="none" w:sz="0" w:space="0" w:color="auto"/>
                        <w:bottom w:val="none" w:sz="0" w:space="0" w:color="auto"/>
                        <w:right w:val="none" w:sz="0" w:space="0" w:color="auto"/>
                      </w:divBdr>
                    </w:div>
                    <w:div w:id="393164522">
                      <w:marLeft w:val="0"/>
                      <w:marRight w:val="0"/>
                      <w:marTop w:val="0"/>
                      <w:marBottom w:val="0"/>
                      <w:divBdr>
                        <w:top w:val="none" w:sz="0" w:space="0" w:color="auto"/>
                        <w:left w:val="none" w:sz="0" w:space="0" w:color="auto"/>
                        <w:bottom w:val="none" w:sz="0" w:space="0" w:color="auto"/>
                        <w:right w:val="none" w:sz="0" w:space="0" w:color="auto"/>
                      </w:divBdr>
                    </w:div>
                    <w:div w:id="897937157">
                      <w:marLeft w:val="0"/>
                      <w:marRight w:val="0"/>
                      <w:marTop w:val="0"/>
                      <w:marBottom w:val="0"/>
                      <w:divBdr>
                        <w:top w:val="none" w:sz="0" w:space="0" w:color="auto"/>
                        <w:left w:val="none" w:sz="0" w:space="0" w:color="auto"/>
                        <w:bottom w:val="none" w:sz="0" w:space="0" w:color="auto"/>
                        <w:right w:val="none" w:sz="0" w:space="0" w:color="auto"/>
                      </w:divBdr>
                    </w:div>
                  </w:divsChild>
                </w:div>
                <w:div w:id="1079985072">
                  <w:marLeft w:val="0"/>
                  <w:marRight w:val="0"/>
                  <w:marTop w:val="0"/>
                  <w:marBottom w:val="0"/>
                  <w:divBdr>
                    <w:top w:val="none" w:sz="0" w:space="0" w:color="auto"/>
                    <w:left w:val="none" w:sz="0" w:space="0" w:color="auto"/>
                    <w:bottom w:val="none" w:sz="0" w:space="0" w:color="auto"/>
                    <w:right w:val="none" w:sz="0" w:space="0" w:color="auto"/>
                  </w:divBdr>
                </w:div>
                <w:div w:id="108071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0427">
          <w:marLeft w:val="0"/>
          <w:marRight w:val="0"/>
          <w:marTop w:val="0"/>
          <w:marBottom w:val="0"/>
          <w:divBdr>
            <w:top w:val="none" w:sz="0" w:space="0" w:color="auto"/>
            <w:left w:val="none" w:sz="0" w:space="0" w:color="auto"/>
            <w:bottom w:val="none" w:sz="0" w:space="0" w:color="auto"/>
            <w:right w:val="none" w:sz="0" w:space="0" w:color="auto"/>
          </w:divBdr>
          <w:divsChild>
            <w:div w:id="217861444">
              <w:marLeft w:val="0"/>
              <w:marRight w:val="0"/>
              <w:marTop w:val="0"/>
              <w:marBottom w:val="0"/>
              <w:divBdr>
                <w:top w:val="none" w:sz="0" w:space="0" w:color="auto"/>
                <w:left w:val="none" w:sz="0" w:space="0" w:color="auto"/>
                <w:bottom w:val="none" w:sz="0" w:space="0" w:color="auto"/>
                <w:right w:val="none" w:sz="0" w:space="0" w:color="auto"/>
              </w:divBdr>
            </w:div>
            <w:div w:id="979961957">
              <w:marLeft w:val="0"/>
              <w:marRight w:val="0"/>
              <w:marTop w:val="0"/>
              <w:marBottom w:val="0"/>
              <w:divBdr>
                <w:top w:val="none" w:sz="0" w:space="0" w:color="auto"/>
                <w:left w:val="none" w:sz="0" w:space="0" w:color="auto"/>
                <w:bottom w:val="none" w:sz="0" w:space="0" w:color="auto"/>
                <w:right w:val="none" w:sz="0" w:space="0" w:color="auto"/>
              </w:divBdr>
              <w:divsChild>
                <w:div w:id="908464325">
                  <w:marLeft w:val="0"/>
                  <w:marRight w:val="0"/>
                  <w:marTop w:val="0"/>
                  <w:marBottom w:val="0"/>
                  <w:divBdr>
                    <w:top w:val="none" w:sz="0" w:space="0" w:color="auto"/>
                    <w:left w:val="none" w:sz="0" w:space="0" w:color="auto"/>
                    <w:bottom w:val="none" w:sz="0" w:space="0" w:color="auto"/>
                    <w:right w:val="none" w:sz="0" w:space="0" w:color="auto"/>
                  </w:divBdr>
                </w:div>
                <w:div w:id="1425109065">
                  <w:marLeft w:val="0"/>
                  <w:marRight w:val="0"/>
                  <w:marTop w:val="0"/>
                  <w:marBottom w:val="0"/>
                  <w:divBdr>
                    <w:top w:val="none" w:sz="0" w:space="0" w:color="auto"/>
                    <w:left w:val="none" w:sz="0" w:space="0" w:color="auto"/>
                    <w:bottom w:val="none" w:sz="0" w:space="0" w:color="auto"/>
                    <w:right w:val="none" w:sz="0" w:space="0" w:color="auto"/>
                  </w:divBdr>
                </w:div>
                <w:div w:id="1378696785">
                  <w:marLeft w:val="0"/>
                  <w:marRight w:val="0"/>
                  <w:marTop w:val="0"/>
                  <w:marBottom w:val="0"/>
                  <w:divBdr>
                    <w:top w:val="none" w:sz="0" w:space="0" w:color="auto"/>
                    <w:left w:val="none" w:sz="0" w:space="0" w:color="auto"/>
                    <w:bottom w:val="none" w:sz="0" w:space="0" w:color="auto"/>
                    <w:right w:val="none" w:sz="0" w:space="0" w:color="auto"/>
                  </w:divBdr>
                </w:div>
                <w:div w:id="1433167222">
                  <w:marLeft w:val="0"/>
                  <w:marRight w:val="0"/>
                  <w:marTop w:val="0"/>
                  <w:marBottom w:val="0"/>
                  <w:divBdr>
                    <w:top w:val="none" w:sz="0" w:space="0" w:color="auto"/>
                    <w:left w:val="none" w:sz="0" w:space="0" w:color="auto"/>
                    <w:bottom w:val="none" w:sz="0" w:space="0" w:color="auto"/>
                    <w:right w:val="none" w:sz="0" w:space="0" w:color="auto"/>
                  </w:divBdr>
                </w:div>
                <w:div w:id="399207910">
                  <w:marLeft w:val="0"/>
                  <w:marRight w:val="0"/>
                  <w:marTop w:val="0"/>
                  <w:marBottom w:val="0"/>
                  <w:divBdr>
                    <w:top w:val="none" w:sz="0" w:space="0" w:color="auto"/>
                    <w:left w:val="none" w:sz="0" w:space="0" w:color="auto"/>
                    <w:bottom w:val="none" w:sz="0" w:space="0" w:color="auto"/>
                    <w:right w:val="none" w:sz="0" w:space="0" w:color="auto"/>
                  </w:divBdr>
                </w:div>
              </w:divsChild>
            </w:div>
            <w:div w:id="627516411">
              <w:marLeft w:val="0"/>
              <w:marRight w:val="0"/>
              <w:marTop w:val="0"/>
              <w:marBottom w:val="0"/>
              <w:divBdr>
                <w:top w:val="none" w:sz="0" w:space="0" w:color="auto"/>
                <w:left w:val="none" w:sz="0" w:space="0" w:color="auto"/>
                <w:bottom w:val="none" w:sz="0" w:space="0" w:color="auto"/>
                <w:right w:val="none" w:sz="0" w:space="0" w:color="auto"/>
              </w:divBdr>
              <w:divsChild>
                <w:div w:id="190805063">
                  <w:marLeft w:val="0"/>
                  <w:marRight w:val="0"/>
                  <w:marTop w:val="0"/>
                  <w:marBottom w:val="0"/>
                  <w:divBdr>
                    <w:top w:val="none" w:sz="0" w:space="0" w:color="auto"/>
                    <w:left w:val="none" w:sz="0" w:space="0" w:color="auto"/>
                    <w:bottom w:val="none" w:sz="0" w:space="0" w:color="auto"/>
                    <w:right w:val="none" w:sz="0" w:space="0" w:color="auto"/>
                  </w:divBdr>
                </w:div>
                <w:div w:id="2041391748">
                  <w:marLeft w:val="0"/>
                  <w:marRight w:val="0"/>
                  <w:marTop w:val="0"/>
                  <w:marBottom w:val="0"/>
                  <w:divBdr>
                    <w:top w:val="none" w:sz="0" w:space="0" w:color="auto"/>
                    <w:left w:val="none" w:sz="0" w:space="0" w:color="auto"/>
                    <w:bottom w:val="none" w:sz="0" w:space="0" w:color="auto"/>
                    <w:right w:val="none" w:sz="0" w:space="0" w:color="auto"/>
                  </w:divBdr>
                </w:div>
                <w:div w:id="616253012">
                  <w:marLeft w:val="0"/>
                  <w:marRight w:val="0"/>
                  <w:marTop w:val="0"/>
                  <w:marBottom w:val="0"/>
                  <w:divBdr>
                    <w:top w:val="none" w:sz="0" w:space="0" w:color="auto"/>
                    <w:left w:val="none" w:sz="0" w:space="0" w:color="auto"/>
                    <w:bottom w:val="none" w:sz="0" w:space="0" w:color="auto"/>
                    <w:right w:val="none" w:sz="0" w:space="0" w:color="auto"/>
                  </w:divBdr>
                </w:div>
              </w:divsChild>
            </w:div>
            <w:div w:id="1974603260">
              <w:marLeft w:val="0"/>
              <w:marRight w:val="0"/>
              <w:marTop w:val="0"/>
              <w:marBottom w:val="0"/>
              <w:divBdr>
                <w:top w:val="none" w:sz="0" w:space="0" w:color="auto"/>
                <w:left w:val="none" w:sz="0" w:space="0" w:color="auto"/>
                <w:bottom w:val="none" w:sz="0" w:space="0" w:color="auto"/>
                <w:right w:val="none" w:sz="0" w:space="0" w:color="auto"/>
              </w:divBdr>
              <w:divsChild>
                <w:div w:id="1160973195">
                  <w:marLeft w:val="0"/>
                  <w:marRight w:val="0"/>
                  <w:marTop w:val="0"/>
                  <w:marBottom w:val="0"/>
                  <w:divBdr>
                    <w:top w:val="none" w:sz="0" w:space="0" w:color="auto"/>
                    <w:left w:val="none" w:sz="0" w:space="0" w:color="auto"/>
                    <w:bottom w:val="none" w:sz="0" w:space="0" w:color="auto"/>
                    <w:right w:val="none" w:sz="0" w:space="0" w:color="auto"/>
                  </w:divBdr>
                  <w:divsChild>
                    <w:div w:id="1482115960">
                      <w:marLeft w:val="0"/>
                      <w:marRight w:val="0"/>
                      <w:marTop w:val="0"/>
                      <w:marBottom w:val="0"/>
                      <w:divBdr>
                        <w:top w:val="none" w:sz="0" w:space="0" w:color="auto"/>
                        <w:left w:val="none" w:sz="0" w:space="0" w:color="auto"/>
                        <w:bottom w:val="none" w:sz="0" w:space="0" w:color="auto"/>
                        <w:right w:val="none" w:sz="0" w:space="0" w:color="auto"/>
                      </w:divBdr>
                    </w:div>
                    <w:div w:id="1800605198">
                      <w:marLeft w:val="0"/>
                      <w:marRight w:val="0"/>
                      <w:marTop w:val="0"/>
                      <w:marBottom w:val="0"/>
                      <w:divBdr>
                        <w:top w:val="none" w:sz="0" w:space="0" w:color="auto"/>
                        <w:left w:val="none" w:sz="0" w:space="0" w:color="auto"/>
                        <w:bottom w:val="none" w:sz="0" w:space="0" w:color="auto"/>
                        <w:right w:val="none" w:sz="0" w:space="0" w:color="auto"/>
                      </w:divBdr>
                    </w:div>
                    <w:div w:id="906495768">
                      <w:marLeft w:val="0"/>
                      <w:marRight w:val="0"/>
                      <w:marTop w:val="0"/>
                      <w:marBottom w:val="0"/>
                      <w:divBdr>
                        <w:top w:val="none" w:sz="0" w:space="0" w:color="auto"/>
                        <w:left w:val="none" w:sz="0" w:space="0" w:color="auto"/>
                        <w:bottom w:val="none" w:sz="0" w:space="0" w:color="auto"/>
                        <w:right w:val="none" w:sz="0" w:space="0" w:color="auto"/>
                      </w:divBdr>
                    </w:div>
                    <w:div w:id="789130241">
                      <w:marLeft w:val="0"/>
                      <w:marRight w:val="0"/>
                      <w:marTop w:val="0"/>
                      <w:marBottom w:val="0"/>
                      <w:divBdr>
                        <w:top w:val="none" w:sz="0" w:space="0" w:color="auto"/>
                        <w:left w:val="none" w:sz="0" w:space="0" w:color="auto"/>
                        <w:bottom w:val="none" w:sz="0" w:space="0" w:color="auto"/>
                        <w:right w:val="none" w:sz="0" w:space="0" w:color="auto"/>
                      </w:divBdr>
                    </w:div>
                    <w:div w:id="722481848">
                      <w:marLeft w:val="0"/>
                      <w:marRight w:val="0"/>
                      <w:marTop w:val="0"/>
                      <w:marBottom w:val="0"/>
                      <w:divBdr>
                        <w:top w:val="none" w:sz="0" w:space="0" w:color="auto"/>
                        <w:left w:val="none" w:sz="0" w:space="0" w:color="auto"/>
                        <w:bottom w:val="none" w:sz="0" w:space="0" w:color="auto"/>
                        <w:right w:val="none" w:sz="0" w:space="0" w:color="auto"/>
                      </w:divBdr>
                    </w:div>
                    <w:div w:id="1146775563">
                      <w:marLeft w:val="0"/>
                      <w:marRight w:val="0"/>
                      <w:marTop w:val="0"/>
                      <w:marBottom w:val="0"/>
                      <w:divBdr>
                        <w:top w:val="none" w:sz="0" w:space="0" w:color="auto"/>
                        <w:left w:val="none" w:sz="0" w:space="0" w:color="auto"/>
                        <w:bottom w:val="none" w:sz="0" w:space="0" w:color="auto"/>
                        <w:right w:val="none" w:sz="0" w:space="0" w:color="auto"/>
                      </w:divBdr>
                    </w:div>
                    <w:div w:id="309018476">
                      <w:marLeft w:val="0"/>
                      <w:marRight w:val="0"/>
                      <w:marTop w:val="0"/>
                      <w:marBottom w:val="0"/>
                      <w:divBdr>
                        <w:top w:val="none" w:sz="0" w:space="0" w:color="auto"/>
                        <w:left w:val="none" w:sz="0" w:space="0" w:color="auto"/>
                        <w:bottom w:val="none" w:sz="0" w:space="0" w:color="auto"/>
                        <w:right w:val="none" w:sz="0" w:space="0" w:color="auto"/>
                      </w:divBdr>
                    </w:div>
                    <w:div w:id="542716520">
                      <w:marLeft w:val="0"/>
                      <w:marRight w:val="0"/>
                      <w:marTop w:val="0"/>
                      <w:marBottom w:val="0"/>
                      <w:divBdr>
                        <w:top w:val="none" w:sz="0" w:space="0" w:color="auto"/>
                        <w:left w:val="none" w:sz="0" w:space="0" w:color="auto"/>
                        <w:bottom w:val="none" w:sz="0" w:space="0" w:color="auto"/>
                        <w:right w:val="none" w:sz="0" w:space="0" w:color="auto"/>
                      </w:divBdr>
                    </w:div>
                    <w:div w:id="1442530567">
                      <w:marLeft w:val="0"/>
                      <w:marRight w:val="0"/>
                      <w:marTop w:val="0"/>
                      <w:marBottom w:val="0"/>
                      <w:divBdr>
                        <w:top w:val="none" w:sz="0" w:space="0" w:color="auto"/>
                        <w:left w:val="none" w:sz="0" w:space="0" w:color="auto"/>
                        <w:bottom w:val="none" w:sz="0" w:space="0" w:color="auto"/>
                        <w:right w:val="none" w:sz="0" w:space="0" w:color="auto"/>
                      </w:divBdr>
                    </w:div>
                  </w:divsChild>
                </w:div>
                <w:div w:id="1805152286">
                  <w:marLeft w:val="0"/>
                  <w:marRight w:val="0"/>
                  <w:marTop w:val="0"/>
                  <w:marBottom w:val="0"/>
                  <w:divBdr>
                    <w:top w:val="none" w:sz="0" w:space="0" w:color="auto"/>
                    <w:left w:val="none" w:sz="0" w:space="0" w:color="auto"/>
                    <w:bottom w:val="none" w:sz="0" w:space="0" w:color="auto"/>
                    <w:right w:val="none" w:sz="0" w:space="0" w:color="auto"/>
                  </w:divBdr>
                </w:div>
                <w:div w:id="179247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15468">
      <w:bodyDiv w:val="1"/>
      <w:marLeft w:val="0"/>
      <w:marRight w:val="0"/>
      <w:marTop w:val="0"/>
      <w:marBottom w:val="0"/>
      <w:divBdr>
        <w:top w:val="none" w:sz="0" w:space="0" w:color="auto"/>
        <w:left w:val="none" w:sz="0" w:space="0" w:color="auto"/>
        <w:bottom w:val="none" w:sz="0" w:space="0" w:color="auto"/>
        <w:right w:val="none" w:sz="0" w:space="0" w:color="auto"/>
      </w:divBdr>
    </w:div>
    <w:div w:id="138352550">
      <w:bodyDiv w:val="1"/>
      <w:marLeft w:val="0"/>
      <w:marRight w:val="0"/>
      <w:marTop w:val="0"/>
      <w:marBottom w:val="0"/>
      <w:divBdr>
        <w:top w:val="none" w:sz="0" w:space="0" w:color="auto"/>
        <w:left w:val="none" w:sz="0" w:space="0" w:color="auto"/>
        <w:bottom w:val="none" w:sz="0" w:space="0" w:color="auto"/>
        <w:right w:val="none" w:sz="0" w:space="0" w:color="auto"/>
      </w:divBdr>
      <w:divsChild>
        <w:div w:id="773400427">
          <w:marLeft w:val="0"/>
          <w:marRight w:val="0"/>
          <w:marTop w:val="0"/>
          <w:marBottom w:val="0"/>
          <w:divBdr>
            <w:top w:val="none" w:sz="0" w:space="0" w:color="auto"/>
            <w:left w:val="none" w:sz="0" w:space="0" w:color="auto"/>
            <w:bottom w:val="none" w:sz="0" w:space="0" w:color="auto"/>
            <w:right w:val="none" w:sz="0" w:space="0" w:color="auto"/>
          </w:divBdr>
        </w:div>
        <w:div w:id="1451968976">
          <w:marLeft w:val="0"/>
          <w:marRight w:val="0"/>
          <w:marTop w:val="0"/>
          <w:marBottom w:val="0"/>
          <w:divBdr>
            <w:top w:val="none" w:sz="0" w:space="0" w:color="auto"/>
            <w:left w:val="none" w:sz="0" w:space="0" w:color="auto"/>
            <w:bottom w:val="none" w:sz="0" w:space="0" w:color="auto"/>
            <w:right w:val="none" w:sz="0" w:space="0" w:color="auto"/>
          </w:divBdr>
        </w:div>
        <w:div w:id="1380739740">
          <w:marLeft w:val="0"/>
          <w:marRight w:val="0"/>
          <w:marTop w:val="0"/>
          <w:marBottom w:val="0"/>
          <w:divBdr>
            <w:top w:val="none" w:sz="0" w:space="0" w:color="auto"/>
            <w:left w:val="none" w:sz="0" w:space="0" w:color="auto"/>
            <w:bottom w:val="none" w:sz="0" w:space="0" w:color="auto"/>
            <w:right w:val="none" w:sz="0" w:space="0" w:color="auto"/>
          </w:divBdr>
        </w:div>
        <w:div w:id="2049647273">
          <w:marLeft w:val="0"/>
          <w:marRight w:val="0"/>
          <w:marTop w:val="0"/>
          <w:marBottom w:val="0"/>
          <w:divBdr>
            <w:top w:val="none" w:sz="0" w:space="0" w:color="auto"/>
            <w:left w:val="none" w:sz="0" w:space="0" w:color="auto"/>
            <w:bottom w:val="none" w:sz="0" w:space="0" w:color="auto"/>
            <w:right w:val="none" w:sz="0" w:space="0" w:color="auto"/>
          </w:divBdr>
        </w:div>
        <w:div w:id="1189489445">
          <w:marLeft w:val="0"/>
          <w:marRight w:val="0"/>
          <w:marTop w:val="0"/>
          <w:marBottom w:val="0"/>
          <w:divBdr>
            <w:top w:val="none" w:sz="0" w:space="0" w:color="auto"/>
            <w:left w:val="none" w:sz="0" w:space="0" w:color="auto"/>
            <w:bottom w:val="none" w:sz="0" w:space="0" w:color="auto"/>
            <w:right w:val="none" w:sz="0" w:space="0" w:color="auto"/>
          </w:divBdr>
        </w:div>
        <w:div w:id="968364058">
          <w:marLeft w:val="0"/>
          <w:marRight w:val="0"/>
          <w:marTop w:val="0"/>
          <w:marBottom w:val="0"/>
          <w:divBdr>
            <w:top w:val="none" w:sz="0" w:space="0" w:color="auto"/>
            <w:left w:val="none" w:sz="0" w:space="0" w:color="auto"/>
            <w:bottom w:val="none" w:sz="0" w:space="0" w:color="auto"/>
            <w:right w:val="none" w:sz="0" w:space="0" w:color="auto"/>
          </w:divBdr>
        </w:div>
        <w:div w:id="1336810982">
          <w:marLeft w:val="0"/>
          <w:marRight w:val="0"/>
          <w:marTop w:val="0"/>
          <w:marBottom w:val="0"/>
          <w:divBdr>
            <w:top w:val="none" w:sz="0" w:space="0" w:color="auto"/>
            <w:left w:val="none" w:sz="0" w:space="0" w:color="auto"/>
            <w:bottom w:val="none" w:sz="0" w:space="0" w:color="auto"/>
            <w:right w:val="none" w:sz="0" w:space="0" w:color="auto"/>
          </w:divBdr>
        </w:div>
        <w:div w:id="217204072">
          <w:marLeft w:val="0"/>
          <w:marRight w:val="0"/>
          <w:marTop w:val="0"/>
          <w:marBottom w:val="0"/>
          <w:divBdr>
            <w:top w:val="none" w:sz="0" w:space="0" w:color="auto"/>
            <w:left w:val="none" w:sz="0" w:space="0" w:color="auto"/>
            <w:bottom w:val="none" w:sz="0" w:space="0" w:color="auto"/>
            <w:right w:val="none" w:sz="0" w:space="0" w:color="auto"/>
          </w:divBdr>
        </w:div>
        <w:div w:id="817115504">
          <w:marLeft w:val="0"/>
          <w:marRight w:val="0"/>
          <w:marTop w:val="0"/>
          <w:marBottom w:val="0"/>
          <w:divBdr>
            <w:top w:val="none" w:sz="0" w:space="0" w:color="auto"/>
            <w:left w:val="none" w:sz="0" w:space="0" w:color="auto"/>
            <w:bottom w:val="none" w:sz="0" w:space="0" w:color="auto"/>
            <w:right w:val="none" w:sz="0" w:space="0" w:color="auto"/>
          </w:divBdr>
        </w:div>
        <w:div w:id="546066885">
          <w:marLeft w:val="0"/>
          <w:marRight w:val="0"/>
          <w:marTop w:val="0"/>
          <w:marBottom w:val="0"/>
          <w:divBdr>
            <w:top w:val="none" w:sz="0" w:space="0" w:color="auto"/>
            <w:left w:val="none" w:sz="0" w:space="0" w:color="auto"/>
            <w:bottom w:val="none" w:sz="0" w:space="0" w:color="auto"/>
            <w:right w:val="none" w:sz="0" w:space="0" w:color="auto"/>
          </w:divBdr>
        </w:div>
      </w:divsChild>
    </w:div>
    <w:div w:id="152189066">
      <w:bodyDiv w:val="1"/>
      <w:marLeft w:val="0"/>
      <w:marRight w:val="0"/>
      <w:marTop w:val="0"/>
      <w:marBottom w:val="0"/>
      <w:divBdr>
        <w:top w:val="none" w:sz="0" w:space="0" w:color="auto"/>
        <w:left w:val="none" w:sz="0" w:space="0" w:color="auto"/>
        <w:bottom w:val="none" w:sz="0" w:space="0" w:color="auto"/>
        <w:right w:val="none" w:sz="0" w:space="0" w:color="auto"/>
      </w:divBdr>
    </w:div>
    <w:div w:id="155847259">
      <w:bodyDiv w:val="1"/>
      <w:marLeft w:val="0"/>
      <w:marRight w:val="0"/>
      <w:marTop w:val="0"/>
      <w:marBottom w:val="0"/>
      <w:divBdr>
        <w:top w:val="none" w:sz="0" w:space="0" w:color="auto"/>
        <w:left w:val="none" w:sz="0" w:space="0" w:color="auto"/>
        <w:bottom w:val="none" w:sz="0" w:space="0" w:color="auto"/>
        <w:right w:val="none" w:sz="0" w:space="0" w:color="auto"/>
      </w:divBdr>
      <w:divsChild>
        <w:div w:id="908199147">
          <w:marLeft w:val="0"/>
          <w:marRight w:val="0"/>
          <w:marTop w:val="0"/>
          <w:marBottom w:val="0"/>
          <w:divBdr>
            <w:top w:val="none" w:sz="0" w:space="0" w:color="auto"/>
            <w:left w:val="none" w:sz="0" w:space="0" w:color="auto"/>
            <w:bottom w:val="none" w:sz="0" w:space="0" w:color="auto"/>
            <w:right w:val="none" w:sz="0" w:space="0" w:color="auto"/>
          </w:divBdr>
        </w:div>
        <w:div w:id="697513678">
          <w:marLeft w:val="0"/>
          <w:marRight w:val="0"/>
          <w:marTop w:val="0"/>
          <w:marBottom w:val="0"/>
          <w:divBdr>
            <w:top w:val="none" w:sz="0" w:space="0" w:color="auto"/>
            <w:left w:val="none" w:sz="0" w:space="0" w:color="auto"/>
            <w:bottom w:val="none" w:sz="0" w:space="0" w:color="auto"/>
            <w:right w:val="none" w:sz="0" w:space="0" w:color="auto"/>
          </w:divBdr>
        </w:div>
        <w:div w:id="614948088">
          <w:marLeft w:val="0"/>
          <w:marRight w:val="0"/>
          <w:marTop w:val="0"/>
          <w:marBottom w:val="0"/>
          <w:divBdr>
            <w:top w:val="none" w:sz="0" w:space="0" w:color="auto"/>
            <w:left w:val="none" w:sz="0" w:space="0" w:color="auto"/>
            <w:bottom w:val="none" w:sz="0" w:space="0" w:color="auto"/>
            <w:right w:val="none" w:sz="0" w:space="0" w:color="auto"/>
          </w:divBdr>
        </w:div>
        <w:div w:id="1094284826">
          <w:marLeft w:val="0"/>
          <w:marRight w:val="0"/>
          <w:marTop w:val="0"/>
          <w:marBottom w:val="0"/>
          <w:divBdr>
            <w:top w:val="none" w:sz="0" w:space="0" w:color="auto"/>
            <w:left w:val="none" w:sz="0" w:space="0" w:color="auto"/>
            <w:bottom w:val="none" w:sz="0" w:space="0" w:color="auto"/>
            <w:right w:val="none" w:sz="0" w:space="0" w:color="auto"/>
          </w:divBdr>
        </w:div>
        <w:div w:id="1573197372">
          <w:marLeft w:val="0"/>
          <w:marRight w:val="0"/>
          <w:marTop w:val="0"/>
          <w:marBottom w:val="0"/>
          <w:divBdr>
            <w:top w:val="none" w:sz="0" w:space="0" w:color="auto"/>
            <w:left w:val="none" w:sz="0" w:space="0" w:color="auto"/>
            <w:bottom w:val="none" w:sz="0" w:space="0" w:color="auto"/>
            <w:right w:val="none" w:sz="0" w:space="0" w:color="auto"/>
          </w:divBdr>
        </w:div>
        <w:div w:id="2058578116">
          <w:marLeft w:val="0"/>
          <w:marRight w:val="0"/>
          <w:marTop w:val="0"/>
          <w:marBottom w:val="0"/>
          <w:divBdr>
            <w:top w:val="none" w:sz="0" w:space="0" w:color="auto"/>
            <w:left w:val="none" w:sz="0" w:space="0" w:color="auto"/>
            <w:bottom w:val="none" w:sz="0" w:space="0" w:color="auto"/>
            <w:right w:val="none" w:sz="0" w:space="0" w:color="auto"/>
          </w:divBdr>
        </w:div>
        <w:div w:id="1387950314">
          <w:marLeft w:val="0"/>
          <w:marRight w:val="0"/>
          <w:marTop w:val="0"/>
          <w:marBottom w:val="0"/>
          <w:divBdr>
            <w:top w:val="none" w:sz="0" w:space="0" w:color="auto"/>
            <w:left w:val="none" w:sz="0" w:space="0" w:color="auto"/>
            <w:bottom w:val="none" w:sz="0" w:space="0" w:color="auto"/>
            <w:right w:val="none" w:sz="0" w:space="0" w:color="auto"/>
          </w:divBdr>
        </w:div>
        <w:div w:id="2090034844">
          <w:marLeft w:val="0"/>
          <w:marRight w:val="0"/>
          <w:marTop w:val="0"/>
          <w:marBottom w:val="0"/>
          <w:divBdr>
            <w:top w:val="none" w:sz="0" w:space="0" w:color="auto"/>
            <w:left w:val="none" w:sz="0" w:space="0" w:color="auto"/>
            <w:bottom w:val="none" w:sz="0" w:space="0" w:color="auto"/>
            <w:right w:val="none" w:sz="0" w:space="0" w:color="auto"/>
          </w:divBdr>
        </w:div>
        <w:div w:id="421536378">
          <w:marLeft w:val="0"/>
          <w:marRight w:val="0"/>
          <w:marTop w:val="0"/>
          <w:marBottom w:val="0"/>
          <w:divBdr>
            <w:top w:val="none" w:sz="0" w:space="0" w:color="auto"/>
            <w:left w:val="none" w:sz="0" w:space="0" w:color="auto"/>
            <w:bottom w:val="none" w:sz="0" w:space="0" w:color="auto"/>
            <w:right w:val="none" w:sz="0" w:space="0" w:color="auto"/>
          </w:divBdr>
        </w:div>
        <w:div w:id="880093003">
          <w:marLeft w:val="0"/>
          <w:marRight w:val="0"/>
          <w:marTop w:val="0"/>
          <w:marBottom w:val="0"/>
          <w:divBdr>
            <w:top w:val="none" w:sz="0" w:space="0" w:color="auto"/>
            <w:left w:val="none" w:sz="0" w:space="0" w:color="auto"/>
            <w:bottom w:val="none" w:sz="0" w:space="0" w:color="auto"/>
            <w:right w:val="none" w:sz="0" w:space="0" w:color="auto"/>
          </w:divBdr>
        </w:div>
      </w:divsChild>
    </w:div>
    <w:div w:id="189224242">
      <w:bodyDiv w:val="1"/>
      <w:marLeft w:val="0"/>
      <w:marRight w:val="0"/>
      <w:marTop w:val="0"/>
      <w:marBottom w:val="0"/>
      <w:divBdr>
        <w:top w:val="none" w:sz="0" w:space="0" w:color="auto"/>
        <w:left w:val="none" w:sz="0" w:space="0" w:color="auto"/>
        <w:bottom w:val="none" w:sz="0" w:space="0" w:color="auto"/>
        <w:right w:val="none" w:sz="0" w:space="0" w:color="auto"/>
      </w:divBdr>
      <w:divsChild>
        <w:div w:id="45106215">
          <w:marLeft w:val="0"/>
          <w:marRight w:val="0"/>
          <w:marTop w:val="0"/>
          <w:marBottom w:val="0"/>
          <w:divBdr>
            <w:top w:val="none" w:sz="0" w:space="0" w:color="auto"/>
            <w:left w:val="none" w:sz="0" w:space="0" w:color="auto"/>
            <w:bottom w:val="none" w:sz="0" w:space="0" w:color="auto"/>
            <w:right w:val="none" w:sz="0" w:space="0" w:color="auto"/>
          </w:divBdr>
        </w:div>
        <w:div w:id="964239643">
          <w:marLeft w:val="0"/>
          <w:marRight w:val="0"/>
          <w:marTop w:val="0"/>
          <w:marBottom w:val="0"/>
          <w:divBdr>
            <w:top w:val="none" w:sz="0" w:space="0" w:color="auto"/>
            <w:left w:val="none" w:sz="0" w:space="0" w:color="auto"/>
            <w:bottom w:val="none" w:sz="0" w:space="0" w:color="auto"/>
            <w:right w:val="none" w:sz="0" w:space="0" w:color="auto"/>
          </w:divBdr>
        </w:div>
        <w:div w:id="204369430">
          <w:marLeft w:val="0"/>
          <w:marRight w:val="0"/>
          <w:marTop w:val="0"/>
          <w:marBottom w:val="0"/>
          <w:divBdr>
            <w:top w:val="none" w:sz="0" w:space="0" w:color="auto"/>
            <w:left w:val="none" w:sz="0" w:space="0" w:color="auto"/>
            <w:bottom w:val="none" w:sz="0" w:space="0" w:color="auto"/>
            <w:right w:val="none" w:sz="0" w:space="0" w:color="auto"/>
          </w:divBdr>
        </w:div>
        <w:div w:id="1575159662">
          <w:marLeft w:val="0"/>
          <w:marRight w:val="0"/>
          <w:marTop w:val="0"/>
          <w:marBottom w:val="0"/>
          <w:divBdr>
            <w:top w:val="none" w:sz="0" w:space="0" w:color="auto"/>
            <w:left w:val="none" w:sz="0" w:space="0" w:color="auto"/>
            <w:bottom w:val="none" w:sz="0" w:space="0" w:color="auto"/>
            <w:right w:val="none" w:sz="0" w:space="0" w:color="auto"/>
          </w:divBdr>
        </w:div>
      </w:divsChild>
    </w:div>
    <w:div w:id="190806632">
      <w:bodyDiv w:val="1"/>
      <w:marLeft w:val="0"/>
      <w:marRight w:val="0"/>
      <w:marTop w:val="0"/>
      <w:marBottom w:val="0"/>
      <w:divBdr>
        <w:top w:val="none" w:sz="0" w:space="0" w:color="auto"/>
        <w:left w:val="none" w:sz="0" w:space="0" w:color="auto"/>
        <w:bottom w:val="none" w:sz="0" w:space="0" w:color="auto"/>
        <w:right w:val="none" w:sz="0" w:space="0" w:color="auto"/>
      </w:divBdr>
      <w:divsChild>
        <w:div w:id="1858811395">
          <w:marLeft w:val="0"/>
          <w:marRight w:val="0"/>
          <w:marTop w:val="0"/>
          <w:marBottom w:val="0"/>
          <w:divBdr>
            <w:top w:val="none" w:sz="0" w:space="0" w:color="auto"/>
            <w:left w:val="none" w:sz="0" w:space="0" w:color="auto"/>
            <w:bottom w:val="none" w:sz="0" w:space="0" w:color="auto"/>
            <w:right w:val="none" w:sz="0" w:space="0" w:color="auto"/>
          </w:divBdr>
        </w:div>
        <w:div w:id="670333220">
          <w:marLeft w:val="0"/>
          <w:marRight w:val="0"/>
          <w:marTop w:val="0"/>
          <w:marBottom w:val="0"/>
          <w:divBdr>
            <w:top w:val="none" w:sz="0" w:space="0" w:color="auto"/>
            <w:left w:val="none" w:sz="0" w:space="0" w:color="auto"/>
            <w:bottom w:val="none" w:sz="0" w:space="0" w:color="auto"/>
            <w:right w:val="none" w:sz="0" w:space="0" w:color="auto"/>
          </w:divBdr>
        </w:div>
      </w:divsChild>
    </w:div>
    <w:div w:id="208343489">
      <w:bodyDiv w:val="1"/>
      <w:marLeft w:val="0"/>
      <w:marRight w:val="0"/>
      <w:marTop w:val="0"/>
      <w:marBottom w:val="0"/>
      <w:divBdr>
        <w:top w:val="none" w:sz="0" w:space="0" w:color="auto"/>
        <w:left w:val="none" w:sz="0" w:space="0" w:color="auto"/>
        <w:bottom w:val="none" w:sz="0" w:space="0" w:color="auto"/>
        <w:right w:val="none" w:sz="0" w:space="0" w:color="auto"/>
      </w:divBdr>
    </w:div>
    <w:div w:id="211842799">
      <w:bodyDiv w:val="1"/>
      <w:marLeft w:val="0"/>
      <w:marRight w:val="0"/>
      <w:marTop w:val="0"/>
      <w:marBottom w:val="0"/>
      <w:divBdr>
        <w:top w:val="none" w:sz="0" w:space="0" w:color="auto"/>
        <w:left w:val="none" w:sz="0" w:space="0" w:color="auto"/>
        <w:bottom w:val="none" w:sz="0" w:space="0" w:color="auto"/>
        <w:right w:val="none" w:sz="0" w:space="0" w:color="auto"/>
      </w:divBdr>
      <w:divsChild>
        <w:div w:id="1276785574">
          <w:marLeft w:val="0"/>
          <w:marRight w:val="0"/>
          <w:marTop w:val="0"/>
          <w:marBottom w:val="0"/>
          <w:divBdr>
            <w:top w:val="none" w:sz="0" w:space="0" w:color="auto"/>
            <w:left w:val="none" w:sz="0" w:space="0" w:color="auto"/>
            <w:bottom w:val="none" w:sz="0" w:space="0" w:color="auto"/>
            <w:right w:val="none" w:sz="0" w:space="0" w:color="auto"/>
          </w:divBdr>
          <w:divsChild>
            <w:div w:id="466707807">
              <w:marLeft w:val="0"/>
              <w:marRight w:val="0"/>
              <w:marTop w:val="0"/>
              <w:marBottom w:val="0"/>
              <w:divBdr>
                <w:top w:val="none" w:sz="0" w:space="0" w:color="auto"/>
                <w:left w:val="none" w:sz="0" w:space="0" w:color="auto"/>
                <w:bottom w:val="none" w:sz="0" w:space="0" w:color="auto"/>
                <w:right w:val="none" w:sz="0" w:space="0" w:color="auto"/>
              </w:divBdr>
            </w:div>
            <w:div w:id="180321961">
              <w:marLeft w:val="0"/>
              <w:marRight w:val="0"/>
              <w:marTop w:val="0"/>
              <w:marBottom w:val="0"/>
              <w:divBdr>
                <w:top w:val="none" w:sz="0" w:space="0" w:color="auto"/>
                <w:left w:val="none" w:sz="0" w:space="0" w:color="auto"/>
                <w:bottom w:val="none" w:sz="0" w:space="0" w:color="auto"/>
                <w:right w:val="none" w:sz="0" w:space="0" w:color="auto"/>
              </w:divBdr>
            </w:div>
          </w:divsChild>
        </w:div>
        <w:div w:id="84036786">
          <w:marLeft w:val="0"/>
          <w:marRight w:val="0"/>
          <w:marTop w:val="0"/>
          <w:marBottom w:val="0"/>
          <w:divBdr>
            <w:top w:val="none" w:sz="0" w:space="0" w:color="auto"/>
            <w:left w:val="none" w:sz="0" w:space="0" w:color="auto"/>
            <w:bottom w:val="none" w:sz="0" w:space="0" w:color="auto"/>
            <w:right w:val="none" w:sz="0" w:space="0" w:color="auto"/>
          </w:divBdr>
        </w:div>
        <w:div w:id="1924416757">
          <w:marLeft w:val="0"/>
          <w:marRight w:val="0"/>
          <w:marTop w:val="0"/>
          <w:marBottom w:val="0"/>
          <w:divBdr>
            <w:top w:val="none" w:sz="0" w:space="0" w:color="auto"/>
            <w:left w:val="none" w:sz="0" w:space="0" w:color="auto"/>
            <w:bottom w:val="none" w:sz="0" w:space="0" w:color="auto"/>
            <w:right w:val="none" w:sz="0" w:space="0" w:color="auto"/>
          </w:divBdr>
        </w:div>
      </w:divsChild>
    </w:div>
    <w:div w:id="219245912">
      <w:bodyDiv w:val="1"/>
      <w:marLeft w:val="0"/>
      <w:marRight w:val="0"/>
      <w:marTop w:val="0"/>
      <w:marBottom w:val="0"/>
      <w:divBdr>
        <w:top w:val="none" w:sz="0" w:space="0" w:color="auto"/>
        <w:left w:val="none" w:sz="0" w:space="0" w:color="auto"/>
        <w:bottom w:val="none" w:sz="0" w:space="0" w:color="auto"/>
        <w:right w:val="none" w:sz="0" w:space="0" w:color="auto"/>
      </w:divBdr>
      <w:divsChild>
        <w:div w:id="1558279736">
          <w:marLeft w:val="0"/>
          <w:marRight w:val="0"/>
          <w:marTop w:val="0"/>
          <w:marBottom w:val="0"/>
          <w:divBdr>
            <w:top w:val="none" w:sz="0" w:space="0" w:color="auto"/>
            <w:left w:val="none" w:sz="0" w:space="0" w:color="auto"/>
            <w:bottom w:val="none" w:sz="0" w:space="0" w:color="auto"/>
            <w:right w:val="none" w:sz="0" w:space="0" w:color="auto"/>
          </w:divBdr>
        </w:div>
        <w:div w:id="1874801991">
          <w:marLeft w:val="0"/>
          <w:marRight w:val="0"/>
          <w:marTop w:val="0"/>
          <w:marBottom w:val="0"/>
          <w:divBdr>
            <w:top w:val="none" w:sz="0" w:space="0" w:color="auto"/>
            <w:left w:val="none" w:sz="0" w:space="0" w:color="auto"/>
            <w:bottom w:val="none" w:sz="0" w:space="0" w:color="auto"/>
            <w:right w:val="none" w:sz="0" w:space="0" w:color="auto"/>
          </w:divBdr>
        </w:div>
      </w:divsChild>
    </w:div>
    <w:div w:id="227107484">
      <w:bodyDiv w:val="1"/>
      <w:marLeft w:val="0"/>
      <w:marRight w:val="0"/>
      <w:marTop w:val="0"/>
      <w:marBottom w:val="0"/>
      <w:divBdr>
        <w:top w:val="none" w:sz="0" w:space="0" w:color="auto"/>
        <w:left w:val="none" w:sz="0" w:space="0" w:color="auto"/>
        <w:bottom w:val="none" w:sz="0" w:space="0" w:color="auto"/>
        <w:right w:val="none" w:sz="0" w:space="0" w:color="auto"/>
      </w:divBdr>
    </w:div>
    <w:div w:id="232006498">
      <w:bodyDiv w:val="1"/>
      <w:marLeft w:val="0"/>
      <w:marRight w:val="0"/>
      <w:marTop w:val="0"/>
      <w:marBottom w:val="0"/>
      <w:divBdr>
        <w:top w:val="none" w:sz="0" w:space="0" w:color="auto"/>
        <w:left w:val="none" w:sz="0" w:space="0" w:color="auto"/>
        <w:bottom w:val="none" w:sz="0" w:space="0" w:color="auto"/>
        <w:right w:val="none" w:sz="0" w:space="0" w:color="auto"/>
      </w:divBdr>
      <w:divsChild>
        <w:div w:id="2147233009">
          <w:marLeft w:val="0"/>
          <w:marRight w:val="0"/>
          <w:marTop w:val="0"/>
          <w:marBottom w:val="0"/>
          <w:divBdr>
            <w:top w:val="none" w:sz="0" w:space="0" w:color="auto"/>
            <w:left w:val="none" w:sz="0" w:space="0" w:color="auto"/>
            <w:bottom w:val="none" w:sz="0" w:space="0" w:color="auto"/>
            <w:right w:val="none" w:sz="0" w:space="0" w:color="auto"/>
          </w:divBdr>
        </w:div>
        <w:div w:id="1107459632">
          <w:marLeft w:val="0"/>
          <w:marRight w:val="0"/>
          <w:marTop w:val="0"/>
          <w:marBottom w:val="0"/>
          <w:divBdr>
            <w:top w:val="none" w:sz="0" w:space="0" w:color="auto"/>
            <w:left w:val="none" w:sz="0" w:space="0" w:color="auto"/>
            <w:bottom w:val="none" w:sz="0" w:space="0" w:color="auto"/>
            <w:right w:val="none" w:sz="0" w:space="0" w:color="auto"/>
          </w:divBdr>
        </w:div>
        <w:div w:id="450907219">
          <w:marLeft w:val="0"/>
          <w:marRight w:val="0"/>
          <w:marTop w:val="0"/>
          <w:marBottom w:val="0"/>
          <w:divBdr>
            <w:top w:val="none" w:sz="0" w:space="0" w:color="auto"/>
            <w:left w:val="none" w:sz="0" w:space="0" w:color="auto"/>
            <w:bottom w:val="none" w:sz="0" w:space="0" w:color="auto"/>
            <w:right w:val="none" w:sz="0" w:space="0" w:color="auto"/>
          </w:divBdr>
        </w:div>
        <w:div w:id="713192904">
          <w:marLeft w:val="0"/>
          <w:marRight w:val="0"/>
          <w:marTop w:val="0"/>
          <w:marBottom w:val="0"/>
          <w:divBdr>
            <w:top w:val="none" w:sz="0" w:space="0" w:color="auto"/>
            <w:left w:val="none" w:sz="0" w:space="0" w:color="auto"/>
            <w:bottom w:val="none" w:sz="0" w:space="0" w:color="auto"/>
            <w:right w:val="none" w:sz="0" w:space="0" w:color="auto"/>
          </w:divBdr>
        </w:div>
        <w:div w:id="648827033">
          <w:marLeft w:val="0"/>
          <w:marRight w:val="0"/>
          <w:marTop w:val="0"/>
          <w:marBottom w:val="0"/>
          <w:divBdr>
            <w:top w:val="none" w:sz="0" w:space="0" w:color="auto"/>
            <w:left w:val="none" w:sz="0" w:space="0" w:color="auto"/>
            <w:bottom w:val="none" w:sz="0" w:space="0" w:color="auto"/>
            <w:right w:val="none" w:sz="0" w:space="0" w:color="auto"/>
          </w:divBdr>
        </w:div>
        <w:div w:id="669647179">
          <w:marLeft w:val="0"/>
          <w:marRight w:val="0"/>
          <w:marTop w:val="0"/>
          <w:marBottom w:val="0"/>
          <w:divBdr>
            <w:top w:val="none" w:sz="0" w:space="0" w:color="auto"/>
            <w:left w:val="none" w:sz="0" w:space="0" w:color="auto"/>
            <w:bottom w:val="none" w:sz="0" w:space="0" w:color="auto"/>
            <w:right w:val="none" w:sz="0" w:space="0" w:color="auto"/>
          </w:divBdr>
        </w:div>
        <w:div w:id="407725293">
          <w:marLeft w:val="0"/>
          <w:marRight w:val="0"/>
          <w:marTop w:val="0"/>
          <w:marBottom w:val="0"/>
          <w:divBdr>
            <w:top w:val="none" w:sz="0" w:space="0" w:color="auto"/>
            <w:left w:val="none" w:sz="0" w:space="0" w:color="auto"/>
            <w:bottom w:val="none" w:sz="0" w:space="0" w:color="auto"/>
            <w:right w:val="none" w:sz="0" w:space="0" w:color="auto"/>
          </w:divBdr>
        </w:div>
      </w:divsChild>
    </w:div>
    <w:div w:id="258489831">
      <w:bodyDiv w:val="1"/>
      <w:marLeft w:val="0"/>
      <w:marRight w:val="0"/>
      <w:marTop w:val="0"/>
      <w:marBottom w:val="0"/>
      <w:divBdr>
        <w:top w:val="none" w:sz="0" w:space="0" w:color="auto"/>
        <w:left w:val="none" w:sz="0" w:space="0" w:color="auto"/>
        <w:bottom w:val="none" w:sz="0" w:space="0" w:color="auto"/>
        <w:right w:val="none" w:sz="0" w:space="0" w:color="auto"/>
      </w:divBdr>
      <w:divsChild>
        <w:div w:id="732503304">
          <w:marLeft w:val="0"/>
          <w:marRight w:val="0"/>
          <w:marTop w:val="0"/>
          <w:marBottom w:val="0"/>
          <w:divBdr>
            <w:top w:val="none" w:sz="0" w:space="0" w:color="auto"/>
            <w:left w:val="none" w:sz="0" w:space="0" w:color="auto"/>
            <w:bottom w:val="none" w:sz="0" w:space="0" w:color="auto"/>
            <w:right w:val="none" w:sz="0" w:space="0" w:color="auto"/>
          </w:divBdr>
        </w:div>
        <w:div w:id="1356997288">
          <w:marLeft w:val="0"/>
          <w:marRight w:val="0"/>
          <w:marTop w:val="0"/>
          <w:marBottom w:val="0"/>
          <w:divBdr>
            <w:top w:val="none" w:sz="0" w:space="0" w:color="auto"/>
            <w:left w:val="none" w:sz="0" w:space="0" w:color="auto"/>
            <w:bottom w:val="none" w:sz="0" w:space="0" w:color="auto"/>
            <w:right w:val="none" w:sz="0" w:space="0" w:color="auto"/>
          </w:divBdr>
        </w:div>
      </w:divsChild>
    </w:div>
    <w:div w:id="319504393">
      <w:bodyDiv w:val="1"/>
      <w:marLeft w:val="0"/>
      <w:marRight w:val="0"/>
      <w:marTop w:val="0"/>
      <w:marBottom w:val="0"/>
      <w:divBdr>
        <w:top w:val="none" w:sz="0" w:space="0" w:color="auto"/>
        <w:left w:val="none" w:sz="0" w:space="0" w:color="auto"/>
        <w:bottom w:val="none" w:sz="0" w:space="0" w:color="auto"/>
        <w:right w:val="none" w:sz="0" w:space="0" w:color="auto"/>
      </w:divBdr>
      <w:divsChild>
        <w:div w:id="159858506">
          <w:marLeft w:val="0"/>
          <w:marRight w:val="0"/>
          <w:marTop w:val="0"/>
          <w:marBottom w:val="0"/>
          <w:divBdr>
            <w:top w:val="none" w:sz="0" w:space="0" w:color="auto"/>
            <w:left w:val="none" w:sz="0" w:space="0" w:color="auto"/>
            <w:bottom w:val="none" w:sz="0" w:space="0" w:color="auto"/>
            <w:right w:val="none" w:sz="0" w:space="0" w:color="auto"/>
          </w:divBdr>
          <w:divsChild>
            <w:div w:id="679771100">
              <w:marLeft w:val="0"/>
              <w:marRight w:val="0"/>
              <w:marTop w:val="0"/>
              <w:marBottom w:val="0"/>
              <w:divBdr>
                <w:top w:val="none" w:sz="0" w:space="0" w:color="auto"/>
                <w:left w:val="none" w:sz="0" w:space="0" w:color="auto"/>
                <w:bottom w:val="none" w:sz="0" w:space="0" w:color="auto"/>
                <w:right w:val="none" w:sz="0" w:space="0" w:color="auto"/>
              </w:divBdr>
            </w:div>
            <w:div w:id="117291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948936">
      <w:bodyDiv w:val="1"/>
      <w:marLeft w:val="0"/>
      <w:marRight w:val="0"/>
      <w:marTop w:val="0"/>
      <w:marBottom w:val="0"/>
      <w:divBdr>
        <w:top w:val="none" w:sz="0" w:space="0" w:color="auto"/>
        <w:left w:val="none" w:sz="0" w:space="0" w:color="auto"/>
        <w:bottom w:val="none" w:sz="0" w:space="0" w:color="auto"/>
        <w:right w:val="none" w:sz="0" w:space="0" w:color="auto"/>
      </w:divBdr>
      <w:divsChild>
        <w:div w:id="710812971">
          <w:marLeft w:val="0"/>
          <w:marRight w:val="0"/>
          <w:marTop w:val="0"/>
          <w:marBottom w:val="0"/>
          <w:divBdr>
            <w:top w:val="none" w:sz="0" w:space="0" w:color="auto"/>
            <w:left w:val="none" w:sz="0" w:space="0" w:color="auto"/>
            <w:bottom w:val="none" w:sz="0" w:space="0" w:color="auto"/>
            <w:right w:val="none" w:sz="0" w:space="0" w:color="auto"/>
          </w:divBdr>
          <w:divsChild>
            <w:div w:id="927739084">
              <w:marLeft w:val="0"/>
              <w:marRight w:val="0"/>
              <w:marTop w:val="0"/>
              <w:marBottom w:val="0"/>
              <w:divBdr>
                <w:top w:val="none" w:sz="0" w:space="0" w:color="auto"/>
                <w:left w:val="none" w:sz="0" w:space="0" w:color="auto"/>
                <w:bottom w:val="none" w:sz="0" w:space="0" w:color="auto"/>
                <w:right w:val="none" w:sz="0" w:space="0" w:color="auto"/>
              </w:divBdr>
            </w:div>
            <w:div w:id="680593731">
              <w:marLeft w:val="0"/>
              <w:marRight w:val="0"/>
              <w:marTop w:val="0"/>
              <w:marBottom w:val="0"/>
              <w:divBdr>
                <w:top w:val="none" w:sz="0" w:space="0" w:color="auto"/>
                <w:left w:val="none" w:sz="0" w:space="0" w:color="auto"/>
                <w:bottom w:val="none" w:sz="0" w:space="0" w:color="auto"/>
                <w:right w:val="none" w:sz="0" w:space="0" w:color="auto"/>
              </w:divBdr>
            </w:div>
            <w:div w:id="876352055">
              <w:marLeft w:val="0"/>
              <w:marRight w:val="0"/>
              <w:marTop w:val="0"/>
              <w:marBottom w:val="0"/>
              <w:divBdr>
                <w:top w:val="none" w:sz="0" w:space="0" w:color="auto"/>
                <w:left w:val="none" w:sz="0" w:space="0" w:color="auto"/>
                <w:bottom w:val="none" w:sz="0" w:space="0" w:color="auto"/>
                <w:right w:val="none" w:sz="0" w:space="0" w:color="auto"/>
              </w:divBdr>
              <w:divsChild>
                <w:div w:id="1225336133">
                  <w:marLeft w:val="0"/>
                  <w:marRight w:val="0"/>
                  <w:marTop w:val="0"/>
                  <w:marBottom w:val="0"/>
                  <w:divBdr>
                    <w:top w:val="none" w:sz="0" w:space="0" w:color="auto"/>
                    <w:left w:val="none" w:sz="0" w:space="0" w:color="auto"/>
                    <w:bottom w:val="none" w:sz="0" w:space="0" w:color="auto"/>
                    <w:right w:val="none" w:sz="0" w:space="0" w:color="auto"/>
                  </w:divBdr>
                </w:div>
                <w:div w:id="1524242271">
                  <w:marLeft w:val="0"/>
                  <w:marRight w:val="0"/>
                  <w:marTop w:val="0"/>
                  <w:marBottom w:val="0"/>
                  <w:divBdr>
                    <w:top w:val="none" w:sz="0" w:space="0" w:color="auto"/>
                    <w:left w:val="none" w:sz="0" w:space="0" w:color="auto"/>
                    <w:bottom w:val="none" w:sz="0" w:space="0" w:color="auto"/>
                    <w:right w:val="none" w:sz="0" w:space="0" w:color="auto"/>
                  </w:divBdr>
                </w:div>
              </w:divsChild>
            </w:div>
            <w:div w:id="1211306690">
              <w:marLeft w:val="0"/>
              <w:marRight w:val="0"/>
              <w:marTop w:val="0"/>
              <w:marBottom w:val="0"/>
              <w:divBdr>
                <w:top w:val="none" w:sz="0" w:space="0" w:color="auto"/>
                <w:left w:val="none" w:sz="0" w:space="0" w:color="auto"/>
                <w:bottom w:val="none" w:sz="0" w:space="0" w:color="auto"/>
                <w:right w:val="none" w:sz="0" w:space="0" w:color="auto"/>
              </w:divBdr>
            </w:div>
          </w:divsChild>
        </w:div>
        <w:div w:id="951016661">
          <w:marLeft w:val="0"/>
          <w:marRight w:val="0"/>
          <w:marTop w:val="0"/>
          <w:marBottom w:val="0"/>
          <w:divBdr>
            <w:top w:val="none" w:sz="0" w:space="0" w:color="auto"/>
            <w:left w:val="none" w:sz="0" w:space="0" w:color="auto"/>
            <w:bottom w:val="none" w:sz="0" w:space="0" w:color="auto"/>
            <w:right w:val="none" w:sz="0" w:space="0" w:color="auto"/>
          </w:divBdr>
          <w:divsChild>
            <w:div w:id="36857221">
              <w:marLeft w:val="0"/>
              <w:marRight w:val="0"/>
              <w:marTop w:val="0"/>
              <w:marBottom w:val="0"/>
              <w:divBdr>
                <w:top w:val="none" w:sz="0" w:space="0" w:color="auto"/>
                <w:left w:val="none" w:sz="0" w:space="0" w:color="auto"/>
                <w:bottom w:val="none" w:sz="0" w:space="0" w:color="auto"/>
                <w:right w:val="none" w:sz="0" w:space="0" w:color="auto"/>
              </w:divBdr>
            </w:div>
            <w:div w:id="1437212876">
              <w:marLeft w:val="0"/>
              <w:marRight w:val="0"/>
              <w:marTop w:val="0"/>
              <w:marBottom w:val="0"/>
              <w:divBdr>
                <w:top w:val="none" w:sz="0" w:space="0" w:color="auto"/>
                <w:left w:val="none" w:sz="0" w:space="0" w:color="auto"/>
                <w:bottom w:val="none" w:sz="0" w:space="0" w:color="auto"/>
                <w:right w:val="none" w:sz="0" w:space="0" w:color="auto"/>
              </w:divBdr>
            </w:div>
            <w:div w:id="1222641739">
              <w:marLeft w:val="0"/>
              <w:marRight w:val="0"/>
              <w:marTop w:val="0"/>
              <w:marBottom w:val="0"/>
              <w:divBdr>
                <w:top w:val="none" w:sz="0" w:space="0" w:color="auto"/>
                <w:left w:val="none" w:sz="0" w:space="0" w:color="auto"/>
                <w:bottom w:val="none" w:sz="0" w:space="0" w:color="auto"/>
                <w:right w:val="none" w:sz="0" w:space="0" w:color="auto"/>
              </w:divBdr>
            </w:div>
            <w:div w:id="1044060096">
              <w:marLeft w:val="0"/>
              <w:marRight w:val="0"/>
              <w:marTop w:val="0"/>
              <w:marBottom w:val="0"/>
              <w:divBdr>
                <w:top w:val="none" w:sz="0" w:space="0" w:color="auto"/>
                <w:left w:val="none" w:sz="0" w:space="0" w:color="auto"/>
                <w:bottom w:val="none" w:sz="0" w:space="0" w:color="auto"/>
                <w:right w:val="none" w:sz="0" w:space="0" w:color="auto"/>
              </w:divBdr>
            </w:div>
            <w:div w:id="525602199">
              <w:marLeft w:val="0"/>
              <w:marRight w:val="0"/>
              <w:marTop w:val="0"/>
              <w:marBottom w:val="0"/>
              <w:divBdr>
                <w:top w:val="none" w:sz="0" w:space="0" w:color="auto"/>
                <w:left w:val="none" w:sz="0" w:space="0" w:color="auto"/>
                <w:bottom w:val="none" w:sz="0" w:space="0" w:color="auto"/>
                <w:right w:val="none" w:sz="0" w:space="0" w:color="auto"/>
              </w:divBdr>
            </w:div>
            <w:div w:id="1972202640">
              <w:marLeft w:val="0"/>
              <w:marRight w:val="0"/>
              <w:marTop w:val="0"/>
              <w:marBottom w:val="0"/>
              <w:divBdr>
                <w:top w:val="none" w:sz="0" w:space="0" w:color="auto"/>
                <w:left w:val="none" w:sz="0" w:space="0" w:color="auto"/>
                <w:bottom w:val="none" w:sz="0" w:space="0" w:color="auto"/>
                <w:right w:val="none" w:sz="0" w:space="0" w:color="auto"/>
              </w:divBdr>
            </w:div>
            <w:div w:id="1927378525">
              <w:marLeft w:val="0"/>
              <w:marRight w:val="0"/>
              <w:marTop w:val="0"/>
              <w:marBottom w:val="0"/>
              <w:divBdr>
                <w:top w:val="none" w:sz="0" w:space="0" w:color="auto"/>
                <w:left w:val="none" w:sz="0" w:space="0" w:color="auto"/>
                <w:bottom w:val="none" w:sz="0" w:space="0" w:color="auto"/>
                <w:right w:val="none" w:sz="0" w:space="0" w:color="auto"/>
              </w:divBdr>
            </w:div>
            <w:div w:id="1892572191">
              <w:marLeft w:val="0"/>
              <w:marRight w:val="0"/>
              <w:marTop w:val="0"/>
              <w:marBottom w:val="0"/>
              <w:divBdr>
                <w:top w:val="none" w:sz="0" w:space="0" w:color="auto"/>
                <w:left w:val="none" w:sz="0" w:space="0" w:color="auto"/>
                <w:bottom w:val="none" w:sz="0" w:space="0" w:color="auto"/>
                <w:right w:val="none" w:sz="0" w:space="0" w:color="auto"/>
              </w:divBdr>
            </w:div>
          </w:divsChild>
        </w:div>
        <w:div w:id="923298265">
          <w:marLeft w:val="0"/>
          <w:marRight w:val="0"/>
          <w:marTop w:val="0"/>
          <w:marBottom w:val="0"/>
          <w:divBdr>
            <w:top w:val="none" w:sz="0" w:space="0" w:color="auto"/>
            <w:left w:val="none" w:sz="0" w:space="0" w:color="auto"/>
            <w:bottom w:val="none" w:sz="0" w:space="0" w:color="auto"/>
            <w:right w:val="none" w:sz="0" w:space="0" w:color="auto"/>
          </w:divBdr>
          <w:divsChild>
            <w:div w:id="2059278867">
              <w:marLeft w:val="0"/>
              <w:marRight w:val="0"/>
              <w:marTop w:val="0"/>
              <w:marBottom w:val="0"/>
              <w:divBdr>
                <w:top w:val="none" w:sz="0" w:space="0" w:color="auto"/>
                <w:left w:val="none" w:sz="0" w:space="0" w:color="auto"/>
                <w:bottom w:val="none" w:sz="0" w:space="0" w:color="auto"/>
                <w:right w:val="none" w:sz="0" w:space="0" w:color="auto"/>
              </w:divBdr>
            </w:div>
            <w:div w:id="1778212352">
              <w:marLeft w:val="0"/>
              <w:marRight w:val="0"/>
              <w:marTop w:val="0"/>
              <w:marBottom w:val="0"/>
              <w:divBdr>
                <w:top w:val="none" w:sz="0" w:space="0" w:color="auto"/>
                <w:left w:val="none" w:sz="0" w:space="0" w:color="auto"/>
                <w:bottom w:val="none" w:sz="0" w:space="0" w:color="auto"/>
                <w:right w:val="none" w:sz="0" w:space="0" w:color="auto"/>
              </w:divBdr>
            </w:div>
            <w:div w:id="974456358">
              <w:marLeft w:val="0"/>
              <w:marRight w:val="0"/>
              <w:marTop w:val="0"/>
              <w:marBottom w:val="0"/>
              <w:divBdr>
                <w:top w:val="none" w:sz="0" w:space="0" w:color="auto"/>
                <w:left w:val="none" w:sz="0" w:space="0" w:color="auto"/>
                <w:bottom w:val="none" w:sz="0" w:space="0" w:color="auto"/>
                <w:right w:val="none" w:sz="0" w:space="0" w:color="auto"/>
              </w:divBdr>
            </w:div>
            <w:div w:id="1882785224">
              <w:marLeft w:val="0"/>
              <w:marRight w:val="0"/>
              <w:marTop w:val="0"/>
              <w:marBottom w:val="0"/>
              <w:divBdr>
                <w:top w:val="none" w:sz="0" w:space="0" w:color="auto"/>
                <w:left w:val="none" w:sz="0" w:space="0" w:color="auto"/>
                <w:bottom w:val="none" w:sz="0" w:space="0" w:color="auto"/>
                <w:right w:val="none" w:sz="0" w:space="0" w:color="auto"/>
              </w:divBdr>
            </w:div>
            <w:div w:id="1439526638">
              <w:marLeft w:val="0"/>
              <w:marRight w:val="0"/>
              <w:marTop w:val="0"/>
              <w:marBottom w:val="0"/>
              <w:divBdr>
                <w:top w:val="none" w:sz="0" w:space="0" w:color="auto"/>
                <w:left w:val="none" w:sz="0" w:space="0" w:color="auto"/>
                <w:bottom w:val="none" w:sz="0" w:space="0" w:color="auto"/>
                <w:right w:val="none" w:sz="0" w:space="0" w:color="auto"/>
              </w:divBdr>
            </w:div>
          </w:divsChild>
        </w:div>
        <w:div w:id="214466360">
          <w:marLeft w:val="0"/>
          <w:marRight w:val="0"/>
          <w:marTop w:val="0"/>
          <w:marBottom w:val="0"/>
          <w:divBdr>
            <w:top w:val="none" w:sz="0" w:space="0" w:color="auto"/>
            <w:left w:val="none" w:sz="0" w:space="0" w:color="auto"/>
            <w:bottom w:val="none" w:sz="0" w:space="0" w:color="auto"/>
            <w:right w:val="none" w:sz="0" w:space="0" w:color="auto"/>
          </w:divBdr>
          <w:divsChild>
            <w:div w:id="1219977670">
              <w:marLeft w:val="0"/>
              <w:marRight w:val="0"/>
              <w:marTop w:val="0"/>
              <w:marBottom w:val="0"/>
              <w:divBdr>
                <w:top w:val="none" w:sz="0" w:space="0" w:color="auto"/>
                <w:left w:val="none" w:sz="0" w:space="0" w:color="auto"/>
                <w:bottom w:val="none" w:sz="0" w:space="0" w:color="auto"/>
                <w:right w:val="none" w:sz="0" w:space="0" w:color="auto"/>
              </w:divBdr>
            </w:div>
            <w:div w:id="405299961">
              <w:marLeft w:val="0"/>
              <w:marRight w:val="0"/>
              <w:marTop w:val="0"/>
              <w:marBottom w:val="0"/>
              <w:divBdr>
                <w:top w:val="none" w:sz="0" w:space="0" w:color="auto"/>
                <w:left w:val="none" w:sz="0" w:space="0" w:color="auto"/>
                <w:bottom w:val="none" w:sz="0" w:space="0" w:color="auto"/>
                <w:right w:val="none" w:sz="0" w:space="0" w:color="auto"/>
              </w:divBdr>
            </w:div>
          </w:divsChild>
        </w:div>
        <w:div w:id="1211960553">
          <w:marLeft w:val="0"/>
          <w:marRight w:val="0"/>
          <w:marTop w:val="0"/>
          <w:marBottom w:val="0"/>
          <w:divBdr>
            <w:top w:val="none" w:sz="0" w:space="0" w:color="auto"/>
            <w:left w:val="none" w:sz="0" w:space="0" w:color="auto"/>
            <w:bottom w:val="none" w:sz="0" w:space="0" w:color="auto"/>
            <w:right w:val="none" w:sz="0" w:space="0" w:color="auto"/>
          </w:divBdr>
        </w:div>
        <w:div w:id="2134901357">
          <w:marLeft w:val="0"/>
          <w:marRight w:val="0"/>
          <w:marTop w:val="0"/>
          <w:marBottom w:val="0"/>
          <w:divBdr>
            <w:top w:val="none" w:sz="0" w:space="0" w:color="auto"/>
            <w:left w:val="none" w:sz="0" w:space="0" w:color="auto"/>
            <w:bottom w:val="none" w:sz="0" w:space="0" w:color="auto"/>
            <w:right w:val="none" w:sz="0" w:space="0" w:color="auto"/>
          </w:divBdr>
          <w:divsChild>
            <w:div w:id="1703168045">
              <w:marLeft w:val="0"/>
              <w:marRight w:val="0"/>
              <w:marTop w:val="0"/>
              <w:marBottom w:val="0"/>
              <w:divBdr>
                <w:top w:val="none" w:sz="0" w:space="0" w:color="auto"/>
                <w:left w:val="none" w:sz="0" w:space="0" w:color="auto"/>
                <w:bottom w:val="none" w:sz="0" w:space="0" w:color="auto"/>
                <w:right w:val="none" w:sz="0" w:space="0" w:color="auto"/>
              </w:divBdr>
            </w:div>
            <w:div w:id="259726540">
              <w:marLeft w:val="0"/>
              <w:marRight w:val="0"/>
              <w:marTop w:val="0"/>
              <w:marBottom w:val="0"/>
              <w:divBdr>
                <w:top w:val="none" w:sz="0" w:space="0" w:color="auto"/>
                <w:left w:val="none" w:sz="0" w:space="0" w:color="auto"/>
                <w:bottom w:val="none" w:sz="0" w:space="0" w:color="auto"/>
                <w:right w:val="none" w:sz="0" w:space="0" w:color="auto"/>
              </w:divBdr>
            </w:div>
            <w:div w:id="1387872779">
              <w:marLeft w:val="0"/>
              <w:marRight w:val="0"/>
              <w:marTop w:val="0"/>
              <w:marBottom w:val="0"/>
              <w:divBdr>
                <w:top w:val="none" w:sz="0" w:space="0" w:color="auto"/>
                <w:left w:val="none" w:sz="0" w:space="0" w:color="auto"/>
                <w:bottom w:val="none" w:sz="0" w:space="0" w:color="auto"/>
                <w:right w:val="none" w:sz="0" w:space="0" w:color="auto"/>
              </w:divBdr>
            </w:div>
            <w:div w:id="1034430176">
              <w:marLeft w:val="0"/>
              <w:marRight w:val="0"/>
              <w:marTop w:val="0"/>
              <w:marBottom w:val="0"/>
              <w:divBdr>
                <w:top w:val="none" w:sz="0" w:space="0" w:color="auto"/>
                <w:left w:val="none" w:sz="0" w:space="0" w:color="auto"/>
                <w:bottom w:val="none" w:sz="0" w:space="0" w:color="auto"/>
                <w:right w:val="none" w:sz="0" w:space="0" w:color="auto"/>
              </w:divBdr>
            </w:div>
            <w:div w:id="1798329941">
              <w:marLeft w:val="0"/>
              <w:marRight w:val="0"/>
              <w:marTop w:val="0"/>
              <w:marBottom w:val="0"/>
              <w:divBdr>
                <w:top w:val="none" w:sz="0" w:space="0" w:color="auto"/>
                <w:left w:val="none" w:sz="0" w:space="0" w:color="auto"/>
                <w:bottom w:val="none" w:sz="0" w:space="0" w:color="auto"/>
                <w:right w:val="none" w:sz="0" w:space="0" w:color="auto"/>
              </w:divBdr>
            </w:div>
            <w:div w:id="315182878">
              <w:marLeft w:val="0"/>
              <w:marRight w:val="0"/>
              <w:marTop w:val="0"/>
              <w:marBottom w:val="0"/>
              <w:divBdr>
                <w:top w:val="none" w:sz="0" w:space="0" w:color="auto"/>
                <w:left w:val="none" w:sz="0" w:space="0" w:color="auto"/>
                <w:bottom w:val="none" w:sz="0" w:space="0" w:color="auto"/>
                <w:right w:val="none" w:sz="0" w:space="0" w:color="auto"/>
              </w:divBdr>
            </w:div>
            <w:div w:id="1478916448">
              <w:marLeft w:val="0"/>
              <w:marRight w:val="0"/>
              <w:marTop w:val="0"/>
              <w:marBottom w:val="0"/>
              <w:divBdr>
                <w:top w:val="none" w:sz="0" w:space="0" w:color="auto"/>
                <w:left w:val="none" w:sz="0" w:space="0" w:color="auto"/>
                <w:bottom w:val="none" w:sz="0" w:space="0" w:color="auto"/>
                <w:right w:val="none" w:sz="0" w:space="0" w:color="auto"/>
              </w:divBdr>
            </w:div>
          </w:divsChild>
        </w:div>
        <w:div w:id="1297489592">
          <w:marLeft w:val="0"/>
          <w:marRight w:val="0"/>
          <w:marTop w:val="0"/>
          <w:marBottom w:val="0"/>
          <w:divBdr>
            <w:top w:val="none" w:sz="0" w:space="0" w:color="auto"/>
            <w:left w:val="none" w:sz="0" w:space="0" w:color="auto"/>
            <w:bottom w:val="none" w:sz="0" w:space="0" w:color="auto"/>
            <w:right w:val="none" w:sz="0" w:space="0" w:color="auto"/>
          </w:divBdr>
          <w:divsChild>
            <w:div w:id="276452274">
              <w:marLeft w:val="0"/>
              <w:marRight w:val="0"/>
              <w:marTop w:val="0"/>
              <w:marBottom w:val="0"/>
              <w:divBdr>
                <w:top w:val="none" w:sz="0" w:space="0" w:color="auto"/>
                <w:left w:val="none" w:sz="0" w:space="0" w:color="auto"/>
                <w:bottom w:val="none" w:sz="0" w:space="0" w:color="auto"/>
                <w:right w:val="none" w:sz="0" w:space="0" w:color="auto"/>
              </w:divBdr>
            </w:div>
            <w:div w:id="81420153">
              <w:marLeft w:val="0"/>
              <w:marRight w:val="0"/>
              <w:marTop w:val="0"/>
              <w:marBottom w:val="0"/>
              <w:divBdr>
                <w:top w:val="none" w:sz="0" w:space="0" w:color="auto"/>
                <w:left w:val="none" w:sz="0" w:space="0" w:color="auto"/>
                <w:bottom w:val="none" w:sz="0" w:space="0" w:color="auto"/>
                <w:right w:val="none" w:sz="0" w:space="0" w:color="auto"/>
              </w:divBdr>
            </w:div>
          </w:divsChild>
        </w:div>
        <w:div w:id="1677417534">
          <w:marLeft w:val="0"/>
          <w:marRight w:val="0"/>
          <w:marTop w:val="0"/>
          <w:marBottom w:val="0"/>
          <w:divBdr>
            <w:top w:val="none" w:sz="0" w:space="0" w:color="auto"/>
            <w:left w:val="none" w:sz="0" w:space="0" w:color="auto"/>
            <w:bottom w:val="none" w:sz="0" w:space="0" w:color="auto"/>
            <w:right w:val="none" w:sz="0" w:space="0" w:color="auto"/>
          </w:divBdr>
          <w:divsChild>
            <w:div w:id="409735963">
              <w:marLeft w:val="0"/>
              <w:marRight w:val="0"/>
              <w:marTop w:val="0"/>
              <w:marBottom w:val="0"/>
              <w:divBdr>
                <w:top w:val="none" w:sz="0" w:space="0" w:color="auto"/>
                <w:left w:val="none" w:sz="0" w:space="0" w:color="auto"/>
                <w:bottom w:val="none" w:sz="0" w:space="0" w:color="auto"/>
                <w:right w:val="none" w:sz="0" w:space="0" w:color="auto"/>
              </w:divBdr>
            </w:div>
            <w:div w:id="2092000989">
              <w:marLeft w:val="0"/>
              <w:marRight w:val="0"/>
              <w:marTop w:val="0"/>
              <w:marBottom w:val="0"/>
              <w:divBdr>
                <w:top w:val="none" w:sz="0" w:space="0" w:color="auto"/>
                <w:left w:val="none" w:sz="0" w:space="0" w:color="auto"/>
                <w:bottom w:val="none" w:sz="0" w:space="0" w:color="auto"/>
                <w:right w:val="none" w:sz="0" w:space="0" w:color="auto"/>
              </w:divBdr>
            </w:div>
            <w:div w:id="1614903412">
              <w:marLeft w:val="0"/>
              <w:marRight w:val="0"/>
              <w:marTop w:val="0"/>
              <w:marBottom w:val="0"/>
              <w:divBdr>
                <w:top w:val="none" w:sz="0" w:space="0" w:color="auto"/>
                <w:left w:val="none" w:sz="0" w:space="0" w:color="auto"/>
                <w:bottom w:val="none" w:sz="0" w:space="0" w:color="auto"/>
                <w:right w:val="none" w:sz="0" w:space="0" w:color="auto"/>
              </w:divBdr>
            </w:div>
            <w:div w:id="431978220">
              <w:marLeft w:val="0"/>
              <w:marRight w:val="0"/>
              <w:marTop w:val="0"/>
              <w:marBottom w:val="0"/>
              <w:divBdr>
                <w:top w:val="none" w:sz="0" w:space="0" w:color="auto"/>
                <w:left w:val="none" w:sz="0" w:space="0" w:color="auto"/>
                <w:bottom w:val="none" w:sz="0" w:space="0" w:color="auto"/>
                <w:right w:val="none" w:sz="0" w:space="0" w:color="auto"/>
              </w:divBdr>
            </w:div>
            <w:div w:id="1826773969">
              <w:marLeft w:val="0"/>
              <w:marRight w:val="0"/>
              <w:marTop w:val="0"/>
              <w:marBottom w:val="0"/>
              <w:divBdr>
                <w:top w:val="none" w:sz="0" w:space="0" w:color="auto"/>
                <w:left w:val="none" w:sz="0" w:space="0" w:color="auto"/>
                <w:bottom w:val="none" w:sz="0" w:space="0" w:color="auto"/>
                <w:right w:val="none" w:sz="0" w:space="0" w:color="auto"/>
              </w:divBdr>
            </w:div>
            <w:div w:id="120926821">
              <w:marLeft w:val="0"/>
              <w:marRight w:val="0"/>
              <w:marTop w:val="0"/>
              <w:marBottom w:val="0"/>
              <w:divBdr>
                <w:top w:val="none" w:sz="0" w:space="0" w:color="auto"/>
                <w:left w:val="none" w:sz="0" w:space="0" w:color="auto"/>
                <w:bottom w:val="none" w:sz="0" w:space="0" w:color="auto"/>
                <w:right w:val="none" w:sz="0" w:space="0" w:color="auto"/>
              </w:divBdr>
            </w:div>
            <w:div w:id="1841846861">
              <w:marLeft w:val="0"/>
              <w:marRight w:val="0"/>
              <w:marTop w:val="0"/>
              <w:marBottom w:val="0"/>
              <w:divBdr>
                <w:top w:val="none" w:sz="0" w:space="0" w:color="auto"/>
                <w:left w:val="none" w:sz="0" w:space="0" w:color="auto"/>
                <w:bottom w:val="none" w:sz="0" w:space="0" w:color="auto"/>
                <w:right w:val="none" w:sz="0" w:space="0" w:color="auto"/>
              </w:divBdr>
            </w:div>
            <w:div w:id="1410273412">
              <w:marLeft w:val="0"/>
              <w:marRight w:val="0"/>
              <w:marTop w:val="0"/>
              <w:marBottom w:val="0"/>
              <w:divBdr>
                <w:top w:val="none" w:sz="0" w:space="0" w:color="auto"/>
                <w:left w:val="none" w:sz="0" w:space="0" w:color="auto"/>
                <w:bottom w:val="none" w:sz="0" w:space="0" w:color="auto"/>
                <w:right w:val="none" w:sz="0" w:space="0" w:color="auto"/>
              </w:divBdr>
            </w:div>
            <w:div w:id="786856357">
              <w:marLeft w:val="0"/>
              <w:marRight w:val="0"/>
              <w:marTop w:val="0"/>
              <w:marBottom w:val="0"/>
              <w:divBdr>
                <w:top w:val="none" w:sz="0" w:space="0" w:color="auto"/>
                <w:left w:val="none" w:sz="0" w:space="0" w:color="auto"/>
                <w:bottom w:val="none" w:sz="0" w:space="0" w:color="auto"/>
                <w:right w:val="none" w:sz="0" w:space="0" w:color="auto"/>
              </w:divBdr>
            </w:div>
          </w:divsChild>
        </w:div>
        <w:div w:id="1659455230">
          <w:marLeft w:val="0"/>
          <w:marRight w:val="0"/>
          <w:marTop w:val="0"/>
          <w:marBottom w:val="0"/>
          <w:divBdr>
            <w:top w:val="none" w:sz="0" w:space="0" w:color="auto"/>
            <w:left w:val="none" w:sz="0" w:space="0" w:color="auto"/>
            <w:bottom w:val="none" w:sz="0" w:space="0" w:color="auto"/>
            <w:right w:val="none" w:sz="0" w:space="0" w:color="auto"/>
          </w:divBdr>
          <w:divsChild>
            <w:div w:id="1716927655">
              <w:marLeft w:val="0"/>
              <w:marRight w:val="0"/>
              <w:marTop w:val="0"/>
              <w:marBottom w:val="0"/>
              <w:divBdr>
                <w:top w:val="none" w:sz="0" w:space="0" w:color="auto"/>
                <w:left w:val="none" w:sz="0" w:space="0" w:color="auto"/>
                <w:bottom w:val="none" w:sz="0" w:space="0" w:color="auto"/>
                <w:right w:val="none" w:sz="0" w:space="0" w:color="auto"/>
              </w:divBdr>
            </w:div>
            <w:div w:id="1774472704">
              <w:marLeft w:val="0"/>
              <w:marRight w:val="0"/>
              <w:marTop w:val="0"/>
              <w:marBottom w:val="0"/>
              <w:divBdr>
                <w:top w:val="none" w:sz="0" w:space="0" w:color="auto"/>
                <w:left w:val="none" w:sz="0" w:space="0" w:color="auto"/>
                <w:bottom w:val="none" w:sz="0" w:space="0" w:color="auto"/>
                <w:right w:val="none" w:sz="0" w:space="0" w:color="auto"/>
              </w:divBdr>
            </w:div>
            <w:div w:id="1955823302">
              <w:marLeft w:val="0"/>
              <w:marRight w:val="0"/>
              <w:marTop w:val="0"/>
              <w:marBottom w:val="0"/>
              <w:divBdr>
                <w:top w:val="none" w:sz="0" w:space="0" w:color="auto"/>
                <w:left w:val="none" w:sz="0" w:space="0" w:color="auto"/>
                <w:bottom w:val="none" w:sz="0" w:space="0" w:color="auto"/>
                <w:right w:val="none" w:sz="0" w:space="0" w:color="auto"/>
              </w:divBdr>
            </w:div>
            <w:div w:id="768769779">
              <w:marLeft w:val="0"/>
              <w:marRight w:val="0"/>
              <w:marTop w:val="0"/>
              <w:marBottom w:val="0"/>
              <w:divBdr>
                <w:top w:val="none" w:sz="0" w:space="0" w:color="auto"/>
                <w:left w:val="none" w:sz="0" w:space="0" w:color="auto"/>
                <w:bottom w:val="none" w:sz="0" w:space="0" w:color="auto"/>
                <w:right w:val="none" w:sz="0" w:space="0" w:color="auto"/>
              </w:divBdr>
            </w:div>
            <w:div w:id="1639073406">
              <w:marLeft w:val="0"/>
              <w:marRight w:val="0"/>
              <w:marTop w:val="0"/>
              <w:marBottom w:val="0"/>
              <w:divBdr>
                <w:top w:val="none" w:sz="0" w:space="0" w:color="auto"/>
                <w:left w:val="none" w:sz="0" w:space="0" w:color="auto"/>
                <w:bottom w:val="none" w:sz="0" w:space="0" w:color="auto"/>
                <w:right w:val="none" w:sz="0" w:space="0" w:color="auto"/>
              </w:divBdr>
            </w:div>
            <w:div w:id="1778865231">
              <w:marLeft w:val="0"/>
              <w:marRight w:val="0"/>
              <w:marTop w:val="0"/>
              <w:marBottom w:val="0"/>
              <w:divBdr>
                <w:top w:val="none" w:sz="0" w:space="0" w:color="auto"/>
                <w:left w:val="none" w:sz="0" w:space="0" w:color="auto"/>
                <w:bottom w:val="none" w:sz="0" w:space="0" w:color="auto"/>
                <w:right w:val="none" w:sz="0" w:space="0" w:color="auto"/>
              </w:divBdr>
            </w:div>
            <w:div w:id="1923444403">
              <w:marLeft w:val="0"/>
              <w:marRight w:val="0"/>
              <w:marTop w:val="0"/>
              <w:marBottom w:val="0"/>
              <w:divBdr>
                <w:top w:val="none" w:sz="0" w:space="0" w:color="auto"/>
                <w:left w:val="none" w:sz="0" w:space="0" w:color="auto"/>
                <w:bottom w:val="none" w:sz="0" w:space="0" w:color="auto"/>
                <w:right w:val="none" w:sz="0" w:space="0" w:color="auto"/>
              </w:divBdr>
            </w:div>
            <w:div w:id="2005738400">
              <w:marLeft w:val="0"/>
              <w:marRight w:val="0"/>
              <w:marTop w:val="0"/>
              <w:marBottom w:val="0"/>
              <w:divBdr>
                <w:top w:val="none" w:sz="0" w:space="0" w:color="auto"/>
                <w:left w:val="none" w:sz="0" w:space="0" w:color="auto"/>
                <w:bottom w:val="none" w:sz="0" w:space="0" w:color="auto"/>
                <w:right w:val="none" w:sz="0" w:space="0" w:color="auto"/>
              </w:divBdr>
            </w:div>
            <w:div w:id="1298022797">
              <w:marLeft w:val="0"/>
              <w:marRight w:val="0"/>
              <w:marTop w:val="0"/>
              <w:marBottom w:val="0"/>
              <w:divBdr>
                <w:top w:val="none" w:sz="0" w:space="0" w:color="auto"/>
                <w:left w:val="none" w:sz="0" w:space="0" w:color="auto"/>
                <w:bottom w:val="none" w:sz="0" w:space="0" w:color="auto"/>
                <w:right w:val="none" w:sz="0" w:space="0" w:color="auto"/>
              </w:divBdr>
            </w:div>
            <w:div w:id="1261990643">
              <w:marLeft w:val="0"/>
              <w:marRight w:val="0"/>
              <w:marTop w:val="0"/>
              <w:marBottom w:val="0"/>
              <w:divBdr>
                <w:top w:val="none" w:sz="0" w:space="0" w:color="auto"/>
                <w:left w:val="none" w:sz="0" w:space="0" w:color="auto"/>
                <w:bottom w:val="none" w:sz="0" w:space="0" w:color="auto"/>
                <w:right w:val="none" w:sz="0" w:space="0" w:color="auto"/>
              </w:divBdr>
            </w:div>
            <w:div w:id="125397252">
              <w:marLeft w:val="0"/>
              <w:marRight w:val="0"/>
              <w:marTop w:val="0"/>
              <w:marBottom w:val="0"/>
              <w:divBdr>
                <w:top w:val="none" w:sz="0" w:space="0" w:color="auto"/>
                <w:left w:val="none" w:sz="0" w:space="0" w:color="auto"/>
                <w:bottom w:val="none" w:sz="0" w:space="0" w:color="auto"/>
                <w:right w:val="none" w:sz="0" w:space="0" w:color="auto"/>
              </w:divBdr>
            </w:div>
            <w:div w:id="1984920604">
              <w:marLeft w:val="0"/>
              <w:marRight w:val="0"/>
              <w:marTop w:val="0"/>
              <w:marBottom w:val="0"/>
              <w:divBdr>
                <w:top w:val="none" w:sz="0" w:space="0" w:color="auto"/>
                <w:left w:val="none" w:sz="0" w:space="0" w:color="auto"/>
                <w:bottom w:val="none" w:sz="0" w:space="0" w:color="auto"/>
                <w:right w:val="none" w:sz="0" w:space="0" w:color="auto"/>
              </w:divBdr>
            </w:div>
          </w:divsChild>
        </w:div>
        <w:div w:id="506410885">
          <w:marLeft w:val="0"/>
          <w:marRight w:val="0"/>
          <w:marTop w:val="0"/>
          <w:marBottom w:val="0"/>
          <w:divBdr>
            <w:top w:val="none" w:sz="0" w:space="0" w:color="auto"/>
            <w:left w:val="none" w:sz="0" w:space="0" w:color="auto"/>
            <w:bottom w:val="none" w:sz="0" w:space="0" w:color="auto"/>
            <w:right w:val="none" w:sz="0" w:space="0" w:color="auto"/>
          </w:divBdr>
        </w:div>
      </w:divsChild>
    </w:div>
    <w:div w:id="342242337">
      <w:bodyDiv w:val="1"/>
      <w:marLeft w:val="0"/>
      <w:marRight w:val="0"/>
      <w:marTop w:val="0"/>
      <w:marBottom w:val="0"/>
      <w:divBdr>
        <w:top w:val="none" w:sz="0" w:space="0" w:color="auto"/>
        <w:left w:val="none" w:sz="0" w:space="0" w:color="auto"/>
        <w:bottom w:val="none" w:sz="0" w:space="0" w:color="auto"/>
        <w:right w:val="none" w:sz="0" w:space="0" w:color="auto"/>
      </w:divBdr>
      <w:divsChild>
        <w:div w:id="695929445">
          <w:marLeft w:val="0"/>
          <w:marRight w:val="0"/>
          <w:marTop w:val="0"/>
          <w:marBottom w:val="0"/>
          <w:divBdr>
            <w:top w:val="none" w:sz="0" w:space="0" w:color="auto"/>
            <w:left w:val="none" w:sz="0" w:space="0" w:color="auto"/>
            <w:bottom w:val="none" w:sz="0" w:space="0" w:color="auto"/>
            <w:right w:val="none" w:sz="0" w:space="0" w:color="auto"/>
          </w:divBdr>
          <w:divsChild>
            <w:div w:id="1114448075">
              <w:marLeft w:val="0"/>
              <w:marRight w:val="0"/>
              <w:marTop w:val="0"/>
              <w:marBottom w:val="0"/>
              <w:divBdr>
                <w:top w:val="none" w:sz="0" w:space="0" w:color="auto"/>
                <w:left w:val="none" w:sz="0" w:space="0" w:color="auto"/>
                <w:bottom w:val="none" w:sz="0" w:space="0" w:color="auto"/>
                <w:right w:val="none" w:sz="0" w:space="0" w:color="auto"/>
              </w:divBdr>
              <w:divsChild>
                <w:div w:id="170984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137085">
          <w:marLeft w:val="0"/>
          <w:marRight w:val="0"/>
          <w:marTop w:val="0"/>
          <w:marBottom w:val="0"/>
          <w:divBdr>
            <w:top w:val="none" w:sz="0" w:space="0" w:color="auto"/>
            <w:left w:val="none" w:sz="0" w:space="0" w:color="auto"/>
            <w:bottom w:val="none" w:sz="0" w:space="0" w:color="auto"/>
            <w:right w:val="none" w:sz="0" w:space="0" w:color="auto"/>
          </w:divBdr>
          <w:divsChild>
            <w:div w:id="1303845161">
              <w:marLeft w:val="0"/>
              <w:marRight w:val="0"/>
              <w:marTop w:val="0"/>
              <w:marBottom w:val="0"/>
              <w:divBdr>
                <w:top w:val="none" w:sz="0" w:space="0" w:color="auto"/>
                <w:left w:val="none" w:sz="0" w:space="0" w:color="auto"/>
                <w:bottom w:val="none" w:sz="0" w:space="0" w:color="auto"/>
                <w:right w:val="none" w:sz="0" w:space="0" w:color="auto"/>
              </w:divBdr>
              <w:divsChild>
                <w:div w:id="1274627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324312">
      <w:bodyDiv w:val="1"/>
      <w:marLeft w:val="0"/>
      <w:marRight w:val="0"/>
      <w:marTop w:val="0"/>
      <w:marBottom w:val="0"/>
      <w:divBdr>
        <w:top w:val="none" w:sz="0" w:space="0" w:color="auto"/>
        <w:left w:val="none" w:sz="0" w:space="0" w:color="auto"/>
        <w:bottom w:val="none" w:sz="0" w:space="0" w:color="auto"/>
        <w:right w:val="none" w:sz="0" w:space="0" w:color="auto"/>
      </w:divBdr>
      <w:divsChild>
        <w:div w:id="1861581493">
          <w:marLeft w:val="0"/>
          <w:marRight w:val="0"/>
          <w:marTop w:val="0"/>
          <w:marBottom w:val="0"/>
          <w:divBdr>
            <w:top w:val="none" w:sz="0" w:space="0" w:color="auto"/>
            <w:left w:val="none" w:sz="0" w:space="0" w:color="auto"/>
            <w:bottom w:val="none" w:sz="0" w:space="0" w:color="auto"/>
            <w:right w:val="none" w:sz="0" w:space="0" w:color="auto"/>
          </w:divBdr>
        </w:div>
      </w:divsChild>
    </w:div>
    <w:div w:id="365253903">
      <w:bodyDiv w:val="1"/>
      <w:marLeft w:val="0"/>
      <w:marRight w:val="0"/>
      <w:marTop w:val="0"/>
      <w:marBottom w:val="0"/>
      <w:divBdr>
        <w:top w:val="none" w:sz="0" w:space="0" w:color="auto"/>
        <w:left w:val="none" w:sz="0" w:space="0" w:color="auto"/>
        <w:bottom w:val="none" w:sz="0" w:space="0" w:color="auto"/>
        <w:right w:val="none" w:sz="0" w:space="0" w:color="auto"/>
      </w:divBdr>
      <w:divsChild>
        <w:div w:id="672224135">
          <w:marLeft w:val="0"/>
          <w:marRight w:val="0"/>
          <w:marTop w:val="0"/>
          <w:marBottom w:val="0"/>
          <w:divBdr>
            <w:top w:val="none" w:sz="0" w:space="0" w:color="auto"/>
            <w:left w:val="none" w:sz="0" w:space="0" w:color="auto"/>
            <w:bottom w:val="none" w:sz="0" w:space="0" w:color="auto"/>
            <w:right w:val="none" w:sz="0" w:space="0" w:color="auto"/>
          </w:divBdr>
        </w:div>
        <w:div w:id="125205043">
          <w:marLeft w:val="0"/>
          <w:marRight w:val="0"/>
          <w:marTop w:val="0"/>
          <w:marBottom w:val="0"/>
          <w:divBdr>
            <w:top w:val="none" w:sz="0" w:space="0" w:color="auto"/>
            <w:left w:val="none" w:sz="0" w:space="0" w:color="auto"/>
            <w:bottom w:val="none" w:sz="0" w:space="0" w:color="auto"/>
            <w:right w:val="none" w:sz="0" w:space="0" w:color="auto"/>
          </w:divBdr>
        </w:div>
        <w:div w:id="468012646">
          <w:marLeft w:val="0"/>
          <w:marRight w:val="0"/>
          <w:marTop w:val="0"/>
          <w:marBottom w:val="0"/>
          <w:divBdr>
            <w:top w:val="none" w:sz="0" w:space="0" w:color="auto"/>
            <w:left w:val="none" w:sz="0" w:space="0" w:color="auto"/>
            <w:bottom w:val="none" w:sz="0" w:space="0" w:color="auto"/>
            <w:right w:val="none" w:sz="0" w:space="0" w:color="auto"/>
          </w:divBdr>
        </w:div>
        <w:div w:id="1150095702">
          <w:marLeft w:val="0"/>
          <w:marRight w:val="0"/>
          <w:marTop w:val="0"/>
          <w:marBottom w:val="0"/>
          <w:divBdr>
            <w:top w:val="none" w:sz="0" w:space="0" w:color="auto"/>
            <w:left w:val="none" w:sz="0" w:space="0" w:color="auto"/>
            <w:bottom w:val="none" w:sz="0" w:space="0" w:color="auto"/>
            <w:right w:val="none" w:sz="0" w:space="0" w:color="auto"/>
          </w:divBdr>
        </w:div>
      </w:divsChild>
    </w:div>
    <w:div w:id="373120227">
      <w:bodyDiv w:val="1"/>
      <w:marLeft w:val="0"/>
      <w:marRight w:val="0"/>
      <w:marTop w:val="0"/>
      <w:marBottom w:val="0"/>
      <w:divBdr>
        <w:top w:val="none" w:sz="0" w:space="0" w:color="auto"/>
        <w:left w:val="none" w:sz="0" w:space="0" w:color="auto"/>
        <w:bottom w:val="none" w:sz="0" w:space="0" w:color="auto"/>
        <w:right w:val="none" w:sz="0" w:space="0" w:color="auto"/>
      </w:divBdr>
      <w:divsChild>
        <w:div w:id="451290149">
          <w:marLeft w:val="0"/>
          <w:marRight w:val="0"/>
          <w:marTop w:val="0"/>
          <w:marBottom w:val="0"/>
          <w:divBdr>
            <w:top w:val="none" w:sz="0" w:space="0" w:color="auto"/>
            <w:left w:val="none" w:sz="0" w:space="0" w:color="auto"/>
            <w:bottom w:val="none" w:sz="0" w:space="0" w:color="auto"/>
            <w:right w:val="none" w:sz="0" w:space="0" w:color="auto"/>
          </w:divBdr>
          <w:divsChild>
            <w:div w:id="627668864">
              <w:marLeft w:val="0"/>
              <w:marRight w:val="0"/>
              <w:marTop w:val="0"/>
              <w:marBottom w:val="0"/>
              <w:divBdr>
                <w:top w:val="none" w:sz="0" w:space="0" w:color="auto"/>
                <w:left w:val="none" w:sz="0" w:space="0" w:color="auto"/>
                <w:bottom w:val="none" w:sz="0" w:space="0" w:color="auto"/>
                <w:right w:val="none" w:sz="0" w:space="0" w:color="auto"/>
              </w:divBdr>
            </w:div>
            <w:div w:id="254440558">
              <w:marLeft w:val="0"/>
              <w:marRight w:val="0"/>
              <w:marTop w:val="0"/>
              <w:marBottom w:val="0"/>
              <w:divBdr>
                <w:top w:val="none" w:sz="0" w:space="0" w:color="auto"/>
                <w:left w:val="none" w:sz="0" w:space="0" w:color="auto"/>
                <w:bottom w:val="none" w:sz="0" w:space="0" w:color="auto"/>
                <w:right w:val="none" w:sz="0" w:space="0" w:color="auto"/>
              </w:divBdr>
            </w:div>
            <w:div w:id="1224028097">
              <w:marLeft w:val="0"/>
              <w:marRight w:val="0"/>
              <w:marTop w:val="0"/>
              <w:marBottom w:val="0"/>
              <w:divBdr>
                <w:top w:val="none" w:sz="0" w:space="0" w:color="auto"/>
                <w:left w:val="none" w:sz="0" w:space="0" w:color="auto"/>
                <w:bottom w:val="none" w:sz="0" w:space="0" w:color="auto"/>
                <w:right w:val="none" w:sz="0" w:space="0" w:color="auto"/>
              </w:divBdr>
            </w:div>
          </w:divsChild>
        </w:div>
        <w:div w:id="1460537113">
          <w:marLeft w:val="0"/>
          <w:marRight w:val="0"/>
          <w:marTop w:val="0"/>
          <w:marBottom w:val="0"/>
          <w:divBdr>
            <w:top w:val="none" w:sz="0" w:space="0" w:color="auto"/>
            <w:left w:val="none" w:sz="0" w:space="0" w:color="auto"/>
            <w:bottom w:val="none" w:sz="0" w:space="0" w:color="auto"/>
            <w:right w:val="none" w:sz="0" w:space="0" w:color="auto"/>
          </w:divBdr>
          <w:divsChild>
            <w:div w:id="1945309329">
              <w:marLeft w:val="0"/>
              <w:marRight w:val="0"/>
              <w:marTop w:val="0"/>
              <w:marBottom w:val="0"/>
              <w:divBdr>
                <w:top w:val="none" w:sz="0" w:space="0" w:color="auto"/>
                <w:left w:val="none" w:sz="0" w:space="0" w:color="auto"/>
                <w:bottom w:val="none" w:sz="0" w:space="0" w:color="auto"/>
                <w:right w:val="none" w:sz="0" w:space="0" w:color="auto"/>
              </w:divBdr>
              <w:divsChild>
                <w:div w:id="873074841">
                  <w:marLeft w:val="0"/>
                  <w:marRight w:val="0"/>
                  <w:marTop w:val="0"/>
                  <w:marBottom w:val="0"/>
                  <w:divBdr>
                    <w:top w:val="none" w:sz="0" w:space="0" w:color="auto"/>
                    <w:left w:val="none" w:sz="0" w:space="0" w:color="auto"/>
                    <w:bottom w:val="none" w:sz="0" w:space="0" w:color="auto"/>
                    <w:right w:val="none" w:sz="0" w:space="0" w:color="auto"/>
                  </w:divBdr>
                </w:div>
                <w:div w:id="1503814436">
                  <w:marLeft w:val="0"/>
                  <w:marRight w:val="0"/>
                  <w:marTop w:val="0"/>
                  <w:marBottom w:val="0"/>
                  <w:divBdr>
                    <w:top w:val="none" w:sz="0" w:space="0" w:color="auto"/>
                    <w:left w:val="none" w:sz="0" w:space="0" w:color="auto"/>
                    <w:bottom w:val="none" w:sz="0" w:space="0" w:color="auto"/>
                    <w:right w:val="none" w:sz="0" w:space="0" w:color="auto"/>
                  </w:divBdr>
                </w:div>
                <w:div w:id="103890710">
                  <w:marLeft w:val="0"/>
                  <w:marRight w:val="0"/>
                  <w:marTop w:val="0"/>
                  <w:marBottom w:val="0"/>
                  <w:divBdr>
                    <w:top w:val="none" w:sz="0" w:space="0" w:color="auto"/>
                    <w:left w:val="none" w:sz="0" w:space="0" w:color="auto"/>
                    <w:bottom w:val="none" w:sz="0" w:space="0" w:color="auto"/>
                    <w:right w:val="none" w:sz="0" w:space="0" w:color="auto"/>
                  </w:divBdr>
                </w:div>
                <w:div w:id="1364214220">
                  <w:marLeft w:val="0"/>
                  <w:marRight w:val="0"/>
                  <w:marTop w:val="0"/>
                  <w:marBottom w:val="0"/>
                  <w:divBdr>
                    <w:top w:val="none" w:sz="0" w:space="0" w:color="auto"/>
                    <w:left w:val="none" w:sz="0" w:space="0" w:color="auto"/>
                    <w:bottom w:val="none" w:sz="0" w:space="0" w:color="auto"/>
                    <w:right w:val="none" w:sz="0" w:space="0" w:color="auto"/>
                  </w:divBdr>
                </w:div>
                <w:div w:id="536771860">
                  <w:marLeft w:val="0"/>
                  <w:marRight w:val="0"/>
                  <w:marTop w:val="0"/>
                  <w:marBottom w:val="0"/>
                  <w:divBdr>
                    <w:top w:val="none" w:sz="0" w:space="0" w:color="auto"/>
                    <w:left w:val="none" w:sz="0" w:space="0" w:color="auto"/>
                    <w:bottom w:val="none" w:sz="0" w:space="0" w:color="auto"/>
                    <w:right w:val="none" w:sz="0" w:space="0" w:color="auto"/>
                  </w:divBdr>
                  <w:divsChild>
                    <w:div w:id="1199389244">
                      <w:marLeft w:val="0"/>
                      <w:marRight w:val="0"/>
                      <w:marTop w:val="0"/>
                      <w:marBottom w:val="0"/>
                      <w:divBdr>
                        <w:top w:val="none" w:sz="0" w:space="0" w:color="auto"/>
                        <w:left w:val="none" w:sz="0" w:space="0" w:color="auto"/>
                        <w:bottom w:val="none" w:sz="0" w:space="0" w:color="auto"/>
                        <w:right w:val="none" w:sz="0" w:space="0" w:color="auto"/>
                      </w:divBdr>
                    </w:div>
                    <w:div w:id="689331336">
                      <w:marLeft w:val="0"/>
                      <w:marRight w:val="0"/>
                      <w:marTop w:val="0"/>
                      <w:marBottom w:val="0"/>
                      <w:divBdr>
                        <w:top w:val="none" w:sz="0" w:space="0" w:color="auto"/>
                        <w:left w:val="none" w:sz="0" w:space="0" w:color="auto"/>
                        <w:bottom w:val="none" w:sz="0" w:space="0" w:color="auto"/>
                        <w:right w:val="none" w:sz="0" w:space="0" w:color="auto"/>
                      </w:divBdr>
                    </w:div>
                    <w:div w:id="1700930787">
                      <w:marLeft w:val="0"/>
                      <w:marRight w:val="0"/>
                      <w:marTop w:val="0"/>
                      <w:marBottom w:val="0"/>
                      <w:divBdr>
                        <w:top w:val="none" w:sz="0" w:space="0" w:color="auto"/>
                        <w:left w:val="none" w:sz="0" w:space="0" w:color="auto"/>
                        <w:bottom w:val="none" w:sz="0" w:space="0" w:color="auto"/>
                        <w:right w:val="none" w:sz="0" w:space="0" w:color="auto"/>
                      </w:divBdr>
                    </w:div>
                  </w:divsChild>
                </w:div>
                <w:div w:id="440880497">
                  <w:marLeft w:val="0"/>
                  <w:marRight w:val="0"/>
                  <w:marTop w:val="0"/>
                  <w:marBottom w:val="0"/>
                  <w:divBdr>
                    <w:top w:val="none" w:sz="0" w:space="0" w:color="auto"/>
                    <w:left w:val="none" w:sz="0" w:space="0" w:color="auto"/>
                    <w:bottom w:val="none" w:sz="0" w:space="0" w:color="auto"/>
                    <w:right w:val="none" w:sz="0" w:space="0" w:color="auto"/>
                  </w:divBdr>
                </w:div>
                <w:div w:id="2071230158">
                  <w:marLeft w:val="0"/>
                  <w:marRight w:val="0"/>
                  <w:marTop w:val="0"/>
                  <w:marBottom w:val="0"/>
                  <w:divBdr>
                    <w:top w:val="none" w:sz="0" w:space="0" w:color="auto"/>
                    <w:left w:val="none" w:sz="0" w:space="0" w:color="auto"/>
                    <w:bottom w:val="none" w:sz="0" w:space="0" w:color="auto"/>
                    <w:right w:val="none" w:sz="0" w:space="0" w:color="auto"/>
                  </w:divBdr>
                </w:div>
                <w:div w:id="1718820165">
                  <w:marLeft w:val="0"/>
                  <w:marRight w:val="0"/>
                  <w:marTop w:val="0"/>
                  <w:marBottom w:val="0"/>
                  <w:divBdr>
                    <w:top w:val="none" w:sz="0" w:space="0" w:color="auto"/>
                    <w:left w:val="none" w:sz="0" w:space="0" w:color="auto"/>
                    <w:bottom w:val="none" w:sz="0" w:space="0" w:color="auto"/>
                    <w:right w:val="none" w:sz="0" w:space="0" w:color="auto"/>
                  </w:divBdr>
                </w:div>
              </w:divsChild>
            </w:div>
            <w:div w:id="319771392">
              <w:marLeft w:val="0"/>
              <w:marRight w:val="0"/>
              <w:marTop w:val="0"/>
              <w:marBottom w:val="0"/>
              <w:divBdr>
                <w:top w:val="none" w:sz="0" w:space="0" w:color="auto"/>
                <w:left w:val="none" w:sz="0" w:space="0" w:color="auto"/>
                <w:bottom w:val="none" w:sz="0" w:space="0" w:color="auto"/>
                <w:right w:val="none" w:sz="0" w:space="0" w:color="auto"/>
              </w:divBdr>
              <w:divsChild>
                <w:div w:id="709645225">
                  <w:marLeft w:val="0"/>
                  <w:marRight w:val="0"/>
                  <w:marTop w:val="0"/>
                  <w:marBottom w:val="0"/>
                  <w:divBdr>
                    <w:top w:val="none" w:sz="0" w:space="0" w:color="auto"/>
                    <w:left w:val="none" w:sz="0" w:space="0" w:color="auto"/>
                    <w:bottom w:val="none" w:sz="0" w:space="0" w:color="auto"/>
                    <w:right w:val="none" w:sz="0" w:space="0" w:color="auto"/>
                  </w:divBdr>
                </w:div>
                <w:div w:id="580868174">
                  <w:marLeft w:val="0"/>
                  <w:marRight w:val="0"/>
                  <w:marTop w:val="0"/>
                  <w:marBottom w:val="0"/>
                  <w:divBdr>
                    <w:top w:val="none" w:sz="0" w:space="0" w:color="auto"/>
                    <w:left w:val="none" w:sz="0" w:space="0" w:color="auto"/>
                    <w:bottom w:val="none" w:sz="0" w:space="0" w:color="auto"/>
                    <w:right w:val="none" w:sz="0" w:space="0" w:color="auto"/>
                  </w:divBdr>
                </w:div>
                <w:div w:id="442313030">
                  <w:marLeft w:val="0"/>
                  <w:marRight w:val="0"/>
                  <w:marTop w:val="0"/>
                  <w:marBottom w:val="0"/>
                  <w:divBdr>
                    <w:top w:val="none" w:sz="0" w:space="0" w:color="auto"/>
                    <w:left w:val="none" w:sz="0" w:space="0" w:color="auto"/>
                    <w:bottom w:val="none" w:sz="0" w:space="0" w:color="auto"/>
                    <w:right w:val="none" w:sz="0" w:space="0" w:color="auto"/>
                  </w:divBdr>
                </w:div>
                <w:div w:id="374933584">
                  <w:marLeft w:val="0"/>
                  <w:marRight w:val="0"/>
                  <w:marTop w:val="0"/>
                  <w:marBottom w:val="0"/>
                  <w:divBdr>
                    <w:top w:val="none" w:sz="0" w:space="0" w:color="auto"/>
                    <w:left w:val="none" w:sz="0" w:space="0" w:color="auto"/>
                    <w:bottom w:val="none" w:sz="0" w:space="0" w:color="auto"/>
                    <w:right w:val="none" w:sz="0" w:space="0" w:color="auto"/>
                  </w:divBdr>
                </w:div>
                <w:div w:id="634027616">
                  <w:marLeft w:val="0"/>
                  <w:marRight w:val="0"/>
                  <w:marTop w:val="0"/>
                  <w:marBottom w:val="0"/>
                  <w:divBdr>
                    <w:top w:val="none" w:sz="0" w:space="0" w:color="auto"/>
                    <w:left w:val="none" w:sz="0" w:space="0" w:color="auto"/>
                    <w:bottom w:val="none" w:sz="0" w:space="0" w:color="auto"/>
                    <w:right w:val="none" w:sz="0" w:space="0" w:color="auto"/>
                  </w:divBdr>
                </w:div>
                <w:div w:id="1013608226">
                  <w:marLeft w:val="0"/>
                  <w:marRight w:val="0"/>
                  <w:marTop w:val="0"/>
                  <w:marBottom w:val="0"/>
                  <w:divBdr>
                    <w:top w:val="none" w:sz="0" w:space="0" w:color="auto"/>
                    <w:left w:val="none" w:sz="0" w:space="0" w:color="auto"/>
                    <w:bottom w:val="none" w:sz="0" w:space="0" w:color="auto"/>
                    <w:right w:val="none" w:sz="0" w:space="0" w:color="auto"/>
                  </w:divBdr>
                </w:div>
                <w:div w:id="38822731">
                  <w:marLeft w:val="0"/>
                  <w:marRight w:val="0"/>
                  <w:marTop w:val="0"/>
                  <w:marBottom w:val="0"/>
                  <w:divBdr>
                    <w:top w:val="none" w:sz="0" w:space="0" w:color="auto"/>
                    <w:left w:val="none" w:sz="0" w:space="0" w:color="auto"/>
                    <w:bottom w:val="none" w:sz="0" w:space="0" w:color="auto"/>
                    <w:right w:val="none" w:sz="0" w:space="0" w:color="auto"/>
                  </w:divBdr>
                </w:div>
                <w:div w:id="90708588">
                  <w:marLeft w:val="0"/>
                  <w:marRight w:val="0"/>
                  <w:marTop w:val="0"/>
                  <w:marBottom w:val="0"/>
                  <w:divBdr>
                    <w:top w:val="none" w:sz="0" w:space="0" w:color="auto"/>
                    <w:left w:val="none" w:sz="0" w:space="0" w:color="auto"/>
                    <w:bottom w:val="none" w:sz="0" w:space="0" w:color="auto"/>
                    <w:right w:val="none" w:sz="0" w:space="0" w:color="auto"/>
                  </w:divBdr>
                </w:div>
                <w:div w:id="34548216">
                  <w:marLeft w:val="0"/>
                  <w:marRight w:val="0"/>
                  <w:marTop w:val="0"/>
                  <w:marBottom w:val="0"/>
                  <w:divBdr>
                    <w:top w:val="none" w:sz="0" w:space="0" w:color="auto"/>
                    <w:left w:val="none" w:sz="0" w:space="0" w:color="auto"/>
                    <w:bottom w:val="none" w:sz="0" w:space="0" w:color="auto"/>
                    <w:right w:val="none" w:sz="0" w:space="0" w:color="auto"/>
                  </w:divBdr>
                  <w:divsChild>
                    <w:div w:id="1062488010">
                      <w:marLeft w:val="0"/>
                      <w:marRight w:val="0"/>
                      <w:marTop w:val="0"/>
                      <w:marBottom w:val="0"/>
                      <w:divBdr>
                        <w:top w:val="none" w:sz="0" w:space="0" w:color="auto"/>
                        <w:left w:val="none" w:sz="0" w:space="0" w:color="auto"/>
                        <w:bottom w:val="none" w:sz="0" w:space="0" w:color="auto"/>
                        <w:right w:val="none" w:sz="0" w:space="0" w:color="auto"/>
                      </w:divBdr>
                    </w:div>
                    <w:div w:id="975138340">
                      <w:marLeft w:val="0"/>
                      <w:marRight w:val="0"/>
                      <w:marTop w:val="0"/>
                      <w:marBottom w:val="0"/>
                      <w:divBdr>
                        <w:top w:val="none" w:sz="0" w:space="0" w:color="auto"/>
                        <w:left w:val="none" w:sz="0" w:space="0" w:color="auto"/>
                        <w:bottom w:val="none" w:sz="0" w:space="0" w:color="auto"/>
                        <w:right w:val="none" w:sz="0" w:space="0" w:color="auto"/>
                      </w:divBdr>
                    </w:div>
                    <w:div w:id="1977637097">
                      <w:marLeft w:val="0"/>
                      <w:marRight w:val="0"/>
                      <w:marTop w:val="0"/>
                      <w:marBottom w:val="0"/>
                      <w:divBdr>
                        <w:top w:val="none" w:sz="0" w:space="0" w:color="auto"/>
                        <w:left w:val="none" w:sz="0" w:space="0" w:color="auto"/>
                        <w:bottom w:val="none" w:sz="0" w:space="0" w:color="auto"/>
                        <w:right w:val="none" w:sz="0" w:space="0" w:color="auto"/>
                      </w:divBdr>
                    </w:div>
                    <w:div w:id="2090543504">
                      <w:marLeft w:val="0"/>
                      <w:marRight w:val="0"/>
                      <w:marTop w:val="0"/>
                      <w:marBottom w:val="0"/>
                      <w:divBdr>
                        <w:top w:val="none" w:sz="0" w:space="0" w:color="auto"/>
                        <w:left w:val="none" w:sz="0" w:space="0" w:color="auto"/>
                        <w:bottom w:val="none" w:sz="0" w:space="0" w:color="auto"/>
                        <w:right w:val="none" w:sz="0" w:space="0" w:color="auto"/>
                      </w:divBdr>
                    </w:div>
                    <w:div w:id="2113935504">
                      <w:marLeft w:val="0"/>
                      <w:marRight w:val="0"/>
                      <w:marTop w:val="0"/>
                      <w:marBottom w:val="0"/>
                      <w:divBdr>
                        <w:top w:val="none" w:sz="0" w:space="0" w:color="auto"/>
                        <w:left w:val="none" w:sz="0" w:space="0" w:color="auto"/>
                        <w:bottom w:val="none" w:sz="0" w:space="0" w:color="auto"/>
                        <w:right w:val="none" w:sz="0" w:space="0" w:color="auto"/>
                      </w:divBdr>
                    </w:div>
                    <w:div w:id="137280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918763">
          <w:marLeft w:val="0"/>
          <w:marRight w:val="0"/>
          <w:marTop w:val="0"/>
          <w:marBottom w:val="0"/>
          <w:divBdr>
            <w:top w:val="none" w:sz="0" w:space="0" w:color="auto"/>
            <w:left w:val="none" w:sz="0" w:space="0" w:color="auto"/>
            <w:bottom w:val="none" w:sz="0" w:space="0" w:color="auto"/>
            <w:right w:val="none" w:sz="0" w:space="0" w:color="auto"/>
          </w:divBdr>
          <w:divsChild>
            <w:div w:id="1241911851">
              <w:marLeft w:val="0"/>
              <w:marRight w:val="0"/>
              <w:marTop w:val="0"/>
              <w:marBottom w:val="0"/>
              <w:divBdr>
                <w:top w:val="none" w:sz="0" w:space="0" w:color="auto"/>
                <w:left w:val="none" w:sz="0" w:space="0" w:color="auto"/>
                <w:bottom w:val="none" w:sz="0" w:space="0" w:color="auto"/>
                <w:right w:val="none" w:sz="0" w:space="0" w:color="auto"/>
              </w:divBdr>
            </w:div>
            <w:div w:id="928663909">
              <w:marLeft w:val="0"/>
              <w:marRight w:val="0"/>
              <w:marTop w:val="0"/>
              <w:marBottom w:val="0"/>
              <w:divBdr>
                <w:top w:val="none" w:sz="0" w:space="0" w:color="auto"/>
                <w:left w:val="none" w:sz="0" w:space="0" w:color="auto"/>
                <w:bottom w:val="none" w:sz="0" w:space="0" w:color="auto"/>
                <w:right w:val="none" w:sz="0" w:space="0" w:color="auto"/>
              </w:divBdr>
              <w:divsChild>
                <w:div w:id="80224008">
                  <w:marLeft w:val="0"/>
                  <w:marRight w:val="0"/>
                  <w:marTop w:val="0"/>
                  <w:marBottom w:val="0"/>
                  <w:divBdr>
                    <w:top w:val="none" w:sz="0" w:space="0" w:color="auto"/>
                    <w:left w:val="none" w:sz="0" w:space="0" w:color="auto"/>
                    <w:bottom w:val="none" w:sz="0" w:space="0" w:color="auto"/>
                    <w:right w:val="none" w:sz="0" w:space="0" w:color="auto"/>
                  </w:divBdr>
                </w:div>
                <w:div w:id="282612016">
                  <w:marLeft w:val="0"/>
                  <w:marRight w:val="0"/>
                  <w:marTop w:val="0"/>
                  <w:marBottom w:val="0"/>
                  <w:divBdr>
                    <w:top w:val="none" w:sz="0" w:space="0" w:color="auto"/>
                    <w:left w:val="none" w:sz="0" w:space="0" w:color="auto"/>
                    <w:bottom w:val="none" w:sz="0" w:space="0" w:color="auto"/>
                    <w:right w:val="none" w:sz="0" w:space="0" w:color="auto"/>
                  </w:divBdr>
                </w:div>
                <w:div w:id="1251964354">
                  <w:marLeft w:val="0"/>
                  <w:marRight w:val="0"/>
                  <w:marTop w:val="0"/>
                  <w:marBottom w:val="0"/>
                  <w:divBdr>
                    <w:top w:val="none" w:sz="0" w:space="0" w:color="auto"/>
                    <w:left w:val="none" w:sz="0" w:space="0" w:color="auto"/>
                    <w:bottom w:val="none" w:sz="0" w:space="0" w:color="auto"/>
                    <w:right w:val="none" w:sz="0" w:space="0" w:color="auto"/>
                  </w:divBdr>
                </w:div>
                <w:div w:id="1173225616">
                  <w:marLeft w:val="0"/>
                  <w:marRight w:val="0"/>
                  <w:marTop w:val="0"/>
                  <w:marBottom w:val="0"/>
                  <w:divBdr>
                    <w:top w:val="none" w:sz="0" w:space="0" w:color="auto"/>
                    <w:left w:val="none" w:sz="0" w:space="0" w:color="auto"/>
                    <w:bottom w:val="none" w:sz="0" w:space="0" w:color="auto"/>
                    <w:right w:val="none" w:sz="0" w:space="0" w:color="auto"/>
                  </w:divBdr>
                </w:div>
                <w:div w:id="739013908">
                  <w:marLeft w:val="0"/>
                  <w:marRight w:val="0"/>
                  <w:marTop w:val="0"/>
                  <w:marBottom w:val="0"/>
                  <w:divBdr>
                    <w:top w:val="none" w:sz="0" w:space="0" w:color="auto"/>
                    <w:left w:val="none" w:sz="0" w:space="0" w:color="auto"/>
                    <w:bottom w:val="none" w:sz="0" w:space="0" w:color="auto"/>
                    <w:right w:val="none" w:sz="0" w:space="0" w:color="auto"/>
                  </w:divBdr>
                  <w:divsChild>
                    <w:div w:id="940381224">
                      <w:marLeft w:val="0"/>
                      <w:marRight w:val="0"/>
                      <w:marTop w:val="0"/>
                      <w:marBottom w:val="0"/>
                      <w:divBdr>
                        <w:top w:val="none" w:sz="0" w:space="0" w:color="auto"/>
                        <w:left w:val="none" w:sz="0" w:space="0" w:color="auto"/>
                        <w:bottom w:val="none" w:sz="0" w:space="0" w:color="auto"/>
                        <w:right w:val="none" w:sz="0" w:space="0" w:color="auto"/>
                      </w:divBdr>
                      <w:divsChild>
                        <w:div w:id="104542900">
                          <w:marLeft w:val="0"/>
                          <w:marRight w:val="0"/>
                          <w:marTop w:val="0"/>
                          <w:marBottom w:val="0"/>
                          <w:divBdr>
                            <w:top w:val="none" w:sz="0" w:space="0" w:color="auto"/>
                            <w:left w:val="none" w:sz="0" w:space="0" w:color="auto"/>
                            <w:bottom w:val="none" w:sz="0" w:space="0" w:color="auto"/>
                            <w:right w:val="none" w:sz="0" w:space="0" w:color="auto"/>
                          </w:divBdr>
                          <w:divsChild>
                            <w:div w:id="735784787">
                              <w:marLeft w:val="0"/>
                              <w:marRight w:val="0"/>
                              <w:marTop w:val="0"/>
                              <w:marBottom w:val="0"/>
                              <w:divBdr>
                                <w:top w:val="none" w:sz="0" w:space="0" w:color="auto"/>
                                <w:left w:val="none" w:sz="0" w:space="0" w:color="auto"/>
                                <w:bottom w:val="none" w:sz="0" w:space="0" w:color="auto"/>
                                <w:right w:val="none" w:sz="0" w:space="0" w:color="auto"/>
                              </w:divBdr>
                            </w:div>
                            <w:div w:id="554856726">
                              <w:marLeft w:val="0"/>
                              <w:marRight w:val="0"/>
                              <w:marTop w:val="0"/>
                              <w:marBottom w:val="0"/>
                              <w:divBdr>
                                <w:top w:val="none" w:sz="0" w:space="0" w:color="auto"/>
                                <w:left w:val="none" w:sz="0" w:space="0" w:color="auto"/>
                                <w:bottom w:val="none" w:sz="0" w:space="0" w:color="auto"/>
                                <w:right w:val="none" w:sz="0" w:space="0" w:color="auto"/>
                              </w:divBdr>
                            </w:div>
                            <w:div w:id="2067682442">
                              <w:marLeft w:val="0"/>
                              <w:marRight w:val="0"/>
                              <w:marTop w:val="0"/>
                              <w:marBottom w:val="0"/>
                              <w:divBdr>
                                <w:top w:val="none" w:sz="0" w:space="0" w:color="auto"/>
                                <w:left w:val="none" w:sz="0" w:space="0" w:color="auto"/>
                                <w:bottom w:val="none" w:sz="0" w:space="0" w:color="auto"/>
                                <w:right w:val="none" w:sz="0" w:space="0" w:color="auto"/>
                              </w:divBdr>
                            </w:div>
                            <w:div w:id="1400011340">
                              <w:marLeft w:val="0"/>
                              <w:marRight w:val="0"/>
                              <w:marTop w:val="0"/>
                              <w:marBottom w:val="0"/>
                              <w:divBdr>
                                <w:top w:val="none" w:sz="0" w:space="0" w:color="auto"/>
                                <w:left w:val="none" w:sz="0" w:space="0" w:color="auto"/>
                                <w:bottom w:val="none" w:sz="0" w:space="0" w:color="auto"/>
                                <w:right w:val="none" w:sz="0" w:space="0" w:color="auto"/>
                              </w:divBdr>
                            </w:div>
                            <w:div w:id="1691250609">
                              <w:marLeft w:val="0"/>
                              <w:marRight w:val="0"/>
                              <w:marTop w:val="0"/>
                              <w:marBottom w:val="0"/>
                              <w:divBdr>
                                <w:top w:val="none" w:sz="0" w:space="0" w:color="auto"/>
                                <w:left w:val="none" w:sz="0" w:space="0" w:color="auto"/>
                                <w:bottom w:val="none" w:sz="0" w:space="0" w:color="auto"/>
                                <w:right w:val="none" w:sz="0" w:space="0" w:color="auto"/>
                              </w:divBdr>
                            </w:div>
                            <w:div w:id="2038501321">
                              <w:marLeft w:val="0"/>
                              <w:marRight w:val="0"/>
                              <w:marTop w:val="0"/>
                              <w:marBottom w:val="0"/>
                              <w:divBdr>
                                <w:top w:val="none" w:sz="0" w:space="0" w:color="auto"/>
                                <w:left w:val="none" w:sz="0" w:space="0" w:color="auto"/>
                                <w:bottom w:val="none" w:sz="0" w:space="0" w:color="auto"/>
                                <w:right w:val="none" w:sz="0" w:space="0" w:color="auto"/>
                              </w:divBdr>
                            </w:div>
                            <w:div w:id="1622300128">
                              <w:marLeft w:val="0"/>
                              <w:marRight w:val="0"/>
                              <w:marTop w:val="0"/>
                              <w:marBottom w:val="0"/>
                              <w:divBdr>
                                <w:top w:val="none" w:sz="0" w:space="0" w:color="auto"/>
                                <w:left w:val="none" w:sz="0" w:space="0" w:color="auto"/>
                                <w:bottom w:val="none" w:sz="0" w:space="0" w:color="auto"/>
                                <w:right w:val="none" w:sz="0" w:space="0" w:color="auto"/>
                              </w:divBdr>
                              <w:divsChild>
                                <w:div w:id="255401676">
                                  <w:marLeft w:val="0"/>
                                  <w:marRight w:val="0"/>
                                  <w:marTop w:val="0"/>
                                  <w:marBottom w:val="0"/>
                                  <w:divBdr>
                                    <w:top w:val="none" w:sz="0" w:space="0" w:color="auto"/>
                                    <w:left w:val="none" w:sz="0" w:space="0" w:color="auto"/>
                                    <w:bottom w:val="none" w:sz="0" w:space="0" w:color="auto"/>
                                    <w:right w:val="none" w:sz="0" w:space="0" w:color="auto"/>
                                  </w:divBdr>
                                </w:div>
                                <w:div w:id="431709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45429">
                          <w:marLeft w:val="0"/>
                          <w:marRight w:val="0"/>
                          <w:marTop w:val="0"/>
                          <w:marBottom w:val="0"/>
                          <w:divBdr>
                            <w:top w:val="none" w:sz="0" w:space="0" w:color="auto"/>
                            <w:left w:val="none" w:sz="0" w:space="0" w:color="auto"/>
                            <w:bottom w:val="none" w:sz="0" w:space="0" w:color="auto"/>
                            <w:right w:val="none" w:sz="0" w:space="0" w:color="auto"/>
                          </w:divBdr>
                        </w:div>
                        <w:div w:id="1555771164">
                          <w:marLeft w:val="0"/>
                          <w:marRight w:val="0"/>
                          <w:marTop w:val="0"/>
                          <w:marBottom w:val="0"/>
                          <w:divBdr>
                            <w:top w:val="none" w:sz="0" w:space="0" w:color="auto"/>
                            <w:left w:val="none" w:sz="0" w:space="0" w:color="auto"/>
                            <w:bottom w:val="none" w:sz="0" w:space="0" w:color="auto"/>
                            <w:right w:val="none" w:sz="0" w:space="0" w:color="auto"/>
                          </w:divBdr>
                        </w:div>
                        <w:div w:id="1431773141">
                          <w:marLeft w:val="0"/>
                          <w:marRight w:val="0"/>
                          <w:marTop w:val="0"/>
                          <w:marBottom w:val="0"/>
                          <w:divBdr>
                            <w:top w:val="none" w:sz="0" w:space="0" w:color="auto"/>
                            <w:left w:val="none" w:sz="0" w:space="0" w:color="auto"/>
                            <w:bottom w:val="none" w:sz="0" w:space="0" w:color="auto"/>
                            <w:right w:val="none" w:sz="0" w:space="0" w:color="auto"/>
                          </w:divBdr>
                        </w:div>
                        <w:div w:id="1269315267">
                          <w:marLeft w:val="0"/>
                          <w:marRight w:val="0"/>
                          <w:marTop w:val="0"/>
                          <w:marBottom w:val="0"/>
                          <w:divBdr>
                            <w:top w:val="none" w:sz="0" w:space="0" w:color="auto"/>
                            <w:left w:val="none" w:sz="0" w:space="0" w:color="auto"/>
                            <w:bottom w:val="none" w:sz="0" w:space="0" w:color="auto"/>
                            <w:right w:val="none" w:sz="0" w:space="0" w:color="auto"/>
                          </w:divBdr>
                        </w:div>
                        <w:div w:id="1788426229">
                          <w:marLeft w:val="0"/>
                          <w:marRight w:val="0"/>
                          <w:marTop w:val="0"/>
                          <w:marBottom w:val="0"/>
                          <w:divBdr>
                            <w:top w:val="none" w:sz="0" w:space="0" w:color="auto"/>
                            <w:left w:val="none" w:sz="0" w:space="0" w:color="auto"/>
                            <w:bottom w:val="none" w:sz="0" w:space="0" w:color="auto"/>
                            <w:right w:val="none" w:sz="0" w:space="0" w:color="auto"/>
                          </w:divBdr>
                          <w:divsChild>
                            <w:div w:id="1266113765">
                              <w:marLeft w:val="0"/>
                              <w:marRight w:val="0"/>
                              <w:marTop w:val="0"/>
                              <w:marBottom w:val="0"/>
                              <w:divBdr>
                                <w:top w:val="none" w:sz="0" w:space="0" w:color="auto"/>
                                <w:left w:val="none" w:sz="0" w:space="0" w:color="auto"/>
                                <w:bottom w:val="none" w:sz="0" w:space="0" w:color="auto"/>
                                <w:right w:val="none" w:sz="0" w:space="0" w:color="auto"/>
                              </w:divBdr>
                              <w:divsChild>
                                <w:div w:id="20907918">
                                  <w:marLeft w:val="0"/>
                                  <w:marRight w:val="0"/>
                                  <w:marTop w:val="0"/>
                                  <w:marBottom w:val="0"/>
                                  <w:divBdr>
                                    <w:top w:val="none" w:sz="0" w:space="0" w:color="auto"/>
                                    <w:left w:val="none" w:sz="0" w:space="0" w:color="auto"/>
                                    <w:bottom w:val="none" w:sz="0" w:space="0" w:color="auto"/>
                                    <w:right w:val="none" w:sz="0" w:space="0" w:color="auto"/>
                                  </w:divBdr>
                                </w:div>
                                <w:div w:id="1741369617">
                                  <w:marLeft w:val="0"/>
                                  <w:marRight w:val="0"/>
                                  <w:marTop w:val="0"/>
                                  <w:marBottom w:val="0"/>
                                  <w:divBdr>
                                    <w:top w:val="none" w:sz="0" w:space="0" w:color="auto"/>
                                    <w:left w:val="none" w:sz="0" w:space="0" w:color="auto"/>
                                    <w:bottom w:val="none" w:sz="0" w:space="0" w:color="auto"/>
                                    <w:right w:val="none" w:sz="0" w:space="0" w:color="auto"/>
                                  </w:divBdr>
                                </w:div>
                                <w:div w:id="2046562504">
                                  <w:marLeft w:val="0"/>
                                  <w:marRight w:val="0"/>
                                  <w:marTop w:val="0"/>
                                  <w:marBottom w:val="0"/>
                                  <w:divBdr>
                                    <w:top w:val="none" w:sz="0" w:space="0" w:color="auto"/>
                                    <w:left w:val="none" w:sz="0" w:space="0" w:color="auto"/>
                                    <w:bottom w:val="none" w:sz="0" w:space="0" w:color="auto"/>
                                    <w:right w:val="none" w:sz="0" w:space="0" w:color="auto"/>
                                  </w:divBdr>
                                </w:div>
                              </w:divsChild>
                            </w:div>
                            <w:div w:id="169765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505768">
                      <w:marLeft w:val="0"/>
                      <w:marRight w:val="0"/>
                      <w:marTop w:val="0"/>
                      <w:marBottom w:val="0"/>
                      <w:divBdr>
                        <w:top w:val="none" w:sz="0" w:space="0" w:color="auto"/>
                        <w:left w:val="none" w:sz="0" w:space="0" w:color="auto"/>
                        <w:bottom w:val="none" w:sz="0" w:space="0" w:color="auto"/>
                        <w:right w:val="none" w:sz="0" w:space="0" w:color="auto"/>
                      </w:divBdr>
                      <w:divsChild>
                        <w:div w:id="1378815522">
                          <w:marLeft w:val="0"/>
                          <w:marRight w:val="0"/>
                          <w:marTop w:val="0"/>
                          <w:marBottom w:val="0"/>
                          <w:divBdr>
                            <w:top w:val="none" w:sz="0" w:space="0" w:color="auto"/>
                            <w:left w:val="none" w:sz="0" w:space="0" w:color="auto"/>
                            <w:bottom w:val="none" w:sz="0" w:space="0" w:color="auto"/>
                            <w:right w:val="none" w:sz="0" w:space="0" w:color="auto"/>
                          </w:divBdr>
                        </w:div>
                        <w:div w:id="1210267990">
                          <w:marLeft w:val="0"/>
                          <w:marRight w:val="0"/>
                          <w:marTop w:val="0"/>
                          <w:marBottom w:val="0"/>
                          <w:divBdr>
                            <w:top w:val="none" w:sz="0" w:space="0" w:color="auto"/>
                            <w:left w:val="none" w:sz="0" w:space="0" w:color="auto"/>
                            <w:bottom w:val="none" w:sz="0" w:space="0" w:color="auto"/>
                            <w:right w:val="none" w:sz="0" w:space="0" w:color="auto"/>
                          </w:divBdr>
                        </w:div>
                        <w:div w:id="1076241867">
                          <w:marLeft w:val="0"/>
                          <w:marRight w:val="0"/>
                          <w:marTop w:val="0"/>
                          <w:marBottom w:val="0"/>
                          <w:divBdr>
                            <w:top w:val="none" w:sz="0" w:space="0" w:color="auto"/>
                            <w:left w:val="none" w:sz="0" w:space="0" w:color="auto"/>
                            <w:bottom w:val="none" w:sz="0" w:space="0" w:color="auto"/>
                            <w:right w:val="none" w:sz="0" w:space="0" w:color="auto"/>
                          </w:divBdr>
                        </w:div>
                        <w:div w:id="2003580226">
                          <w:marLeft w:val="0"/>
                          <w:marRight w:val="0"/>
                          <w:marTop w:val="0"/>
                          <w:marBottom w:val="0"/>
                          <w:divBdr>
                            <w:top w:val="none" w:sz="0" w:space="0" w:color="auto"/>
                            <w:left w:val="none" w:sz="0" w:space="0" w:color="auto"/>
                            <w:bottom w:val="none" w:sz="0" w:space="0" w:color="auto"/>
                            <w:right w:val="none" w:sz="0" w:space="0" w:color="auto"/>
                          </w:divBdr>
                        </w:div>
                        <w:div w:id="848957048">
                          <w:marLeft w:val="0"/>
                          <w:marRight w:val="0"/>
                          <w:marTop w:val="0"/>
                          <w:marBottom w:val="0"/>
                          <w:divBdr>
                            <w:top w:val="none" w:sz="0" w:space="0" w:color="auto"/>
                            <w:left w:val="none" w:sz="0" w:space="0" w:color="auto"/>
                            <w:bottom w:val="none" w:sz="0" w:space="0" w:color="auto"/>
                            <w:right w:val="none" w:sz="0" w:space="0" w:color="auto"/>
                          </w:divBdr>
                        </w:div>
                        <w:div w:id="396980488">
                          <w:marLeft w:val="0"/>
                          <w:marRight w:val="0"/>
                          <w:marTop w:val="0"/>
                          <w:marBottom w:val="0"/>
                          <w:divBdr>
                            <w:top w:val="none" w:sz="0" w:space="0" w:color="auto"/>
                            <w:left w:val="none" w:sz="0" w:space="0" w:color="auto"/>
                            <w:bottom w:val="none" w:sz="0" w:space="0" w:color="auto"/>
                            <w:right w:val="none" w:sz="0" w:space="0" w:color="auto"/>
                          </w:divBdr>
                        </w:div>
                      </w:divsChild>
                    </w:div>
                    <w:div w:id="1092311856">
                      <w:marLeft w:val="0"/>
                      <w:marRight w:val="0"/>
                      <w:marTop w:val="0"/>
                      <w:marBottom w:val="0"/>
                      <w:divBdr>
                        <w:top w:val="none" w:sz="0" w:space="0" w:color="auto"/>
                        <w:left w:val="none" w:sz="0" w:space="0" w:color="auto"/>
                        <w:bottom w:val="none" w:sz="0" w:space="0" w:color="auto"/>
                        <w:right w:val="none" w:sz="0" w:space="0" w:color="auto"/>
                      </w:divBdr>
                      <w:divsChild>
                        <w:div w:id="945041585">
                          <w:marLeft w:val="0"/>
                          <w:marRight w:val="0"/>
                          <w:marTop w:val="0"/>
                          <w:marBottom w:val="0"/>
                          <w:divBdr>
                            <w:top w:val="none" w:sz="0" w:space="0" w:color="auto"/>
                            <w:left w:val="none" w:sz="0" w:space="0" w:color="auto"/>
                            <w:bottom w:val="none" w:sz="0" w:space="0" w:color="auto"/>
                            <w:right w:val="none" w:sz="0" w:space="0" w:color="auto"/>
                          </w:divBdr>
                        </w:div>
                        <w:div w:id="421534488">
                          <w:marLeft w:val="0"/>
                          <w:marRight w:val="0"/>
                          <w:marTop w:val="0"/>
                          <w:marBottom w:val="0"/>
                          <w:divBdr>
                            <w:top w:val="none" w:sz="0" w:space="0" w:color="auto"/>
                            <w:left w:val="none" w:sz="0" w:space="0" w:color="auto"/>
                            <w:bottom w:val="none" w:sz="0" w:space="0" w:color="auto"/>
                            <w:right w:val="none" w:sz="0" w:space="0" w:color="auto"/>
                          </w:divBdr>
                        </w:div>
                        <w:div w:id="2012834635">
                          <w:marLeft w:val="0"/>
                          <w:marRight w:val="0"/>
                          <w:marTop w:val="0"/>
                          <w:marBottom w:val="0"/>
                          <w:divBdr>
                            <w:top w:val="none" w:sz="0" w:space="0" w:color="auto"/>
                            <w:left w:val="none" w:sz="0" w:space="0" w:color="auto"/>
                            <w:bottom w:val="none" w:sz="0" w:space="0" w:color="auto"/>
                            <w:right w:val="none" w:sz="0" w:space="0" w:color="auto"/>
                          </w:divBdr>
                        </w:div>
                        <w:div w:id="1036584295">
                          <w:marLeft w:val="0"/>
                          <w:marRight w:val="0"/>
                          <w:marTop w:val="0"/>
                          <w:marBottom w:val="0"/>
                          <w:divBdr>
                            <w:top w:val="none" w:sz="0" w:space="0" w:color="auto"/>
                            <w:left w:val="none" w:sz="0" w:space="0" w:color="auto"/>
                            <w:bottom w:val="none" w:sz="0" w:space="0" w:color="auto"/>
                            <w:right w:val="none" w:sz="0" w:space="0" w:color="auto"/>
                          </w:divBdr>
                        </w:div>
                        <w:div w:id="1335262533">
                          <w:marLeft w:val="0"/>
                          <w:marRight w:val="0"/>
                          <w:marTop w:val="0"/>
                          <w:marBottom w:val="0"/>
                          <w:divBdr>
                            <w:top w:val="none" w:sz="0" w:space="0" w:color="auto"/>
                            <w:left w:val="none" w:sz="0" w:space="0" w:color="auto"/>
                            <w:bottom w:val="none" w:sz="0" w:space="0" w:color="auto"/>
                            <w:right w:val="none" w:sz="0" w:space="0" w:color="auto"/>
                          </w:divBdr>
                        </w:div>
                        <w:div w:id="1749615843">
                          <w:marLeft w:val="0"/>
                          <w:marRight w:val="0"/>
                          <w:marTop w:val="0"/>
                          <w:marBottom w:val="0"/>
                          <w:divBdr>
                            <w:top w:val="none" w:sz="0" w:space="0" w:color="auto"/>
                            <w:left w:val="none" w:sz="0" w:space="0" w:color="auto"/>
                            <w:bottom w:val="none" w:sz="0" w:space="0" w:color="auto"/>
                            <w:right w:val="none" w:sz="0" w:space="0" w:color="auto"/>
                          </w:divBdr>
                        </w:div>
                        <w:div w:id="2113741645">
                          <w:marLeft w:val="0"/>
                          <w:marRight w:val="0"/>
                          <w:marTop w:val="0"/>
                          <w:marBottom w:val="0"/>
                          <w:divBdr>
                            <w:top w:val="none" w:sz="0" w:space="0" w:color="auto"/>
                            <w:left w:val="none" w:sz="0" w:space="0" w:color="auto"/>
                            <w:bottom w:val="none" w:sz="0" w:space="0" w:color="auto"/>
                            <w:right w:val="none" w:sz="0" w:space="0" w:color="auto"/>
                          </w:divBdr>
                        </w:div>
                      </w:divsChild>
                    </w:div>
                    <w:div w:id="228424995">
                      <w:marLeft w:val="0"/>
                      <w:marRight w:val="0"/>
                      <w:marTop w:val="0"/>
                      <w:marBottom w:val="0"/>
                      <w:divBdr>
                        <w:top w:val="none" w:sz="0" w:space="0" w:color="auto"/>
                        <w:left w:val="none" w:sz="0" w:space="0" w:color="auto"/>
                        <w:bottom w:val="none" w:sz="0" w:space="0" w:color="auto"/>
                        <w:right w:val="none" w:sz="0" w:space="0" w:color="auto"/>
                      </w:divBdr>
                      <w:divsChild>
                        <w:div w:id="1629506943">
                          <w:marLeft w:val="0"/>
                          <w:marRight w:val="0"/>
                          <w:marTop w:val="0"/>
                          <w:marBottom w:val="0"/>
                          <w:divBdr>
                            <w:top w:val="none" w:sz="0" w:space="0" w:color="auto"/>
                            <w:left w:val="none" w:sz="0" w:space="0" w:color="auto"/>
                            <w:bottom w:val="none" w:sz="0" w:space="0" w:color="auto"/>
                            <w:right w:val="none" w:sz="0" w:space="0" w:color="auto"/>
                          </w:divBdr>
                        </w:div>
                      </w:divsChild>
                    </w:div>
                    <w:div w:id="865561879">
                      <w:marLeft w:val="0"/>
                      <w:marRight w:val="0"/>
                      <w:marTop w:val="0"/>
                      <w:marBottom w:val="0"/>
                      <w:divBdr>
                        <w:top w:val="none" w:sz="0" w:space="0" w:color="auto"/>
                        <w:left w:val="none" w:sz="0" w:space="0" w:color="auto"/>
                        <w:bottom w:val="none" w:sz="0" w:space="0" w:color="auto"/>
                        <w:right w:val="none" w:sz="0" w:space="0" w:color="auto"/>
                      </w:divBdr>
                      <w:divsChild>
                        <w:div w:id="193928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319242">
              <w:marLeft w:val="0"/>
              <w:marRight w:val="0"/>
              <w:marTop w:val="0"/>
              <w:marBottom w:val="0"/>
              <w:divBdr>
                <w:top w:val="none" w:sz="0" w:space="0" w:color="auto"/>
                <w:left w:val="none" w:sz="0" w:space="0" w:color="auto"/>
                <w:bottom w:val="none" w:sz="0" w:space="0" w:color="auto"/>
                <w:right w:val="none" w:sz="0" w:space="0" w:color="auto"/>
              </w:divBdr>
              <w:divsChild>
                <w:div w:id="1570001393">
                  <w:marLeft w:val="0"/>
                  <w:marRight w:val="0"/>
                  <w:marTop w:val="0"/>
                  <w:marBottom w:val="0"/>
                  <w:divBdr>
                    <w:top w:val="none" w:sz="0" w:space="0" w:color="auto"/>
                    <w:left w:val="none" w:sz="0" w:space="0" w:color="auto"/>
                    <w:bottom w:val="none" w:sz="0" w:space="0" w:color="auto"/>
                    <w:right w:val="none" w:sz="0" w:space="0" w:color="auto"/>
                  </w:divBdr>
                  <w:divsChild>
                    <w:div w:id="1158812095">
                      <w:marLeft w:val="0"/>
                      <w:marRight w:val="0"/>
                      <w:marTop w:val="0"/>
                      <w:marBottom w:val="0"/>
                      <w:divBdr>
                        <w:top w:val="none" w:sz="0" w:space="0" w:color="auto"/>
                        <w:left w:val="none" w:sz="0" w:space="0" w:color="auto"/>
                        <w:bottom w:val="none" w:sz="0" w:space="0" w:color="auto"/>
                        <w:right w:val="none" w:sz="0" w:space="0" w:color="auto"/>
                      </w:divBdr>
                    </w:div>
                  </w:divsChild>
                </w:div>
                <w:div w:id="26685702">
                  <w:marLeft w:val="0"/>
                  <w:marRight w:val="0"/>
                  <w:marTop w:val="0"/>
                  <w:marBottom w:val="0"/>
                  <w:divBdr>
                    <w:top w:val="none" w:sz="0" w:space="0" w:color="auto"/>
                    <w:left w:val="none" w:sz="0" w:space="0" w:color="auto"/>
                    <w:bottom w:val="none" w:sz="0" w:space="0" w:color="auto"/>
                    <w:right w:val="none" w:sz="0" w:space="0" w:color="auto"/>
                  </w:divBdr>
                  <w:divsChild>
                    <w:div w:id="640499776">
                      <w:marLeft w:val="0"/>
                      <w:marRight w:val="0"/>
                      <w:marTop w:val="0"/>
                      <w:marBottom w:val="0"/>
                      <w:divBdr>
                        <w:top w:val="none" w:sz="0" w:space="0" w:color="auto"/>
                        <w:left w:val="none" w:sz="0" w:space="0" w:color="auto"/>
                        <w:bottom w:val="none" w:sz="0" w:space="0" w:color="auto"/>
                        <w:right w:val="none" w:sz="0" w:space="0" w:color="auto"/>
                      </w:divBdr>
                    </w:div>
                    <w:div w:id="26570352">
                      <w:marLeft w:val="0"/>
                      <w:marRight w:val="0"/>
                      <w:marTop w:val="0"/>
                      <w:marBottom w:val="0"/>
                      <w:divBdr>
                        <w:top w:val="none" w:sz="0" w:space="0" w:color="auto"/>
                        <w:left w:val="none" w:sz="0" w:space="0" w:color="auto"/>
                        <w:bottom w:val="none" w:sz="0" w:space="0" w:color="auto"/>
                        <w:right w:val="none" w:sz="0" w:space="0" w:color="auto"/>
                      </w:divBdr>
                    </w:div>
                    <w:div w:id="1732581279">
                      <w:marLeft w:val="0"/>
                      <w:marRight w:val="0"/>
                      <w:marTop w:val="0"/>
                      <w:marBottom w:val="0"/>
                      <w:divBdr>
                        <w:top w:val="none" w:sz="0" w:space="0" w:color="auto"/>
                        <w:left w:val="none" w:sz="0" w:space="0" w:color="auto"/>
                        <w:bottom w:val="none" w:sz="0" w:space="0" w:color="auto"/>
                        <w:right w:val="none" w:sz="0" w:space="0" w:color="auto"/>
                      </w:divBdr>
                    </w:div>
                    <w:div w:id="789857206">
                      <w:marLeft w:val="0"/>
                      <w:marRight w:val="0"/>
                      <w:marTop w:val="0"/>
                      <w:marBottom w:val="0"/>
                      <w:divBdr>
                        <w:top w:val="none" w:sz="0" w:space="0" w:color="auto"/>
                        <w:left w:val="none" w:sz="0" w:space="0" w:color="auto"/>
                        <w:bottom w:val="none" w:sz="0" w:space="0" w:color="auto"/>
                        <w:right w:val="none" w:sz="0" w:space="0" w:color="auto"/>
                      </w:divBdr>
                    </w:div>
                    <w:div w:id="905148775">
                      <w:marLeft w:val="0"/>
                      <w:marRight w:val="0"/>
                      <w:marTop w:val="0"/>
                      <w:marBottom w:val="0"/>
                      <w:divBdr>
                        <w:top w:val="none" w:sz="0" w:space="0" w:color="auto"/>
                        <w:left w:val="none" w:sz="0" w:space="0" w:color="auto"/>
                        <w:bottom w:val="none" w:sz="0" w:space="0" w:color="auto"/>
                        <w:right w:val="none" w:sz="0" w:space="0" w:color="auto"/>
                      </w:divBdr>
                    </w:div>
                  </w:divsChild>
                </w:div>
                <w:div w:id="1844471431">
                  <w:marLeft w:val="0"/>
                  <w:marRight w:val="0"/>
                  <w:marTop w:val="0"/>
                  <w:marBottom w:val="0"/>
                  <w:divBdr>
                    <w:top w:val="none" w:sz="0" w:space="0" w:color="auto"/>
                    <w:left w:val="none" w:sz="0" w:space="0" w:color="auto"/>
                    <w:bottom w:val="none" w:sz="0" w:space="0" w:color="auto"/>
                    <w:right w:val="none" w:sz="0" w:space="0" w:color="auto"/>
                  </w:divBdr>
                  <w:divsChild>
                    <w:div w:id="950748307">
                      <w:marLeft w:val="0"/>
                      <w:marRight w:val="0"/>
                      <w:marTop w:val="0"/>
                      <w:marBottom w:val="0"/>
                      <w:divBdr>
                        <w:top w:val="none" w:sz="0" w:space="0" w:color="auto"/>
                        <w:left w:val="none" w:sz="0" w:space="0" w:color="auto"/>
                        <w:bottom w:val="none" w:sz="0" w:space="0" w:color="auto"/>
                        <w:right w:val="none" w:sz="0" w:space="0" w:color="auto"/>
                      </w:divBdr>
                    </w:div>
                    <w:div w:id="1163619610">
                      <w:marLeft w:val="0"/>
                      <w:marRight w:val="0"/>
                      <w:marTop w:val="0"/>
                      <w:marBottom w:val="0"/>
                      <w:divBdr>
                        <w:top w:val="none" w:sz="0" w:space="0" w:color="auto"/>
                        <w:left w:val="none" w:sz="0" w:space="0" w:color="auto"/>
                        <w:bottom w:val="none" w:sz="0" w:space="0" w:color="auto"/>
                        <w:right w:val="none" w:sz="0" w:space="0" w:color="auto"/>
                      </w:divBdr>
                    </w:div>
                    <w:div w:id="955407756">
                      <w:marLeft w:val="0"/>
                      <w:marRight w:val="0"/>
                      <w:marTop w:val="0"/>
                      <w:marBottom w:val="0"/>
                      <w:divBdr>
                        <w:top w:val="none" w:sz="0" w:space="0" w:color="auto"/>
                        <w:left w:val="none" w:sz="0" w:space="0" w:color="auto"/>
                        <w:bottom w:val="none" w:sz="0" w:space="0" w:color="auto"/>
                        <w:right w:val="none" w:sz="0" w:space="0" w:color="auto"/>
                      </w:divBdr>
                    </w:div>
                    <w:div w:id="1923221534">
                      <w:marLeft w:val="0"/>
                      <w:marRight w:val="0"/>
                      <w:marTop w:val="0"/>
                      <w:marBottom w:val="0"/>
                      <w:divBdr>
                        <w:top w:val="none" w:sz="0" w:space="0" w:color="auto"/>
                        <w:left w:val="none" w:sz="0" w:space="0" w:color="auto"/>
                        <w:bottom w:val="none" w:sz="0" w:space="0" w:color="auto"/>
                        <w:right w:val="none" w:sz="0" w:space="0" w:color="auto"/>
                      </w:divBdr>
                    </w:div>
                  </w:divsChild>
                </w:div>
                <w:div w:id="659581450">
                  <w:marLeft w:val="0"/>
                  <w:marRight w:val="0"/>
                  <w:marTop w:val="0"/>
                  <w:marBottom w:val="0"/>
                  <w:divBdr>
                    <w:top w:val="none" w:sz="0" w:space="0" w:color="auto"/>
                    <w:left w:val="none" w:sz="0" w:space="0" w:color="auto"/>
                    <w:bottom w:val="none" w:sz="0" w:space="0" w:color="auto"/>
                    <w:right w:val="none" w:sz="0" w:space="0" w:color="auto"/>
                  </w:divBdr>
                  <w:divsChild>
                    <w:div w:id="1659571796">
                      <w:marLeft w:val="0"/>
                      <w:marRight w:val="0"/>
                      <w:marTop w:val="0"/>
                      <w:marBottom w:val="0"/>
                      <w:divBdr>
                        <w:top w:val="none" w:sz="0" w:space="0" w:color="auto"/>
                        <w:left w:val="none" w:sz="0" w:space="0" w:color="auto"/>
                        <w:bottom w:val="none" w:sz="0" w:space="0" w:color="auto"/>
                        <w:right w:val="none" w:sz="0" w:space="0" w:color="auto"/>
                      </w:divBdr>
                    </w:div>
                    <w:div w:id="629242142">
                      <w:marLeft w:val="0"/>
                      <w:marRight w:val="0"/>
                      <w:marTop w:val="0"/>
                      <w:marBottom w:val="0"/>
                      <w:divBdr>
                        <w:top w:val="none" w:sz="0" w:space="0" w:color="auto"/>
                        <w:left w:val="none" w:sz="0" w:space="0" w:color="auto"/>
                        <w:bottom w:val="none" w:sz="0" w:space="0" w:color="auto"/>
                        <w:right w:val="none" w:sz="0" w:space="0" w:color="auto"/>
                      </w:divBdr>
                    </w:div>
                    <w:div w:id="542401128">
                      <w:marLeft w:val="0"/>
                      <w:marRight w:val="0"/>
                      <w:marTop w:val="0"/>
                      <w:marBottom w:val="0"/>
                      <w:divBdr>
                        <w:top w:val="none" w:sz="0" w:space="0" w:color="auto"/>
                        <w:left w:val="none" w:sz="0" w:space="0" w:color="auto"/>
                        <w:bottom w:val="none" w:sz="0" w:space="0" w:color="auto"/>
                        <w:right w:val="none" w:sz="0" w:space="0" w:color="auto"/>
                      </w:divBdr>
                    </w:div>
                    <w:div w:id="1192576466">
                      <w:marLeft w:val="0"/>
                      <w:marRight w:val="0"/>
                      <w:marTop w:val="0"/>
                      <w:marBottom w:val="0"/>
                      <w:divBdr>
                        <w:top w:val="none" w:sz="0" w:space="0" w:color="auto"/>
                        <w:left w:val="none" w:sz="0" w:space="0" w:color="auto"/>
                        <w:bottom w:val="none" w:sz="0" w:space="0" w:color="auto"/>
                        <w:right w:val="none" w:sz="0" w:space="0" w:color="auto"/>
                      </w:divBdr>
                    </w:div>
                  </w:divsChild>
                </w:div>
                <w:div w:id="1525826359">
                  <w:marLeft w:val="0"/>
                  <w:marRight w:val="0"/>
                  <w:marTop w:val="0"/>
                  <w:marBottom w:val="0"/>
                  <w:divBdr>
                    <w:top w:val="none" w:sz="0" w:space="0" w:color="auto"/>
                    <w:left w:val="none" w:sz="0" w:space="0" w:color="auto"/>
                    <w:bottom w:val="none" w:sz="0" w:space="0" w:color="auto"/>
                    <w:right w:val="none" w:sz="0" w:space="0" w:color="auto"/>
                  </w:divBdr>
                  <w:divsChild>
                    <w:div w:id="644775223">
                      <w:marLeft w:val="0"/>
                      <w:marRight w:val="0"/>
                      <w:marTop w:val="0"/>
                      <w:marBottom w:val="0"/>
                      <w:divBdr>
                        <w:top w:val="none" w:sz="0" w:space="0" w:color="auto"/>
                        <w:left w:val="none" w:sz="0" w:space="0" w:color="auto"/>
                        <w:bottom w:val="none" w:sz="0" w:space="0" w:color="auto"/>
                        <w:right w:val="none" w:sz="0" w:space="0" w:color="auto"/>
                      </w:divBdr>
                    </w:div>
                    <w:div w:id="1616525868">
                      <w:marLeft w:val="0"/>
                      <w:marRight w:val="0"/>
                      <w:marTop w:val="0"/>
                      <w:marBottom w:val="0"/>
                      <w:divBdr>
                        <w:top w:val="none" w:sz="0" w:space="0" w:color="auto"/>
                        <w:left w:val="none" w:sz="0" w:space="0" w:color="auto"/>
                        <w:bottom w:val="none" w:sz="0" w:space="0" w:color="auto"/>
                        <w:right w:val="none" w:sz="0" w:space="0" w:color="auto"/>
                      </w:divBdr>
                    </w:div>
                    <w:div w:id="667096238">
                      <w:marLeft w:val="0"/>
                      <w:marRight w:val="0"/>
                      <w:marTop w:val="0"/>
                      <w:marBottom w:val="0"/>
                      <w:divBdr>
                        <w:top w:val="none" w:sz="0" w:space="0" w:color="auto"/>
                        <w:left w:val="none" w:sz="0" w:space="0" w:color="auto"/>
                        <w:bottom w:val="none" w:sz="0" w:space="0" w:color="auto"/>
                        <w:right w:val="none" w:sz="0" w:space="0" w:color="auto"/>
                      </w:divBdr>
                      <w:divsChild>
                        <w:div w:id="468935576">
                          <w:marLeft w:val="0"/>
                          <w:marRight w:val="0"/>
                          <w:marTop w:val="0"/>
                          <w:marBottom w:val="0"/>
                          <w:divBdr>
                            <w:top w:val="none" w:sz="0" w:space="0" w:color="auto"/>
                            <w:left w:val="none" w:sz="0" w:space="0" w:color="auto"/>
                            <w:bottom w:val="none" w:sz="0" w:space="0" w:color="auto"/>
                            <w:right w:val="single" w:sz="8" w:space="4" w:color="auto"/>
                          </w:divBdr>
                        </w:div>
                      </w:divsChild>
                    </w:div>
                  </w:divsChild>
                </w:div>
              </w:divsChild>
            </w:div>
            <w:div w:id="649869455">
              <w:marLeft w:val="0"/>
              <w:marRight w:val="0"/>
              <w:marTop w:val="0"/>
              <w:marBottom w:val="0"/>
              <w:divBdr>
                <w:top w:val="none" w:sz="0" w:space="0" w:color="auto"/>
                <w:left w:val="none" w:sz="0" w:space="0" w:color="auto"/>
                <w:bottom w:val="none" w:sz="0" w:space="0" w:color="auto"/>
                <w:right w:val="none" w:sz="0" w:space="0" w:color="auto"/>
              </w:divBdr>
              <w:divsChild>
                <w:div w:id="1493835778">
                  <w:marLeft w:val="0"/>
                  <w:marRight w:val="0"/>
                  <w:marTop w:val="0"/>
                  <w:marBottom w:val="0"/>
                  <w:divBdr>
                    <w:top w:val="none" w:sz="0" w:space="0" w:color="auto"/>
                    <w:left w:val="none" w:sz="0" w:space="0" w:color="auto"/>
                    <w:bottom w:val="none" w:sz="0" w:space="0" w:color="auto"/>
                    <w:right w:val="none" w:sz="0" w:space="0" w:color="auto"/>
                  </w:divBdr>
                  <w:divsChild>
                    <w:div w:id="214201715">
                      <w:marLeft w:val="0"/>
                      <w:marRight w:val="0"/>
                      <w:marTop w:val="0"/>
                      <w:marBottom w:val="0"/>
                      <w:divBdr>
                        <w:top w:val="none" w:sz="0" w:space="0" w:color="auto"/>
                        <w:left w:val="none" w:sz="0" w:space="0" w:color="auto"/>
                        <w:bottom w:val="none" w:sz="0" w:space="0" w:color="auto"/>
                        <w:right w:val="none" w:sz="0" w:space="0" w:color="auto"/>
                      </w:divBdr>
                    </w:div>
                  </w:divsChild>
                </w:div>
                <w:div w:id="893782440">
                  <w:marLeft w:val="0"/>
                  <w:marRight w:val="0"/>
                  <w:marTop w:val="0"/>
                  <w:marBottom w:val="0"/>
                  <w:divBdr>
                    <w:top w:val="none" w:sz="0" w:space="0" w:color="auto"/>
                    <w:left w:val="none" w:sz="0" w:space="0" w:color="auto"/>
                    <w:bottom w:val="none" w:sz="0" w:space="0" w:color="auto"/>
                    <w:right w:val="none" w:sz="0" w:space="0" w:color="auto"/>
                  </w:divBdr>
                  <w:divsChild>
                    <w:div w:id="1959869992">
                      <w:marLeft w:val="0"/>
                      <w:marRight w:val="0"/>
                      <w:marTop w:val="0"/>
                      <w:marBottom w:val="0"/>
                      <w:divBdr>
                        <w:top w:val="none" w:sz="0" w:space="0" w:color="auto"/>
                        <w:left w:val="none" w:sz="0" w:space="0" w:color="auto"/>
                        <w:bottom w:val="none" w:sz="0" w:space="0" w:color="auto"/>
                        <w:right w:val="none" w:sz="0" w:space="0" w:color="auto"/>
                      </w:divBdr>
                    </w:div>
                    <w:div w:id="512455627">
                      <w:marLeft w:val="0"/>
                      <w:marRight w:val="0"/>
                      <w:marTop w:val="0"/>
                      <w:marBottom w:val="0"/>
                      <w:divBdr>
                        <w:top w:val="none" w:sz="0" w:space="0" w:color="auto"/>
                        <w:left w:val="none" w:sz="0" w:space="0" w:color="auto"/>
                        <w:bottom w:val="none" w:sz="0" w:space="0" w:color="auto"/>
                        <w:right w:val="none" w:sz="0" w:space="0" w:color="auto"/>
                      </w:divBdr>
                      <w:divsChild>
                        <w:div w:id="649796669">
                          <w:marLeft w:val="0"/>
                          <w:marRight w:val="0"/>
                          <w:marTop w:val="0"/>
                          <w:marBottom w:val="0"/>
                          <w:divBdr>
                            <w:top w:val="none" w:sz="0" w:space="0" w:color="auto"/>
                            <w:left w:val="none" w:sz="0" w:space="0" w:color="auto"/>
                            <w:bottom w:val="none" w:sz="0" w:space="0" w:color="auto"/>
                            <w:right w:val="none" w:sz="0" w:space="0" w:color="auto"/>
                          </w:divBdr>
                        </w:div>
                        <w:div w:id="1319533621">
                          <w:marLeft w:val="0"/>
                          <w:marRight w:val="0"/>
                          <w:marTop w:val="0"/>
                          <w:marBottom w:val="0"/>
                          <w:divBdr>
                            <w:top w:val="none" w:sz="0" w:space="0" w:color="auto"/>
                            <w:left w:val="none" w:sz="0" w:space="0" w:color="auto"/>
                            <w:bottom w:val="none" w:sz="0" w:space="0" w:color="auto"/>
                            <w:right w:val="none" w:sz="0" w:space="0" w:color="auto"/>
                          </w:divBdr>
                        </w:div>
                      </w:divsChild>
                    </w:div>
                    <w:div w:id="1333023501">
                      <w:marLeft w:val="0"/>
                      <w:marRight w:val="0"/>
                      <w:marTop w:val="0"/>
                      <w:marBottom w:val="0"/>
                      <w:divBdr>
                        <w:top w:val="none" w:sz="0" w:space="0" w:color="auto"/>
                        <w:left w:val="none" w:sz="0" w:space="0" w:color="auto"/>
                        <w:bottom w:val="none" w:sz="0" w:space="0" w:color="auto"/>
                        <w:right w:val="none" w:sz="0" w:space="0" w:color="auto"/>
                      </w:divBdr>
                    </w:div>
                    <w:div w:id="229197023">
                      <w:marLeft w:val="0"/>
                      <w:marRight w:val="0"/>
                      <w:marTop w:val="0"/>
                      <w:marBottom w:val="0"/>
                      <w:divBdr>
                        <w:top w:val="none" w:sz="0" w:space="0" w:color="auto"/>
                        <w:left w:val="none" w:sz="0" w:space="0" w:color="auto"/>
                        <w:bottom w:val="none" w:sz="0" w:space="0" w:color="auto"/>
                        <w:right w:val="none" w:sz="0" w:space="0" w:color="auto"/>
                      </w:divBdr>
                      <w:divsChild>
                        <w:div w:id="768551405">
                          <w:marLeft w:val="0"/>
                          <w:marRight w:val="0"/>
                          <w:marTop w:val="0"/>
                          <w:marBottom w:val="0"/>
                          <w:divBdr>
                            <w:top w:val="none" w:sz="0" w:space="0" w:color="auto"/>
                            <w:left w:val="none" w:sz="0" w:space="0" w:color="auto"/>
                            <w:bottom w:val="none" w:sz="0" w:space="0" w:color="auto"/>
                            <w:right w:val="none" w:sz="0" w:space="0" w:color="auto"/>
                          </w:divBdr>
                        </w:div>
                        <w:div w:id="148447429">
                          <w:marLeft w:val="0"/>
                          <w:marRight w:val="0"/>
                          <w:marTop w:val="0"/>
                          <w:marBottom w:val="0"/>
                          <w:divBdr>
                            <w:top w:val="none" w:sz="0" w:space="0" w:color="auto"/>
                            <w:left w:val="none" w:sz="0" w:space="0" w:color="auto"/>
                            <w:bottom w:val="none" w:sz="0" w:space="0" w:color="auto"/>
                            <w:right w:val="none" w:sz="0" w:space="0" w:color="auto"/>
                          </w:divBdr>
                        </w:div>
                        <w:div w:id="1161846441">
                          <w:marLeft w:val="0"/>
                          <w:marRight w:val="0"/>
                          <w:marTop w:val="0"/>
                          <w:marBottom w:val="0"/>
                          <w:divBdr>
                            <w:top w:val="none" w:sz="0" w:space="0" w:color="auto"/>
                            <w:left w:val="none" w:sz="0" w:space="0" w:color="auto"/>
                            <w:bottom w:val="none" w:sz="0" w:space="0" w:color="auto"/>
                            <w:right w:val="none" w:sz="0" w:space="0" w:color="auto"/>
                          </w:divBdr>
                        </w:div>
                        <w:div w:id="408312425">
                          <w:marLeft w:val="0"/>
                          <w:marRight w:val="0"/>
                          <w:marTop w:val="0"/>
                          <w:marBottom w:val="0"/>
                          <w:divBdr>
                            <w:top w:val="none" w:sz="0" w:space="0" w:color="auto"/>
                            <w:left w:val="none" w:sz="0" w:space="0" w:color="auto"/>
                            <w:bottom w:val="none" w:sz="0" w:space="0" w:color="auto"/>
                            <w:right w:val="none" w:sz="0" w:space="0" w:color="auto"/>
                          </w:divBdr>
                        </w:div>
                        <w:div w:id="409500683">
                          <w:marLeft w:val="0"/>
                          <w:marRight w:val="0"/>
                          <w:marTop w:val="0"/>
                          <w:marBottom w:val="0"/>
                          <w:divBdr>
                            <w:top w:val="none" w:sz="0" w:space="0" w:color="auto"/>
                            <w:left w:val="none" w:sz="0" w:space="0" w:color="auto"/>
                            <w:bottom w:val="none" w:sz="0" w:space="0" w:color="auto"/>
                            <w:right w:val="none" w:sz="0" w:space="0" w:color="auto"/>
                          </w:divBdr>
                        </w:div>
                        <w:div w:id="1275093212">
                          <w:marLeft w:val="0"/>
                          <w:marRight w:val="0"/>
                          <w:marTop w:val="0"/>
                          <w:marBottom w:val="0"/>
                          <w:divBdr>
                            <w:top w:val="none" w:sz="0" w:space="0" w:color="auto"/>
                            <w:left w:val="none" w:sz="0" w:space="0" w:color="auto"/>
                            <w:bottom w:val="none" w:sz="0" w:space="0" w:color="auto"/>
                            <w:right w:val="none" w:sz="0" w:space="0" w:color="auto"/>
                          </w:divBdr>
                        </w:div>
                        <w:div w:id="2121217041">
                          <w:marLeft w:val="0"/>
                          <w:marRight w:val="0"/>
                          <w:marTop w:val="0"/>
                          <w:marBottom w:val="0"/>
                          <w:divBdr>
                            <w:top w:val="none" w:sz="0" w:space="0" w:color="auto"/>
                            <w:left w:val="none" w:sz="0" w:space="0" w:color="auto"/>
                            <w:bottom w:val="none" w:sz="0" w:space="0" w:color="auto"/>
                            <w:right w:val="none" w:sz="0" w:space="0" w:color="auto"/>
                          </w:divBdr>
                        </w:div>
                        <w:div w:id="1999186507">
                          <w:marLeft w:val="0"/>
                          <w:marRight w:val="0"/>
                          <w:marTop w:val="0"/>
                          <w:marBottom w:val="0"/>
                          <w:divBdr>
                            <w:top w:val="none" w:sz="0" w:space="0" w:color="auto"/>
                            <w:left w:val="none" w:sz="0" w:space="0" w:color="auto"/>
                            <w:bottom w:val="none" w:sz="0" w:space="0" w:color="auto"/>
                            <w:right w:val="none" w:sz="0" w:space="0" w:color="auto"/>
                          </w:divBdr>
                        </w:div>
                      </w:divsChild>
                    </w:div>
                    <w:div w:id="1221093358">
                      <w:marLeft w:val="0"/>
                      <w:marRight w:val="0"/>
                      <w:marTop w:val="0"/>
                      <w:marBottom w:val="0"/>
                      <w:divBdr>
                        <w:top w:val="none" w:sz="0" w:space="0" w:color="auto"/>
                        <w:left w:val="none" w:sz="0" w:space="0" w:color="auto"/>
                        <w:bottom w:val="none" w:sz="0" w:space="0" w:color="auto"/>
                        <w:right w:val="none" w:sz="0" w:space="0" w:color="auto"/>
                      </w:divBdr>
                    </w:div>
                    <w:div w:id="1021664310">
                      <w:marLeft w:val="0"/>
                      <w:marRight w:val="0"/>
                      <w:marTop w:val="0"/>
                      <w:marBottom w:val="0"/>
                      <w:divBdr>
                        <w:top w:val="none" w:sz="0" w:space="0" w:color="auto"/>
                        <w:left w:val="none" w:sz="0" w:space="0" w:color="auto"/>
                        <w:bottom w:val="none" w:sz="0" w:space="0" w:color="auto"/>
                        <w:right w:val="none" w:sz="0" w:space="0" w:color="auto"/>
                      </w:divBdr>
                    </w:div>
                  </w:divsChild>
                </w:div>
                <w:div w:id="106395594">
                  <w:marLeft w:val="0"/>
                  <w:marRight w:val="0"/>
                  <w:marTop w:val="0"/>
                  <w:marBottom w:val="0"/>
                  <w:divBdr>
                    <w:top w:val="none" w:sz="0" w:space="0" w:color="auto"/>
                    <w:left w:val="none" w:sz="0" w:space="0" w:color="auto"/>
                    <w:bottom w:val="none" w:sz="0" w:space="0" w:color="auto"/>
                    <w:right w:val="none" w:sz="0" w:space="0" w:color="auto"/>
                  </w:divBdr>
                  <w:divsChild>
                    <w:div w:id="839539593">
                      <w:marLeft w:val="0"/>
                      <w:marRight w:val="0"/>
                      <w:marTop w:val="0"/>
                      <w:marBottom w:val="0"/>
                      <w:divBdr>
                        <w:top w:val="none" w:sz="0" w:space="0" w:color="auto"/>
                        <w:left w:val="none" w:sz="0" w:space="0" w:color="auto"/>
                        <w:bottom w:val="none" w:sz="0" w:space="0" w:color="auto"/>
                        <w:right w:val="none" w:sz="0" w:space="0" w:color="auto"/>
                      </w:divBdr>
                      <w:divsChild>
                        <w:div w:id="129712193">
                          <w:marLeft w:val="0"/>
                          <w:marRight w:val="0"/>
                          <w:marTop w:val="0"/>
                          <w:marBottom w:val="0"/>
                          <w:divBdr>
                            <w:top w:val="none" w:sz="0" w:space="0" w:color="auto"/>
                            <w:left w:val="none" w:sz="0" w:space="0" w:color="auto"/>
                            <w:bottom w:val="none" w:sz="0" w:space="0" w:color="auto"/>
                            <w:right w:val="none" w:sz="0" w:space="0" w:color="auto"/>
                          </w:divBdr>
                        </w:div>
                        <w:div w:id="294413368">
                          <w:marLeft w:val="0"/>
                          <w:marRight w:val="0"/>
                          <w:marTop w:val="0"/>
                          <w:marBottom w:val="0"/>
                          <w:divBdr>
                            <w:top w:val="none" w:sz="0" w:space="0" w:color="auto"/>
                            <w:left w:val="none" w:sz="0" w:space="0" w:color="auto"/>
                            <w:bottom w:val="none" w:sz="0" w:space="0" w:color="auto"/>
                            <w:right w:val="none" w:sz="0" w:space="0" w:color="auto"/>
                          </w:divBdr>
                        </w:div>
                        <w:div w:id="1481337691">
                          <w:marLeft w:val="0"/>
                          <w:marRight w:val="0"/>
                          <w:marTop w:val="0"/>
                          <w:marBottom w:val="0"/>
                          <w:divBdr>
                            <w:top w:val="none" w:sz="0" w:space="0" w:color="auto"/>
                            <w:left w:val="none" w:sz="0" w:space="0" w:color="auto"/>
                            <w:bottom w:val="none" w:sz="0" w:space="0" w:color="auto"/>
                            <w:right w:val="none" w:sz="0" w:space="0" w:color="auto"/>
                          </w:divBdr>
                        </w:div>
                        <w:div w:id="486701886">
                          <w:marLeft w:val="0"/>
                          <w:marRight w:val="0"/>
                          <w:marTop w:val="0"/>
                          <w:marBottom w:val="0"/>
                          <w:divBdr>
                            <w:top w:val="none" w:sz="0" w:space="0" w:color="auto"/>
                            <w:left w:val="none" w:sz="0" w:space="0" w:color="auto"/>
                            <w:bottom w:val="none" w:sz="0" w:space="0" w:color="auto"/>
                            <w:right w:val="none" w:sz="0" w:space="0" w:color="auto"/>
                          </w:divBdr>
                        </w:div>
                      </w:divsChild>
                    </w:div>
                    <w:div w:id="24006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887286">
              <w:marLeft w:val="0"/>
              <w:marRight w:val="0"/>
              <w:marTop w:val="0"/>
              <w:marBottom w:val="0"/>
              <w:divBdr>
                <w:top w:val="none" w:sz="0" w:space="0" w:color="auto"/>
                <w:left w:val="none" w:sz="0" w:space="0" w:color="auto"/>
                <w:bottom w:val="none" w:sz="0" w:space="0" w:color="auto"/>
                <w:right w:val="none" w:sz="0" w:space="0" w:color="auto"/>
              </w:divBdr>
              <w:divsChild>
                <w:div w:id="135805125">
                  <w:marLeft w:val="0"/>
                  <w:marRight w:val="0"/>
                  <w:marTop w:val="0"/>
                  <w:marBottom w:val="0"/>
                  <w:divBdr>
                    <w:top w:val="none" w:sz="0" w:space="0" w:color="auto"/>
                    <w:left w:val="none" w:sz="0" w:space="0" w:color="auto"/>
                    <w:bottom w:val="none" w:sz="0" w:space="0" w:color="auto"/>
                    <w:right w:val="none" w:sz="0" w:space="0" w:color="auto"/>
                  </w:divBdr>
                  <w:divsChild>
                    <w:div w:id="1610968106">
                      <w:marLeft w:val="0"/>
                      <w:marRight w:val="0"/>
                      <w:marTop w:val="0"/>
                      <w:marBottom w:val="0"/>
                      <w:divBdr>
                        <w:top w:val="none" w:sz="0" w:space="0" w:color="auto"/>
                        <w:left w:val="none" w:sz="0" w:space="0" w:color="auto"/>
                        <w:bottom w:val="none" w:sz="0" w:space="0" w:color="auto"/>
                        <w:right w:val="none" w:sz="0" w:space="0" w:color="auto"/>
                      </w:divBdr>
                    </w:div>
                    <w:div w:id="572205456">
                      <w:marLeft w:val="0"/>
                      <w:marRight w:val="0"/>
                      <w:marTop w:val="0"/>
                      <w:marBottom w:val="0"/>
                      <w:divBdr>
                        <w:top w:val="none" w:sz="0" w:space="0" w:color="auto"/>
                        <w:left w:val="none" w:sz="0" w:space="0" w:color="auto"/>
                        <w:bottom w:val="none" w:sz="0" w:space="0" w:color="auto"/>
                        <w:right w:val="none" w:sz="0" w:space="0" w:color="auto"/>
                      </w:divBdr>
                    </w:div>
                    <w:div w:id="122191072">
                      <w:marLeft w:val="0"/>
                      <w:marRight w:val="0"/>
                      <w:marTop w:val="0"/>
                      <w:marBottom w:val="0"/>
                      <w:divBdr>
                        <w:top w:val="none" w:sz="0" w:space="0" w:color="auto"/>
                        <w:left w:val="none" w:sz="0" w:space="0" w:color="auto"/>
                        <w:bottom w:val="none" w:sz="0" w:space="0" w:color="auto"/>
                        <w:right w:val="none" w:sz="0" w:space="0" w:color="auto"/>
                      </w:divBdr>
                    </w:div>
                    <w:div w:id="963538714">
                      <w:marLeft w:val="0"/>
                      <w:marRight w:val="0"/>
                      <w:marTop w:val="0"/>
                      <w:marBottom w:val="0"/>
                      <w:divBdr>
                        <w:top w:val="none" w:sz="0" w:space="0" w:color="auto"/>
                        <w:left w:val="none" w:sz="0" w:space="0" w:color="auto"/>
                        <w:bottom w:val="none" w:sz="0" w:space="0" w:color="auto"/>
                        <w:right w:val="none" w:sz="0" w:space="0" w:color="auto"/>
                      </w:divBdr>
                    </w:div>
                    <w:div w:id="1933851572">
                      <w:marLeft w:val="0"/>
                      <w:marRight w:val="0"/>
                      <w:marTop w:val="0"/>
                      <w:marBottom w:val="0"/>
                      <w:divBdr>
                        <w:top w:val="none" w:sz="0" w:space="0" w:color="auto"/>
                        <w:left w:val="none" w:sz="0" w:space="0" w:color="auto"/>
                        <w:bottom w:val="none" w:sz="0" w:space="0" w:color="auto"/>
                        <w:right w:val="none" w:sz="0" w:space="0" w:color="auto"/>
                      </w:divBdr>
                    </w:div>
                    <w:div w:id="299843759">
                      <w:marLeft w:val="0"/>
                      <w:marRight w:val="0"/>
                      <w:marTop w:val="0"/>
                      <w:marBottom w:val="0"/>
                      <w:divBdr>
                        <w:top w:val="none" w:sz="0" w:space="0" w:color="auto"/>
                        <w:left w:val="none" w:sz="0" w:space="0" w:color="auto"/>
                        <w:bottom w:val="none" w:sz="0" w:space="0" w:color="auto"/>
                        <w:right w:val="none" w:sz="0" w:space="0" w:color="auto"/>
                      </w:divBdr>
                    </w:div>
                  </w:divsChild>
                </w:div>
                <w:div w:id="459570018">
                  <w:marLeft w:val="0"/>
                  <w:marRight w:val="0"/>
                  <w:marTop w:val="0"/>
                  <w:marBottom w:val="0"/>
                  <w:divBdr>
                    <w:top w:val="none" w:sz="0" w:space="0" w:color="auto"/>
                    <w:left w:val="none" w:sz="0" w:space="0" w:color="auto"/>
                    <w:bottom w:val="none" w:sz="0" w:space="0" w:color="auto"/>
                    <w:right w:val="none" w:sz="0" w:space="0" w:color="auto"/>
                  </w:divBdr>
                  <w:divsChild>
                    <w:div w:id="1734697283">
                      <w:marLeft w:val="0"/>
                      <w:marRight w:val="0"/>
                      <w:marTop w:val="0"/>
                      <w:marBottom w:val="0"/>
                      <w:divBdr>
                        <w:top w:val="none" w:sz="0" w:space="0" w:color="auto"/>
                        <w:left w:val="none" w:sz="0" w:space="0" w:color="auto"/>
                        <w:bottom w:val="none" w:sz="0" w:space="0" w:color="auto"/>
                        <w:right w:val="none" w:sz="0" w:space="0" w:color="auto"/>
                      </w:divBdr>
                    </w:div>
                    <w:div w:id="1639988746">
                      <w:marLeft w:val="0"/>
                      <w:marRight w:val="0"/>
                      <w:marTop w:val="0"/>
                      <w:marBottom w:val="0"/>
                      <w:divBdr>
                        <w:top w:val="none" w:sz="0" w:space="0" w:color="auto"/>
                        <w:left w:val="none" w:sz="0" w:space="0" w:color="auto"/>
                        <w:bottom w:val="none" w:sz="0" w:space="0" w:color="auto"/>
                        <w:right w:val="none" w:sz="0" w:space="0" w:color="auto"/>
                      </w:divBdr>
                    </w:div>
                    <w:div w:id="532689608">
                      <w:marLeft w:val="0"/>
                      <w:marRight w:val="0"/>
                      <w:marTop w:val="0"/>
                      <w:marBottom w:val="0"/>
                      <w:divBdr>
                        <w:top w:val="none" w:sz="0" w:space="0" w:color="auto"/>
                        <w:left w:val="none" w:sz="0" w:space="0" w:color="auto"/>
                        <w:bottom w:val="none" w:sz="0" w:space="0" w:color="auto"/>
                        <w:right w:val="none" w:sz="0" w:space="0" w:color="auto"/>
                      </w:divBdr>
                    </w:div>
                    <w:div w:id="1004237757">
                      <w:marLeft w:val="0"/>
                      <w:marRight w:val="0"/>
                      <w:marTop w:val="0"/>
                      <w:marBottom w:val="0"/>
                      <w:divBdr>
                        <w:top w:val="none" w:sz="0" w:space="0" w:color="auto"/>
                        <w:left w:val="none" w:sz="0" w:space="0" w:color="auto"/>
                        <w:bottom w:val="none" w:sz="0" w:space="0" w:color="auto"/>
                        <w:right w:val="none" w:sz="0" w:space="0" w:color="auto"/>
                      </w:divBdr>
                    </w:div>
                    <w:div w:id="1462846973">
                      <w:marLeft w:val="0"/>
                      <w:marRight w:val="0"/>
                      <w:marTop w:val="0"/>
                      <w:marBottom w:val="0"/>
                      <w:divBdr>
                        <w:top w:val="none" w:sz="0" w:space="0" w:color="auto"/>
                        <w:left w:val="none" w:sz="0" w:space="0" w:color="auto"/>
                        <w:bottom w:val="none" w:sz="0" w:space="0" w:color="auto"/>
                        <w:right w:val="none" w:sz="0" w:space="0" w:color="auto"/>
                      </w:divBdr>
                    </w:div>
                    <w:div w:id="192690897">
                      <w:marLeft w:val="0"/>
                      <w:marRight w:val="0"/>
                      <w:marTop w:val="0"/>
                      <w:marBottom w:val="0"/>
                      <w:divBdr>
                        <w:top w:val="none" w:sz="0" w:space="0" w:color="auto"/>
                        <w:left w:val="none" w:sz="0" w:space="0" w:color="auto"/>
                        <w:bottom w:val="none" w:sz="0" w:space="0" w:color="auto"/>
                        <w:right w:val="none" w:sz="0" w:space="0" w:color="auto"/>
                      </w:divBdr>
                    </w:div>
                    <w:div w:id="195236622">
                      <w:marLeft w:val="0"/>
                      <w:marRight w:val="0"/>
                      <w:marTop w:val="0"/>
                      <w:marBottom w:val="0"/>
                      <w:divBdr>
                        <w:top w:val="none" w:sz="0" w:space="0" w:color="auto"/>
                        <w:left w:val="none" w:sz="0" w:space="0" w:color="auto"/>
                        <w:bottom w:val="none" w:sz="0" w:space="0" w:color="auto"/>
                        <w:right w:val="none" w:sz="0" w:space="0" w:color="auto"/>
                      </w:divBdr>
                    </w:div>
                  </w:divsChild>
                </w:div>
                <w:div w:id="690031785">
                  <w:marLeft w:val="0"/>
                  <w:marRight w:val="0"/>
                  <w:marTop w:val="0"/>
                  <w:marBottom w:val="0"/>
                  <w:divBdr>
                    <w:top w:val="none" w:sz="0" w:space="0" w:color="auto"/>
                    <w:left w:val="none" w:sz="0" w:space="0" w:color="auto"/>
                    <w:bottom w:val="none" w:sz="0" w:space="0" w:color="auto"/>
                    <w:right w:val="none" w:sz="0" w:space="0" w:color="auto"/>
                  </w:divBdr>
                  <w:divsChild>
                    <w:div w:id="2107340853">
                      <w:marLeft w:val="0"/>
                      <w:marRight w:val="0"/>
                      <w:marTop w:val="0"/>
                      <w:marBottom w:val="0"/>
                      <w:divBdr>
                        <w:top w:val="none" w:sz="0" w:space="0" w:color="auto"/>
                        <w:left w:val="none" w:sz="0" w:space="0" w:color="auto"/>
                        <w:bottom w:val="none" w:sz="0" w:space="0" w:color="auto"/>
                        <w:right w:val="none" w:sz="0" w:space="0" w:color="auto"/>
                      </w:divBdr>
                    </w:div>
                    <w:div w:id="1045369288">
                      <w:marLeft w:val="0"/>
                      <w:marRight w:val="0"/>
                      <w:marTop w:val="0"/>
                      <w:marBottom w:val="0"/>
                      <w:divBdr>
                        <w:top w:val="none" w:sz="0" w:space="0" w:color="auto"/>
                        <w:left w:val="none" w:sz="0" w:space="0" w:color="auto"/>
                        <w:bottom w:val="none" w:sz="0" w:space="0" w:color="auto"/>
                        <w:right w:val="none" w:sz="0" w:space="0" w:color="auto"/>
                      </w:divBdr>
                    </w:div>
                    <w:div w:id="758139455">
                      <w:marLeft w:val="0"/>
                      <w:marRight w:val="0"/>
                      <w:marTop w:val="0"/>
                      <w:marBottom w:val="0"/>
                      <w:divBdr>
                        <w:top w:val="none" w:sz="0" w:space="0" w:color="auto"/>
                        <w:left w:val="none" w:sz="0" w:space="0" w:color="auto"/>
                        <w:bottom w:val="none" w:sz="0" w:space="0" w:color="auto"/>
                        <w:right w:val="none" w:sz="0" w:space="0" w:color="auto"/>
                      </w:divBdr>
                    </w:div>
                    <w:div w:id="1768888826">
                      <w:marLeft w:val="0"/>
                      <w:marRight w:val="0"/>
                      <w:marTop w:val="0"/>
                      <w:marBottom w:val="0"/>
                      <w:divBdr>
                        <w:top w:val="none" w:sz="0" w:space="0" w:color="auto"/>
                        <w:left w:val="none" w:sz="0" w:space="0" w:color="auto"/>
                        <w:bottom w:val="none" w:sz="0" w:space="0" w:color="auto"/>
                        <w:right w:val="none" w:sz="0" w:space="0" w:color="auto"/>
                      </w:divBdr>
                    </w:div>
                  </w:divsChild>
                </w:div>
                <w:div w:id="1347947190">
                  <w:marLeft w:val="0"/>
                  <w:marRight w:val="0"/>
                  <w:marTop w:val="0"/>
                  <w:marBottom w:val="0"/>
                  <w:divBdr>
                    <w:top w:val="none" w:sz="0" w:space="0" w:color="auto"/>
                    <w:left w:val="none" w:sz="0" w:space="0" w:color="auto"/>
                    <w:bottom w:val="none" w:sz="0" w:space="0" w:color="auto"/>
                    <w:right w:val="none" w:sz="0" w:space="0" w:color="auto"/>
                  </w:divBdr>
                  <w:divsChild>
                    <w:div w:id="872422007">
                      <w:marLeft w:val="0"/>
                      <w:marRight w:val="0"/>
                      <w:marTop w:val="0"/>
                      <w:marBottom w:val="0"/>
                      <w:divBdr>
                        <w:top w:val="none" w:sz="0" w:space="0" w:color="auto"/>
                        <w:left w:val="none" w:sz="0" w:space="0" w:color="auto"/>
                        <w:bottom w:val="none" w:sz="0" w:space="0" w:color="auto"/>
                        <w:right w:val="none" w:sz="0" w:space="0" w:color="auto"/>
                      </w:divBdr>
                    </w:div>
                    <w:div w:id="1213542322">
                      <w:marLeft w:val="0"/>
                      <w:marRight w:val="0"/>
                      <w:marTop w:val="0"/>
                      <w:marBottom w:val="0"/>
                      <w:divBdr>
                        <w:top w:val="none" w:sz="0" w:space="0" w:color="auto"/>
                        <w:left w:val="none" w:sz="0" w:space="0" w:color="auto"/>
                        <w:bottom w:val="none" w:sz="0" w:space="0" w:color="auto"/>
                        <w:right w:val="none" w:sz="0" w:space="0" w:color="auto"/>
                      </w:divBdr>
                    </w:div>
                    <w:div w:id="1120152736">
                      <w:marLeft w:val="0"/>
                      <w:marRight w:val="0"/>
                      <w:marTop w:val="0"/>
                      <w:marBottom w:val="0"/>
                      <w:divBdr>
                        <w:top w:val="none" w:sz="0" w:space="0" w:color="auto"/>
                        <w:left w:val="none" w:sz="0" w:space="0" w:color="auto"/>
                        <w:bottom w:val="none" w:sz="0" w:space="0" w:color="auto"/>
                        <w:right w:val="none" w:sz="0" w:space="0" w:color="auto"/>
                      </w:divBdr>
                    </w:div>
                    <w:div w:id="30678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206952">
              <w:marLeft w:val="0"/>
              <w:marRight w:val="0"/>
              <w:marTop w:val="0"/>
              <w:marBottom w:val="0"/>
              <w:divBdr>
                <w:top w:val="none" w:sz="0" w:space="0" w:color="auto"/>
                <w:left w:val="none" w:sz="0" w:space="0" w:color="auto"/>
                <w:bottom w:val="none" w:sz="0" w:space="0" w:color="auto"/>
                <w:right w:val="none" w:sz="0" w:space="0" w:color="auto"/>
              </w:divBdr>
              <w:divsChild>
                <w:div w:id="1012873863">
                  <w:marLeft w:val="0"/>
                  <w:marRight w:val="0"/>
                  <w:marTop w:val="0"/>
                  <w:marBottom w:val="0"/>
                  <w:divBdr>
                    <w:top w:val="none" w:sz="0" w:space="0" w:color="auto"/>
                    <w:left w:val="none" w:sz="0" w:space="0" w:color="auto"/>
                    <w:bottom w:val="none" w:sz="0" w:space="0" w:color="auto"/>
                    <w:right w:val="none" w:sz="0" w:space="0" w:color="auto"/>
                  </w:divBdr>
                  <w:divsChild>
                    <w:div w:id="444273866">
                      <w:marLeft w:val="0"/>
                      <w:marRight w:val="0"/>
                      <w:marTop w:val="0"/>
                      <w:marBottom w:val="0"/>
                      <w:divBdr>
                        <w:top w:val="none" w:sz="0" w:space="0" w:color="auto"/>
                        <w:left w:val="none" w:sz="0" w:space="0" w:color="auto"/>
                        <w:bottom w:val="none" w:sz="0" w:space="0" w:color="auto"/>
                        <w:right w:val="none" w:sz="0" w:space="0" w:color="auto"/>
                      </w:divBdr>
                      <w:divsChild>
                        <w:div w:id="950235833">
                          <w:marLeft w:val="0"/>
                          <w:marRight w:val="0"/>
                          <w:marTop w:val="0"/>
                          <w:marBottom w:val="0"/>
                          <w:divBdr>
                            <w:top w:val="none" w:sz="0" w:space="0" w:color="auto"/>
                            <w:left w:val="none" w:sz="0" w:space="0" w:color="auto"/>
                            <w:bottom w:val="none" w:sz="0" w:space="0" w:color="auto"/>
                            <w:right w:val="none" w:sz="0" w:space="0" w:color="auto"/>
                          </w:divBdr>
                        </w:div>
                        <w:div w:id="1206867831">
                          <w:marLeft w:val="0"/>
                          <w:marRight w:val="0"/>
                          <w:marTop w:val="0"/>
                          <w:marBottom w:val="0"/>
                          <w:divBdr>
                            <w:top w:val="none" w:sz="0" w:space="0" w:color="auto"/>
                            <w:left w:val="none" w:sz="0" w:space="0" w:color="auto"/>
                            <w:bottom w:val="none" w:sz="0" w:space="0" w:color="auto"/>
                            <w:right w:val="none" w:sz="0" w:space="0" w:color="auto"/>
                          </w:divBdr>
                        </w:div>
                        <w:div w:id="499345534">
                          <w:marLeft w:val="0"/>
                          <w:marRight w:val="0"/>
                          <w:marTop w:val="0"/>
                          <w:marBottom w:val="0"/>
                          <w:divBdr>
                            <w:top w:val="none" w:sz="0" w:space="0" w:color="auto"/>
                            <w:left w:val="none" w:sz="0" w:space="0" w:color="auto"/>
                            <w:bottom w:val="none" w:sz="0" w:space="0" w:color="auto"/>
                            <w:right w:val="none" w:sz="0" w:space="0" w:color="auto"/>
                          </w:divBdr>
                        </w:div>
                        <w:div w:id="1497064401">
                          <w:marLeft w:val="0"/>
                          <w:marRight w:val="0"/>
                          <w:marTop w:val="0"/>
                          <w:marBottom w:val="0"/>
                          <w:divBdr>
                            <w:top w:val="none" w:sz="0" w:space="0" w:color="auto"/>
                            <w:left w:val="none" w:sz="0" w:space="0" w:color="auto"/>
                            <w:bottom w:val="none" w:sz="0" w:space="0" w:color="auto"/>
                            <w:right w:val="none" w:sz="0" w:space="0" w:color="auto"/>
                          </w:divBdr>
                        </w:div>
                        <w:div w:id="2072120972">
                          <w:marLeft w:val="0"/>
                          <w:marRight w:val="0"/>
                          <w:marTop w:val="0"/>
                          <w:marBottom w:val="0"/>
                          <w:divBdr>
                            <w:top w:val="none" w:sz="0" w:space="0" w:color="auto"/>
                            <w:left w:val="none" w:sz="0" w:space="0" w:color="auto"/>
                            <w:bottom w:val="none" w:sz="0" w:space="0" w:color="auto"/>
                            <w:right w:val="none" w:sz="0" w:space="0" w:color="auto"/>
                          </w:divBdr>
                        </w:div>
                      </w:divsChild>
                    </w:div>
                    <w:div w:id="1732191326">
                      <w:marLeft w:val="0"/>
                      <w:marRight w:val="0"/>
                      <w:marTop w:val="0"/>
                      <w:marBottom w:val="0"/>
                      <w:divBdr>
                        <w:top w:val="none" w:sz="0" w:space="0" w:color="auto"/>
                        <w:left w:val="none" w:sz="0" w:space="0" w:color="auto"/>
                        <w:bottom w:val="none" w:sz="0" w:space="0" w:color="auto"/>
                        <w:right w:val="none" w:sz="0" w:space="0" w:color="auto"/>
                      </w:divBdr>
                      <w:divsChild>
                        <w:div w:id="692803968">
                          <w:marLeft w:val="0"/>
                          <w:marRight w:val="0"/>
                          <w:marTop w:val="0"/>
                          <w:marBottom w:val="0"/>
                          <w:divBdr>
                            <w:top w:val="none" w:sz="0" w:space="0" w:color="auto"/>
                            <w:left w:val="none" w:sz="0" w:space="0" w:color="auto"/>
                            <w:bottom w:val="none" w:sz="0" w:space="0" w:color="auto"/>
                            <w:right w:val="none" w:sz="0" w:space="0" w:color="auto"/>
                          </w:divBdr>
                        </w:div>
                        <w:div w:id="644941313">
                          <w:marLeft w:val="0"/>
                          <w:marRight w:val="0"/>
                          <w:marTop w:val="0"/>
                          <w:marBottom w:val="0"/>
                          <w:divBdr>
                            <w:top w:val="none" w:sz="0" w:space="0" w:color="auto"/>
                            <w:left w:val="none" w:sz="0" w:space="0" w:color="auto"/>
                            <w:bottom w:val="none" w:sz="0" w:space="0" w:color="auto"/>
                            <w:right w:val="none" w:sz="0" w:space="0" w:color="auto"/>
                          </w:divBdr>
                        </w:div>
                      </w:divsChild>
                    </w:div>
                    <w:div w:id="1241449622">
                      <w:marLeft w:val="0"/>
                      <w:marRight w:val="0"/>
                      <w:marTop w:val="0"/>
                      <w:marBottom w:val="0"/>
                      <w:divBdr>
                        <w:top w:val="none" w:sz="0" w:space="0" w:color="auto"/>
                        <w:left w:val="none" w:sz="0" w:space="0" w:color="auto"/>
                        <w:bottom w:val="none" w:sz="0" w:space="0" w:color="auto"/>
                        <w:right w:val="none" w:sz="0" w:space="0" w:color="auto"/>
                      </w:divBdr>
                    </w:div>
                    <w:div w:id="1504279041">
                      <w:marLeft w:val="0"/>
                      <w:marRight w:val="0"/>
                      <w:marTop w:val="0"/>
                      <w:marBottom w:val="0"/>
                      <w:divBdr>
                        <w:top w:val="none" w:sz="0" w:space="0" w:color="auto"/>
                        <w:left w:val="none" w:sz="0" w:space="0" w:color="auto"/>
                        <w:bottom w:val="none" w:sz="0" w:space="0" w:color="auto"/>
                        <w:right w:val="none" w:sz="0" w:space="0" w:color="auto"/>
                      </w:divBdr>
                      <w:divsChild>
                        <w:div w:id="1841385924">
                          <w:marLeft w:val="0"/>
                          <w:marRight w:val="0"/>
                          <w:marTop w:val="0"/>
                          <w:marBottom w:val="0"/>
                          <w:divBdr>
                            <w:top w:val="none" w:sz="0" w:space="0" w:color="auto"/>
                            <w:left w:val="none" w:sz="0" w:space="0" w:color="auto"/>
                            <w:bottom w:val="none" w:sz="0" w:space="0" w:color="auto"/>
                            <w:right w:val="none" w:sz="0" w:space="0" w:color="auto"/>
                          </w:divBdr>
                        </w:div>
                        <w:div w:id="1804272281">
                          <w:marLeft w:val="0"/>
                          <w:marRight w:val="0"/>
                          <w:marTop w:val="0"/>
                          <w:marBottom w:val="0"/>
                          <w:divBdr>
                            <w:top w:val="none" w:sz="0" w:space="0" w:color="auto"/>
                            <w:left w:val="none" w:sz="0" w:space="0" w:color="auto"/>
                            <w:bottom w:val="none" w:sz="0" w:space="0" w:color="auto"/>
                            <w:right w:val="none" w:sz="0" w:space="0" w:color="auto"/>
                          </w:divBdr>
                        </w:div>
                        <w:div w:id="878661236">
                          <w:marLeft w:val="0"/>
                          <w:marRight w:val="0"/>
                          <w:marTop w:val="0"/>
                          <w:marBottom w:val="0"/>
                          <w:divBdr>
                            <w:top w:val="none" w:sz="0" w:space="0" w:color="auto"/>
                            <w:left w:val="none" w:sz="0" w:space="0" w:color="auto"/>
                            <w:bottom w:val="none" w:sz="0" w:space="0" w:color="auto"/>
                            <w:right w:val="none" w:sz="0" w:space="0" w:color="auto"/>
                          </w:divBdr>
                        </w:div>
                        <w:div w:id="1635014613">
                          <w:marLeft w:val="0"/>
                          <w:marRight w:val="0"/>
                          <w:marTop w:val="0"/>
                          <w:marBottom w:val="0"/>
                          <w:divBdr>
                            <w:top w:val="none" w:sz="0" w:space="0" w:color="auto"/>
                            <w:left w:val="none" w:sz="0" w:space="0" w:color="auto"/>
                            <w:bottom w:val="none" w:sz="0" w:space="0" w:color="auto"/>
                            <w:right w:val="none" w:sz="0" w:space="0" w:color="auto"/>
                          </w:divBdr>
                        </w:div>
                        <w:div w:id="590049540">
                          <w:marLeft w:val="0"/>
                          <w:marRight w:val="0"/>
                          <w:marTop w:val="0"/>
                          <w:marBottom w:val="0"/>
                          <w:divBdr>
                            <w:top w:val="none" w:sz="0" w:space="0" w:color="auto"/>
                            <w:left w:val="none" w:sz="0" w:space="0" w:color="auto"/>
                            <w:bottom w:val="none" w:sz="0" w:space="0" w:color="auto"/>
                            <w:right w:val="none" w:sz="0" w:space="0" w:color="auto"/>
                          </w:divBdr>
                        </w:div>
                      </w:divsChild>
                    </w:div>
                    <w:div w:id="633411400">
                      <w:marLeft w:val="0"/>
                      <w:marRight w:val="0"/>
                      <w:marTop w:val="0"/>
                      <w:marBottom w:val="0"/>
                      <w:divBdr>
                        <w:top w:val="none" w:sz="0" w:space="0" w:color="auto"/>
                        <w:left w:val="none" w:sz="0" w:space="0" w:color="auto"/>
                        <w:bottom w:val="none" w:sz="0" w:space="0" w:color="auto"/>
                        <w:right w:val="none" w:sz="0" w:space="0" w:color="auto"/>
                      </w:divBdr>
                    </w:div>
                    <w:div w:id="1300650126">
                      <w:marLeft w:val="0"/>
                      <w:marRight w:val="0"/>
                      <w:marTop w:val="0"/>
                      <w:marBottom w:val="0"/>
                      <w:divBdr>
                        <w:top w:val="none" w:sz="0" w:space="0" w:color="auto"/>
                        <w:left w:val="none" w:sz="0" w:space="0" w:color="auto"/>
                        <w:bottom w:val="none" w:sz="0" w:space="0" w:color="auto"/>
                        <w:right w:val="none" w:sz="0" w:space="0" w:color="auto"/>
                      </w:divBdr>
                      <w:divsChild>
                        <w:div w:id="620577171">
                          <w:marLeft w:val="0"/>
                          <w:marRight w:val="0"/>
                          <w:marTop w:val="0"/>
                          <w:marBottom w:val="0"/>
                          <w:divBdr>
                            <w:top w:val="none" w:sz="0" w:space="0" w:color="auto"/>
                            <w:left w:val="none" w:sz="0" w:space="0" w:color="auto"/>
                            <w:bottom w:val="none" w:sz="0" w:space="0" w:color="auto"/>
                            <w:right w:val="none" w:sz="0" w:space="0" w:color="auto"/>
                          </w:divBdr>
                        </w:div>
                        <w:div w:id="836699380">
                          <w:marLeft w:val="0"/>
                          <w:marRight w:val="0"/>
                          <w:marTop w:val="0"/>
                          <w:marBottom w:val="0"/>
                          <w:divBdr>
                            <w:top w:val="none" w:sz="0" w:space="0" w:color="auto"/>
                            <w:left w:val="none" w:sz="0" w:space="0" w:color="auto"/>
                            <w:bottom w:val="none" w:sz="0" w:space="0" w:color="auto"/>
                            <w:right w:val="none" w:sz="0" w:space="0" w:color="auto"/>
                          </w:divBdr>
                        </w:div>
                        <w:div w:id="228544178">
                          <w:marLeft w:val="0"/>
                          <w:marRight w:val="0"/>
                          <w:marTop w:val="0"/>
                          <w:marBottom w:val="0"/>
                          <w:divBdr>
                            <w:top w:val="none" w:sz="0" w:space="0" w:color="auto"/>
                            <w:left w:val="none" w:sz="0" w:space="0" w:color="auto"/>
                            <w:bottom w:val="none" w:sz="0" w:space="0" w:color="auto"/>
                            <w:right w:val="none" w:sz="0" w:space="0" w:color="auto"/>
                          </w:divBdr>
                        </w:div>
                        <w:div w:id="461732621">
                          <w:marLeft w:val="0"/>
                          <w:marRight w:val="0"/>
                          <w:marTop w:val="0"/>
                          <w:marBottom w:val="0"/>
                          <w:divBdr>
                            <w:top w:val="none" w:sz="0" w:space="0" w:color="auto"/>
                            <w:left w:val="none" w:sz="0" w:space="0" w:color="auto"/>
                            <w:bottom w:val="none" w:sz="0" w:space="0" w:color="auto"/>
                            <w:right w:val="none" w:sz="0" w:space="0" w:color="auto"/>
                          </w:divBdr>
                        </w:div>
                      </w:divsChild>
                    </w:div>
                    <w:div w:id="1751852412">
                      <w:marLeft w:val="0"/>
                      <w:marRight w:val="0"/>
                      <w:marTop w:val="0"/>
                      <w:marBottom w:val="0"/>
                      <w:divBdr>
                        <w:top w:val="none" w:sz="0" w:space="0" w:color="auto"/>
                        <w:left w:val="none" w:sz="0" w:space="0" w:color="auto"/>
                        <w:bottom w:val="none" w:sz="0" w:space="0" w:color="auto"/>
                        <w:right w:val="none" w:sz="0" w:space="0" w:color="auto"/>
                      </w:divBdr>
                      <w:divsChild>
                        <w:div w:id="1854491871">
                          <w:marLeft w:val="0"/>
                          <w:marRight w:val="0"/>
                          <w:marTop w:val="0"/>
                          <w:marBottom w:val="0"/>
                          <w:divBdr>
                            <w:top w:val="none" w:sz="0" w:space="0" w:color="auto"/>
                            <w:left w:val="none" w:sz="0" w:space="0" w:color="auto"/>
                            <w:bottom w:val="none" w:sz="0" w:space="0" w:color="auto"/>
                            <w:right w:val="none" w:sz="0" w:space="0" w:color="auto"/>
                          </w:divBdr>
                        </w:div>
                        <w:div w:id="362873917">
                          <w:marLeft w:val="0"/>
                          <w:marRight w:val="0"/>
                          <w:marTop w:val="0"/>
                          <w:marBottom w:val="0"/>
                          <w:divBdr>
                            <w:top w:val="none" w:sz="0" w:space="0" w:color="auto"/>
                            <w:left w:val="none" w:sz="0" w:space="0" w:color="auto"/>
                            <w:bottom w:val="none" w:sz="0" w:space="0" w:color="auto"/>
                            <w:right w:val="none" w:sz="0" w:space="0" w:color="auto"/>
                          </w:divBdr>
                        </w:div>
                        <w:div w:id="807556773">
                          <w:marLeft w:val="0"/>
                          <w:marRight w:val="0"/>
                          <w:marTop w:val="0"/>
                          <w:marBottom w:val="0"/>
                          <w:divBdr>
                            <w:top w:val="none" w:sz="0" w:space="0" w:color="auto"/>
                            <w:left w:val="none" w:sz="0" w:space="0" w:color="auto"/>
                            <w:bottom w:val="none" w:sz="0" w:space="0" w:color="auto"/>
                            <w:right w:val="none" w:sz="0" w:space="0" w:color="auto"/>
                          </w:divBdr>
                        </w:div>
                        <w:div w:id="570700583">
                          <w:marLeft w:val="0"/>
                          <w:marRight w:val="0"/>
                          <w:marTop w:val="0"/>
                          <w:marBottom w:val="0"/>
                          <w:divBdr>
                            <w:top w:val="none" w:sz="0" w:space="0" w:color="auto"/>
                            <w:left w:val="none" w:sz="0" w:space="0" w:color="auto"/>
                            <w:bottom w:val="none" w:sz="0" w:space="0" w:color="auto"/>
                            <w:right w:val="none" w:sz="0" w:space="0" w:color="auto"/>
                          </w:divBdr>
                        </w:div>
                      </w:divsChild>
                    </w:div>
                    <w:div w:id="480464391">
                      <w:marLeft w:val="0"/>
                      <w:marRight w:val="0"/>
                      <w:marTop w:val="0"/>
                      <w:marBottom w:val="0"/>
                      <w:divBdr>
                        <w:top w:val="none" w:sz="0" w:space="0" w:color="auto"/>
                        <w:left w:val="none" w:sz="0" w:space="0" w:color="auto"/>
                        <w:bottom w:val="none" w:sz="0" w:space="0" w:color="auto"/>
                        <w:right w:val="none" w:sz="0" w:space="0" w:color="auto"/>
                      </w:divBdr>
                    </w:div>
                    <w:div w:id="1972176528">
                      <w:marLeft w:val="0"/>
                      <w:marRight w:val="0"/>
                      <w:marTop w:val="0"/>
                      <w:marBottom w:val="0"/>
                      <w:divBdr>
                        <w:top w:val="none" w:sz="0" w:space="0" w:color="auto"/>
                        <w:left w:val="none" w:sz="0" w:space="0" w:color="auto"/>
                        <w:bottom w:val="none" w:sz="0" w:space="0" w:color="auto"/>
                        <w:right w:val="none" w:sz="0" w:space="0" w:color="auto"/>
                      </w:divBdr>
                    </w:div>
                  </w:divsChild>
                </w:div>
                <w:div w:id="2051302926">
                  <w:marLeft w:val="0"/>
                  <w:marRight w:val="0"/>
                  <w:marTop w:val="0"/>
                  <w:marBottom w:val="0"/>
                  <w:divBdr>
                    <w:top w:val="none" w:sz="0" w:space="0" w:color="auto"/>
                    <w:left w:val="none" w:sz="0" w:space="0" w:color="auto"/>
                    <w:bottom w:val="none" w:sz="0" w:space="0" w:color="auto"/>
                    <w:right w:val="none" w:sz="0" w:space="0" w:color="auto"/>
                  </w:divBdr>
                  <w:divsChild>
                    <w:div w:id="1640913201">
                      <w:marLeft w:val="0"/>
                      <w:marRight w:val="0"/>
                      <w:marTop w:val="0"/>
                      <w:marBottom w:val="0"/>
                      <w:divBdr>
                        <w:top w:val="none" w:sz="0" w:space="0" w:color="auto"/>
                        <w:left w:val="none" w:sz="0" w:space="0" w:color="auto"/>
                        <w:bottom w:val="none" w:sz="0" w:space="0" w:color="auto"/>
                        <w:right w:val="none" w:sz="0" w:space="0" w:color="auto"/>
                      </w:divBdr>
                    </w:div>
                    <w:div w:id="1316034985">
                      <w:marLeft w:val="0"/>
                      <w:marRight w:val="0"/>
                      <w:marTop w:val="0"/>
                      <w:marBottom w:val="0"/>
                      <w:divBdr>
                        <w:top w:val="none" w:sz="0" w:space="0" w:color="auto"/>
                        <w:left w:val="none" w:sz="0" w:space="0" w:color="auto"/>
                        <w:bottom w:val="none" w:sz="0" w:space="0" w:color="auto"/>
                        <w:right w:val="none" w:sz="0" w:space="0" w:color="auto"/>
                      </w:divBdr>
                    </w:div>
                    <w:div w:id="1734960883">
                      <w:marLeft w:val="0"/>
                      <w:marRight w:val="0"/>
                      <w:marTop w:val="0"/>
                      <w:marBottom w:val="0"/>
                      <w:divBdr>
                        <w:top w:val="none" w:sz="0" w:space="0" w:color="auto"/>
                        <w:left w:val="none" w:sz="0" w:space="0" w:color="auto"/>
                        <w:bottom w:val="none" w:sz="0" w:space="0" w:color="auto"/>
                        <w:right w:val="none" w:sz="0" w:space="0" w:color="auto"/>
                      </w:divBdr>
                    </w:div>
                    <w:div w:id="438571133">
                      <w:marLeft w:val="0"/>
                      <w:marRight w:val="0"/>
                      <w:marTop w:val="0"/>
                      <w:marBottom w:val="0"/>
                      <w:divBdr>
                        <w:top w:val="none" w:sz="0" w:space="0" w:color="auto"/>
                        <w:left w:val="none" w:sz="0" w:space="0" w:color="auto"/>
                        <w:bottom w:val="none" w:sz="0" w:space="0" w:color="auto"/>
                        <w:right w:val="none" w:sz="0" w:space="0" w:color="auto"/>
                      </w:divBdr>
                    </w:div>
                    <w:div w:id="395014114">
                      <w:marLeft w:val="0"/>
                      <w:marRight w:val="0"/>
                      <w:marTop w:val="0"/>
                      <w:marBottom w:val="0"/>
                      <w:divBdr>
                        <w:top w:val="none" w:sz="0" w:space="0" w:color="auto"/>
                        <w:left w:val="none" w:sz="0" w:space="0" w:color="auto"/>
                        <w:bottom w:val="none" w:sz="0" w:space="0" w:color="auto"/>
                        <w:right w:val="none" w:sz="0" w:space="0" w:color="auto"/>
                      </w:divBdr>
                    </w:div>
                    <w:div w:id="1594626392">
                      <w:marLeft w:val="0"/>
                      <w:marRight w:val="0"/>
                      <w:marTop w:val="0"/>
                      <w:marBottom w:val="0"/>
                      <w:divBdr>
                        <w:top w:val="none" w:sz="0" w:space="0" w:color="auto"/>
                        <w:left w:val="none" w:sz="0" w:space="0" w:color="auto"/>
                        <w:bottom w:val="none" w:sz="0" w:space="0" w:color="auto"/>
                        <w:right w:val="none" w:sz="0" w:space="0" w:color="auto"/>
                      </w:divBdr>
                      <w:divsChild>
                        <w:div w:id="1766146527">
                          <w:marLeft w:val="0"/>
                          <w:marRight w:val="0"/>
                          <w:marTop w:val="0"/>
                          <w:marBottom w:val="0"/>
                          <w:divBdr>
                            <w:top w:val="none" w:sz="0" w:space="0" w:color="auto"/>
                            <w:left w:val="none" w:sz="0" w:space="0" w:color="auto"/>
                            <w:bottom w:val="none" w:sz="0" w:space="0" w:color="auto"/>
                            <w:right w:val="none" w:sz="0" w:space="0" w:color="auto"/>
                          </w:divBdr>
                        </w:div>
                        <w:div w:id="665788831">
                          <w:marLeft w:val="0"/>
                          <w:marRight w:val="0"/>
                          <w:marTop w:val="0"/>
                          <w:marBottom w:val="0"/>
                          <w:divBdr>
                            <w:top w:val="none" w:sz="0" w:space="0" w:color="auto"/>
                            <w:left w:val="none" w:sz="0" w:space="0" w:color="auto"/>
                            <w:bottom w:val="none" w:sz="0" w:space="0" w:color="auto"/>
                            <w:right w:val="none" w:sz="0" w:space="0" w:color="auto"/>
                          </w:divBdr>
                        </w:div>
                        <w:div w:id="1394239053">
                          <w:marLeft w:val="0"/>
                          <w:marRight w:val="0"/>
                          <w:marTop w:val="0"/>
                          <w:marBottom w:val="0"/>
                          <w:divBdr>
                            <w:top w:val="none" w:sz="0" w:space="0" w:color="auto"/>
                            <w:left w:val="none" w:sz="0" w:space="0" w:color="auto"/>
                            <w:bottom w:val="none" w:sz="0" w:space="0" w:color="auto"/>
                            <w:right w:val="none" w:sz="0" w:space="0" w:color="auto"/>
                          </w:divBdr>
                        </w:div>
                        <w:div w:id="1054616887">
                          <w:marLeft w:val="0"/>
                          <w:marRight w:val="0"/>
                          <w:marTop w:val="0"/>
                          <w:marBottom w:val="0"/>
                          <w:divBdr>
                            <w:top w:val="none" w:sz="0" w:space="0" w:color="auto"/>
                            <w:left w:val="none" w:sz="0" w:space="0" w:color="auto"/>
                            <w:bottom w:val="none" w:sz="0" w:space="0" w:color="auto"/>
                            <w:right w:val="none" w:sz="0" w:space="0" w:color="auto"/>
                          </w:divBdr>
                        </w:div>
                        <w:div w:id="557058501">
                          <w:marLeft w:val="0"/>
                          <w:marRight w:val="0"/>
                          <w:marTop w:val="0"/>
                          <w:marBottom w:val="0"/>
                          <w:divBdr>
                            <w:top w:val="none" w:sz="0" w:space="0" w:color="auto"/>
                            <w:left w:val="none" w:sz="0" w:space="0" w:color="auto"/>
                            <w:bottom w:val="none" w:sz="0" w:space="0" w:color="auto"/>
                            <w:right w:val="none" w:sz="0" w:space="0" w:color="auto"/>
                          </w:divBdr>
                        </w:div>
                      </w:divsChild>
                    </w:div>
                    <w:div w:id="2084526151">
                      <w:marLeft w:val="0"/>
                      <w:marRight w:val="0"/>
                      <w:marTop w:val="0"/>
                      <w:marBottom w:val="0"/>
                      <w:divBdr>
                        <w:top w:val="none" w:sz="0" w:space="0" w:color="auto"/>
                        <w:left w:val="none" w:sz="0" w:space="0" w:color="auto"/>
                        <w:bottom w:val="none" w:sz="0" w:space="0" w:color="auto"/>
                        <w:right w:val="none" w:sz="0" w:space="0" w:color="auto"/>
                      </w:divBdr>
                    </w:div>
                    <w:div w:id="962729938">
                      <w:marLeft w:val="0"/>
                      <w:marRight w:val="0"/>
                      <w:marTop w:val="0"/>
                      <w:marBottom w:val="0"/>
                      <w:divBdr>
                        <w:top w:val="none" w:sz="0" w:space="0" w:color="auto"/>
                        <w:left w:val="none" w:sz="0" w:space="0" w:color="auto"/>
                        <w:bottom w:val="none" w:sz="0" w:space="0" w:color="auto"/>
                        <w:right w:val="none" w:sz="0" w:space="0" w:color="auto"/>
                      </w:divBdr>
                    </w:div>
                    <w:div w:id="1933858599">
                      <w:marLeft w:val="0"/>
                      <w:marRight w:val="0"/>
                      <w:marTop w:val="0"/>
                      <w:marBottom w:val="0"/>
                      <w:divBdr>
                        <w:top w:val="none" w:sz="0" w:space="0" w:color="auto"/>
                        <w:left w:val="none" w:sz="0" w:space="0" w:color="auto"/>
                        <w:bottom w:val="none" w:sz="0" w:space="0" w:color="auto"/>
                        <w:right w:val="none" w:sz="0" w:space="0" w:color="auto"/>
                      </w:divBdr>
                    </w:div>
                    <w:div w:id="435101415">
                      <w:marLeft w:val="0"/>
                      <w:marRight w:val="0"/>
                      <w:marTop w:val="0"/>
                      <w:marBottom w:val="0"/>
                      <w:divBdr>
                        <w:top w:val="none" w:sz="0" w:space="0" w:color="auto"/>
                        <w:left w:val="none" w:sz="0" w:space="0" w:color="auto"/>
                        <w:bottom w:val="none" w:sz="0" w:space="0" w:color="auto"/>
                        <w:right w:val="none" w:sz="0" w:space="0" w:color="auto"/>
                      </w:divBdr>
                    </w:div>
                    <w:div w:id="520820622">
                      <w:marLeft w:val="0"/>
                      <w:marRight w:val="0"/>
                      <w:marTop w:val="0"/>
                      <w:marBottom w:val="0"/>
                      <w:divBdr>
                        <w:top w:val="none" w:sz="0" w:space="0" w:color="auto"/>
                        <w:left w:val="none" w:sz="0" w:space="0" w:color="auto"/>
                        <w:bottom w:val="none" w:sz="0" w:space="0" w:color="auto"/>
                        <w:right w:val="none" w:sz="0" w:space="0" w:color="auto"/>
                      </w:divBdr>
                    </w:div>
                    <w:div w:id="835417682">
                      <w:marLeft w:val="0"/>
                      <w:marRight w:val="0"/>
                      <w:marTop w:val="0"/>
                      <w:marBottom w:val="0"/>
                      <w:divBdr>
                        <w:top w:val="none" w:sz="0" w:space="0" w:color="auto"/>
                        <w:left w:val="none" w:sz="0" w:space="0" w:color="auto"/>
                        <w:bottom w:val="none" w:sz="0" w:space="0" w:color="auto"/>
                        <w:right w:val="none" w:sz="0" w:space="0" w:color="auto"/>
                      </w:divBdr>
                    </w:div>
                    <w:div w:id="1621643353">
                      <w:marLeft w:val="0"/>
                      <w:marRight w:val="0"/>
                      <w:marTop w:val="0"/>
                      <w:marBottom w:val="0"/>
                      <w:divBdr>
                        <w:top w:val="none" w:sz="0" w:space="0" w:color="auto"/>
                        <w:left w:val="none" w:sz="0" w:space="0" w:color="auto"/>
                        <w:bottom w:val="none" w:sz="0" w:space="0" w:color="auto"/>
                        <w:right w:val="none" w:sz="0" w:space="0" w:color="auto"/>
                      </w:divBdr>
                    </w:div>
                    <w:div w:id="363796418">
                      <w:marLeft w:val="0"/>
                      <w:marRight w:val="0"/>
                      <w:marTop w:val="0"/>
                      <w:marBottom w:val="0"/>
                      <w:divBdr>
                        <w:top w:val="none" w:sz="0" w:space="0" w:color="auto"/>
                        <w:left w:val="none" w:sz="0" w:space="0" w:color="auto"/>
                        <w:bottom w:val="none" w:sz="0" w:space="0" w:color="auto"/>
                        <w:right w:val="none" w:sz="0" w:space="0" w:color="auto"/>
                      </w:divBdr>
                    </w:div>
                    <w:div w:id="1939482660">
                      <w:marLeft w:val="0"/>
                      <w:marRight w:val="0"/>
                      <w:marTop w:val="0"/>
                      <w:marBottom w:val="0"/>
                      <w:divBdr>
                        <w:top w:val="none" w:sz="0" w:space="0" w:color="auto"/>
                        <w:left w:val="none" w:sz="0" w:space="0" w:color="auto"/>
                        <w:bottom w:val="none" w:sz="0" w:space="0" w:color="auto"/>
                        <w:right w:val="none" w:sz="0" w:space="0" w:color="auto"/>
                      </w:divBdr>
                    </w:div>
                  </w:divsChild>
                </w:div>
                <w:div w:id="1595285574">
                  <w:marLeft w:val="0"/>
                  <w:marRight w:val="0"/>
                  <w:marTop w:val="0"/>
                  <w:marBottom w:val="0"/>
                  <w:divBdr>
                    <w:top w:val="none" w:sz="0" w:space="0" w:color="auto"/>
                    <w:left w:val="none" w:sz="0" w:space="0" w:color="auto"/>
                    <w:bottom w:val="none" w:sz="0" w:space="0" w:color="auto"/>
                    <w:right w:val="none" w:sz="0" w:space="0" w:color="auto"/>
                  </w:divBdr>
                  <w:divsChild>
                    <w:div w:id="1539007812">
                      <w:marLeft w:val="0"/>
                      <w:marRight w:val="0"/>
                      <w:marTop w:val="0"/>
                      <w:marBottom w:val="0"/>
                      <w:divBdr>
                        <w:top w:val="none" w:sz="0" w:space="0" w:color="auto"/>
                        <w:left w:val="none" w:sz="0" w:space="0" w:color="auto"/>
                        <w:bottom w:val="none" w:sz="0" w:space="0" w:color="auto"/>
                        <w:right w:val="none" w:sz="0" w:space="0" w:color="auto"/>
                      </w:divBdr>
                    </w:div>
                    <w:div w:id="2089376706">
                      <w:marLeft w:val="0"/>
                      <w:marRight w:val="0"/>
                      <w:marTop w:val="0"/>
                      <w:marBottom w:val="0"/>
                      <w:divBdr>
                        <w:top w:val="none" w:sz="0" w:space="0" w:color="auto"/>
                        <w:left w:val="none" w:sz="0" w:space="0" w:color="auto"/>
                        <w:bottom w:val="none" w:sz="0" w:space="0" w:color="auto"/>
                        <w:right w:val="none" w:sz="0" w:space="0" w:color="auto"/>
                      </w:divBdr>
                    </w:div>
                    <w:div w:id="1335181342">
                      <w:marLeft w:val="0"/>
                      <w:marRight w:val="0"/>
                      <w:marTop w:val="0"/>
                      <w:marBottom w:val="0"/>
                      <w:divBdr>
                        <w:top w:val="none" w:sz="0" w:space="0" w:color="auto"/>
                        <w:left w:val="none" w:sz="0" w:space="0" w:color="auto"/>
                        <w:bottom w:val="none" w:sz="0" w:space="0" w:color="auto"/>
                        <w:right w:val="none" w:sz="0" w:space="0" w:color="auto"/>
                      </w:divBdr>
                    </w:div>
                    <w:div w:id="1419448572">
                      <w:marLeft w:val="0"/>
                      <w:marRight w:val="0"/>
                      <w:marTop w:val="0"/>
                      <w:marBottom w:val="0"/>
                      <w:divBdr>
                        <w:top w:val="none" w:sz="0" w:space="0" w:color="auto"/>
                        <w:left w:val="none" w:sz="0" w:space="0" w:color="auto"/>
                        <w:bottom w:val="none" w:sz="0" w:space="0" w:color="auto"/>
                        <w:right w:val="none" w:sz="0" w:space="0" w:color="auto"/>
                      </w:divBdr>
                    </w:div>
                    <w:div w:id="795831853">
                      <w:marLeft w:val="0"/>
                      <w:marRight w:val="0"/>
                      <w:marTop w:val="0"/>
                      <w:marBottom w:val="0"/>
                      <w:divBdr>
                        <w:top w:val="none" w:sz="0" w:space="0" w:color="auto"/>
                        <w:left w:val="none" w:sz="0" w:space="0" w:color="auto"/>
                        <w:bottom w:val="none" w:sz="0" w:space="0" w:color="auto"/>
                        <w:right w:val="none" w:sz="0" w:space="0" w:color="auto"/>
                      </w:divBdr>
                    </w:div>
                  </w:divsChild>
                </w:div>
                <w:div w:id="1396244665">
                  <w:marLeft w:val="0"/>
                  <w:marRight w:val="0"/>
                  <w:marTop w:val="0"/>
                  <w:marBottom w:val="0"/>
                  <w:divBdr>
                    <w:top w:val="none" w:sz="0" w:space="0" w:color="auto"/>
                    <w:left w:val="none" w:sz="0" w:space="0" w:color="auto"/>
                    <w:bottom w:val="none" w:sz="0" w:space="0" w:color="auto"/>
                    <w:right w:val="none" w:sz="0" w:space="0" w:color="auto"/>
                  </w:divBdr>
                  <w:divsChild>
                    <w:div w:id="83565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170019">
              <w:marLeft w:val="0"/>
              <w:marRight w:val="0"/>
              <w:marTop w:val="0"/>
              <w:marBottom w:val="0"/>
              <w:divBdr>
                <w:top w:val="none" w:sz="0" w:space="0" w:color="auto"/>
                <w:left w:val="none" w:sz="0" w:space="0" w:color="auto"/>
                <w:bottom w:val="none" w:sz="0" w:space="0" w:color="auto"/>
                <w:right w:val="none" w:sz="0" w:space="0" w:color="auto"/>
              </w:divBdr>
              <w:divsChild>
                <w:div w:id="158010738">
                  <w:marLeft w:val="0"/>
                  <w:marRight w:val="0"/>
                  <w:marTop w:val="0"/>
                  <w:marBottom w:val="0"/>
                  <w:divBdr>
                    <w:top w:val="none" w:sz="0" w:space="0" w:color="auto"/>
                    <w:left w:val="none" w:sz="0" w:space="0" w:color="auto"/>
                    <w:bottom w:val="none" w:sz="0" w:space="0" w:color="auto"/>
                    <w:right w:val="none" w:sz="0" w:space="0" w:color="auto"/>
                  </w:divBdr>
                  <w:divsChild>
                    <w:div w:id="782380846">
                      <w:marLeft w:val="0"/>
                      <w:marRight w:val="0"/>
                      <w:marTop w:val="0"/>
                      <w:marBottom w:val="0"/>
                      <w:divBdr>
                        <w:top w:val="none" w:sz="0" w:space="0" w:color="auto"/>
                        <w:left w:val="none" w:sz="0" w:space="0" w:color="auto"/>
                        <w:bottom w:val="none" w:sz="0" w:space="0" w:color="auto"/>
                        <w:right w:val="none" w:sz="0" w:space="0" w:color="auto"/>
                      </w:divBdr>
                    </w:div>
                  </w:divsChild>
                </w:div>
                <w:div w:id="774250606">
                  <w:marLeft w:val="0"/>
                  <w:marRight w:val="0"/>
                  <w:marTop w:val="0"/>
                  <w:marBottom w:val="0"/>
                  <w:divBdr>
                    <w:top w:val="none" w:sz="0" w:space="0" w:color="auto"/>
                    <w:left w:val="none" w:sz="0" w:space="0" w:color="auto"/>
                    <w:bottom w:val="none" w:sz="0" w:space="0" w:color="auto"/>
                    <w:right w:val="none" w:sz="0" w:space="0" w:color="auto"/>
                  </w:divBdr>
                  <w:divsChild>
                    <w:div w:id="1640987397">
                      <w:marLeft w:val="0"/>
                      <w:marRight w:val="0"/>
                      <w:marTop w:val="0"/>
                      <w:marBottom w:val="0"/>
                      <w:divBdr>
                        <w:top w:val="none" w:sz="0" w:space="0" w:color="auto"/>
                        <w:left w:val="none" w:sz="0" w:space="0" w:color="auto"/>
                        <w:bottom w:val="none" w:sz="0" w:space="0" w:color="auto"/>
                        <w:right w:val="none" w:sz="0" w:space="0" w:color="auto"/>
                      </w:divBdr>
                    </w:div>
                    <w:div w:id="309872783">
                      <w:marLeft w:val="0"/>
                      <w:marRight w:val="0"/>
                      <w:marTop w:val="0"/>
                      <w:marBottom w:val="0"/>
                      <w:divBdr>
                        <w:top w:val="none" w:sz="0" w:space="0" w:color="auto"/>
                        <w:left w:val="none" w:sz="0" w:space="0" w:color="auto"/>
                        <w:bottom w:val="none" w:sz="0" w:space="0" w:color="auto"/>
                        <w:right w:val="none" w:sz="0" w:space="0" w:color="auto"/>
                      </w:divBdr>
                    </w:div>
                  </w:divsChild>
                </w:div>
                <w:div w:id="819342442">
                  <w:marLeft w:val="0"/>
                  <w:marRight w:val="0"/>
                  <w:marTop w:val="0"/>
                  <w:marBottom w:val="0"/>
                  <w:divBdr>
                    <w:top w:val="none" w:sz="0" w:space="0" w:color="auto"/>
                    <w:left w:val="none" w:sz="0" w:space="0" w:color="auto"/>
                    <w:bottom w:val="none" w:sz="0" w:space="0" w:color="auto"/>
                    <w:right w:val="none" w:sz="0" w:space="0" w:color="auto"/>
                  </w:divBdr>
                  <w:divsChild>
                    <w:div w:id="1009062891">
                      <w:marLeft w:val="0"/>
                      <w:marRight w:val="0"/>
                      <w:marTop w:val="0"/>
                      <w:marBottom w:val="0"/>
                      <w:divBdr>
                        <w:top w:val="none" w:sz="0" w:space="0" w:color="auto"/>
                        <w:left w:val="none" w:sz="0" w:space="0" w:color="auto"/>
                        <w:bottom w:val="none" w:sz="0" w:space="0" w:color="auto"/>
                        <w:right w:val="none" w:sz="0" w:space="0" w:color="auto"/>
                      </w:divBdr>
                    </w:div>
                  </w:divsChild>
                </w:div>
                <w:div w:id="48840873">
                  <w:marLeft w:val="0"/>
                  <w:marRight w:val="0"/>
                  <w:marTop w:val="0"/>
                  <w:marBottom w:val="0"/>
                  <w:divBdr>
                    <w:top w:val="none" w:sz="0" w:space="0" w:color="auto"/>
                    <w:left w:val="none" w:sz="0" w:space="0" w:color="auto"/>
                    <w:bottom w:val="none" w:sz="0" w:space="0" w:color="auto"/>
                    <w:right w:val="none" w:sz="0" w:space="0" w:color="auto"/>
                  </w:divBdr>
                  <w:divsChild>
                    <w:div w:id="205396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53301">
              <w:marLeft w:val="0"/>
              <w:marRight w:val="0"/>
              <w:marTop w:val="0"/>
              <w:marBottom w:val="0"/>
              <w:divBdr>
                <w:top w:val="none" w:sz="0" w:space="0" w:color="auto"/>
                <w:left w:val="none" w:sz="0" w:space="0" w:color="auto"/>
                <w:bottom w:val="none" w:sz="0" w:space="0" w:color="auto"/>
                <w:right w:val="none" w:sz="0" w:space="0" w:color="auto"/>
              </w:divBdr>
              <w:divsChild>
                <w:div w:id="1953513425">
                  <w:marLeft w:val="0"/>
                  <w:marRight w:val="0"/>
                  <w:marTop w:val="0"/>
                  <w:marBottom w:val="0"/>
                  <w:divBdr>
                    <w:top w:val="none" w:sz="0" w:space="0" w:color="auto"/>
                    <w:left w:val="none" w:sz="0" w:space="0" w:color="auto"/>
                    <w:bottom w:val="none" w:sz="0" w:space="0" w:color="auto"/>
                    <w:right w:val="none" w:sz="0" w:space="0" w:color="auto"/>
                  </w:divBdr>
                  <w:divsChild>
                    <w:div w:id="2096434597">
                      <w:marLeft w:val="0"/>
                      <w:marRight w:val="0"/>
                      <w:marTop w:val="0"/>
                      <w:marBottom w:val="0"/>
                      <w:divBdr>
                        <w:top w:val="none" w:sz="0" w:space="0" w:color="auto"/>
                        <w:left w:val="none" w:sz="0" w:space="0" w:color="auto"/>
                        <w:bottom w:val="none" w:sz="0" w:space="0" w:color="auto"/>
                        <w:right w:val="none" w:sz="0" w:space="0" w:color="auto"/>
                      </w:divBdr>
                    </w:div>
                  </w:divsChild>
                </w:div>
                <w:div w:id="1946187090">
                  <w:marLeft w:val="0"/>
                  <w:marRight w:val="0"/>
                  <w:marTop w:val="0"/>
                  <w:marBottom w:val="0"/>
                  <w:divBdr>
                    <w:top w:val="none" w:sz="0" w:space="0" w:color="auto"/>
                    <w:left w:val="none" w:sz="0" w:space="0" w:color="auto"/>
                    <w:bottom w:val="none" w:sz="0" w:space="0" w:color="auto"/>
                    <w:right w:val="none" w:sz="0" w:space="0" w:color="auto"/>
                  </w:divBdr>
                  <w:divsChild>
                    <w:div w:id="1052996053">
                      <w:marLeft w:val="0"/>
                      <w:marRight w:val="0"/>
                      <w:marTop w:val="0"/>
                      <w:marBottom w:val="0"/>
                      <w:divBdr>
                        <w:top w:val="none" w:sz="0" w:space="0" w:color="auto"/>
                        <w:left w:val="none" w:sz="0" w:space="0" w:color="auto"/>
                        <w:bottom w:val="none" w:sz="0" w:space="0" w:color="auto"/>
                        <w:right w:val="none" w:sz="0" w:space="0" w:color="auto"/>
                      </w:divBdr>
                    </w:div>
                    <w:div w:id="645823221">
                      <w:marLeft w:val="0"/>
                      <w:marRight w:val="0"/>
                      <w:marTop w:val="0"/>
                      <w:marBottom w:val="0"/>
                      <w:divBdr>
                        <w:top w:val="none" w:sz="0" w:space="0" w:color="auto"/>
                        <w:left w:val="none" w:sz="0" w:space="0" w:color="auto"/>
                        <w:bottom w:val="none" w:sz="0" w:space="0" w:color="auto"/>
                        <w:right w:val="none" w:sz="0" w:space="0" w:color="auto"/>
                      </w:divBdr>
                    </w:div>
                    <w:div w:id="1145705446">
                      <w:marLeft w:val="0"/>
                      <w:marRight w:val="0"/>
                      <w:marTop w:val="0"/>
                      <w:marBottom w:val="0"/>
                      <w:divBdr>
                        <w:top w:val="none" w:sz="0" w:space="0" w:color="auto"/>
                        <w:left w:val="none" w:sz="0" w:space="0" w:color="auto"/>
                        <w:bottom w:val="none" w:sz="0" w:space="0" w:color="auto"/>
                        <w:right w:val="none" w:sz="0" w:space="0" w:color="auto"/>
                      </w:divBdr>
                    </w:div>
                    <w:div w:id="2044358062">
                      <w:marLeft w:val="0"/>
                      <w:marRight w:val="0"/>
                      <w:marTop w:val="0"/>
                      <w:marBottom w:val="0"/>
                      <w:divBdr>
                        <w:top w:val="none" w:sz="0" w:space="0" w:color="auto"/>
                        <w:left w:val="none" w:sz="0" w:space="0" w:color="auto"/>
                        <w:bottom w:val="none" w:sz="0" w:space="0" w:color="auto"/>
                        <w:right w:val="none" w:sz="0" w:space="0" w:color="auto"/>
                      </w:divBdr>
                    </w:div>
                    <w:div w:id="1666010361">
                      <w:marLeft w:val="0"/>
                      <w:marRight w:val="0"/>
                      <w:marTop w:val="0"/>
                      <w:marBottom w:val="0"/>
                      <w:divBdr>
                        <w:top w:val="none" w:sz="0" w:space="0" w:color="auto"/>
                        <w:left w:val="none" w:sz="0" w:space="0" w:color="auto"/>
                        <w:bottom w:val="none" w:sz="0" w:space="0" w:color="auto"/>
                        <w:right w:val="none" w:sz="0" w:space="0" w:color="auto"/>
                      </w:divBdr>
                    </w:div>
                    <w:div w:id="104424938">
                      <w:marLeft w:val="0"/>
                      <w:marRight w:val="0"/>
                      <w:marTop w:val="0"/>
                      <w:marBottom w:val="0"/>
                      <w:divBdr>
                        <w:top w:val="none" w:sz="0" w:space="0" w:color="auto"/>
                        <w:left w:val="none" w:sz="0" w:space="0" w:color="auto"/>
                        <w:bottom w:val="none" w:sz="0" w:space="0" w:color="auto"/>
                        <w:right w:val="none" w:sz="0" w:space="0" w:color="auto"/>
                      </w:divBdr>
                    </w:div>
                    <w:div w:id="1898082722">
                      <w:marLeft w:val="0"/>
                      <w:marRight w:val="0"/>
                      <w:marTop w:val="0"/>
                      <w:marBottom w:val="0"/>
                      <w:divBdr>
                        <w:top w:val="none" w:sz="0" w:space="0" w:color="auto"/>
                        <w:left w:val="none" w:sz="0" w:space="0" w:color="auto"/>
                        <w:bottom w:val="none" w:sz="0" w:space="0" w:color="auto"/>
                        <w:right w:val="none" w:sz="0" w:space="0" w:color="auto"/>
                      </w:divBdr>
                    </w:div>
                  </w:divsChild>
                </w:div>
                <w:div w:id="840200481">
                  <w:marLeft w:val="0"/>
                  <w:marRight w:val="0"/>
                  <w:marTop w:val="0"/>
                  <w:marBottom w:val="0"/>
                  <w:divBdr>
                    <w:top w:val="none" w:sz="0" w:space="0" w:color="auto"/>
                    <w:left w:val="none" w:sz="0" w:space="0" w:color="auto"/>
                    <w:bottom w:val="none" w:sz="0" w:space="0" w:color="auto"/>
                    <w:right w:val="none" w:sz="0" w:space="0" w:color="auto"/>
                  </w:divBdr>
                  <w:divsChild>
                    <w:div w:id="1707021872">
                      <w:marLeft w:val="0"/>
                      <w:marRight w:val="0"/>
                      <w:marTop w:val="0"/>
                      <w:marBottom w:val="0"/>
                      <w:divBdr>
                        <w:top w:val="none" w:sz="0" w:space="0" w:color="auto"/>
                        <w:left w:val="none" w:sz="0" w:space="0" w:color="auto"/>
                        <w:bottom w:val="none" w:sz="0" w:space="0" w:color="auto"/>
                        <w:right w:val="none" w:sz="0" w:space="0" w:color="auto"/>
                      </w:divBdr>
                    </w:div>
                  </w:divsChild>
                </w:div>
                <w:div w:id="423573828">
                  <w:marLeft w:val="0"/>
                  <w:marRight w:val="0"/>
                  <w:marTop w:val="0"/>
                  <w:marBottom w:val="0"/>
                  <w:divBdr>
                    <w:top w:val="none" w:sz="0" w:space="0" w:color="auto"/>
                    <w:left w:val="none" w:sz="0" w:space="0" w:color="auto"/>
                    <w:bottom w:val="none" w:sz="0" w:space="0" w:color="auto"/>
                    <w:right w:val="none" w:sz="0" w:space="0" w:color="auto"/>
                  </w:divBdr>
                  <w:divsChild>
                    <w:div w:id="89786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254093">
              <w:marLeft w:val="0"/>
              <w:marRight w:val="0"/>
              <w:marTop w:val="0"/>
              <w:marBottom w:val="0"/>
              <w:divBdr>
                <w:top w:val="none" w:sz="0" w:space="0" w:color="auto"/>
                <w:left w:val="none" w:sz="0" w:space="0" w:color="auto"/>
                <w:bottom w:val="none" w:sz="0" w:space="0" w:color="auto"/>
                <w:right w:val="none" w:sz="0" w:space="0" w:color="auto"/>
              </w:divBdr>
              <w:divsChild>
                <w:div w:id="346251591">
                  <w:marLeft w:val="0"/>
                  <w:marRight w:val="0"/>
                  <w:marTop w:val="0"/>
                  <w:marBottom w:val="0"/>
                  <w:divBdr>
                    <w:top w:val="none" w:sz="0" w:space="0" w:color="auto"/>
                    <w:left w:val="none" w:sz="0" w:space="0" w:color="auto"/>
                    <w:bottom w:val="none" w:sz="0" w:space="0" w:color="auto"/>
                    <w:right w:val="none" w:sz="0" w:space="0" w:color="auto"/>
                  </w:divBdr>
                </w:div>
                <w:div w:id="391655686">
                  <w:marLeft w:val="0"/>
                  <w:marRight w:val="0"/>
                  <w:marTop w:val="0"/>
                  <w:marBottom w:val="0"/>
                  <w:divBdr>
                    <w:top w:val="none" w:sz="0" w:space="0" w:color="auto"/>
                    <w:left w:val="none" w:sz="0" w:space="0" w:color="auto"/>
                    <w:bottom w:val="none" w:sz="0" w:space="0" w:color="auto"/>
                    <w:right w:val="none" w:sz="0" w:space="0" w:color="auto"/>
                  </w:divBdr>
                  <w:divsChild>
                    <w:div w:id="1549875230">
                      <w:marLeft w:val="0"/>
                      <w:marRight w:val="0"/>
                      <w:marTop w:val="0"/>
                      <w:marBottom w:val="0"/>
                      <w:divBdr>
                        <w:top w:val="none" w:sz="0" w:space="0" w:color="auto"/>
                        <w:left w:val="none" w:sz="0" w:space="0" w:color="auto"/>
                        <w:bottom w:val="none" w:sz="0" w:space="0" w:color="auto"/>
                        <w:right w:val="none" w:sz="0" w:space="0" w:color="auto"/>
                      </w:divBdr>
                      <w:divsChild>
                        <w:div w:id="1971351975">
                          <w:marLeft w:val="0"/>
                          <w:marRight w:val="0"/>
                          <w:marTop w:val="0"/>
                          <w:marBottom w:val="0"/>
                          <w:divBdr>
                            <w:top w:val="none" w:sz="0" w:space="0" w:color="auto"/>
                            <w:left w:val="none" w:sz="0" w:space="0" w:color="auto"/>
                            <w:bottom w:val="none" w:sz="0" w:space="0" w:color="auto"/>
                            <w:right w:val="none" w:sz="0" w:space="0" w:color="auto"/>
                          </w:divBdr>
                        </w:div>
                        <w:div w:id="1263223308">
                          <w:marLeft w:val="0"/>
                          <w:marRight w:val="0"/>
                          <w:marTop w:val="0"/>
                          <w:marBottom w:val="0"/>
                          <w:divBdr>
                            <w:top w:val="none" w:sz="0" w:space="0" w:color="auto"/>
                            <w:left w:val="none" w:sz="0" w:space="0" w:color="auto"/>
                            <w:bottom w:val="none" w:sz="0" w:space="0" w:color="auto"/>
                            <w:right w:val="none" w:sz="0" w:space="0" w:color="auto"/>
                          </w:divBdr>
                        </w:div>
                        <w:div w:id="1334378739">
                          <w:marLeft w:val="0"/>
                          <w:marRight w:val="0"/>
                          <w:marTop w:val="0"/>
                          <w:marBottom w:val="0"/>
                          <w:divBdr>
                            <w:top w:val="none" w:sz="0" w:space="0" w:color="auto"/>
                            <w:left w:val="none" w:sz="0" w:space="0" w:color="auto"/>
                            <w:bottom w:val="none" w:sz="0" w:space="0" w:color="auto"/>
                            <w:right w:val="none" w:sz="0" w:space="0" w:color="auto"/>
                          </w:divBdr>
                        </w:div>
                        <w:div w:id="1884174476">
                          <w:marLeft w:val="0"/>
                          <w:marRight w:val="0"/>
                          <w:marTop w:val="0"/>
                          <w:marBottom w:val="0"/>
                          <w:divBdr>
                            <w:top w:val="none" w:sz="0" w:space="0" w:color="auto"/>
                            <w:left w:val="none" w:sz="0" w:space="0" w:color="auto"/>
                            <w:bottom w:val="none" w:sz="0" w:space="0" w:color="auto"/>
                            <w:right w:val="none" w:sz="0" w:space="0" w:color="auto"/>
                          </w:divBdr>
                        </w:div>
                      </w:divsChild>
                    </w:div>
                    <w:div w:id="1807427350">
                      <w:marLeft w:val="0"/>
                      <w:marRight w:val="0"/>
                      <w:marTop w:val="0"/>
                      <w:marBottom w:val="0"/>
                      <w:divBdr>
                        <w:top w:val="none" w:sz="0" w:space="0" w:color="auto"/>
                        <w:left w:val="none" w:sz="0" w:space="0" w:color="auto"/>
                        <w:bottom w:val="none" w:sz="0" w:space="0" w:color="auto"/>
                        <w:right w:val="none" w:sz="0" w:space="0" w:color="auto"/>
                      </w:divBdr>
                    </w:div>
                  </w:divsChild>
                </w:div>
                <w:div w:id="692850927">
                  <w:marLeft w:val="0"/>
                  <w:marRight w:val="0"/>
                  <w:marTop w:val="0"/>
                  <w:marBottom w:val="0"/>
                  <w:divBdr>
                    <w:top w:val="none" w:sz="0" w:space="0" w:color="auto"/>
                    <w:left w:val="none" w:sz="0" w:space="0" w:color="auto"/>
                    <w:bottom w:val="none" w:sz="0" w:space="0" w:color="auto"/>
                    <w:right w:val="none" w:sz="0" w:space="0" w:color="auto"/>
                  </w:divBdr>
                  <w:divsChild>
                    <w:div w:id="225343764">
                      <w:marLeft w:val="0"/>
                      <w:marRight w:val="0"/>
                      <w:marTop w:val="0"/>
                      <w:marBottom w:val="0"/>
                      <w:divBdr>
                        <w:top w:val="none" w:sz="0" w:space="0" w:color="auto"/>
                        <w:left w:val="none" w:sz="0" w:space="0" w:color="auto"/>
                        <w:bottom w:val="none" w:sz="0" w:space="0" w:color="auto"/>
                        <w:right w:val="none" w:sz="0" w:space="0" w:color="auto"/>
                      </w:divBdr>
                      <w:divsChild>
                        <w:div w:id="1275212327">
                          <w:marLeft w:val="0"/>
                          <w:marRight w:val="0"/>
                          <w:marTop w:val="0"/>
                          <w:marBottom w:val="0"/>
                          <w:divBdr>
                            <w:top w:val="none" w:sz="0" w:space="0" w:color="auto"/>
                            <w:left w:val="none" w:sz="0" w:space="0" w:color="auto"/>
                            <w:bottom w:val="none" w:sz="0" w:space="0" w:color="auto"/>
                            <w:right w:val="none" w:sz="0" w:space="0" w:color="auto"/>
                          </w:divBdr>
                        </w:div>
                        <w:div w:id="726808352">
                          <w:marLeft w:val="0"/>
                          <w:marRight w:val="0"/>
                          <w:marTop w:val="0"/>
                          <w:marBottom w:val="0"/>
                          <w:divBdr>
                            <w:top w:val="none" w:sz="0" w:space="0" w:color="auto"/>
                            <w:left w:val="none" w:sz="0" w:space="0" w:color="auto"/>
                            <w:bottom w:val="none" w:sz="0" w:space="0" w:color="auto"/>
                            <w:right w:val="none" w:sz="0" w:space="0" w:color="auto"/>
                          </w:divBdr>
                        </w:div>
                        <w:div w:id="1614479594">
                          <w:marLeft w:val="0"/>
                          <w:marRight w:val="0"/>
                          <w:marTop w:val="0"/>
                          <w:marBottom w:val="0"/>
                          <w:divBdr>
                            <w:top w:val="none" w:sz="0" w:space="0" w:color="auto"/>
                            <w:left w:val="none" w:sz="0" w:space="0" w:color="auto"/>
                            <w:bottom w:val="none" w:sz="0" w:space="0" w:color="auto"/>
                            <w:right w:val="none" w:sz="0" w:space="0" w:color="auto"/>
                          </w:divBdr>
                        </w:div>
                        <w:div w:id="348064796">
                          <w:marLeft w:val="0"/>
                          <w:marRight w:val="0"/>
                          <w:marTop w:val="0"/>
                          <w:marBottom w:val="0"/>
                          <w:divBdr>
                            <w:top w:val="none" w:sz="0" w:space="0" w:color="auto"/>
                            <w:left w:val="none" w:sz="0" w:space="0" w:color="auto"/>
                            <w:bottom w:val="none" w:sz="0" w:space="0" w:color="auto"/>
                            <w:right w:val="none" w:sz="0" w:space="0" w:color="auto"/>
                          </w:divBdr>
                        </w:div>
                        <w:div w:id="52286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3672">
                  <w:marLeft w:val="0"/>
                  <w:marRight w:val="0"/>
                  <w:marTop w:val="0"/>
                  <w:marBottom w:val="0"/>
                  <w:divBdr>
                    <w:top w:val="none" w:sz="0" w:space="0" w:color="auto"/>
                    <w:left w:val="none" w:sz="0" w:space="0" w:color="auto"/>
                    <w:bottom w:val="none" w:sz="0" w:space="0" w:color="auto"/>
                    <w:right w:val="none" w:sz="0" w:space="0" w:color="auto"/>
                  </w:divBdr>
                  <w:divsChild>
                    <w:div w:id="509948728">
                      <w:marLeft w:val="0"/>
                      <w:marRight w:val="0"/>
                      <w:marTop w:val="0"/>
                      <w:marBottom w:val="0"/>
                      <w:divBdr>
                        <w:top w:val="none" w:sz="0" w:space="0" w:color="auto"/>
                        <w:left w:val="none" w:sz="0" w:space="0" w:color="auto"/>
                        <w:bottom w:val="none" w:sz="0" w:space="0" w:color="auto"/>
                        <w:right w:val="none" w:sz="0" w:space="0" w:color="auto"/>
                      </w:divBdr>
                    </w:div>
                    <w:div w:id="350650247">
                      <w:marLeft w:val="0"/>
                      <w:marRight w:val="0"/>
                      <w:marTop w:val="0"/>
                      <w:marBottom w:val="0"/>
                      <w:divBdr>
                        <w:top w:val="none" w:sz="0" w:space="0" w:color="auto"/>
                        <w:left w:val="none" w:sz="0" w:space="0" w:color="auto"/>
                        <w:bottom w:val="none" w:sz="0" w:space="0" w:color="auto"/>
                        <w:right w:val="none" w:sz="0" w:space="0" w:color="auto"/>
                      </w:divBdr>
                    </w:div>
                  </w:divsChild>
                </w:div>
                <w:div w:id="1602647262">
                  <w:marLeft w:val="0"/>
                  <w:marRight w:val="0"/>
                  <w:marTop w:val="0"/>
                  <w:marBottom w:val="0"/>
                  <w:divBdr>
                    <w:top w:val="none" w:sz="0" w:space="0" w:color="auto"/>
                    <w:left w:val="none" w:sz="0" w:space="0" w:color="auto"/>
                    <w:bottom w:val="none" w:sz="0" w:space="0" w:color="auto"/>
                    <w:right w:val="none" w:sz="0" w:space="0" w:color="auto"/>
                  </w:divBdr>
                  <w:divsChild>
                    <w:div w:id="93613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002950">
              <w:marLeft w:val="0"/>
              <w:marRight w:val="0"/>
              <w:marTop w:val="0"/>
              <w:marBottom w:val="0"/>
              <w:divBdr>
                <w:top w:val="none" w:sz="0" w:space="0" w:color="auto"/>
                <w:left w:val="none" w:sz="0" w:space="0" w:color="auto"/>
                <w:bottom w:val="none" w:sz="0" w:space="0" w:color="auto"/>
                <w:right w:val="none" w:sz="0" w:space="0" w:color="auto"/>
              </w:divBdr>
              <w:divsChild>
                <w:div w:id="1246723704">
                  <w:marLeft w:val="0"/>
                  <w:marRight w:val="0"/>
                  <w:marTop w:val="0"/>
                  <w:marBottom w:val="0"/>
                  <w:divBdr>
                    <w:top w:val="none" w:sz="0" w:space="0" w:color="auto"/>
                    <w:left w:val="none" w:sz="0" w:space="0" w:color="auto"/>
                    <w:bottom w:val="none" w:sz="0" w:space="0" w:color="auto"/>
                    <w:right w:val="none" w:sz="0" w:space="0" w:color="auto"/>
                  </w:divBdr>
                  <w:divsChild>
                    <w:div w:id="802305757">
                      <w:marLeft w:val="0"/>
                      <w:marRight w:val="0"/>
                      <w:marTop w:val="0"/>
                      <w:marBottom w:val="0"/>
                      <w:divBdr>
                        <w:top w:val="none" w:sz="0" w:space="0" w:color="auto"/>
                        <w:left w:val="none" w:sz="0" w:space="0" w:color="auto"/>
                        <w:bottom w:val="none" w:sz="0" w:space="0" w:color="auto"/>
                        <w:right w:val="none" w:sz="0" w:space="0" w:color="auto"/>
                      </w:divBdr>
                      <w:divsChild>
                        <w:div w:id="926228043">
                          <w:marLeft w:val="0"/>
                          <w:marRight w:val="0"/>
                          <w:marTop w:val="0"/>
                          <w:marBottom w:val="0"/>
                          <w:divBdr>
                            <w:top w:val="none" w:sz="0" w:space="0" w:color="auto"/>
                            <w:left w:val="none" w:sz="0" w:space="0" w:color="auto"/>
                            <w:bottom w:val="none" w:sz="0" w:space="0" w:color="auto"/>
                            <w:right w:val="none" w:sz="0" w:space="0" w:color="auto"/>
                          </w:divBdr>
                        </w:div>
                        <w:div w:id="1015302722">
                          <w:marLeft w:val="0"/>
                          <w:marRight w:val="0"/>
                          <w:marTop w:val="0"/>
                          <w:marBottom w:val="0"/>
                          <w:divBdr>
                            <w:top w:val="none" w:sz="0" w:space="0" w:color="auto"/>
                            <w:left w:val="none" w:sz="0" w:space="0" w:color="auto"/>
                            <w:bottom w:val="none" w:sz="0" w:space="0" w:color="auto"/>
                            <w:right w:val="none" w:sz="0" w:space="0" w:color="auto"/>
                          </w:divBdr>
                        </w:div>
                        <w:div w:id="1991713686">
                          <w:marLeft w:val="0"/>
                          <w:marRight w:val="0"/>
                          <w:marTop w:val="0"/>
                          <w:marBottom w:val="0"/>
                          <w:divBdr>
                            <w:top w:val="none" w:sz="0" w:space="0" w:color="auto"/>
                            <w:left w:val="none" w:sz="0" w:space="0" w:color="auto"/>
                            <w:bottom w:val="none" w:sz="0" w:space="0" w:color="auto"/>
                            <w:right w:val="none" w:sz="0" w:space="0" w:color="auto"/>
                          </w:divBdr>
                        </w:div>
                        <w:div w:id="126480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381081">
                  <w:marLeft w:val="0"/>
                  <w:marRight w:val="0"/>
                  <w:marTop w:val="0"/>
                  <w:marBottom w:val="0"/>
                  <w:divBdr>
                    <w:top w:val="none" w:sz="0" w:space="0" w:color="auto"/>
                    <w:left w:val="none" w:sz="0" w:space="0" w:color="auto"/>
                    <w:bottom w:val="none" w:sz="0" w:space="0" w:color="auto"/>
                    <w:right w:val="none" w:sz="0" w:space="0" w:color="auto"/>
                  </w:divBdr>
                  <w:divsChild>
                    <w:div w:id="2123988387">
                      <w:marLeft w:val="0"/>
                      <w:marRight w:val="0"/>
                      <w:marTop w:val="0"/>
                      <w:marBottom w:val="0"/>
                      <w:divBdr>
                        <w:top w:val="none" w:sz="0" w:space="0" w:color="auto"/>
                        <w:left w:val="none" w:sz="0" w:space="0" w:color="auto"/>
                        <w:bottom w:val="none" w:sz="0" w:space="0" w:color="auto"/>
                        <w:right w:val="none" w:sz="0" w:space="0" w:color="auto"/>
                      </w:divBdr>
                    </w:div>
                    <w:div w:id="330137281">
                      <w:marLeft w:val="0"/>
                      <w:marRight w:val="0"/>
                      <w:marTop w:val="0"/>
                      <w:marBottom w:val="0"/>
                      <w:divBdr>
                        <w:top w:val="none" w:sz="0" w:space="0" w:color="auto"/>
                        <w:left w:val="none" w:sz="0" w:space="0" w:color="auto"/>
                        <w:bottom w:val="none" w:sz="0" w:space="0" w:color="auto"/>
                        <w:right w:val="none" w:sz="0" w:space="0" w:color="auto"/>
                      </w:divBdr>
                    </w:div>
                    <w:div w:id="1524323720">
                      <w:marLeft w:val="0"/>
                      <w:marRight w:val="0"/>
                      <w:marTop w:val="0"/>
                      <w:marBottom w:val="0"/>
                      <w:divBdr>
                        <w:top w:val="none" w:sz="0" w:space="0" w:color="auto"/>
                        <w:left w:val="none" w:sz="0" w:space="0" w:color="auto"/>
                        <w:bottom w:val="none" w:sz="0" w:space="0" w:color="auto"/>
                        <w:right w:val="none" w:sz="0" w:space="0" w:color="auto"/>
                      </w:divBdr>
                    </w:div>
                    <w:div w:id="1827433309">
                      <w:marLeft w:val="0"/>
                      <w:marRight w:val="0"/>
                      <w:marTop w:val="0"/>
                      <w:marBottom w:val="0"/>
                      <w:divBdr>
                        <w:top w:val="none" w:sz="0" w:space="0" w:color="auto"/>
                        <w:left w:val="none" w:sz="0" w:space="0" w:color="auto"/>
                        <w:bottom w:val="none" w:sz="0" w:space="0" w:color="auto"/>
                        <w:right w:val="none" w:sz="0" w:space="0" w:color="auto"/>
                      </w:divBdr>
                    </w:div>
                    <w:div w:id="2140342701">
                      <w:marLeft w:val="0"/>
                      <w:marRight w:val="0"/>
                      <w:marTop w:val="0"/>
                      <w:marBottom w:val="0"/>
                      <w:divBdr>
                        <w:top w:val="none" w:sz="0" w:space="0" w:color="auto"/>
                        <w:left w:val="none" w:sz="0" w:space="0" w:color="auto"/>
                        <w:bottom w:val="none" w:sz="0" w:space="0" w:color="auto"/>
                        <w:right w:val="none" w:sz="0" w:space="0" w:color="auto"/>
                      </w:divBdr>
                    </w:div>
                    <w:div w:id="1051920133">
                      <w:marLeft w:val="0"/>
                      <w:marRight w:val="0"/>
                      <w:marTop w:val="0"/>
                      <w:marBottom w:val="0"/>
                      <w:divBdr>
                        <w:top w:val="none" w:sz="0" w:space="0" w:color="auto"/>
                        <w:left w:val="none" w:sz="0" w:space="0" w:color="auto"/>
                        <w:bottom w:val="none" w:sz="0" w:space="0" w:color="auto"/>
                        <w:right w:val="none" w:sz="0" w:space="0" w:color="auto"/>
                      </w:divBdr>
                    </w:div>
                    <w:div w:id="1711372998">
                      <w:marLeft w:val="0"/>
                      <w:marRight w:val="0"/>
                      <w:marTop w:val="0"/>
                      <w:marBottom w:val="0"/>
                      <w:divBdr>
                        <w:top w:val="none" w:sz="0" w:space="0" w:color="auto"/>
                        <w:left w:val="none" w:sz="0" w:space="0" w:color="auto"/>
                        <w:bottom w:val="none" w:sz="0" w:space="0" w:color="auto"/>
                        <w:right w:val="none" w:sz="0" w:space="0" w:color="auto"/>
                      </w:divBdr>
                    </w:div>
                  </w:divsChild>
                </w:div>
                <w:div w:id="1868760104">
                  <w:marLeft w:val="0"/>
                  <w:marRight w:val="0"/>
                  <w:marTop w:val="0"/>
                  <w:marBottom w:val="0"/>
                  <w:divBdr>
                    <w:top w:val="none" w:sz="0" w:space="0" w:color="auto"/>
                    <w:left w:val="none" w:sz="0" w:space="0" w:color="auto"/>
                    <w:bottom w:val="none" w:sz="0" w:space="0" w:color="auto"/>
                    <w:right w:val="none" w:sz="0" w:space="0" w:color="auto"/>
                  </w:divBdr>
                  <w:divsChild>
                    <w:div w:id="819074765">
                      <w:marLeft w:val="0"/>
                      <w:marRight w:val="0"/>
                      <w:marTop w:val="0"/>
                      <w:marBottom w:val="0"/>
                      <w:divBdr>
                        <w:top w:val="none" w:sz="0" w:space="0" w:color="auto"/>
                        <w:left w:val="none" w:sz="0" w:space="0" w:color="auto"/>
                        <w:bottom w:val="none" w:sz="0" w:space="0" w:color="auto"/>
                        <w:right w:val="none" w:sz="0" w:space="0" w:color="auto"/>
                      </w:divBdr>
                    </w:div>
                    <w:div w:id="849953372">
                      <w:marLeft w:val="0"/>
                      <w:marRight w:val="0"/>
                      <w:marTop w:val="0"/>
                      <w:marBottom w:val="0"/>
                      <w:divBdr>
                        <w:top w:val="none" w:sz="0" w:space="0" w:color="auto"/>
                        <w:left w:val="none" w:sz="0" w:space="0" w:color="auto"/>
                        <w:bottom w:val="none" w:sz="0" w:space="0" w:color="auto"/>
                        <w:right w:val="none" w:sz="0" w:space="0" w:color="auto"/>
                      </w:divBdr>
                    </w:div>
                  </w:divsChild>
                </w:div>
                <w:div w:id="1048263303">
                  <w:marLeft w:val="0"/>
                  <w:marRight w:val="0"/>
                  <w:marTop w:val="0"/>
                  <w:marBottom w:val="0"/>
                  <w:divBdr>
                    <w:top w:val="none" w:sz="0" w:space="0" w:color="auto"/>
                    <w:left w:val="none" w:sz="0" w:space="0" w:color="auto"/>
                    <w:bottom w:val="none" w:sz="0" w:space="0" w:color="auto"/>
                    <w:right w:val="none" w:sz="0" w:space="0" w:color="auto"/>
                  </w:divBdr>
                  <w:divsChild>
                    <w:div w:id="1322927874">
                      <w:marLeft w:val="0"/>
                      <w:marRight w:val="0"/>
                      <w:marTop w:val="0"/>
                      <w:marBottom w:val="0"/>
                      <w:divBdr>
                        <w:top w:val="none" w:sz="0" w:space="0" w:color="auto"/>
                        <w:left w:val="none" w:sz="0" w:space="0" w:color="auto"/>
                        <w:bottom w:val="none" w:sz="0" w:space="0" w:color="auto"/>
                        <w:right w:val="none" w:sz="0" w:space="0" w:color="auto"/>
                      </w:divBdr>
                      <w:divsChild>
                        <w:div w:id="2080857151">
                          <w:marLeft w:val="0"/>
                          <w:marRight w:val="0"/>
                          <w:marTop w:val="0"/>
                          <w:marBottom w:val="0"/>
                          <w:divBdr>
                            <w:top w:val="none" w:sz="0" w:space="0" w:color="auto"/>
                            <w:left w:val="none" w:sz="0" w:space="0" w:color="auto"/>
                            <w:bottom w:val="none" w:sz="0" w:space="0" w:color="auto"/>
                            <w:right w:val="none" w:sz="0" w:space="0" w:color="auto"/>
                          </w:divBdr>
                        </w:div>
                        <w:div w:id="126582400">
                          <w:marLeft w:val="0"/>
                          <w:marRight w:val="0"/>
                          <w:marTop w:val="0"/>
                          <w:marBottom w:val="0"/>
                          <w:divBdr>
                            <w:top w:val="none" w:sz="0" w:space="0" w:color="auto"/>
                            <w:left w:val="none" w:sz="0" w:space="0" w:color="auto"/>
                            <w:bottom w:val="none" w:sz="0" w:space="0" w:color="auto"/>
                            <w:right w:val="none" w:sz="0" w:space="0" w:color="auto"/>
                          </w:divBdr>
                        </w:div>
                        <w:div w:id="63649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343284">
              <w:marLeft w:val="0"/>
              <w:marRight w:val="0"/>
              <w:marTop w:val="0"/>
              <w:marBottom w:val="0"/>
              <w:divBdr>
                <w:top w:val="none" w:sz="0" w:space="0" w:color="auto"/>
                <w:left w:val="none" w:sz="0" w:space="0" w:color="auto"/>
                <w:bottom w:val="none" w:sz="0" w:space="0" w:color="auto"/>
                <w:right w:val="none" w:sz="0" w:space="0" w:color="auto"/>
              </w:divBdr>
              <w:divsChild>
                <w:div w:id="536351346">
                  <w:marLeft w:val="0"/>
                  <w:marRight w:val="0"/>
                  <w:marTop w:val="0"/>
                  <w:marBottom w:val="0"/>
                  <w:divBdr>
                    <w:top w:val="none" w:sz="0" w:space="0" w:color="auto"/>
                    <w:left w:val="none" w:sz="0" w:space="0" w:color="auto"/>
                    <w:bottom w:val="none" w:sz="0" w:space="0" w:color="auto"/>
                    <w:right w:val="none" w:sz="0" w:space="0" w:color="auto"/>
                  </w:divBdr>
                </w:div>
                <w:div w:id="1022586897">
                  <w:marLeft w:val="0"/>
                  <w:marRight w:val="0"/>
                  <w:marTop w:val="0"/>
                  <w:marBottom w:val="0"/>
                  <w:divBdr>
                    <w:top w:val="none" w:sz="0" w:space="0" w:color="auto"/>
                    <w:left w:val="none" w:sz="0" w:space="0" w:color="auto"/>
                    <w:bottom w:val="none" w:sz="0" w:space="0" w:color="auto"/>
                    <w:right w:val="none" w:sz="0" w:space="0" w:color="auto"/>
                  </w:divBdr>
                </w:div>
                <w:div w:id="2024435708">
                  <w:marLeft w:val="0"/>
                  <w:marRight w:val="0"/>
                  <w:marTop w:val="0"/>
                  <w:marBottom w:val="0"/>
                  <w:divBdr>
                    <w:top w:val="none" w:sz="0" w:space="0" w:color="auto"/>
                    <w:left w:val="none" w:sz="0" w:space="0" w:color="auto"/>
                    <w:bottom w:val="none" w:sz="0" w:space="0" w:color="auto"/>
                    <w:right w:val="none" w:sz="0" w:space="0" w:color="auto"/>
                  </w:divBdr>
                </w:div>
              </w:divsChild>
            </w:div>
            <w:div w:id="1142426953">
              <w:marLeft w:val="0"/>
              <w:marRight w:val="0"/>
              <w:marTop w:val="0"/>
              <w:marBottom w:val="0"/>
              <w:divBdr>
                <w:top w:val="none" w:sz="0" w:space="0" w:color="auto"/>
                <w:left w:val="none" w:sz="0" w:space="0" w:color="auto"/>
                <w:bottom w:val="none" w:sz="0" w:space="0" w:color="auto"/>
                <w:right w:val="none" w:sz="0" w:space="0" w:color="auto"/>
              </w:divBdr>
              <w:divsChild>
                <w:div w:id="1941913954">
                  <w:marLeft w:val="0"/>
                  <w:marRight w:val="0"/>
                  <w:marTop w:val="0"/>
                  <w:marBottom w:val="0"/>
                  <w:divBdr>
                    <w:top w:val="none" w:sz="0" w:space="0" w:color="auto"/>
                    <w:left w:val="none" w:sz="0" w:space="0" w:color="auto"/>
                    <w:bottom w:val="none" w:sz="0" w:space="0" w:color="auto"/>
                    <w:right w:val="none" w:sz="0" w:space="0" w:color="auto"/>
                  </w:divBdr>
                </w:div>
                <w:div w:id="151757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401242">
          <w:marLeft w:val="0"/>
          <w:marRight w:val="0"/>
          <w:marTop w:val="0"/>
          <w:marBottom w:val="0"/>
          <w:divBdr>
            <w:top w:val="none" w:sz="0" w:space="0" w:color="auto"/>
            <w:left w:val="none" w:sz="0" w:space="0" w:color="auto"/>
            <w:bottom w:val="none" w:sz="0" w:space="0" w:color="auto"/>
            <w:right w:val="none" w:sz="0" w:space="0" w:color="auto"/>
          </w:divBdr>
          <w:divsChild>
            <w:div w:id="752975518">
              <w:marLeft w:val="0"/>
              <w:marRight w:val="0"/>
              <w:marTop w:val="0"/>
              <w:marBottom w:val="0"/>
              <w:divBdr>
                <w:top w:val="none" w:sz="0" w:space="0" w:color="auto"/>
                <w:left w:val="none" w:sz="0" w:space="0" w:color="auto"/>
                <w:bottom w:val="none" w:sz="0" w:space="0" w:color="auto"/>
                <w:right w:val="none" w:sz="0" w:space="0" w:color="auto"/>
              </w:divBdr>
            </w:div>
          </w:divsChild>
        </w:div>
        <w:div w:id="842206025">
          <w:marLeft w:val="0"/>
          <w:marRight w:val="0"/>
          <w:marTop w:val="0"/>
          <w:marBottom w:val="0"/>
          <w:divBdr>
            <w:top w:val="none" w:sz="0" w:space="0" w:color="auto"/>
            <w:left w:val="none" w:sz="0" w:space="0" w:color="auto"/>
            <w:bottom w:val="none" w:sz="0" w:space="0" w:color="auto"/>
            <w:right w:val="none" w:sz="0" w:space="0" w:color="auto"/>
          </w:divBdr>
          <w:divsChild>
            <w:div w:id="871385089">
              <w:marLeft w:val="0"/>
              <w:marRight w:val="0"/>
              <w:marTop w:val="0"/>
              <w:marBottom w:val="0"/>
              <w:divBdr>
                <w:top w:val="none" w:sz="0" w:space="0" w:color="auto"/>
                <w:left w:val="none" w:sz="0" w:space="0" w:color="auto"/>
                <w:bottom w:val="none" w:sz="0" w:space="0" w:color="auto"/>
                <w:right w:val="none" w:sz="0" w:space="0" w:color="auto"/>
              </w:divBdr>
            </w:div>
            <w:div w:id="1738942021">
              <w:marLeft w:val="0"/>
              <w:marRight w:val="0"/>
              <w:marTop w:val="0"/>
              <w:marBottom w:val="0"/>
              <w:divBdr>
                <w:top w:val="none" w:sz="0" w:space="0" w:color="auto"/>
                <w:left w:val="none" w:sz="0" w:space="0" w:color="auto"/>
                <w:bottom w:val="none" w:sz="0" w:space="0" w:color="auto"/>
                <w:right w:val="none" w:sz="0" w:space="0" w:color="auto"/>
              </w:divBdr>
            </w:div>
          </w:divsChild>
        </w:div>
        <w:div w:id="1705904093">
          <w:marLeft w:val="0"/>
          <w:marRight w:val="0"/>
          <w:marTop w:val="0"/>
          <w:marBottom w:val="0"/>
          <w:divBdr>
            <w:top w:val="none" w:sz="0" w:space="0" w:color="auto"/>
            <w:left w:val="none" w:sz="0" w:space="0" w:color="auto"/>
            <w:bottom w:val="none" w:sz="0" w:space="0" w:color="auto"/>
            <w:right w:val="none" w:sz="0" w:space="0" w:color="auto"/>
          </w:divBdr>
          <w:divsChild>
            <w:div w:id="167524742">
              <w:marLeft w:val="0"/>
              <w:marRight w:val="0"/>
              <w:marTop w:val="0"/>
              <w:marBottom w:val="0"/>
              <w:divBdr>
                <w:top w:val="none" w:sz="0" w:space="0" w:color="auto"/>
                <w:left w:val="none" w:sz="0" w:space="0" w:color="auto"/>
                <w:bottom w:val="none" w:sz="0" w:space="0" w:color="auto"/>
                <w:right w:val="none" w:sz="0" w:space="0" w:color="auto"/>
              </w:divBdr>
              <w:divsChild>
                <w:div w:id="1885675439">
                  <w:marLeft w:val="0"/>
                  <w:marRight w:val="0"/>
                  <w:marTop w:val="0"/>
                  <w:marBottom w:val="0"/>
                  <w:divBdr>
                    <w:top w:val="none" w:sz="0" w:space="0" w:color="auto"/>
                    <w:left w:val="none" w:sz="0" w:space="0" w:color="auto"/>
                    <w:bottom w:val="none" w:sz="0" w:space="0" w:color="auto"/>
                    <w:right w:val="none" w:sz="0" w:space="0" w:color="auto"/>
                  </w:divBdr>
                </w:div>
                <w:div w:id="81415360">
                  <w:marLeft w:val="0"/>
                  <w:marRight w:val="0"/>
                  <w:marTop w:val="0"/>
                  <w:marBottom w:val="0"/>
                  <w:divBdr>
                    <w:top w:val="none" w:sz="0" w:space="0" w:color="auto"/>
                    <w:left w:val="none" w:sz="0" w:space="0" w:color="auto"/>
                    <w:bottom w:val="none" w:sz="0" w:space="0" w:color="auto"/>
                    <w:right w:val="none" w:sz="0" w:space="0" w:color="auto"/>
                  </w:divBdr>
                </w:div>
                <w:div w:id="2038310269">
                  <w:marLeft w:val="0"/>
                  <w:marRight w:val="0"/>
                  <w:marTop w:val="0"/>
                  <w:marBottom w:val="0"/>
                  <w:divBdr>
                    <w:top w:val="none" w:sz="0" w:space="0" w:color="auto"/>
                    <w:left w:val="none" w:sz="0" w:space="0" w:color="auto"/>
                    <w:bottom w:val="none" w:sz="0" w:space="0" w:color="auto"/>
                    <w:right w:val="none" w:sz="0" w:space="0" w:color="auto"/>
                  </w:divBdr>
                </w:div>
                <w:div w:id="1170872748">
                  <w:marLeft w:val="0"/>
                  <w:marRight w:val="0"/>
                  <w:marTop w:val="0"/>
                  <w:marBottom w:val="0"/>
                  <w:divBdr>
                    <w:top w:val="none" w:sz="0" w:space="0" w:color="auto"/>
                    <w:left w:val="none" w:sz="0" w:space="0" w:color="auto"/>
                    <w:bottom w:val="none" w:sz="0" w:space="0" w:color="auto"/>
                    <w:right w:val="none" w:sz="0" w:space="0" w:color="auto"/>
                  </w:divBdr>
                </w:div>
                <w:div w:id="200700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487484">
          <w:marLeft w:val="0"/>
          <w:marRight w:val="0"/>
          <w:marTop w:val="0"/>
          <w:marBottom w:val="0"/>
          <w:divBdr>
            <w:top w:val="none" w:sz="0" w:space="0" w:color="auto"/>
            <w:left w:val="none" w:sz="0" w:space="0" w:color="auto"/>
            <w:bottom w:val="none" w:sz="0" w:space="0" w:color="auto"/>
            <w:right w:val="none" w:sz="0" w:space="0" w:color="auto"/>
          </w:divBdr>
          <w:divsChild>
            <w:div w:id="1869565888">
              <w:marLeft w:val="0"/>
              <w:marRight w:val="0"/>
              <w:marTop w:val="0"/>
              <w:marBottom w:val="0"/>
              <w:divBdr>
                <w:top w:val="none" w:sz="0" w:space="0" w:color="auto"/>
                <w:left w:val="none" w:sz="0" w:space="0" w:color="auto"/>
                <w:bottom w:val="none" w:sz="0" w:space="0" w:color="auto"/>
                <w:right w:val="none" w:sz="0" w:space="0" w:color="auto"/>
              </w:divBdr>
              <w:divsChild>
                <w:div w:id="821042851">
                  <w:marLeft w:val="0"/>
                  <w:marRight w:val="0"/>
                  <w:marTop w:val="0"/>
                  <w:marBottom w:val="0"/>
                  <w:divBdr>
                    <w:top w:val="none" w:sz="0" w:space="0" w:color="auto"/>
                    <w:left w:val="none" w:sz="0" w:space="0" w:color="auto"/>
                    <w:bottom w:val="none" w:sz="0" w:space="0" w:color="auto"/>
                    <w:right w:val="none" w:sz="0" w:space="0" w:color="auto"/>
                  </w:divBdr>
                </w:div>
                <w:div w:id="153002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095960">
          <w:marLeft w:val="0"/>
          <w:marRight w:val="0"/>
          <w:marTop w:val="0"/>
          <w:marBottom w:val="0"/>
          <w:divBdr>
            <w:top w:val="none" w:sz="0" w:space="0" w:color="auto"/>
            <w:left w:val="none" w:sz="0" w:space="0" w:color="auto"/>
            <w:bottom w:val="none" w:sz="0" w:space="0" w:color="auto"/>
            <w:right w:val="none" w:sz="0" w:space="0" w:color="auto"/>
          </w:divBdr>
          <w:divsChild>
            <w:div w:id="454754404">
              <w:marLeft w:val="0"/>
              <w:marRight w:val="0"/>
              <w:marTop w:val="0"/>
              <w:marBottom w:val="0"/>
              <w:divBdr>
                <w:top w:val="none" w:sz="0" w:space="0" w:color="auto"/>
                <w:left w:val="none" w:sz="0" w:space="0" w:color="auto"/>
                <w:bottom w:val="none" w:sz="0" w:space="0" w:color="auto"/>
                <w:right w:val="none" w:sz="0" w:space="0" w:color="auto"/>
              </w:divBdr>
            </w:div>
            <w:div w:id="2115593928">
              <w:marLeft w:val="0"/>
              <w:marRight w:val="0"/>
              <w:marTop w:val="0"/>
              <w:marBottom w:val="0"/>
              <w:divBdr>
                <w:top w:val="none" w:sz="0" w:space="0" w:color="auto"/>
                <w:left w:val="none" w:sz="0" w:space="0" w:color="auto"/>
                <w:bottom w:val="none" w:sz="0" w:space="0" w:color="auto"/>
                <w:right w:val="none" w:sz="0" w:space="0" w:color="auto"/>
              </w:divBdr>
            </w:div>
            <w:div w:id="936206269">
              <w:marLeft w:val="0"/>
              <w:marRight w:val="0"/>
              <w:marTop w:val="0"/>
              <w:marBottom w:val="0"/>
              <w:divBdr>
                <w:top w:val="none" w:sz="0" w:space="0" w:color="auto"/>
                <w:left w:val="none" w:sz="0" w:space="0" w:color="auto"/>
                <w:bottom w:val="none" w:sz="0" w:space="0" w:color="auto"/>
                <w:right w:val="none" w:sz="0" w:space="0" w:color="auto"/>
              </w:divBdr>
            </w:div>
            <w:div w:id="180010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475919">
      <w:bodyDiv w:val="1"/>
      <w:marLeft w:val="0"/>
      <w:marRight w:val="0"/>
      <w:marTop w:val="0"/>
      <w:marBottom w:val="0"/>
      <w:divBdr>
        <w:top w:val="none" w:sz="0" w:space="0" w:color="auto"/>
        <w:left w:val="none" w:sz="0" w:space="0" w:color="auto"/>
        <w:bottom w:val="none" w:sz="0" w:space="0" w:color="auto"/>
        <w:right w:val="none" w:sz="0" w:space="0" w:color="auto"/>
      </w:divBdr>
      <w:divsChild>
        <w:div w:id="2076194764">
          <w:marLeft w:val="0"/>
          <w:marRight w:val="0"/>
          <w:marTop w:val="0"/>
          <w:marBottom w:val="0"/>
          <w:divBdr>
            <w:top w:val="none" w:sz="0" w:space="0" w:color="auto"/>
            <w:left w:val="none" w:sz="0" w:space="0" w:color="auto"/>
            <w:bottom w:val="none" w:sz="0" w:space="0" w:color="auto"/>
            <w:right w:val="none" w:sz="0" w:space="0" w:color="auto"/>
          </w:divBdr>
        </w:div>
        <w:div w:id="710036046">
          <w:marLeft w:val="0"/>
          <w:marRight w:val="0"/>
          <w:marTop w:val="0"/>
          <w:marBottom w:val="0"/>
          <w:divBdr>
            <w:top w:val="none" w:sz="0" w:space="0" w:color="auto"/>
            <w:left w:val="none" w:sz="0" w:space="0" w:color="auto"/>
            <w:bottom w:val="none" w:sz="0" w:space="0" w:color="auto"/>
            <w:right w:val="none" w:sz="0" w:space="0" w:color="auto"/>
          </w:divBdr>
        </w:div>
        <w:div w:id="1110125748">
          <w:marLeft w:val="0"/>
          <w:marRight w:val="0"/>
          <w:marTop w:val="0"/>
          <w:marBottom w:val="0"/>
          <w:divBdr>
            <w:top w:val="none" w:sz="0" w:space="0" w:color="auto"/>
            <w:left w:val="none" w:sz="0" w:space="0" w:color="auto"/>
            <w:bottom w:val="none" w:sz="0" w:space="0" w:color="auto"/>
            <w:right w:val="none" w:sz="0" w:space="0" w:color="auto"/>
          </w:divBdr>
        </w:div>
        <w:div w:id="2009289788">
          <w:marLeft w:val="0"/>
          <w:marRight w:val="0"/>
          <w:marTop w:val="0"/>
          <w:marBottom w:val="0"/>
          <w:divBdr>
            <w:top w:val="none" w:sz="0" w:space="0" w:color="auto"/>
            <w:left w:val="none" w:sz="0" w:space="0" w:color="auto"/>
            <w:bottom w:val="none" w:sz="0" w:space="0" w:color="auto"/>
            <w:right w:val="none" w:sz="0" w:space="0" w:color="auto"/>
          </w:divBdr>
        </w:div>
      </w:divsChild>
    </w:div>
    <w:div w:id="397241261">
      <w:bodyDiv w:val="1"/>
      <w:marLeft w:val="0"/>
      <w:marRight w:val="0"/>
      <w:marTop w:val="0"/>
      <w:marBottom w:val="0"/>
      <w:divBdr>
        <w:top w:val="none" w:sz="0" w:space="0" w:color="auto"/>
        <w:left w:val="none" w:sz="0" w:space="0" w:color="auto"/>
        <w:bottom w:val="none" w:sz="0" w:space="0" w:color="auto"/>
        <w:right w:val="none" w:sz="0" w:space="0" w:color="auto"/>
      </w:divBdr>
      <w:divsChild>
        <w:div w:id="1770738155">
          <w:marLeft w:val="0"/>
          <w:marRight w:val="0"/>
          <w:marTop w:val="0"/>
          <w:marBottom w:val="0"/>
          <w:divBdr>
            <w:top w:val="none" w:sz="0" w:space="0" w:color="auto"/>
            <w:left w:val="none" w:sz="0" w:space="0" w:color="auto"/>
            <w:bottom w:val="none" w:sz="0" w:space="0" w:color="auto"/>
            <w:right w:val="none" w:sz="0" w:space="0" w:color="auto"/>
          </w:divBdr>
        </w:div>
        <w:div w:id="1172255311">
          <w:marLeft w:val="0"/>
          <w:marRight w:val="0"/>
          <w:marTop w:val="0"/>
          <w:marBottom w:val="0"/>
          <w:divBdr>
            <w:top w:val="none" w:sz="0" w:space="0" w:color="auto"/>
            <w:left w:val="none" w:sz="0" w:space="0" w:color="auto"/>
            <w:bottom w:val="none" w:sz="0" w:space="0" w:color="auto"/>
            <w:right w:val="none" w:sz="0" w:space="0" w:color="auto"/>
          </w:divBdr>
        </w:div>
      </w:divsChild>
    </w:div>
    <w:div w:id="397441158">
      <w:bodyDiv w:val="1"/>
      <w:marLeft w:val="0"/>
      <w:marRight w:val="0"/>
      <w:marTop w:val="0"/>
      <w:marBottom w:val="0"/>
      <w:divBdr>
        <w:top w:val="none" w:sz="0" w:space="0" w:color="auto"/>
        <w:left w:val="none" w:sz="0" w:space="0" w:color="auto"/>
        <w:bottom w:val="none" w:sz="0" w:space="0" w:color="auto"/>
        <w:right w:val="none" w:sz="0" w:space="0" w:color="auto"/>
      </w:divBdr>
      <w:divsChild>
        <w:div w:id="1073433740">
          <w:marLeft w:val="0"/>
          <w:marRight w:val="0"/>
          <w:marTop w:val="0"/>
          <w:marBottom w:val="0"/>
          <w:divBdr>
            <w:top w:val="none" w:sz="0" w:space="0" w:color="auto"/>
            <w:left w:val="none" w:sz="0" w:space="0" w:color="auto"/>
            <w:bottom w:val="none" w:sz="0" w:space="0" w:color="auto"/>
            <w:right w:val="none" w:sz="0" w:space="0" w:color="auto"/>
          </w:divBdr>
        </w:div>
        <w:div w:id="1107777580">
          <w:marLeft w:val="0"/>
          <w:marRight w:val="0"/>
          <w:marTop w:val="0"/>
          <w:marBottom w:val="0"/>
          <w:divBdr>
            <w:top w:val="none" w:sz="0" w:space="0" w:color="auto"/>
            <w:left w:val="none" w:sz="0" w:space="0" w:color="auto"/>
            <w:bottom w:val="none" w:sz="0" w:space="0" w:color="auto"/>
            <w:right w:val="none" w:sz="0" w:space="0" w:color="auto"/>
          </w:divBdr>
        </w:div>
        <w:div w:id="609819330">
          <w:marLeft w:val="0"/>
          <w:marRight w:val="0"/>
          <w:marTop w:val="0"/>
          <w:marBottom w:val="0"/>
          <w:divBdr>
            <w:top w:val="none" w:sz="0" w:space="0" w:color="auto"/>
            <w:left w:val="none" w:sz="0" w:space="0" w:color="auto"/>
            <w:bottom w:val="none" w:sz="0" w:space="0" w:color="auto"/>
            <w:right w:val="none" w:sz="0" w:space="0" w:color="auto"/>
          </w:divBdr>
        </w:div>
        <w:div w:id="162210972">
          <w:marLeft w:val="0"/>
          <w:marRight w:val="0"/>
          <w:marTop w:val="0"/>
          <w:marBottom w:val="0"/>
          <w:divBdr>
            <w:top w:val="none" w:sz="0" w:space="0" w:color="auto"/>
            <w:left w:val="none" w:sz="0" w:space="0" w:color="auto"/>
            <w:bottom w:val="none" w:sz="0" w:space="0" w:color="auto"/>
            <w:right w:val="none" w:sz="0" w:space="0" w:color="auto"/>
          </w:divBdr>
        </w:div>
        <w:div w:id="436412270">
          <w:marLeft w:val="0"/>
          <w:marRight w:val="0"/>
          <w:marTop w:val="0"/>
          <w:marBottom w:val="0"/>
          <w:divBdr>
            <w:top w:val="none" w:sz="0" w:space="0" w:color="auto"/>
            <w:left w:val="none" w:sz="0" w:space="0" w:color="auto"/>
            <w:bottom w:val="none" w:sz="0" w:space="0" w:color="auto"/>
            <w:right w:val="none" w:sz="0" w:space="0" w:color="auto"/>
          </w:divBdr>
        </w:div>
        <w:div w:id="1065106604">
          <w:marLeft w:val="0"/>
          <w:marRight w:val="0"/>
          <w:marTop w:val="0"/>
          <w:marBottom w:val="0"/>
          <w:divBdr>
            <w:top w:val="none" w:sz="0" w:space="0" w:color="auto"/>
            <w:left w:val="none" w:sz="0" w:space="0" w:color="auto"/>
            <w:bottom w:val="none" w:sz="0" w:space="0" w:color="auto"/>
            <w:right w:val="none" w:sz="0" w:space="0" w:color="auto"/>
          </w:divBdr>
        </w:div>
        <w:div w:id="829294409">
          <w:marLeft w:val="0"/>
          <w:marRight w:val="0"/>
          <w:marTop w:val="0"/>
          <w:marBottom w:val="0"/>
          <w:divBdr>
            <w:top w:val="none" w:sz="0" w:space="0" w:color="auto"/>
            <w:left w:val="none" w:sz="0" w:space="0" w:color="auto"/>
            <w:bottom w:val="none" w:sz="0" w:space="0" w:color="auto"/>
            <w:right w:val="none" w:sz="0" w:space="0" w:color="auto"/>
          </w:divBdr>
        </w:div>
        <w:div w:id="1936358512">
          <w:marLeft w:val="0"/>
          <w:marRight w:val="0"/>
          <w:marTop w:val="0"/>
          <w:marBottom w:val="0"/>
          <w:divBdr>
            <w:top w:val="none" w:sz="0" w:space="0" w:color="auto"/>
            <w:left w:val="none" w:sz="0" w:space="0" w:color="auto"/>
            <w:bottom w:val="none" w:sz="0" w:space="0" w:color="auto"/>
            <w:right w:val="none" w:sz="0" w:space="0" w:color="auto"/>
          </w:divBdr>
        </w:div>
        <w:div w:id="165830081">
          <w:marLeft w:val="0"/>
          <w:marRight w:val="0"/>
          <w:marTop w:val="0"/>
          <w:marBottom w:val="0"/>
          <w:divBdr>
            <w:top w:val="none" w:sz="0" w:space="0" w:color="auto"/>
            <w:left w:val="none" w:sz="0" w:space="0" w:color="auto"/>
            <w:bottom w:val="none" w:sz="0" w:space="0" w:color="auto"/>
            <w:right w:val="none" w:sz="0" w:space="0" w:color="auto"/>
          </w:divBdr>
        </w:div>
        <w:div w:id="1573157587">
          <w:marLeft w:val="0"/>
          <w:marRight w:val="0"/>
          <w:marTop w:val="0"/>
          <w:marBottom w:val="0"/>
          <w:divBdr>
            <w:top w:val="none" w:sz="0" w:space="0" w:color="auto"/>
            <w:left w:val="none" w:sz="0" w:space="0" w:color="auto"/>
            <w:bottom w:val="none" w:sz="0" w:space="0" w:color="auto"/>
            <w:right w:val="none" w:sz="0" w:space="0" w:color="auto"/>
          </w:divBdr>
        </w:div>
        <w:div w:id="564418164">
          <w:marLeft w:val="0"/>
          <w:marRight w:val="0"/>
          <w:marTop w:val="0"/>
          <w:marBottom w:val="0"/>
          <w:divBdr>
            <w:top w:val="none" w:sz="0" w:space="0" w:color="auto"/>
            <w:left w:val="none" w:sz="0" w:space="0" w:color="auto"/>
            <w:bottom w:val="none" w:sz="0" w:space="0" w:color="auto"/>
            <w:right w:val="none" w:sz="0" w:space="0" w:color="auto"/>
          </w:divBdr>
        </w:div>
        <w:div w:id="1393313316">
          <w:marLeft w:val="0"/>
          <w:marRight w:val="0"/>
          <w:marTop w:val="0"/>
          <w:marBottom w:val="0"/>
          <w:divBdr>
            <w:top w:val="none" w:sz="0" w:space="0" w:color="auto"/>
            <w:left w:val="none" w:sz="0" w:space="0" w:color="auto"/>
            <w:bottom w:val="none" w:sz="0" w:space="0" w:color="auto"/>
            <w:right w:val="none" w:sz="0" w:space="0" w:color="auto"/>
          </w:divBdr>
        </w:div>
        <w:div w:id="1897203068">
          <w:marLeft w:val="0"/>
          <w:marRight w:val="0"/>
          <w:marTop w:val="0"/>
          <w:marBottom w:val="0"/>
          <w:divBdr>
            <w:top w:val="none" w:sz="0" w:space="0" w:color="auto"/>
            <w:left w:val="none" w:sz="0" w:space="0" w:color="auto"/>
            <w:bottom w:val="none" w:sz="0" w:space="0" w:color="auto"/>
            <w:right w:val="none" w:sz="0" w:space="0" w:color="auto"/>
          </w:divBdr>
        </w:div>
        <w:div w:id="1924335052">
          <w:marLeft w:val="0"/>
          <w:marRight w:val="0"/>
          <w:marTop w:val="0"/>
          <w:marBottom w:val="0"/>
          <w:divBdr>
            <w:top w:val="none" w:sz="0" w:space="0" w:color="auto"/>
            <w:left w:val="none" w:sz="0" w:space="0" w:color="auto"/>
            <w:bottom w:val="none" w:sz="0" w:space="0" w:color="auto"/>
            <w:right w:val="none" w:sz="0" w:space="0" w:color="auto"/>
          </w:divBdr>
        </w:div>
        <w:div w:id="1842886128">
          <w:marLeft w:val="0"/>
          <w:marRight w:val="0"/>
          <w:marTop w:val="0"/>
          <w:marBottom w:val="0"/>
          <w:divBdr>
            <w:top w:val="none" w:sz="0" w:space="0" w:color="auto"/>
            <w:left w:val="none" w:sz="0" w:space="0" w:color="auto"/>
            <w:bottom w:val="none" w:sz="0" w:space="0" w:color="auto"/>
            <w:right w:val="none" w:sz="0" w:space="0" w:color="auto"/>
          </w:divBdr>
        </w:div>
        <w:div w:id="1397628406">
          <w:marLeft w:val="0"/>
          <w:marRight w:val="0"/>
          <w:marTop w:val="0"/>
          <w:marBottom w:val="0"/>
          <w:divBdr>
            <w:top w:val="none" w:sz="0" w:space="0" w:color="auto"/>
            <w:left w:val="none" w:sz="0" w:space="0" w:color="auto"/>
            <w:bottom w:val="none" w:sz="0" w:space="0" w:color="auto"/>
            <w:right w:val="none" w:sz="0" w:space="0" w:color="auto"/>
          </w:divBdr>
        </w:div>
        <w:div w:id="1727559574">
          <w:marLeft w:val="0"/>
          <w:marRight w:val="0"/>
          <w:marTop w:val="0"/>
          <w:marBottom w:val="0"/>
          <w:divBdr>
            <w:top w:val="none" w:sz="0" w:space="0" w:color="auto"/>
            <w:left w:val="none" w:sz="0" w:space="0" w:color="auto"/>
            <w:bottom w:val="none" w:sz="0" w:space="0" w:color="auto"/>
            <w:right w:val="none" w:sz="0" w:space="0" w:color="auto"/>
          </w:divBdr>
        </w:div>
        <w:div w:id="1632861892">
          <w:marLeft w:val="0"/>
          <w:marRight w:val="0"/>
          <w:marTop w:val="0"/>
          <w:marBottom w:val="0"/>
          <w:divBdr>
            <w:top w:val="none" w:sz="0" w:space="0" w:color="auto"/>
            <w:left w:val="none" w:sz="0" w:space="0" w:color="auto"/>
            <w:bottom w:val="none" w:sz="0" w:space="0" w:color="auto"/>
            <w:right w:val="none" w:sz="0" w:space="0" w:color="auto"/>
          </w:divBdr>
        </w:div>
        <w:div w:id="1581451069">
          <w:marLeft w:val="0"/>
          <w:marRight w:val="0"/>
          <w:marTop w:val="0"/>
          <w:marBottom w:val="0"/>
          <w:divBdr>
            <w:top w:val="none" w:sz="0" w:space="0" w:color="auto"/>
            <w:left w:val="none" w:sz="0" w:space="0" w:color="auto"/>
            <w:bottom w:val="none" w:sz="0" w:space="0" w:color="auto"/>
            <w:right w:val="none" w:sz="0" w:space="0" w:color="auto"/>
          </w:divBdr>
        </w:div>
        <w:div w:id="890966426">
          <w:marLeft w:val="0"/>
          <w:marRight w:val="0"/>
          <w:marTop w:val="0"/>
          <w:marBottom w:val="0"/>
          <w:divBdr>
            <w:top w:val="none" w:sz="0" w:space="0" w:color="auto"/>
            <w:left w:val="none" w:sz="0" w:space="0" w:color="auto"/>
            <w:bottom w:val="none" w:sz="0" w:space="0" w:color="auto"/>
            <w:right w:val="none" w:sz="0" w:space="0" w:color="auto"/>
          </w:divBdr>
        </w:div>
        <w:div w:id="1165393174">
          <w:marLeft w:val="0"/>
          <w:marRight w:val="0"/>
          <w:marTop w:val="0"/>
          <w:marBottom w:val="0"/>
          <w:divBdr>
            <w:top w:val="none" w:sz="0" w:space="0" w:color="auto"/>
            <w:left w:val="none" w:sz="0" w:space="0" w:color="auto"/>
            <w:bottom w:val="none" w:sz="0" w:space="0" w:color="auto"/>
            <w:right w:val="none" w:sz="0" w:space="0" w:color="auto"/>
          </w:divBdr>
        </w:div>
        <w:div w:id="1482886580">
          <w:marLeft w:val="0"/>
          <w:marRight w:val="0"/>
          <w:marTop w:val="0"/>
          <w:marBottom w:val="0"/>
          <w:divBdr>
            <w:top w:val="none" w:sz="0" w:space="0" w:color="auto"/>
            <w:left w:val="none" w:sz="0" w:space="0" w:color="auto"/>
            <w:bottom w:val="none" w:sz="0" w:space="0" w:color="auto"/>
            <w:right w:val="none" w:sz="0" w:space="0" w:color="auto"/>
          </w:divBdr>
        </w:div>
        <w:div w:id="1210337009">
          <w:marLeft w:val="0"/>
          <w:marRight w:val="0"/>
          <w:marTop w:val="0"/>
          <w:marBottom w:val="0"/>
          <w:divBdr>
            <w:top w:val="none" w:sz="0" w:space="0" w:color="auto"/>
            <w:left w:val="none" w:sz="0" w:space="0" w:color="auto"/>
            <w:bottom w:val="none" w:sz="0" w:space="0" w:color="auto"/>
            <w:right w:val="none" w:sz="0" w:space="0" w:color="auto"/>
          </w:divBdr>
        </w:div>
        <w:div w:id="986863433">
          <w:marLeft w:val="0"/>
          <w:marRight w:val="0"/>
          <w:marTop w:val="0"/>
          <w:marBottom w:val="0"/>
          <w:divBdr>
            <w:top w:val="none" w:sz="0" w:space="0" w:color="auto"/>
            <w:left w:val="none" w:sz="0" w:space="0" w:color="auto"/>
            <w:bottom w:val="none" w:sz="0" w:space="0" w:color="auto"/>
            <w:right w:val="none" w:sz="0" w:space="0" w:color="auto"/>
          </w:divBdr>
        </w:div>
        <w:div w:id="961768950">
          <w:marLeft w:val="0"/>
          <w:marRight w:val="0"/>
          <w:marTop w:val="0"/>
          <w:marBottom w:val="0"/>
          <w:divBdr>
            <w:top w:val="none" w:sz="0" w:space="0" w:color="auto"/>
            <w:left w:val="none" w:sz="0" w:space="0" w:color="auto"/>
            <w:bottom w:val="none" w:sz="0" w:space="0" w:color="auto"/>
            <w:right w:val="none" w:sz="0" w:space="0" w:color="auto"/>
          </w:divBdr>
        </w:div>
        <w:div w:id="726997245">
          <w:marLeft w:val="0"/>
          <w:marRight w:val="0"/>
          <w:marTop w:val="0"/>
          <w:marBottom w:val="0"/>
          <w:divBdr>
            <w:top w:val="none" w:sz="0" w:space="0" w:color="auto"/>
            <w:left w:val="none" w:sz="0" w:space="0" w:color="auto"/>
            <w:bottom w:val="none" w:sz="0" w:space="0" w:color="auto"/>
            <w:right w:val="none" w:sz="0" w:space="0" w:color="auto"/>
          </w:divBdr>
        </w:div>
        <w:div w:id="509638778">
          <w:marLeft w:val="0"/>
          <w:marRight w:val="0"/>
          <w:marTop w:val="0"/>
          <w:marBottom w:val="0"/>
          <w:divBdr>
            <w:top w:val="none" w:sz="0" w:space="0" w:color="auto"/>
            <w:left w:val="none" w:sz="0" w:space="0" w:color="auto"/>
            <w:bottom w:val="none" w:sz="0" w:space="0" w:color="auto"/>
            <w:right w:val="none" w:sz="0" w:space="0" w:color="auto"/>
          </w:divBdr>
        </w:div>
        <w:div w:id="151800465">
          <w:marLeft w:val="0"/>
          <w:marRight w:val="0"/>
          <w:marTop w:val="0"/>
          <w:marBottom w:val="0"/>
          <w:divBdr>
            <w:top w:val="none" w:sz="0" w:space="0" w:color="auto"/>
            <w:left w:val="none" w:sz="0" w:space="0" w:color="auto"/>
            <w:bottom w:val="none" w:sz="0" w:space="0" w:color="auto"/>
            <w:right w:val="none" w:sz="0" w:space="0" w:color="auto"/>
          </w:divBdr>
        </w:div>
        <w:div w:id="1206140666">
          <w:marLeft w:val="0"/>
          <w:marRight w:val="0"/>
          <w:marTop w:val="0"/>
          <w:marBottom w:val="0"/>
          <w:divBdr>
            <w:top w:val="none" w:sz="0" w:space="0" w:color="auto"/>
            <w:left w:val="none" w:sz="0" w:space="0" w:color="auto"/>
            <w:bottom w:val="none" w:sz="0" w:space="0" w:color="auto"/>
            <w:right w:val="none" w:sz="0" w:space="0" w:color="auto"/>
          </w:divBdr>
        </w:div>
      </w:divsChild>
    </w:div>
    <w:div w:id="397629036">
      <w:bodyDiv w:val="1"/>
      <w:marLeft w:val="0"/>
      <w:marRight w:val="0"/>
      <w:marTop w:val="0"/>
      <w:marBottom w:val="0"/>
      <w:divBdr>
        <w:top w:val="none" w:sz="0" w:space="0" w:color="auto"/>
        <w:left w:val="none" w:sz="0" w:space="0" w:color="auto"/>
        <w:bottom w:val="none" w:sz="0" w:space="0" w:color="auto"/>
        <w:right w:val="none" w:sz="0" w:space="0" w:color="auto"/>
      </w:divBdr>
      <w:divsChild>
        <w:div w:id="130482808">
          <w:marLeft w:val="0"/>
          <w:marRight w:val="0"/>
          <w:marTop w:val="0"/>
          <w:marBottom w:val="0"/>
          <w:divBdr>
            <w:top w:val="none" w:sz="0" w:space="0" w:color="auto"/>
            <w:left w:val="none" w:sz="0" w:space="0" w:color="auto"/>
            <w:bottom w:val="none" w:sz="0" w:space="0" w:color="auto"/>
            <w:right w:val="none" w:sz="0" w:space="0" w:color="auto"/>
          </w:divBdr>
        </w:div>
        <w:div w:id="1095007459">
          <w:marLeft w:val="0"/>
          <w:marRight w:val="0"/>
          <w:marTop w:val="0"/>
          <w:marBottom w:val="0"/>
          <w:divBdr>
            <w:top w:val="none" w:sz="0" w:space="0" w:color="auto"/>
            <w:left w:val="none" w:sz="0" w:space="0" w:color="auto"/>
            <w:bottom w:val="none" w:sz="0" w:space="0" w:color="auto"/>
            <w:right w:val="none" w:sz="0" w:space="0" w:color="auto"/>
          </w:divBdr>
        </w:div>
        <w:div w:id="1100486998">
          <w:marLeft w:val="0"/>
          <w:marRight w:val="0"/>
          <w:marTop w:val="0"/>
          <w:marBottom w:val="0"/>
          <w:divBdr>
            <w:top w:val="none" w:sz="0" w:space="0" w:color="auto"/>
            <w:left w:val="none" w:sz="0" w:space="0" w:color="auto"/>
            <w:bottom w:val="none" w:sz="0" w:space="0" w:color="auto"/>
            <w:right w:val="none" w:sz="0" w:space="0" w:color="auto"/>
          </w:divBdr>
        </w:div>
      </w:divsChild>
    </w:div>
    <w:div w:id="409892855">
      <w:bodyDiv w:val="1"/>
      <w:marLeft w:val="0"/>
      <w:marRight w:val="0"/>
      <w:marTop w:val="0"/>
      <w:marBottom w:val="0"/>
      <w:divBdr>
        <w:top w:val="none" w:sz="0" w:space="0" w:color="auto"/>
        <w:left w:val="none" w:sz="0" w:space="0" w:color="auto"/>
        <w:bottom w:val="none" w:sz="0" w:space="0" w:color="auto"/>
        <w:right w:val="none" w:sz="0" w:space="0" w:color="auto"/>
      </w:divBdr>
      <w:divsChild>
        <w:div w:id="414135153">
          <w:marLeft w:val="0"/>
          <w:marRight w:val="0"/>
          <w:marTop w:val="0"/>
          <w:marBottom w:val="0"/>
          <w:divBdr>
            <w:top w:val="none" w:sz="0" w:space="0" w:color="auto"/>
            <w:left w:val="none" w:sz="0" w:space="0" w:color="auto"/>
            <w:bottom w:val="none" w:sz="0" w:space="0" w:color="auto"/>
            <w:right w:val="none" w:sz="0" w:space="0" w:color="auto"/>
          </w:divBdr>
        </w:div>
      </w:divsChild>
    </w:div>
    <w:div w:id="411583020">
      <w:bodyDiv w:val="1"/>
      <w:marLeft w:val="0"/>
      <w:marRight w:val="0"/>
      <w:marTop w:val="0"/>
      <w:marBottom w:val="0"/>
      <w:divBdr>
        <w:top w:val="none" w:sz="0" w:space="0" w:color="auto"/>
        <w:left w:val="none" w:sz="0" w:space="0" w:color="auto"/>
        <w:bottom w:val="none" w:sz="0" w:space="0" w:color="auto"/>
        <w:right w:val="none" w:sz="0" w:space="0" w:color="auto"/>
      </w:divBdr>
      <w:divsChild>
        <w:div w:id="1004475844">
          <w:marLeft w:val="0"/>
          <w:marRight w:val="0"/>
          <w:marTop w:val="0"/>
          <w:marBottom w:val="0"/>
          <w:divBdr>
            <w:top w:val="none" w:sz="0" w:space="0" w:color="auto"/>
            <w:left w:val="none" w:sz="0" w:space="0" w:color="auto"/>
            <w:bottom w:val="none" w:sz="0" w:space="0" w:color="auto"/>
            <w:right w:val="none" w:sz="0" w:space="0" w:color="auto"/>
          </w:divBdr>
        </w:div>
        <w:div w:id="155921456">
          <w:marLeft w:val="0"/>
          <w:marRight w:val="0"/>
          <w:marTop w:val="0"/>
          <w:marBottom w:val="0"/>
          <w:divBdr>
            <w:top w:val="none" w:sz="0" w:space="0" w:color="auto"/>
            <w:left w:val="none" w:sz="0" w:space="0" w:color="auto"/>
            <w:bottom w:val="none" w:sz="0" w:space="0" w:color="auto"/>
            <w:right w:val="none" w:sz="0" w:space="0" w:color="auto"/>
          </w:divBdr>
        </w:div>
        <w:div w:id="1019434355">
          <w:marLeft w:val="0"/>
          <w:marRight w:val="0"/>
          <w:marTop w:val="0"/>
          <w:marBottom w:val="0"/>
          <w:divBdr>
            <w:top w:val="none" w:sz="0" w:space="0" w:color="auto"/>
            <w:left w:val="none" w:sz="0" w:space="0" w:color="auto"/>
            <w:bottom w:val="none" w:sz="0" w:space="0" w:color="auto"/>
            <w:right w:val="none" w:sz="0" w:space="0" w:color="auto"/>
          </w:divBdr>
        </w:div>
        <w:div w:id="947006827">
          <w:marLeft w:val="0"/>
          <w:marRight w:val="0"/>
          <w:marTop w:val="0"/>
          <w:marBottom w:val="0"/>
          <w:divBdr>
            <w:top w:val="none" w:sz="0" w:space="0" w:color="auto"/>
            <w:left w:val="none" w:sz="0" w:space="0" w:color="auto"/>
            <w:bottom w:val="none" w:sz="0" w:space="0" w:color="auto"/>
            <w:right w:val="none" w:sz="0" w:space="0" w:color="auto"/>
          </w:divBdr>
        </w:div>
        <w:div w:id="1689135634">
          <w:marLeft w:val="0"/>
          <w:marRight w:val="0"/>
          <w:marTop w:val="0"/>
          <w:marBottom w:val="0"/>
          <w:divBdr>
            <w:top w:val="none" w:sz="0" w:space="0" w:color="auto"/>
            <w:left w:val="none" w:sz="0" w:space="0" w:color="auto"/>
            <w:bottom w:val="none" w:sz="0" w:space="0" w:color="auto"/>
            <w:right w:val="none" w:sz="0" w:space="0" w:color="auto"/>
          </w:divBdr>
        </w:div>
        <w:div w:id="405537377">
          <w:marLeft w:val="0"/>
          <w:marRight w:val="0"/>
          <w:marTop w:val="0"/>
          <w:marBottom w:val="0"/>
          <w:divBdr>
            <w:top w:val="none" w:sz="0" w:space="0" w:color="auto"/>
            <w:left w:val="none" w:sz="0" w:space="0" w:color="auto"/>
            <w:bottom w:val="none" w:sz="0" w:space="0" w:color="auto"/>
            <w:right w:val="none" w:sz="0" w:space="0" w:color="auto"/>
          </w:divBdr>
        </w:div>
        <w:div w:id="1051540826">
          <w:marLeft w:val="0"/>
          <w:marRight w:val="0"/>
          <w:marTop w:val="0"/>
          <w:marBottom w:val="0"/>
          <w:divBdr>
            <w:top w:val="none" w:sz="0" w:space="0" w:color="auto"/>
            <w:left w:val="none" w:sz="0" w:space="0" w:color="auto"/>
            <w:bottom w:val="none" w:sz="0" w:space="0" w:color="auto"/>
            <w:right w:val="none" w:sz="0" w:space="0" w:color="auto"/>
          </w:divBdr>
        </w:div>
        <w:div w:id="1300499317">
          <w:marLeft w:val="0"/>
          <w:marRight w:val="0"/>
          <w:marTop w:val="0"/>
          <w:marBottom w:val="0"/>
          <w:divBdr>
            <w:top w:val="none" w:sz="0" w:space="0" w:color="auto"/>
            <w:left w:val="none" w:sz="0" w:space="0" w:color="auto"/>
            <w:bottom w:val="none" w:sz="0" w:space="0" w:color="auto"/>
            <w:right w:val="none" w:sz="0" w:space="0" w:color="auto"/>
          </w:divBdr>
        </w:div>
        <w:div w:id="156121394">
          <w:marLeft w:val="0"/>
          <w:marRight w:val="0"/>
          <w:marTop w:val="0"/>
          <w:marBottom w:val="0"/>
          <w:divBdr>
            <w:top w:val="none" w:sz="0" w:space="0" w:color="auto"/>
            <w:left w:val="none" w:sz="0" w:space="0" w:color="auto"/>
            <w:bottom w:val="none" w:sz="0" w:space="0" w:color="auto"/>
            <w:right w:val="none" w:sz="0" w:space="0" w:color="auto"/>
          </w:divBdr>
          <w:divsChild>
            <w:div w:id="547032990">
              <w:marLeft w:val="0"/>
              <w:marRight w:val="0"/>
              <w:marTop w:val="0"/>
              <w:marBottom w:val="0"/>
              <w:divBdr>
                <w:top w:val="none" w:sz="0" w:space="0" w:color="auto"/>
                <w:left w:val="none" w:sz="0" w:space="0" w:color="auto"/>
                <w:bottom w:val="none" w:sz="0" w:space="0" w:color="auto"/>
                <w:right w:val="none" w:sz="0" w:space="0" w:color="auto"/>
              </w:divBdr>
            </w:div>
            <w:div w:id="484592245">
              <w:marLeft w:val="0"/>
              <w:marRight w:val="0"/>
              <w:marTop w:val="0"/>
              <w:marBottom w:val="0"/>
              <w:divBdr>
                <w:top w:val="none" w:sz="0" w:space="0" w:color="auto"/>
                <w:left w:val="none" w:sz="0" w:space="0" w:color="auto"/>
                <w:bottom w:val="none" w:sz="0" w:space="0" w:color="auto"/>
                <w:right w:val="none" w:sz="0" w:space="0" w:color="auto"/>
              </w:divBdr>
            </w:div>
          </w:divsChild>
        </w:div>
        <w:div w:id="1197234339">
          <w:marLeft w:val="0"/>
          <w:marRight w:val="0"/>
          <w:marTop w:val="0"/>
          <w:marBottom w:val="0"/>
          <w:divBdr>
            <w:top w:val="none" w:sz="0" w:space="0" w:color="auto"/>
            <w:left w:val="none" w:sz="0" w:space="0" w:color="auto"/>
            <w:bottom w:val="none" w:sz="0" w:space="0" w:color="auto"/>
            <w:right w:val="none" w:sz="0" w:space="0" w:color="auto"/>
          </w:divBdr>
        </w:div>
      </w:divsChild>
    </w:div>
    <w:div w:id="451292244">
      <w:bodyDiv w:val="1"/>
      <w:marLeft w:val="0"/>
      <w:marRight w:val="0"/>
      <w:marTop w:val="0"/>
      <w:marBottom w:val="0"/>
      <w:divBdr>
        <w:top w:val="none" w:sz="0" w:space="0" w:color="auto"/>
        <w:left w:val="none" w:sz="0" w:space="0" w:color="auto"/>
        <w:bottom w:val="none" w:sz="0" w:space="0" w:color="auto"/>
        <w:right w:val="none" w:sz="0" w:space="0" w:color="auto"/>
      </w:divBdr>
      <w:divsChild>
        <w:div w:id="878278586">
          <w:marLeft w:val="0"/>
          <w:marRight w:val="0"/>
          <w:marTop w:val="0"/>
          <w:marBottom w:val="0"/>
          <w:divBdr>
            <w:top w:val="none" w:sz="0" w:space="0" w:color="auto"/>
            <w:left w:val="none" w:sz="0" w:space="0" w:color="auto"/>
            <w:bottom w:val="none" w:sz="0" w:space="0" w:color="auto"/>
            <w:right w:val="none" w:sz="0" w:space="0" w:color="auto"/>
          </w:divBdr>
          <w:divsChild>
            <w:div w:id="1074937939">
              <w:marLeft w:val="0"/>
              <w:marRight w:val="0"/>
              <w:marTop w:val="0"/>
              <w:marBottom w:val="0"/>
              <w:divBdr>
                <w:top w:val="none" w:sz="0" w:space="0" w:color="auto"/>
                <w:left w:val="none" w:sz="0" w:space="0" w:color="auto"/>
                <w:bottom w:val="none" w:sz="0" w:space="0" w:color="auto"/>
                <w:right w:val="none" w:sz="0" w:space="0" w:color="auto"/>
              </w:divBdr>
            </w:div>
            <w:div w:id="1131872307">
              <w:marLeft w:val="0"/>
              <w:marRight w:val="0"/>
              <w:marTop w:val="0"/>
              <w:marBottom w:val="0"/>
              <w:divBdr>
                <w:top w:val="none" w:sz="0" w:space="0" w:color="auto"/>
                <w:left w:val="none" w:sz="0" w:space="0" w:color="auto"/>
                <w:bottom w:val="none" w:sz="0" w:space="0" w:color="auto"/>
                <w:right w:val="none" w:sz="0" w:space="0" w:color="auto"/>
              </w:divBdr>
            </w:div>
            <w:div w:id="824517827">
              <w:marLeft w:val="0"/>
              <w:marRight w:val="0"/>
              <w:marTop w:val="0"/>
              <w:marBottom w:val="0"/>
              <w:divBdr>
                <w:top w:val="none" w:sz="0" w:space="0" w:color="auto"/>
                <w:left w:val="none" w:sz="0" w:space="0" w:color="auto"/>
                <w:bottom w:val="none" w:sz="0" w:space="0" w:color="auto"/>
                <w:right w:val="none" w:sz="0" w:space="0" w:color="auto"/>
              </w:divBdr>
            </w:div>
            <w:div w:id="1790473582">
              <w:marLeft w:val="0"/>
              <w:marRight w:val="0"/>
              <w:marTop w:val="0"/>
              <w:marBottom w:val="0"/>
              <w:divBdr>
                <w:top w:val="none" w:sz="0" w:space="0" w:color="auto"/>
                <w:left w:val="none" w:sz="0" w:space="0" w:color="auto"/>
                <w:bottom w:val="none" w:sz="0" w:space="0" w:color="auto"/>
                <w:right w:val="none" w:sz="0" w:space="0" w:color="auto"/>
              </w:divBdr>
            </w:div>
          </w:divsChild>
        </w:div>
        <w:div w:id="1107651595">
          <w:marLeft w:val="0"/>
          <w:marRight w:val="0"/>
          <w:marTop w:val="0"/>
          <w:marBottom w:val="0"/>
          <w:divBdr>
            <w:top w:val="none" w:sz="0" w:space="0" w:color="auto"/>
            <w:left w:val="none" w:sz="0" w:space="0" w:color="auto"/>
            <w:bottom w:val="none" w:sz="0" w:space="0" w:color="auto"/>
            <w:right w:val="none" w:sz="0" w:space="0" w:color="auto"/>
          </w:divBdr>
        </w:div>
        <w:div w:id="1203250677">
          <w:marLeft w:val="0"/>
          <w:marRight w:val="0"/>
          <w:marTop w:val="0"/>
          <w:marBottom w:val="0"/>
          <w:divBdr>
            <w:top w:val="none" w:sz="0" w:space="0" w:color="auto"/>
            <w:left w:val="none" w:sz="0" w:space="0" w:color="auto"/>
            <w:bottom w:val="none" w:sz="0" w:space="0" w:color="auto"/>
            <w:right w:val="none" w:sz="0" w:space="0" w:color="auto"/>
          </w:divBdr>
          <w:divsChild>
            <w:div w:id="199246601">
              <w:marLeft w:val="0"/>
              <w:marRight w:val="0"/>
              <w:marTop w:val="0"/>
              <w:marBottom w:val="0"/>
              <w:divBdr>
                <w:top w:val="none" w:sz="0" w:space="0" w:color="auto"/>
                <w:left w:val="none" w:sz="0" w:space="0" w:color="auto"/>
                <w:bottom w:val="none" w:sz="0" w:space="0" w:color="auto"/>
                <w:right w:val="none" w:sz="0" w:space="0" w:color="auto"/>
              </w:divBdr>
            </w:div>
            <w:div w:id="1455438079">
              <w:marLeft w:val="0"/>
              <w:marRight w:val="0"/>
              <w:marTop w:val="0"/>
              <w:marBottom w:val="0"/>
              <w:divBdr>
                <w:top w:val="none" w:sz="0" w:space="0" w:color="auto"/>
                <w:left w:val="none" w:sz="0" w:space="0" w:color="auto"/>
                <w:bottom w:val="none" w:sz="0" w:space="0" w:color="auto"/>
                <w:right w:val="none" w:sz="0" w:space="0" w:color="auto"/>
              </w:divBdr>
            </w:div>
            <w:div w:id="890534654">
              <w:marLeft w:val="0"/>
              <w:marRight w:val="0"/>
              <w:marTop w:val="0"/>
              <w:marBottom w:val="0"/>
              <w:divBdr>
                <w:top w:val="none" w:sz="0" w:space="0" w:color="auto"/>
                <w:left w:val="none" w:sz="0" w:space="0" w:color="auto"/>
                <w:bottom w:val="none" w:sz="0" w:space="0" w:color="auto"/>
                <w:right w:val="none" w:sz="0" w:space="0" w:color="auto"/>
              </w:divBdr>
            </w:div>
            <w:div w:id="2141413749">
              <w:marLeft w:val="0"/>
              <w:marRight w:val="0"/>
              <w:marTop w:val="0"/>
              <w:marBottom w:val="0"/>
              <w:divBdr>
                <w:top w:val="none" w:sz="0" w:space="0" w:color="auto"/>
                <w:left w:val="none" w:sz="0" w:space="0" w:color="auto"/>
                <w:bottom w:val="none" w:sz="0" w:space="0" w:color="auto"/>
                <w:right w:val="none" w:sz="0" w:space="0" w:color="auto"/>
              </w:divBdr>
            </w:div>
            <w:div w:id="1627006485">
              <w:marLeft w:val="0"/>
              <w:marRight w:val="0"/>
              <w:marTop w:val="0"/>
              <w:marBottom w:val="0"/>
              <w:divBdr>
                <w:top w:val="none" w:sz="0" w:space="0" w:color="auto"/>
                <w:left w:val="none" w:sz="0" w:space="0" w:color="auto"/>
                <w:bottom w:val="none" w:sz="0" w:space="0" w:color="auto"/>
                <w:right w:val="none" w:sz="0" w:space="0" w:color="auto"/>
              </w:divBdr>
            </w:div>
            <w:div w:id="153842074">
              <w:marLeft w:val="0"/>
              <w:marRight w:val="0"/>
              <w:marTop w:val="0"/>
              <w:marBottom w:val="0"/>
              <w:divBdr>
                <w:top w:val="none" w:sz="0" w:space="0" w:color="auto"/>
                <w:left w:val="none" w:sz="0" w:space="0" w:color="auto"/>
                <w:bottom w:val="none" w:sz="0" w:space="0" w:color="auto"/>
                <w:right w:val="none" w:sz="0" w:space="0" w:color="auto"/>
              </w:divBdr>
            </w:div>
          </w:divsChild>
        </w:div>
        <w:div w:id="722021063">
          <w:marLeft w:val="0"/>
          <w:marRight w:val="0"/>
          <w:marTop w:val="0"/>
          <w:marBottom w:val="0"/>
          <w:divBdr>
            <w:top w:val="none" w:sz="0" w:space="0" w:color="auto"/>
            <w:left w:val="none" w:sz="0" w:space="0" w:color="auto"/>
            <w:bottom w:val="none" w:sz="0" w:space="0" w:color="auto"/>
            <w:right w:val="none" w:sz="0" w:space="0" w:color="auto"/>
          </w:divBdr>
        </w:div>
        <w:div w:id="1005134479">
          <w:marLeft w:val="0"/>
          <w:marRight w:val="0"/>
          <w:marTop w:val="0"/>
          <w:marBottom w:val="0"/>
          <w:divBdr>
            <w:top w:val="none" w:sz="0" w:space="0" w:color="auto"/>
            <w:left w:val="none" w:sz="0" w:space="0" w:color="auto"/>
            <w:bottom w:val="none" w:sz="0" w:space="0" w:color="auto"/>
            <w:right w:val="none" w:sz="0" w:space="0" w:color="auto"/>
          </w:divBdr>
        </w:div>
        <w:div w:id="1273171494">
          <w:marLeft w:val="0"/>
          <w:marRight w:val="0"/>
          <w:marTop w:val="0"/>
          <w:marBottom w:val="0"/>
          <w:divBdr>
            <w:top w:val="none" w:sz="0" w:space="0" w:color="auto"/>
            <w:left w:val="none" w:sz="0" w:space="0" w:color="auto"/>
            <w:bottom w:val="none" w:sz="0" w:space="0" w:color="auto"/>
            <w:right w:val="none" w:sz="0" w:space="0" w:color="auto"/>
          </w:divBdr>
        </w:div>
        <w:div w:id="1213886566">
          <w:marLeft w:val="0"/>
          <w:marRight w:val="0"/>
          <w:marTop w:val="0"/>
          <w:marBottom w:val="0"/>
          <w:divBdr>
            <w:top w:val="none" w:sz="0" w:space="0" w:color="auto"/>
            <w:left w:val="none" w:sz="0" w:space="0" w:color="auto"/>
            <w:bottom w:val="none" w:sz="0" w:space="0" w:color="auto"/>
            <w:right w:val="none" w:sz="0" w:space="0" w:color="auto"/>
          </w:divBdr>
        </w:div>
      </w:divsChild>
    </w:div>
    <w:div w:id="454638106">
      <w:bodyDiv w:val="1"/>
      <w:marLeft w:val="0"/>
      <w:marRight w:val="0"/>
      <w:marTop w:val="0"/>
      <w:marBottom w:val="0"/>
      <w:divBdr>
        <w:top w:val="none" w:sz="0" w:space="0" w:color="auto"/>
        <w:left w:val="none" w:sz="0" w:space="0" w:color="auto"/>
        <w:bottom w:val="none" w:sz="0" w:space="0" w:color="auto"/>
        <w:right w:val="none" w:sz="0" w:space="0" w:color="auto"/>
      </w:divBdr>
      <w:divsChild>
        <w:div w:id="1115438645">
          <w:marLeft w:val="0"/>
          <w:marRight w:val="0"/>
          <w:marTop w:val="0"/>
          <w:marBottom w:val="0"/>
          <w:divBdr>
            <w:top w:val="none" w:sz="0" w:space="0" w:color="auto"/>
            <w:left w:val="none" w:sz="0" w:space="0" w:color="auto"/>
            <w:bottom w:val="none" w:sz="0" w:space="0" w:color="auto"/>
            <w:right w:val="none" w:sz="0" w:space="0" w:color="auto"/>
          </w:divBdr>
        </w:div>
        <w:div w:id="126243990">
          <w:marLeft w:val="0"/>
          <w:marRight w:val="0"/>
          <w:marTop w:val="0"/>
          <w:marBottom w:val="0"/>
          <w:divBdr>
            <w:top w:val="none" w:sz="0" w:space="0" w:color="auto"/>
            <w:left w:val="none" w:sz="0" w:space="0" w:color="auto"/>
            <w:bottom w:val="none" w:sz="0" w:space="0" w:color="auto"/>
            <w:right w:val="none" w:sz="0" w:space="0" w:color="auto"/>
          </w:divBdr>
        </w:div>
        <w:div w:id="313797182">
          <w:marLeft w:val="0"/>
          <w:marRight w:val="0"/>
          <w:marTop w:val="0"/>
          <w:marBottom w:val="0"/>
          <w:divBdr>
            <w:top w:val="none" w:sz="0" w:space="0" w:color="auto"/>
            <w:left w:val="none" w:sz="0" w:space="0" w:color="auto"/>
            <w:bottom w:val="none" w:sz="0" w:space="0" w:color="auto"/>
            <w:right w:val="none" w:sz="0" w:space="0" w:color="auto"/>
          </w:divBdr>
        </w:div>
      </w:divsChild>
    </w:div>
    <w:div w:id="519130437">
      <w:bodyDiv w:val="1"/>
      <w:marLeft w:val="0"/>
      <w:marRight w:val="0"/>
      <w:marTop w:val="0"/>
      <w:marBottom w:val="0"/>
      <w:divBdr>
        <w:top w:val="none" w:sz="0" w:space="0" w:color="auto"/>
        <w:left w:val="none" w:sz="0" w:space="0" w:color="auto"/>
        <w:bottom w:val="none" w:sz="0" w:space="0" w:color="auto"/>
        <w:right w:val="none" w:sz="0" w:space="0" w:color="auto"/>
      </w:divBdr>
      <w:divsChild>
        <w:div w:id="377781224">
          <w:marLeft w:val="0"/>
          <w:marRight w:val="0"/>
          <w:marTop w:val="0"/>
          <w:marBottom w:val="0"/>
          <w:divBdr>
            <w:top w:val="none" w:sz="0" w:space="0" w:color="auto"/>
            <w:left w:val="none" w:sz="0" w:space="0" w:color="auto"/>
            <w:bottom w:val="none" w:sz="0" w:space="0" w:color="auto"/>
            <w:right w:val="none" w:sz="0" w:space="0" w:color="auto"/>
          </w:divBdr>
        </w:div>
        <w:div w:id="786194376">
          <w:marLeft w:val="0"/>
          <w:marRight w:val="0"/>
          <w:marTop w:val="0"/>
          <w:marBottom w:val="0"/>
          <w:divBdr>
            <w:top w:val="none" w:sz="0" w:space="0" w:color="auto"/>
            <w:left w:val="none" w:sz="0" w:space="0" w:color="auto"/>
            <w:bottom w:val="none" w:sz="0" w:space="0" w:color="auto"/>
            <w:right w:val="none" w:sz="0" w:space="0" w:color="auto"/>
          </w:divBdr>
        </w:div>
        <w:div w:id="846796798">
          <w:marLeft w:val="0"/>
          <w:marRight w:val="0"/>
          <w:marTop w:val="0"/>
          <w:marBottom w:val="0"/>
          <w:divBdr>
            <w:top w:val="none" w:sz="0" w:space="0" w:color="auto"/>
            <w:left w:val="none" w:sz="0" w:space="0" w:color="auto"/>
            <w:bottom w:val="none" w:sz="0" w:space="0" w:color="auto"/>
            <w:right w:val="none" w:sz="0" w:space="0" w:color="auto"/>
          </w:divBdr>
        </w:div>
        <w:div w:id="2034332379">
          <w:marLeft w:val="0"/>
          <w:marRight w:val="0"/>
          <w:marTop w:val="0"/>
          <w:marBottom w:val="0"/>
          <w:divBdr>
            <w:top w:val="none" w:sz="0" w:space="0" w:color="auto"/>
            <w:left w:val="none" w:sz="0" w:space="0" w:color="auto"/>
            <w:bottom w:val="none" w:sz="0" w:space="0" w:color="auto"/>
            <w:right w:val="none" w:sz="0" w:space="0" w:color="auto"/>
          </w:divBdr>
        </w:div>
        <w:div w:id="1771506044">
          <w:marLeft w:val="0"/>
          <w:marRight w:val="0"/>
          <w:marTop w:val="0"/>
          <w:marBottom w:val="0"/>
          <w:divBdr>
            <w:top w:val="none" w:sz="0" w:space="0" w:color="auto"/>
            <w:left w:val="none" w:sz="0" w:space="0" w:color="auto"/>
            <w:bottom w:val="none" w:sz="0" w:space="0" w:color="auto"/>
            <w:right w:val="none" w:sz="0" w:space="0" w:color="auto"/>
          </w:divBdr>
        </w:div>
        <w:div w:id="1434471651">
          <w:marLeft w:val="0"/>
          <w:marRight w:val="0"/>
          <w:marTop w:val="0"/>
          <w:marBottom w:val="0"/>
          <w:divBdr>
            <w:top w:val="none" w:sz="0" w:space="0" w:color="auto"/>
            <w:left w:val="none" w:sz="0" w:space="0" w:color="auto"/>
            <w:bottom w:val="none" w:sz="0" w:space="0" w:color="auto"/>
            <w:right w:val="none" w:sz="0" w:space="0" w:color="auto"/>
          </w:divBdr>
        </w:div>
        <w:div w:id="849950129">
          <w:marLeft w:val="0"/>
          <w:marRight w:val="0"/>
          <w:marTop w:val="0"/>
          <w:marBottom w:val="0"/>
          <w:divBdr>
            <w:top w:val="none" w:sz="0" w:space="0" w:color="auto"/>
            <w:left w:val="none" w:sz="0" w:space="0" w:color="auto"/>
            <w:bottom w:val="none" w:sz="0" w:space="0" w:color="auto"/>
            <w:right w:val="none" w:sz="0" w:space="0" w:color="auto"/>
          </w:divBdr>
        </w:div>
        <w:div w:id="1652247850">
          <w:marLeft w:val="0"/>
          <w:marRight w:val="0"/>
          <w:marTop w:val="0"/>
          <w:marBottom w:val="0"/>
          <w:divBdr>
            <w:top w:val="none" w:sz="0" w:space="0" w:color="auto"/>
            <w:left w:val="none" w:sz="0" w:space="0" w:color="auto"/>
            <w:bottom w:val="none" w:sz="0" w:space="0" w:color="auto"/>
            <w:right w:val="none" w:sz="0" w:space="0" w:color="auto"/>
          </w:divBdr>
        </w:div>
        <w:div w:id="1866677014">
          <w:marLeft w:val="0"/>
          <w:marRight w:val="0"/>
          <w:marTop w:val="0"/>
          <w:marBottom w:val="0"/>
          <w:divBdr>
            <w:top w:val="none" w:sz="0" w:space="0" w:color="auto"/>
            <w:left w:val="none" w:sz="0" w:space="0" w:color="auto"/>
            <w:bottom w:val="none" w:sz="0" w:space="0" w:color="auto"/>
            <w:right w:val="none" w:sz="0" w:space="0" w:color="auto"/>
          </w:divBdr>
        </w:div>
        <w:div w:id="1457873184">
          <w:marLeft w:val="0"/>
          <w:marRight w:val="0"/>
          <w:marTop w:val="0"/>
          <w:marBottom w:val="0"/>
          <w:divBdr>
            <w:top w:val="none" w:sz="0" w:space="0" w:color="auto"/>
            <w:left w:val="none" w:sz="0" w:space="0" w:color="auto"/>
            <w:bottom w:val="none" w:sz="0" w:space="0" w:color="auto"/>
            <w:right w:val="none" w:sz="0" w:space="0" w:color="auto"/>
          </w:divBdr>
        </w:div>
      </w:divsChild>
    </w:div>
    <w:div w:id="535198483">
      <w:bodyDiv w:val="1"/>
      <w:marLeft w:val="0"/>
      <w:marRight w:val="0"/>
      <w:marTop w:val="0"/>
      <w:marBottom w:val="0"/>
      <w:divBdr>
        <w:top w:val="none" w:sz="0" w:space="0" w:color="auto"/>
        <w:left w:val="none" w:sz="0" w:space="0" w:color="auto"/>
        <w:bottom w:val="none" w:sz="0" w:space="0" w:color="auto"/>
        <w:right w:val="none" w:sz="0" w:space="0" w:color="auto"/>
      </w:divBdr>
    </w:div>
    <w:div w:id="572008474">
      <w:bodyDiv w:val="1"/>
      <w:marLeft w:val="0"/>
      <w:marRight w:val="0"/>
      <w:marTop w:val="0"/>
      <w:marBottom w:val="0"/>
      <w:divBdr>
        <w:top w:val="none" w:sz="0" w:space="0" w:color="auto"/>
        <w:left w:val="none" w:sz="0" w:space="0" w:color="auto"/>
        <w:bottom w:val="none" w:sz="0" w:space="0" w:color="auto"/>
        <w:right w:val="none" w:sz="0" w:space="0" w:color="auto"/>
      </w:divBdr>
      <w:divsChild>
        <w:div w:id="534853035">
          <w:marLeft w:val="0"/>
          <w:marRight w:val="0"/>
          <w:marTop w:val="0"/>
          <w:marBottom w:val="0"/>
          <w:divBdr>
            <w:top w:val="none" w:sz="0" w:space="0" w:color="auto"/>
            <w:left w:val="none" w:sz="0" w:space="0" w:color="auto"/>
            <w:bottom w:val="none" w:sz="0" w:space="0" w:color="auto"/>
            <w:right w:val="none" w:sz="0" w:space="0" w:color="auto"/>
          </w:divBdr>
        </w:div>
        <w:div w:id="2147114708">
          <w:marLeft w:val="0"/>
          <w:marRight w:val="0"/>
          <w:marTop w:val="0"/>
          <w:marBottom w:val="0"/>
          <w:divBdr>
            <w:top w:val="none" w:sz="0" w:space="0" w:color="auto"/>
            <w:left w:val="none" w:sz="0" w:space="0" w:color="auto"/>
            <w:bottom w:val="none" w:sz="0" w:space="0" w:color="auto"/>
            <w:right w:val="none" w:sz="0" w:space="0" w:color="auto"/>
          </w:divBdr>
        </w:div>
      </w:divsChild>
    </w:div>
    <w:div w:id="577446335">
      <w:bodyDiv w:val="1"/>
      <w:marLeft w:val="0"/>
      <w:marRight w:val="0"/>
      <w:marTop w:val="0"/>
      <w:marBottom w:val="0"/>
      <w:divBdr>
        <w:top w:val="none" w:sz="0" w:space="0" w:color="auto"/>
        <w:left w:val="none" w:sz="0" w:space="0" w:color="auto"/>
        <w:bottom w:val="none" w:sz="0" w:space="0" w:color="auto"/>
        <w:right w:val="none" w:sz="0" w:space="0" w:color="auto"/>
      </w:divBdr>
      <w:divsChild>
        <w:div w:id="23141060">
          <w:marLeft w:val="0"/>
          <w:marRight w:val="0"/>
          <w:marTop w:val="0"/>
          <w:marBottom w:val="0"/>
          <w:divBdr>
            <w:top w:val="none" w:sz="0" w:space="0" w:color="auto"/>
            <w:left w:val="none" w:sz="0" w:space="0" w:color="auto"/>
            <w:bottom w:val="none" w:sz="0" w:space="0" w:color="auto"/>
            <w:right w:val="none" w:sz="0" w:space="0" w:color="auto"/>
          </w:divBdr>
        </w:div>
        <w:div w:id="1728409829">
          <w:marLeft w:val="0"/>
          <w:marRight w:val="0"/>
          <w:marTop w:val="0"/>
          <w:marBottom w:val="0"/>
          <w:divBdr>
            <w:top w:val="none" w:sz="0" w:space="0" w:color="auto"/>
            <w:left w:val="none" w:sz="0" w:space="0" w:color="auto"/>
            <w:bottom w:val="none" w:sz="0" w:space="0" w:color="auto"/>
            <w:right w:val="none" w:sz="0" w:space="0" w:color="auto"/>
          </w:divBdr>
        </w:div>
      </w:divsChild>
    </w:div>
    <w:div w:id="586229722">
      <w:bodyDiv w:val="1"/>
      <w:marLeft w:val="0"/>
      <w:marRight w:val="0"/>
      <w:marTop w:val="0"/>
      <w:marBottom w:val="0"/>
      <w:divBdr>
        <w:top w:val="none" w:sz="0" w:space="0" w:color="auto"/>
        <w:left w:val="none" w:sz="0" w:space="0" w:color="auto"/>
        <w:bottom w:val="none" w:sz="0" w:space="0" w:color="auto"/>
        <w:right w:val="none" w:sz="0" w:space="0" w:color="auto"/>
      </w:divBdr>
      <w:divsChild>
        <w:div w:id="1196890467">
          <w:marLeft w:val="0"/>
          <w:marRight w:val="0"/>
          <w:marTop w:val="0"/>
          <w:marBottom w:val="0"/>
          <w:divBdr>
            <w:top w:val="none" w:sz="0" w:space="0" w:color="auto"/>
            <w:left w:val="none" w:sz="0" w:space="0" w:color="auto"/>
            <w:bottom w:val="none" w:sz="0" w:space="0" w:color="auto"/>
            <w:right w:val="none" w:sz="0" w:space="0" w:color="auto"/>
          </w:divBdr>
        </w:div>
        <w:div w:id="1743328148">
          <w:marLeft w:val="0"/>
          <w:marRight w:val="0"/>
          <w:marTop w:val="0"/>
          <w:marBottom w:val="0"/>
          <w:divBdr>
            <w:top w:val="none" w:sz="0" w:space="0" w:color="auto"/>
            <w:left w:val="none" w:sz="0" w:space="0" w:color="auto"/>
            <w:bottom w:val="none" w:sz="0" w:space="0" w:color="auto"/>
            <w:right w:val="none" w:sz="0" w:space="0" w:color="auto"/>
          </w:divBdr>
        </w:div>
      </w:divsChild>
    </w:div>
    <w:div w:id="591278336">
      <w:bodyDiv w:val="1"/>
      <w:marLeft w:val="0"/>
      <w:marRight w:val="0"/>
      <w:marTop w:val="0"/>
      <w:marBottom w:val="0"/>
      <w:divBdr>
        <w:top w:val="none" w:sz="0" w:space="0" w:color="auto"/>
        <w:left w:val="none" w:sz="0" w:space="0" w:color="auto"/>
        <w:bottom w:val="none" w:sz="0" w:space="0" w:color="auto"/>
        <w:right w:val="none" w:sz="0" w:space="0" w:color="auto"/>
      </w:divBdr>
    </w:div>
    <w:div w:id="604848286">
      <w:bodyDiv w:val="1"/>
      <w:marLeft w:val="0"/>
      <w:marRight w:val="0"/>
      <w:marTop w:val="0"/>
      <w:marBottom w:val="0"/>
      <w:divBdr>
        <w:top w:val="none" w:sz="0" w:space="0" w:color="auto"/>
        <w:left w:val="none" w:sz="0" w:space="0" w:color="auto"/>
        <w:bottom w:val="none" w:sz="0" w:space="0" w:color="auto"/>
        <w:right w:val="none" w:sz="0" w:space="0" w:color="auto"/>
      </w:divBdr>
      <w:divsChild>
        <w:div w:id="269514037">
          <w:marLeft w:val="0"/>
          <w:marRight w:val="0"/>
          <w:marTop w:val="0"/>
          <w:marBottom w:val="0"/>
          <w:divBdr>
            <w:top w:val="none" w:sz="0" w:space="0" w:color="auto"/>
            <w:left w:val="none" w:sz="0" w:space="0" w:color="auto"/>
            <w:bottom w:val="none" w:sz="0" w:space="0" w:color="auto"/>
            <w:right w:val="none" w:sz="0" w:space="0" w:color="auto"/>
          </w:divBdr>
        </w:div>
      </w:divsChild>
    </w:div>
    <w:div w:id="605499223">
      <w:bodyDiv w:val="1"/>
      <w:marLeft w:val="0"/>
      <w:marRight w:val="0"/>
      <w:marTop w:val="0"/>
      <w:marBottom w:val="0"/>
      <w:divBdr>
        <w:top w:val="none" w:sz="0" w:space="0" w:color="auto"/>
        <w:left w:val="none" w:sz="0" w:space="0" w:color="auto"/>
        <w:bottom w:val="none" w:sz="0" w:space="0" w:color="auto"/>
        <w:right w:val="none" w:sz="0" w:space="0" w:color="auto"/>
      </w:divBdr>
      <w:divsChild>
        <w:div w:id="1238320616">
          <w:marLeft w:val="0"/>
          <w:marRight w:val="0"/>
          <w:marTop w:val="0"/>
          <w:marBottom w:val="0"/>
          <w:divBdr>
            <w:top w:val="none" w:sz="0" w:space="0" w:color="auto"/>
            <w:left w:val="none" w:sz="0" w:space="0" w:color="auto"/>
            <w:bottom w:val="none" w:sz="0" w:space="0" w:color="auto"/>
            <w:right w:val="none" w:sz="0" w:space="0" w:color="auto"/>
          </w:divBdr>
        </w:div>
        <w:div w:id="2023895121">
          <w:marLeft w:val="0"/>
          <w:marRight w:val="0"/>
          <w:marTop w:val="0"/>
          <w:marBottom w:val="0"/>
          <w:divBdr>
            <w:top w:val="none" w:sz="0" w:space="0" w:color="auto"/>
            <w:left w:val="none" w:sz="0" w:space="0" w:color="auto"/>
            <w:bottom w:val="none" w:sz="0" w:space="0" w:color="auto"/>
            <w:right w:val="none" w:sz="0" w:space="0" w:color="auto"/>
          </w:divBdr>
        </w:div>
        <w:div w:id="489947930">
          <w:marLeft w:val="0"/>
          <w:marRight w:val="0"/>
          <w:marTop w:val="0"/>
          <w:marBottom w:val="0"/>
          <w:divBdr>
            <w:top w:val="none" w:sz="0" w:space="0" w:color="auto"/>
            <w:left w:val="none" w:sz="0" w:space="0" w:color="auto"/>
            <w:bottom w:val="none" w:sz="0" w:space="0" w:color="auto"/>
            <w:right w:val="none" w:sz="0" w:space="0" w:color="auto"/>
          </w:divBdr>
        </w:div>
        <w:div w:id="270089148">
          <w:marLeft w:val="0"/>
          <w:marRight w:val="0"/>
          <w:marTop w:val="0"/>
          <w:marBottom w:val="0"/>
          <w:divBdr>
            <w:top w:val="none" w:sz="0" w:space="0" w:color="auto"/>
            <w:left w:val="none" w:sz="0" w:space="0" w:color="auto"/>
            <w:bottom w:val="none" w:sz="0" w:space="0" w:color="auto"/>
            <w:right w:val="none" w:sz="0" w:space="0" w:color="auto"/>
          </w:divBdr>
        </w:div>
        <w:div w:id="1140922140">
          <w:marLeft w:val="0"/>
          <w:marRight w:val="0"/>
          <w:marTop w:val="0"/>
          <w:marBottom w:val="0"/>
          <w:divBdr>
            <w:top w:val="none" w:sz="0" w:space="0" w:color="auto"/>
            <w:left w:val="none" w:sz="0" w:space="0" w:color="auto"/>
            <w:bottom w:val="none" w:sz="0" w:space="0" w:color="auto"/>
            <w:right w:val="none" w:sz="0" w:space="0" w:color="auto"/>
          </w:divBdr>
        </w:div>
      </w:divsChild>
    </w:div>
    <w:div w:id="609240652">
      <w:bodyDiv w:val="1"/>
      <w:marLeft w:val="0"/>
      <w:marRight w:val="0"/>
      <w:marTop w:val="0"/>
      <w:marBottom w:val="0"/>
      <w:divBdr>
        <w:top w:val="none" w:sz="0" w:space="0" w:color="auto"/>
        <w:left w:val="none" w:sz="0" w:space="0" w:color="auto"/>
        <w:bottom w:val="none" w:sz="0" w:space="0" w:color="auto"/>
        <w:right w:val="none" w:sz="0" w:space="0" w:color="auto"/>
      </w:divBdr>
    </w:div>
    <w:div w:id="625548742">
      <w:bodyDiv w:val="1"/>
      <w:marLeft w:val="0"/>
      <w:marRight w:val="0"/>
      <w:marTop w:val="0"/>
      <w:marBottom w:val="0"/>
      <w:divBdr>
        <w:top w:val="none" w:sz="0" w:space="0" w:color="auto"/>
        <w:left w:val="none" w:sz="0" w:space="0" w:color="auto"/>
        <w:bottom w:val="none" w:sz="0" w:space="0" w:color="auto"/>
        <w:right w:val="none" w:sz="0" w:space="0" w:color="auto"/>
      </w:divBdr>
      <w:divsChild>
        <w:div w:id="1080834047">
          <w:marLeft w:val="0"/>
          <w:marRight w:val="0"/>
          <w:marTop w:val="0"/>
          <w:marBottom w:val="0"/>
          <w:divBdr>
            <w:top w:val="none" w:sz="0" w:space="0" w:color="auto"/>
            <w:left w:val="none" w:sz="0" w:space="0" w:color="auto"/>
            <w:bottom w:val="none" w:sz="0" w:space="0" w:color="auto"/>
            <w:right w:val="none" w:sz="0" w:space="0" w:color="auto"/>
          </w:divBdr>
          <w:divsChild>
            <w:div w:id="292175968">
              <w:marLeft w:val="0"/>
              <w:marRight w:val="0"/>
              <w:marTop w:val="0"/>
              <w:marBottom w:val="0"/>
              <w:divBdr>
                <w:top w:val="none" w:sz="0" w:space="0" w:color="auto"/>
                <w:left w:val="none" w:sz="0" w:space="0" w:color="auto"/>
                <w:bottom w:val="none" w:sz="0" w:space="0" w:color="auto"/>
                <w:right w:val="none" w:sz="0" w:space="0" w:color="auto"/>
              </w:divBdr>
            </w:div>
          </w:divsChild>
        </w:div>
        <w:div w:id="1843426063">
          <w:marLeft w:val="0"/>
          <w:marRight w:val="0"/>
          <w:marTop w:val="0"/>
          <w:marBottom w:val="0"/>
          <w:divBdr>
            <w:top w:val="none" w:sz="0" w:space="0" w:color="auto"/>
            <w:left w:val="none" w:sz="0" w:space="0" w:color="auto"/>
            <w:bottom w:val="none" w:sz="0" w:space="0" w:color="auto"/>
            <w:right w:val="none" w:sz="0" w:space="0" w:color="auto"/>
          </w:divBdr>
          <w:divsChild>
            <w:div w:id="138008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162641">
      <w:bodyDiv w:val="1"/>
      <w:marLeft w:val="0"/>
      <w:marRight w:val="0"/>
      <w:marTop w:val="0"/>
      <w:marBottom w:val="0"/>
      <w:divBdr>
        <w:top w:val="none" w:sz="0" w:space="0" w:color="auto"/>
        <w:left w:val="none" w:sz="0" w:space="0" w:color="auto"/>
        <w:bottom w:val="none" w:sz="0" w:space="0" w:color="auto"/>
        <w:right w:val="none" w:sz="0" w:space="0" w:color="auto"/>
      </w:divBdr>
      <w:divsChild>
        <w:div w:id="158280311">
          <w:marLeft w:val="0"/>
          <w:marRight w:val="0"/>
          <w:marTop w:val="0"/>
          <w:marBottom w:val="0"/>
          <w:divBdr>
            <w:top w:val="none" w:sz="0" w:space="0" w:color="auto"/>
            <w:left w:val="none" w:sz="0" w:space="0" w:color="auto"/>
            <w:bottom w:val="none" w:sz="0" w:space="0" w:color="auto"/>
            <w:right w:val="none" w:sz="0" w:space="0" w:color="auto"/>
          </w:divBdr>
          <w:divsChild>
            <w:div w:id="910308160">
              <w:marLeft w:val="0"/>
              <w:marRight w:val="0"/>
              <w:marTop w:val="0"/>
              <w:marBottom w:val="0"/>
              <w:divBdr>
                <w:top w:val="none" w:sz="0" w:space="0" w:color="auto"/>
                <w:left w:val="none" w:sz="0" w:space="0" w:color="auto"/>
                <w:bottom w:val="none" w:sz="0" w:space="0" w:color="auto"/>
                <w:right w:val="none" w:sz="0" w:space="0" w:color="auto"/>
              </w:divBdr>
            </w:div>
            <w:div w:id="1024987571">
              <w:marLeft w:val="0"/>
              <w:marRight w:val="0"/>
              <w:marTop w:val="0"/>
              <w:marBottom w:val="0"/>
              <w:divBdr>
                <w:top w:val="none" w:sz="0" w:space="0" w:color="auto"/>
                <w:left w:val="none" w:sz="0" w:space="0" w:color="auto"/>
                <w:bottom w:val="none" w:sz="0" w:space="0" w:color="auto"/>
                <w:right w:val="none" w:sz="0" w:space="0" w:color="auto"/>
              </w:divBdr>
            </w:div>
          </w:divsChild>
        </w:div>
        <w:div w:id="927232475">
          <w:marLeft w:val="0"/>
          <w:marRight w:val="0"/>
          <w:marTop w:val="0"/>
          <w:marBottom w:val="0"/>
          <w:divBdr>
            <w:top w:val="none" w:sz="0" w:space="0" w:color="auto"/>
            <w:left w:val="none" w:sz="0" w:space="0" w:color="auto"/>
            <w:bottom w:val="none" w:sz="0" w:space="0" w:color="auto"/>
            <w:right w:val="none" w:sz="0" w:space="0" w:color="auto"/>
          </w:divBdr>
        </w:div>
        <w:div w:id="2074768450">
          <w:marLeft w:val="0"/>
          <w:marRight w:val="0"/>
          <w:marTop w:val="0"/>
          <w:marBottom w:val="0"/>
          <w:divBdr>
            <w:top w:val="none" w:sz="0" w:space="0" w:color="auto"/>
            <w:left w:val="none" w:sz="0" w:space="0" w:color="auto"/>
            <w:bottom w:val="none" w:sz="0" w:space="0" w:color="auto"/>
            <w:right w:val="none" w:sz="0" w:space="0" w:color="auto"/>
          </w:divBdr>
        </w:div>
      </w:divsChild>
    </w:div>
    <w:div w:id="651835403">
      <w:bodyDiv w:val="1"/>
      <w:marLeft w:val="0"/>
      <w:marRight w:val="0"/>
      <w:marTop w:val="0"/>
      <w:marBottom w:val="0"/>
      <w:divBdr>
        <w:top w:val="none" w:sz="0" w:space="0" w:color="auto"/>
        <w:left w:val="none" w:sz="0" w:space="0" w:color="auto"/>
        <w:bottom w:val="none" w:sz="0" w:space="0" w:color="auto"/>
        <w:right w:val="none" w:sz="0" w:space="0" w:color="auto"/>
      </w:divBdr>
      <w:divsChild>
        <w:div w:id="1958758479">
          <w:marLeft w:val="0"/>
          <w:marRight w:val="0"/>
          <w:marTop w:val="0"/>
          <w:marBottom w:val="0"/>
          <w:divBdr>
            <w:top w:val="none" w:sz="0" w:space="0" w:color="auto"/>
            <w:left w:val="none" w:sz="0" w:space="0" w:color="auto"/>
            <w:bottom w:val="none" w:sz="0" w:space="0" w:color="auto"/>
            <w:right w:val="none" w:sz="0" w:space="0" w:color="auto"/>
          </w:divBdr>
        </w:div>
        <w:div w:id="223882024">
          <w:marLeft w:val="0"/>
          <w:marRight w:val="0"/>
          <w:marTop w:val="0"/>
          <w:marBottom w:val="0"/>
          <w:divBdr>
            <w:top w:val="none" w:sz="0" w:space="0" w:color="auto"/>
            <w:left w:val="none" w:sz="0" w:space="0" w:color="auto"/>
            <w:bottom w:val="none" w:sz="0" w:space="0" w:color="auto"/>
            <w:right w:val="none" w:sz="0" w:space="0" w:color="auto"/>
          </w:divBdr>
        </w:div>
        <w:div w:id="700327299">
          <w:marLeft w:val="0"/>
          <w:marRight w:val="0"/>
          <w:marTop w:val="0"/>
          <w:marBottom w:val="0"/>
          <w:divBdr>
            <w:top w:val="none" w:sz="0" w:space="0" w:color="auto"/>
            <w:left w:val="none" w:sz="0" w:space="0" w:color="auto"/>
            <w:bottom w:val="none" w:sz="0" w:space="0" w:color="auto"/>
            <w:right w:val="none" w:sz="0" w:space="0" w:color="auto"/>
          </w:divBdr>
        </w:div>
        <w:div w:id="392318608">
          <w:marLeft w:val="0"/>
          <w:marRight w:val="0"/>
          <w:marTop w:val="0"/>
          <w:marBottom w:val="0"/>
          <w:divBdr>
            <w:top w:val="none" w:sz="0" w:space="0" w:color="auto"/>
            <w:left w:val="none" w:sz="0" w:space="0" w:color="auto"/>
            <w:bottom w:val="none" w:sz="0" w:space="0" w:color="auto"/>
            <w:right w:val="none" w:sz="0" w:space="0" w:color="auto"/>
          </w:divBdr>
        </w:div>
        <w:div w:id="85883466">
          <w:marLeft w:val="0"/>
          <w:marRight w:val="0"/>
          <w:marTop w:val="0"/>
          <w:marBottom w:val="0"/>
          <w:divBdr>
            <w:top w:val="none" w:sz="0" w:space="0" w:color="auto"/>
            <w:left w:val="none" w:sz="0" w:space="0" w:color="auto"/>
            <w:bottom w:val="none" w:sz="0" w:space="0" w:color="auto"/>
            <w:right w:val="none" w:sz="0" w:space="0" w:color="auto"/>
          </w:divBdr>
        </w:div>
      </w:divsChild>
    </w:div>
    <w:div w:id="712658315">
      <w:bodyDiv w:val="1"/>
      <w:marLeft w:val="0"/>
      <w:marRight w:val="0"/>
      <w:marTop w:val="0"/>
      <w:marBottom w:val="0"/>
      <w:divBdr>
        <w:top w:val="none" w:sz="0" w:space="0" w:color="auto"/>
        <w:left w:val="none" w:sz="0" w:space="0" w:color="auto"/>
        <w:bottom w:val="none" w:sz="0" w:space="0" w:color="auto"/>
        <w:right w:val="none" w:sz="0" w:space="0" w:color="auto"/>
      </w:divBdr>
    </w:div>
    <w:div w:id="789906443">
      <w:bodyDiv w:val="1"/>
      <w:marLeft w:val="0"/>
      <w:marRight w:val="0"/>
      <w:marTop w:val="0"/>
      <w:marBottom w:val="0"/>
      <w:divBdr>
        <w:top w:val="none" w:sz="0" w:space="0" w:color="auto"/>
        <w:left w:val="none" w:sz="0" w:space="0" w:color="auto"/>
        <w:bottom w:val="none" w:sz="0" w:space="0" w:color="auto"/>
        <w:right w:val="none" w:sz="0" w:space="0" w:color="auto"/>
      </w:divBdr>
      <w:divsChild>
        <w:div w:id="1854025864">
          <w:marLeft w:val="0"/>
          <w:marRight w:val="0"/>
          <w:marTop w:val="0"/>
          <w:marBottom w:val="0"/>
          <w:divBdr>
            <w:top w:val="none" w:sz="0" w:space="0" w:color="auto"/>
            <w:left w:val="none" w:sz="0" w:space="0" w:color="auto"/>
            <w:bottom w:val="none" w:sz="0" w:space="0" w:color="auto"/>
            <w:right w:val="none" w:sz="0" w:space="0" w:color="auto"/>
          </w:divBdr>
          <w:divsChild>
            <w:div w:id="307907756">
              <w:marLeft w:val="0"/>
              <w:marRight w:val="0"/>
              <w:marTop w:val="0"/>
              <w:marBottom w:val="0"/>
              <w:divBdr>
                <w:top w:val="none" w:sz="0" w:space="0" w:color="auto"/>
                <w:left w:val="none" w:sz="0" w:space="0" w:color="auto"/>
                <w:bottom w:val="none" w:sz="0" w:space="0" w:color="auto"/>
                <w:right w:val="none" w:sz="0" w:space="0" w:color="auto"/>
              </w:divBdr>
            </w:div>
            <w:div w:id="308680650">
              <w:marLeft w:val="0"/>
              <w:marRight w:val="0"/>
              <w:marTop w:val="0"/>
              <w:marBottom w:val="0"/>
              <w:divBdr>
                <w:top w:val="none" w:sz="0" w:space="0" w:color="auto"/>
                <w:left w:val="none" w:sz="0" w:space="0" w:color="auto"/>
                <w:bottom w:val="none" w:sz="0" w:space="0" w:color="auto"/>
                <w:right w:val="none" w:sz="0" w:space="0" w:color="auto"/>
              </w:divBdr>
            </w:div>
            <w:div w:id="801775654">
              <w:marLeft w:val="0"/>
              <w:marRight w:val="0"/>
              <w:marTop w:val="0"/>
              <w:marBottom w:val="0"/>
              <w:divBdr>
                <w:top w:val="none" w:sz="0" w:space="0" w:color="auto"/>
                <w:left w:val="none" w:sz="0" w:space="0" w:color="auto"/>
                <w:bottom w:val="none" w:sz="0" w:space="0" w:color="auto"/>
                <w:right w:val="none" w:sz="0" w:space="0" w:color="auto"/>
              </w:divBdr>
            </w:div>
          </w:divsChild>
        </w:div>
        <w:div w:id="1955483555">
          <w:marLeft w:val="0"/>
          <w:marRight w:val="0"/>
          <w:marTop w:val="0"/>
          <w:marBottom w:val="0"/>
          <w:divBdr>
            <w:top w:val="none" w:sz="0" w:space="0" w:color="auto"/>
            <w:left w:val="none" w:sz="0" w:space="0" w:color="auto"/>
            <w:bottom w:val="none" w:sz="0" w:space="0" w:color="auto"/>
            <w:right w:val="none" w:sz="0" w:space="0" w:color="auto"/>
          </w:divBdr>
          <w:divsChild>
            <w:div w:id="1746030106">
              <w:marLeft w:val="0"/>
              <w:marRight w:val="0"/>
              <w:marTop w:val="0"/>
              <w:marBottom w:val="0"/>
              <w:divBdr>
                <w:top w:val="none" w:sz="0" w:space="0" w:color="auto"/>
                <w:left w:val="none" w:sz="0" w:space="0" w:color="auto"/>
                <w:bottom w:val="none" w:sz="0" w:space="0" w:color="auto"/>
                <w:right w:val="none" w:sz="0" w:space="0" w:color="auto"/>
              </w:divBdr>
            </w:div>
            <w:div w:id="136304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477764">
      <w:bodyDiv w:val="1"/>
      <w:marLeft w:val="0"/>
      <w:marRight w:val="0"/>
      <w:marTop w:val="0"/>
      <w:marBottom w:val="0"/>
      <w:divBdr>
        <w:top w:val="none" w:sz="0" w:space="0" w:color="auto"/>
        <w:left w:val="none" w:sz="0" w:space="0" w:color="auto"/>
        <w:bottom w:val="none" w:sz="0" w:space="0" w:color="auto"/>
        <w:right w:val="none" w:sz="0" w:space="0" w:color="auto"/>
      </w:divBdr>
      <w:divsChild>
        <w:div w:id="1748304210">
          <w:marLeft w:val="0"/>
          <w:marRight w:val="0"/>
          <w:marTop w:val="0"/>
          <w:marBottom w:val="0"/>
          <w:divBdr>
            <w:top w:val="none" w:sz="0" w:space="0" w:color="auto"/>
            <w:left w:val="none" w:sz="0" w:space="0" w:color="auto"/>
            <w:bottom w:val="none" w:sz="0" w:space="0" w:color="auto"/>
            <w:right w:val="none" w:sz="0" w:space="0" w:color="auto"/>
          </w:divBdr>
        </w:div>
      </w:divsChild>
    </w:div>
    <w:div w:id="819349794">
      <w:bodyDiv w:val="1"/>
      <w:marLeft w:val="0"/>
      <w:marRight w:val="0"/>
      <w:marTop w:val="0"/>
      <w:marBottom w:val="0"/>
      <w:divBdr>
        <w:top w:val="none" w:sz="0" w:space="0" w:color="auto"/>
        <w:left w:val="none" w:sz="0" w:space="0" w:color="auto"/>
        <w:bottom w:val="none" w:sz="0" w:space="0" w:color="auto"/>
        <w:right w:val="none" w:sz="0" w:space="0" w:color="auto"/>
      </w:divBdr>
      <w:divsChild>
        <w:div w:id="1259287795">
          <w:marLeft w:val="0"/>
          <w:marRight w:val="0"/>
          <w:marTop w:val="0"/>
          <w:marBottom w:val="0"/>
          <w:divBdr>
            <w:top w:val="none" w:sz="0" w:space="0" w:color="auto"/>
            <w:left w:val="none" w:sz="0" w:space="0" w:color="auto"/>
            <w:bottom w:val="none" w:sz="0" w:space="0" w:color="auto"/>
            <w:right w:val="none" w:sz="0" w:space="0" w:color="auto"/>
          </w:divBdr>
        </w:div>
        <w:div w:id="1391997598">
          <w:marLeft w:val="0"/>
          <w:marRight w:val="0"/>
          <w:marTop w:val="0"/>
          <w:marBottom w:val="0"/>
          <w:divBdr>
            <w:top w:val="none" w:sz="0" w:space="0" w:color="auto"/>
            <w:left w:val="none" w:sz="0" w:space="0" w:color="auto"/>
            <w:bottom w:val="none" w:sz="0" w:space="0" w:color="auto"/>
            <w:right w:val="none" w:sz="0" w:space="0" w:color="auto"/>
          </w:divBdr>
        </w:div>
        <w:div w:id="1671788476">
          <w:marLeft w:val="0"/>
          <w:marRight w:val="0"/>
          <w:marTop w:val="0"/>
          <w:marBottom w:val="0"/>
          <w:divBdr>
            <w:top w:val="none" w:sz="0" w:space="0" w:color="auto"/>
            <w:left w:val="none" w:sz="0" w:space="0" w:color="auto"/>
            <w:bottom w:val="none" w:sz="0" w:space="0" w:color="auto"/>
            <w:right w:val="none" w:sz="0" w:space="0" w:color="auto"/>
          </w:divBdr>
        </w:div>
        <w:div w:id="629554164">
          <w:marLeft w:val="0"/>
          <w:marRight w:val="0"/>
          <w:marTop w:val="0"/>
          <w:marBottom w:val="0"/>
          <w:divBdr>
            <w:top w:val="none" w:sz="0" w:space="0" w:color="auto"/>
            <w:left w:val="none" w:sz="0" w:space="0" w:color="auto"/>
            <w:bottom w:val="none" w:sz="0" w:space="0" w:color="auto"/>
            <w:right w:val="none" w:sz="0" w:space="0" w:color="auto"/>
          </w:divBdr>
        </w:div>
        <w:div w:id="641230251">
          <w:marLeft w:val="0"/>
          <w:marRight w:val="0"/>
          <w:marTop w:val="0"/>
          <w:marBottom w:val="0"/>
          <w:divBdr>
            <w:top w:val="none" w:sz="0" w:space="0" w:color="auto"/>
            <w:left w:val="none" w:sz="0" w:space="0" w:color="auto"/>
            <w:bottom w:val="none" w:sz="0" w:space="0" w:color="auto"/>
            <w:right w:val="none" w:sz="0" w:space="0" w:color="auto"/>
          </w:divBdr>
        </w:div>
        <w:div w:id="139425531">
          <w:marLeft w:val="0"/>
          <w:marRight w:val="0"/>
          <w:marTop w:val="0"/>
          <w:marBottom w:val="0"/>
          <w:divBdr>
            <w:top w:val="none" w:sz="0" w:space="0" w:color="auto"/>
            <w:left w:val="none" w:sz="0" w:space="0" w:color="auto"/>
            <w:bottom w:val="none" w:sz="0" w:space="0" w:color="auto"/>
            <w:right w:val="none" w:sz="0" w:space="0" w:color="auto"/>
          </w:divBdr>
        </w:div>
        <w:div w:id="584385495">
          <w:marLeft w:val="0"/>
          <w:marRight w:val="0"/>
          <w:marTop w:val="0"/>
          <w:marBottom w:val="0"/>
          <w:divBdr>
            <w:top w:val="none" w:sz="0" w:space="0" w:color="auto"/>
            <w:left w:val="none" w:sz="0" w:space="0" w:color="auto"/>
            <w:bottom w:val="none" w:sz="0" w:space="0" w:color="auto"/>
            <w:right w:val="none" w:sz="0" w:space="0" w:color="auto"/>
          </w:divBdr>
        </w:div>
        <w:div w:id="1658990990">
          <w:marLeft w:val="0"/>
          <w:marRight w:val="0"/>
          <w:marTop w:val="0"/>
          <w:marBottom w:val="0"/>
          <w:divBdr>
            <w:top w:val="none" w:sz="0" w:space="0" w:color="auto"/>
            <w:left w:val="none" w:sz="0" w:space="0" w:color="auto"/>
            <w:bottom w:val="none" w:sz="0" w:space="0" w:color="auto"/>
            <w:right w:val="none" w:sz="0" w:space="0" w:color="auto"/>
          </w:divBdr>
        </w:div>
        <w:div w:id="589001020">
          <w:marLeft w:val="0"/>
          <w:marRight w:val="0"/>
          <w:marTop w:val="0"/>
          <w:marBottom w:val="0"/>
          <w:divBdr>
            <w:top w:val="none" w:sz="0" w:space="0" w:color="auto"/>
            <w:left w:val="none" w:sz="0" w:space="0" w:color="auto"/>
            <w:bottom w:val="none" w:sz="0" w:space="0" w:color="auto"/>
            <w:right w:val="none" w:sz="0" w:space="0" w:color="auto"/>
          </w:divBdr>
        </w:div>
        <w:div w:id="705181146">
          <w:marLeft w:val="0"/>
          <w:marRight w:val="0"/>
          <w:marTop w:val="0"/>
          <w:marBottom w:val="0"/>
          <w:divBdr>
            <w:top w:val="none" w:sz="0" w:space="0" w:color="auto"/>
            <w:left w:val="none" w:sz="0" w:space="0" w:color="auto"/>
            <w:bottom w:val="none" w:sz="0" w:space="0" w:color="auto"/>
            <w:right w:val="none" w:sz="0" w:space="0" w:color="auto"/>
          </w:divBdr>
        </w:div>
        <w:div w:id="1942450695">
          <w:marLeft w:val="0"/>
          <w:marRight w:val="0"/>
          <w:marTop w:val="0"/>
          <w:marBottom w:val="0"/>
          <w:divBdr>
            <w:top w:val="none" w:sz="0" w:space="0" w:color="auto"/>
            <w:left w:val="none" w:sz="0" w:space="0" w:color="auto"/>
            <w:bottom w:val="none" w:sz="0" w:space="0" w:color="auto"/>
            <w:right w:val="none" w:sz="0" w:space="0" w:color="auto"/>
          </w:divBdr>
        </w:div>
        <w:div w:id="824974546">
          <w:marLeft w:val="0"/>
          <w:marRight w:val="0"/>
          <w:marTop w:val="0"/>
          <w:marBottom w:val="0"/>
          <w:divBdr>
            <w:top w:val="none" w:sz="0" w:space="0" w:color="auto"/>
            <w:left w:val="none" w:sz="0" w:space="0" w:color="auto"/>
            <w:bottom w:val="none" w:sz="0" w:space="0" w:color="auto"/>
            <w:right w:val="none" w:sz="0" w:space="0" w:color="auto"/>
          </w:divBdr>
        </w:div>
      </w:divsChild>
    </w:div>
    <w:div w:id="820003803">
      <w:bodyDiv w:val="1"/>
      <w:marLeft w:val="0"/>
      <w:marRight w:val="0"/>
      <w:marTop w:val="0"/>
      <w:marBottom w:val="0"/>
      <w:divBdr>
        <w:top w:val="none" w:sz="0" w:space="0" w:color="auto"/>
        <w:left w:val="none" w:sz="0" w:space="0" w:color="auto"/>
        <w:bottom w:val="none" w:sz="0" w:space="0" w:color="auto"/>
        <w:right w:val="none" w:sz="0" w:space="0" w:color="auto"/>
      </w:divBdr>
      <w:divsChild>
        <w:div w:id="1892305001">
          <w:marLeft w:val="0"/>
          <w:marRight w:val="0"/>
          <w:marTop w:val="0"/>
          <w:marBottom w:val="0"/>
          <w:divBdr>
            <w:top w:val="none" w:sz="0" w:space="0" w:color="auto"/>
            <w:left w:val="none" w:sz="0" w:space="0" w:color="auto"/>
            <w:bottom w:val="none" w:sz="0" w:space="0" w:color="auto"/>
            <w:right w:val="none" w:sz="0" w:space="0" w:color="auto"/>
          </w:divBdr>
        </w:div>
        <w:div w:id="284847460">
          <w:marLeft w:val="0"/>
          <w:marRight w:val="0"/>
          <w:marTop w:val="0"/>
          <w:marBottom w:val="0"/>
          <w:divBdr>
            <w:top w:val="none" w:sz="0" w:space="0" w:color="auto"/>
            <w:left w:val="none" w:sz="0" w:space="0" w:color="auto"/>
            <w:bottom w:val="none" w:sz="0" w:space="0" w:color="auto"/>
            <w:right w:val="none" w:sz="0" w:space="0" w:color="auto"/>
          </w:divBdr>
        </w:div>
        <w:div w:id="1373110835">
          <w:marLeft w:val="0"/>
          <w:marRight w:val="0"/>
          <w:marTop w:val="0"/>
          <w:marBottom w:val="0"/>
          <w:divBdr>
            <w:top w:val="none" w:sz="0" w:space="0" w:color="auto"/>
            <w:left w:val="none" w:sz="0" w:space="0" w:color="auto"/>
            <w:bottom w:val="none" w:sz="0" w:space="0" w:color="auto"/>
            <w:right w:val="none" w:sz="0" w:space="0" w:color="auto"/>
          </w:divBdr>
          <w:divsChild>
            <w:div w:id="724066157">
              <w:marLeft w:val="0"/>
              <w:marRight w:val="0"/>
              <w:marTop w:val="0"/>
              <w:marBottom w:val="0"/>
              <w:divBdr>
                <w:top w:val="none" w:sz="0" w:space="0" w:color="auto"/>
                <w:left w:val="none" w:sz="0" w:space="0" w:color="auto"/>
                <w:bottom w:val="none" w:sz="0" w:space="0" w:color="auto"/>
                <w:right w:val="none" w:sz="0" w:space="0" w:color="auto"/>
              </w:divBdr>
            </w:div>
            <w:div w:id="1793015828">
              <w:marLeft w:val="0"/>
              <w:marRight w:val="0"/>
              <w:marTop w:val="0"/>
              <w:marBottom w:val="0"/>
              <w:divBdr>
                <w:top w:val="none" w:sz="0" w:space="0" w:color="auto"/>
                <w:left w:val="none" w:sz="0" w:space="0" w:color="auto"/>
                <w:bottom w:val="none" w:sz="0" w:space="0" w:color="auto"/>
                <w:right w:val="none" w:sz="0" w:space="0" w:color="auto"/>
              </w:divBdr>
            </w:div>
          </w:divsChild>
        </w:div>
        <w:div w:id="1429235190">
          <w:marLeft w:val="0"/>
          <w:marRight w:val="0"/>
          <w:marTop w:val="0"/>
          <w:marBottom w:val="0"/>
          <w:divBdr>
            <w:top w:val="none" w:sz="0" w:space="0" w:color="auto"/>
            <w:left w:val="none" w:sz="0" w:space="0" w:color="auto"/>
            <w:bottom w:val="none" w:sz="0" w:space="0" w:color="auto"/>
            <w:right w:val="none" w:sz="0" w:space="0" w:color="auto"/>
          </w:divBdr>
        </w:div>
      </w:divsChild>
    </w:div>
    <w:div w:id="858004979">
      <w:bodyDiv w:val="1"/>
      <w:marLeft w:val="0"/>
      <w:marRight w:val="0"/>
      <w:marTop w:val="0"/>
      <w:marBottom w:val="0"/>
      <w:divBdr>
        <w:top w:val="none" w:sz="0" w:space="0" w:color="auto"/>
        <w:left w:val="none" w:sz="0" w:space="0" w:color="auto"/>
        <w:bottom w:val="none" w:sz="0" w:space="0" w:color="auto"/>
        <w:right w:val="none" w:sz="0" w:space="0" w:color="auto"/>
      </w:divBdr>
      <w:divsChild>
        <w:div w:id="1448430637">
          <w:marLeft w:val="0"/>
          <w:marRight w:val="0"/>
          <w:marTop w:val="0"/>
          <w:marBottom w:val="0"/>
          <w:divBdr>
            <w:top w:val="none" w:sz="0" w:space="0" w:color="auto"/>
            <w:left w:val="none" w:sz="0" w:space="0" w:color="auto"/>
            <w:bottom w:val="none" w:sz="0" w:space="0" w:color="auto"/>
            <w:right w:val="none" w:sz="0" w:space="0" w:color="auto"/>
          </w:divBdr>
        </w:div>
        <w:div w:id="98380530">
          <w:marLeft w:val="0"/>
          <w:marRight w:val="0"/>
          <w:marTop w:val="0"/>
          <w:marBottom w:val="0"/>
          <w:divBdr>
            <w:top w:val="none" w:sz="0" w:space="0" w:color="auto"/>
            <w:left w:val="none" w:sz="0" w:space="0" w:color="auto"/>
            <w:bottom w:val="none" w:sz="0" w:space="0" w:color="auto"/>
            <w:right w:val="none" w:sz="0" w:space="0" w:color="auto"/>
          </w:divBdr>
        </w:div>
        <w:div w:id="490799683">
          <w:marLeft w:val="0"/>
          <w:marRight w:val="0"/>
          <w:marTop w:val="0"/>
          <w:marBottom w:val="0"/>
          <w:divBdr>
            <w:top w:val="none" w:sz="0" w:space="0" w:color="auto"/>
            <w:left w:val="none" w:sz="0" w:space="0" w:color="auto"/>
            <w:bottom w:val="none" w:sz="0" w:space="0" w:color="auto"/>
            <w:right w:val="none" w:sz="0" w:space="0" w:color="auto"/>
          </w:divBdr>
          <w:divsChild>
            <w:div w:id="601644314">
              <w:marLeft w:val="0"/>
              <w:marRight w:val="0"/>
              <w:marTop w:val="0"/>
              <w:marBottom w:val="0"/>
              <w:divBdr>
                <w:top w:val="none" w:sz="0" w:space="0" w:color="auto"/>
                <w:left w:val="none" w:sz="0" w:space="0" w:color="auto"/>
                <w:bottom w:val="none" w:sz="0" w:space="0" w:color="auto"/>
                <w:right w:val="none" w:sz="0" w:space="0" w:color="auto"/>
              </w:divBdr>
            </w:div>
            <w:div w:id="1580359707">
              <w:marLeft w:val="0"/>
              <w:marRight w:val="0"/>
              <w:marTop w:val="0"/>
              <w:marBottom w:val="0"/>
              <w:divBdr>
                <w:top w:val="none" w:sz="0" w:space="0" w:color="auto"/>
                <w:left w:val="none" w:sz="0" w:space="0" w:color="auto"/>
                <w:bottom w:val="none" w:sz="0" w:space="0" w:color="auto"/>
                <w:right w:val="none" w:sz="0" w:space="0" w:color="auto"/>
              </w:divBdr>
            </w:div>
          </w:divsChild>
        </w:div>
        <w:div w:id="1127434602">
          <w:marLeft w:val="0"/>
          <w:marRight w:val="0"/>
          <w:marTop w:val="0"/>
          <w:marBottom w:val="0"/>
          <w:divBdr>
            <w:top w:val="none" w:sz="0" w:space="0" w:color="auto"/>
            <w:left w:val="none" w:sz="0" w:space="0" w:color="auto"/>
            <w:bottom w:val="none" w:sz="0" w:space="0" w:color="auto"/>
            <w:right w:val="none" w:sz="0" w:space="0" w:color="auto"/>
          </w:divBdr>
        </w:div>
        <w:div w:id="617296414">
          <w:marLeft w:val="0"/>
          <w:marRight w:val="0"/>
          <w:marTop w:val="0"/>
          <w:marBottom w:val="0"/>
          <w:divBdr>
            <w:top w:val="none" w:sz="0" w:space="0" w:color="auto"/>
            <w:left w:val="none" w:sz="0" w:space="0" w:color="auto"/>
            <w:bottom w:val="none" w:sz="0" w:space="0" w:color="auto"/>
            <w:right w:val="none" w:sz="0" w:space="0" w:color="auto"/>
          </w:divBdr>
          <w:divsChild>
            <w:div w:id="2083482650">
              <w:marLeft w:val="0"/>
              <w:marRight w:val="0"/>
              <w:marTop w:val="0"/>
              <w:marBottom w:val="0"/>
              <w:divBdr>
                <w:top w:val="none" w:sz="0" w:space="0" w:color="auto"/>
                <w:left w:val="none" w:sz="0" w:space="0" w:color="auto"/>
                <w:bottom w:val="none" w:sz="0" w:space="0" w:color="auto"/>
                <w:right w:val="none" w:sz="0" w:space="0" w:color="auto"/>
              </w:divBdr>
            </w:div>
            <w:div w:id="1146118346">
              <w:marLeft w:val="0"/>
              <w:marRight w:val="0"/>
              <w:marTop w:val="0"/>
              <w:marBottom w:val="0"/>
              <w:divBdr>
                <w:top w:val="none" w:sz="0" w:space="0" w:color="auto"/>
                <w:left w:val="none" w:sz="0" w:space="0" w:color="auto"/>
                <w:bottom w:val="none" w:sz="0" w:space="0" w:color="auto"/>
                <w:right w:val="none" w:sz="0" w:space="0" w:color="auto"/>
              </w:divBdr>
            </w:div>
            <w:div w:id="1059288437">
              <w:marLeft w:val="0"/>
              <w:marRight w:val="0"/>
              <w:marTop w:val="0"/>
              <w:marBottom w:val="0"/>
              <w:divBdr>
                <w:top w:val="none" w:sz="0" w:space="0" w:color="auto"/>
                <w:left w:val="none" w:sz="0" w:space="0" w:color="auto"/>
                <w:bottom w:val="none" w:sz="0" w:space="0" w:color="auto"/>
                <w:right w:val="none" w:sz="0" w:space="0" w:color="auto"/>
              </w:divBdr>
            </w:div>
            <w:div w:id="753360851">
              <w:marLeft w:val="0"/>
              <w:marRight w:val="0"/>
              <w:marTop w:val="0"/>
              <w:marBottom w:val="0"/>
              <w:divBdr>
                <w:top w:val="none" w:sz="0" w:space="0" w:color="auto"/>
                <w:left w:val="none" w:sz="0" w:space="0" w:color="auto"/>
                <w:bottom w:val="none" w:sz="0" w:space="0" w:color="auto"/>
                <w:right w:val="none" w:sz="0" w:space="0" w:color="auto"/>
              </w:divBdr>
            </w:div>
            <w:div w:id="1087766839">
              <w:marLeft w:val="0"/>
              <w:marRight w:val="0"/>
              <w:marTop w:val="0"/>
              <w:marBottom w:val="0"/>
              <w:divBdr>
                <w:top w:val="none" w:sz="0" w:space="0" w:color="auto"/>
                <w:left w:val="none" w:sz="0" w:space="0" w:color="auto"/>
                <w:bottom w:val="none" w:sz="0" w:space="0" w:color="auto"/>
                <w:right w:val="none" w:sz="0" w:space="0" w:color="auto"/>
              </w:divBdr>
            </w:div>
            <w:div w:id="402021263">
              <w:marLeft w:val="0"/>
              <w:marRight w:val="0"/>
              <w:marTop w:val="0"/>
              <w:marBottom w:val="0"/>
              <w:divBdr>
                <w:top w:val="none" w:sz="0" w:space="0" w:color="auto"/>
                <w:left w:val="none" w:sz="0" w:space="0" w:color="auto"/>
                <w:bottom w:val="none" w:sz="0" w:space="0" w:color="auto"/>
                <w:right w:val="none" w:sz="0" w:space="0" w:color="auto"/>
              </w:divBdr>
            </w:div>
          </w:divsChild>
        </w:div>
        <w:div w:id="1375764098">
          <w:marLeft w:val="0"/>
          <w:marRight w:val="0"/>
          <w:marTop w:val="0"/>
          <w:marBottom w:val="0"/>
          <w:divBdr>
            <w:top w:val="none" w:sz="0" w:space="0" w:color="auto"/>
            <w:left w:val="none" w:sz="0" w:space="0" w:color="auto"/>
            <w:bottom w:val="none" w:sz="0" w:space="0" w:color="auto"/>
            <w:right w:val="none" w:sz="0" w:space="0" w:color="auto"/>
          </w:divBdr>
        </w:div>
        <w:div w:id="1588265109">
          <w:marLeft w:val="0"/>
          <w:marRight w:val="0"/>
          <w:marTop w:val="0"/>
          <w:marBottom w:val="0"/>
          <w:divBdr>
            <w:top w:val="none" w:sz="0" w:space="0" w:color="auto"/>
            <w:left w:val="none" w:sz="0" w:space="0" w:color="auto"/>
            <w:bottom w:val="none" w:sz="0" w:space="0" w:color="auto"/>
            <w:right w:val="none" w:sz="0" w:space="0" w:color="auto"/>
          </w:divBdr>
        </w:div>
        <w:div w:id="1634100327">
          <w:marLeft w:val="0"/>
          <w:marRight w:val="0"/>
          <w:marTop w:val="0"/>
          <w:marBottom w:val="0"/>
          <w:divBdr>
            <w:top w:val="none" w:sz="0" w:space="0" w:color="auto"/>
            <w:left w:val="none" w:sz="0" w:space="0" w:color="auto"/>
            <w:bottom w:val="none" w:sz="0" w:space="0" w:color="auto"/>
            <w:right w:val="none" w:sz="0" w:space="0" w:color="auto"/>
          </w:divBdr>
        </w:div>
        <w:div w:id="2081369748">
          <w:marLeft w:val="0"/>
          <w:marRight w:val="0"/>
          <w:marTop w:val="0"/>
          <w:marBottom w:val="0"/>
          <w:divBdr>
            <w:top w:val="none" w:sz="0" w:space="0" w:color="auto"/>
            <w:left w:val="none" w:sz="0" w:space="0" w:color="auto"/>
            <w:bottom w:val="none" w:sz="0" w:space="0" w:color="auto"/>
            <w:right w:val="none" w:sz="0" w:space="0" w:color="auto"/>
          </w:divBdr>
        </w:div>
        <w:div w:id="1777140227">
          <w:marLeft w:val="0"/>
          <w:marRight w:val="0"/>
          <w:marTop w:val="0"/>
          <w:marBottom w:val="0"/>
          <w:divBdr>
            <w:top w:val="none" w:sz="0" w:space="0" w:color="auto"/>
            <w:left w:val="none" w:sz="0" w:space="0" w:color="auto"/>
            <w:bottom w:val="none" w:sz="0" w:space="0" w:color="auto"/>
            <w:right w:val="none" w:sz="0" w:space="0" w:color="auto"/>
          </w:divBdr>
        </w:div>
      </w:divsChild>
    </w:div>
    <w:div w:id="865361956">
      <w:bodyDiv w:val="1"/>
      <w:marLeft w:val="0"/>
      <w:marRight w:val="0"/>
      <w:marTop w:val="0"/>
      <w:marBottom w:val="0"/>
      <w:divBdr>
        <w:top w:val="none" w:sz="0" w:space="0" w:color="auto"/>
        <w:left w:val="none" w:sz="0" w:space="0" w:color="auto"/>
        <w:bottom w:val="none" w:sz="0" w:space="0" w:color="auto"/>
        <w:right w:val="none" w:sz="0" w:space="0" w:color="auto"/>
      </w:divBdr>
    </w:div>
    <w:div w:id="867835000">
      <w:bodyDiv w:val="1"/>
      <w:marLeft w:val="0"/>
      <w:marRight w:val="0"/>
      <w:marTop w:val="0"/>
      <w:marBottom w:val="0"/>
      <w:divBdr>
        <w:top w:val="none" w:sz="0" w:space="0" w:color="auto"/>
        <w:left w:val="none" w:sz="0" w:space="0" w:color="auto"/>
        <w:bottom w:val="none" w:sz="0" w:space="0" w:color="auto"/>
        <w:right w:val="none" w:sz="0" w:space="0" w:color="auto"/>
      </w:divBdr>
    </w:div>
    <w:div w:id="895507173">
      <w:bodyDiv w:val="1"/>
      <w:marLeft w:val="0"/>
      <w:marRight w:val="0"/>
      <w:marTop w:val="0"/>
      <w:marBottom w:val="0"/>
      <w:divBdr>
        <w:top w:val="none" w:sz="0" w:space="0" w:color="auto"/>
        <w:left w:val="none" w:sz="0" w:space="0" w:color="auto"/>
        <w:bottom w:val="none" w:sz="0" w:space="0" w:color="auto"/>
        <w:right w:val="none" w:sz="0" w:space="0" w:color="auto"/>
      </w:divBdr>
      <w:divsChild>
        <w:div w:id="333849410">
          <w:marLeft w:val="0"/>
          <w:marRight w:val="0"/>
          <w:marTop w:val="0"/>
          <w:marBottom w:val="0"/>
          <w:divBdr>
            <w:top w:val="none" w:sz="0" w:space="0" w:color="auto"/>
            <w:left w:val="none" w:sz="0" w:space="0" w:color="auto"/>
            <w:bottom w:val="none" w:sz="0" w:space="0" w:color="auto"/>
            <w:right w:val="none" w:sz="0" w:space="0" w:color="auto"/>
          </w:divBdr>
        </w:div>
      </w:divsChild>
    </w:div>
    <w:div w:id="901598707">
      <w:bodyDiv w:val="1"/>
      <w:marLeft w:val="0"/>
      <w:marRight w:val="0"/>
      <w:marTop w:val="0"/>
      <w:marBottom w:val="0"/>
      <w:divBdr>
        <w:top w:val="none" w:sz="0" w:space="0" w:color="auto"/>
        <w:left w:val="none" w:sz="0" w:space="0" w:color="auto"/>
        <w:bottom w:val="none" w:sz="0" w:space="0" w:color="auto"/>
        <w:right w:val="none" w:sz="0" w:space="0" w:color="auto"/>
      </w:divBdr>
    </w:div>
    <w:div w:id="923033697">
      <w:bodyDiv w:val="1"/>
      <w:marLeft w:val="0"/>
      <w:marRight w:val="0"/>
      <w:marTop w:val="0"/>
      <w:marBottom w:val="0"/>
      <w:divBdr>
        <w:top w:val="none" w:sz="0" w:space="0" w:color="auto"/>
        <w:left w:val="none" w:sz="0" w:space="0" w:color="auto"/>
        <w:bottom w:val="none" w:sz="0" w:space="0" w:color="auto"/>
        <w:right w:val="none" w:sz="0" w:space="0" w:color="auto"/>
      </w:divBdr>
    </w:div>
    <w:div w:id="931744941">
      <w:bodyDiv w:val="1"/>
      <w:marLeft w:val="0"/>
      <w:marRight w:val="0"/>
      <w:marTop w:val="0"/>
      <w:marBottom w:val="0"/>
      <w:divBdr>
        <w:top w:val="none" w:sz="0" w:space="0" w:color="auto"/>
        <w:left w:val="none" w:sz="0" w:space="0" w:color="auto"/>
        <w:bottom w:val="none" w:sz="0" w:space="0" w:color="auto"/>
        <w:right w:val="none" w:sz="0" w:space="0" w:color="auto"/>
      </w:divBdr>
    </w:div>
    <w:div w:id="942104674">
      <w:bodyDiv w:val="1"/>
      <w:marLeft w:val="0"/>
      <w:marRight w:val="0"/>
      <w:marTop w:val="0"/>
      <w:marBottom w:val="0"/>
      <w:divBdr>
        <w:top w:val="none" w:sz="0" w:space="0" w:color="auto"/>
        <w:left w:val="none" w:sz="0" w:space="0" w:color="auto"/>
        <w:bottom w:val="none" w:sz="0" w:space="0" w:color="auto"/>
        <w:right w:val="none" w:sz="0" w:space="0" w:color="auto"/>
      </w:divBdr>
      <w:divsChild>
        <w:div w:id="1622028756">
          <w:marLeft w:val="0"/>
          <w:marRight w:val="0"/>
          <w:marTop w:val="0"/>
          <w:marBottom w:val="0"/>
          <w:divBdr>
            <w:top w:val="none" w:sz="0" w:space="0" w:color="auto"/>
            <w:left w:val="none" w:sz="0" w:space="0" w:color="auto"/>
            <w:bottom w:val="none" w:sz="0" w:space="0" w:color="auto"/>
            <w:right w:val="none" w:sz="0" w:space="0" w:color="auto"/>
          </w:divBdr>
        </w:div>
      </w:divsChild>
    </w:div>
    <w:div w:id="966619483">
      <w:bodyDiv w:val="1"/>
      <w:marLeft w:val="0"/>
      <w:marRight w:val="0"/>
      <w:marTop w:val="0"/>
      <w:marBottom w:val="0"/>
      <w:divBdr>
        <w:top w:val="none" w:sz="0" w:space="0" w:color="auto"/>
        <w:left w:val="none" w:sz="0" w:space="0" w:color="auto"/>
        <w:bottom w:val="none" w:sz="0" w:space="0" w:color="auto"/>
        <w:right w:val="none" w:sz="0" w:space="0" w:color="auto"/>
      </w:divBdr>
    </w:div>
    <w:div w:id="989291212">
      <w:bodyDiv w:val="1"/>
      <w:marLeft w:val="0"/>
      <w:marRight w:val="0"/>
      <w:marTop w:val="0"/>
      <w:marBottom w:val="0"/>
      <w:divBdr>
        <w:top w:val="none" w:sz="0" w:space="0" w:color="auto"/>
        <w:left w:val="none" w:sz="0" w:space="0" w:color="auto"/>
        <w:bottom w:val="none" w:sz="0" w:space="0" w:color="auto"/>
        <w:right w:val="none" w:sz="0" w:space="0" w:color="auto"/>
      </w:divBdr>
    </w:div>
    <w:div w:id="992879460">
      <w:bodyDiv w:val="1"/>
      <w:marLeft w:val="0"/>
      <w:marRight w:val="0"/>
      <w:marTop w:val="0"/>
      <w:marBottom w:val="0"/>
      <w:divBdr>
        <w:top w:val="none" w:sz="0" w:space="0" w:color="auto"/>
        <w:left w:val="none" w:sz="0" w:space="0" w:color="auto"/>
        <w:bottom w:val="none" w:sz="0" w:space="0" w:color="auto"/>
        <w:right w:val="none" w:sz="0" w:space="0" w:color="auto"/>
      </w:divBdr>
    </w:div>
    <w:div w:id="1000422639">
      <w:bodyDiv w:val="1"/>
      <w:marLeft w:val="0"/>
      <w:marRight w:val="0"/>
      <w:marTop w:val="0"/>
      <w:marBottom w:val="0"/>
      <w:divBdr>
        <w:top w:val="none" w:sz="0" w:space="0" w:color="auto"/>
        <w:left w:val="none" w:sz="0" w:space="0" w:color="auto"/>
        <w:bottom w:val="none" w:sz="0" w:space="0" w:color="auto"/>
        <w:right w:val="none" w:sz="0" w:space="0" w:color="auto"/>
      </w:divBdr>
      <w:divsChild>
        <w:div w:id="1227030725">
          <w:marLeft w:val="0"/>
          <w:marRight w:val="0"/>
          <w:marTop w:val="0"/>
          <w:marBottom w:val="0"/>
          <w:divBdr>
            <w:top w:val="none" w:sz="0" w:space="0" w:color="auto"/>
            <w:left w:val="none" w:sz="0" w:space="0" w:color="auto"/>
            <w:bottom w:val="none" w:sz="0" w:space="0" w:color="auto"/>
            <w:right w:val="none" w:sz="0" w:space="0" w:color="auto"/>
          </w:divBdr>
        </w:div>
        <w:div w:id="234050300">
          <w:marLeft w:val="0"/>
          <w:marRight w:val="0"/>
          <w:marTop w:val="0"/>
          <w:marBottom w:val="0"/>
          <w:divBdr>
            <w:top w:val="none" w:sz="0" w:space="0" w:color="auto"/>
            <w:left w:val="none" w:sz="0" w:space="0" w:color="auto"/>
            <w:bottom w:val="none" w:sz="0" w:space="0" w:color="auto"/>
            <w:right w:val="none" w:sz="0" w:space="0" w:color="auto"/>
          </w:divBdr>
        </w:div>
        <w:div w:id="819540077">
          <w:marLeft w:val="0"/>
          <w:marRight w:val="0"/>
          <w:marTop w:val="0"/>
          <w:marBottom w:val="0"/>
          <w:divBdr>
            <w:top w:val="none" w:sz="0" w:space="0" w:color="auto"/>
            <w:left w:val="none" w:sz="0" w:space="0" w:color="auto"/>
            <w:bottom w:val="none" w:sz="0" w:space="0" w:color="auto"/>
            <w:right w:val="none" w:sz="0" w:space="0" w:color="auto"/>
          </w:divBdr>
        </w:div>
        <w:div w:id="1563059239">
          <w:marLeft w:val="0"/>
          <w:marRight w:val="0"/>
          <w:marTop w:val="0"/>
          <w:marBottom w:val="0"/>
          <w:divBdr>
            <w:top w:val="none" w:sz="0" w:space="0" w:color="auto"/>
            <w:left w:val="none" w:sz="0" w:space="0" w:color="auto"/>
            <w:bottom w:val="none" w:sz="0" w:space="0" w:color="auto"/>
            <w:right w:val="none" w:sz="0" w:space="0" w:color="auto"/>
          </w:divBdr>
        </w:div>
        <w:div w:id="1081028202">
          <w:marLeft w:val="0"/>
          <w:marRight w:val="0"/>
          <w:marTop w:val="0"/>
          <w:marBottom w:val="0"/>
          <w:divBdr>
            <w:top w:val="none" w:sz="0" w:space="0" w:color="auto"/>
            <w:left w:val="none" w:sz="0" w:space="0" w:color="auto"/>
            <w:bottom w:val="none" w:sz="0" w:space="0" w:color="auto"/>
            <w:right w:val="none" w:sz="0" w:space="0" w:color="auto"/>
          </w:divBdr>
        </w:div>
      </w:divsChild>
    </w:div>
    <w:div w:id="1008601179">
      <w:bodyDiv w:val="1"/>
      <w:marLeft w:val="0"/>
      <w:marRight w:val="0"/>
      <w:marTop w:val="0"/>
      <w:marBottom w:val="0"/>
      <w:divBdr>
        <w:top w:val="none" w:sz="0" w:space="0" w:color="auto"/>
        <w:left w:val="none" w:sz="0" w:space="0" w:color="auto"/>
        <w:bottom w:val="none" w:sz="0" w:space="0" w:color="auto"/>
        <w:right w:val="none" w:sz="0" w:space="0" w:color="auto"/>
      </w:divBdr>
      <w:divsChild>
        <w:div w:id="1755973714">
          <w:marLeft w:val="0"/>
          <w:marRight w:val="0"/>
          <w:marTop w:val="0"/>
          <w:marBottom w:val="0"/>
          <w:divBdr>
            <w:top w:val="none" w:sz="0" w:space="0" w:color="auto"/>
            <w:left w:val="none" w:sz="0" w:space="0" w:color="auto"/>
            <w:bottom w:val="none" w:sz="0" w:space="0" w:color="auto"/>
            <w:right w:val="none" w:sz="0" w:space="0" w:color="auto"/>
          </w:divBdr>
        </w:div>
        <w:div w:id="730077694">
          <w:marLeft w:val="0"/>
          <w:marRight w:val="0"/>
          <w:marTop w:val="0"/>
          <w:marBottom w:val="0"/>
          <w:divBdr>
            <w:top w:val="none" w:sz="0" w:space="0" w:color="auto"/>
            <w:left w:val="none" w:sz="0" w:space="0" w:color="auto"/>
            <w:bottom w:val="none" w:sz="0" w:space="0" w:color="auto"/>
            <w:right w:val="none" w:sz="0" w:space="0" w:color="auto"/>
          </w:divBdr>
        </w:div>
        <w:div w:id="757143177">
          <w:marLeft w:val="0"/>
          <w:marRight w:val="0"/>
          <w:marTop w:val="0"/>
          <w:marBottom w:val="0"/>
          <w:divBdr>
            <w:top w:val="none" w:sz="0" w:space="0" w:color="auto"/>
            <w:left w:val="none" w:sz="0" w:space="0" w:color="auto"/>
            <w:bottom w:val="none" w:sz="0" w:space="0" w:color="auto"/>
            <w:right w:val="none" w:sz="0" w:space="0" w:color="auto"/>
          </w:divBdr>
        </w:div>
        <w:div w:id="49963734">
          <w:marLeft w:val="0"/>
          <w:marRight w:val="0"/>
          <w:marTop w:val="0"/>
          <w:marBottom w:val="0"/>
          <w:divBdr>
            <w:top w:val="none" w:sz="0" w:space="0" w:color="auto"/>
            <w:left w:val="none" w:sz="0" w:space="0" w:color="auto"/>
            <w:bottom w:val="none" w:sz="0" w:space="0" w:color="auto"/>
            <w:right w:val="none" w:sz="0" w:space="0" w:color="auto"/>
          </w:divBdr>
        </w:div>
        <w:div w:id="1306005756">
          <w:marLeft w:val="0"/>
          <w:marRight w:val="0"/>
          <w:marTop w:val="0"/>
          <w:marBottom w:val="0"/>
          <w:divBdr>
            <w:top w:val="none" w:sz="0" w:space="0" w:color="auto"/>
            <w:left w:val="none" w:sz="0" w:space="0" w:color="auto"/>
            <w:bottom w:val="none" w:sz="0" w:space="0" w:color="auto"/>
            <w:right w:val="none" w:sz="0" w:space="0" w:color="auto"/>
          </w:divBdr>
        </w:div>
        <w:div w:id="563301376">
          <w:marLeft w:val="0"/>
          <w:marRight w:val="0"/>
          <w:marTop w:val="0"/>
          <w:marBottom w:val="0"/>
          <w:divBdr>
            <w:top w:val="none" w:sz="0" w:space="0" w:color="auto"/>
            <w:left w:val="none" w:sz="0" w:space="0" w:color="auto"/>
            <w:bottom w:val="none" w:sz="0" w:space="0" w:color="auto"/>
            <w:right w:val="none" w:sz="0" w:space="0" w:color="auto"/>
          </w:divBdr>
        </w:div>
        <w:div w:id="731850200">
          <w:marLeft w:val="0"/>
          <w:marRight w:val="0"/>
          <w:marTop w:val="0"/>
          <w:marBottom w:val="0"/>
          <w:divBdr>
            <w:top w:val="none" w:sz="0" w:space="0" w:color="auto"/>
            <w:left w:val="none" w:sz="0" w:space="0" w:color="auto"/>
            <w:bottom w:val="none" w:sz="0" w:space="0" w:color="auto"/>
            <w:right w:val="none" w:sz="0" w:space="0" w:color="auto"/>
          </w:divBdr>
        </w:div>
        <w:div w:id="1895775016">
          <w:marLeft w:val="0"/>
          <w:marRight w:val="0"/>
          <w:marTop w:val="0"/>
          <w:marBottom w:val="0"/>
          <w:divBdr>
            <w:top w:val="none" w:sz="0" w:space="0" w:color="auto"/>
            <w:left w:val="none" w:sz="0" w:space="0" w:color="auto"/>
            <w:bottom w:val="none" w:sz="0" w:space="0" w:color="auto"/>
            <w:right w:val="none" w:sz="0" w:space="0" w:color="auto"/>
          </w:divBdr>
        </w:div>
        <w:div w:id="434902782">
          <w:marLeft w:val="0"/>
          <w:marRight w:val="0"/>
          <w:marTop w:val="0"/>
          <w:marBottom w:val="0"/>
          <w:divBdr>
            <w:top w:val="none" w:sz="0" w:space="0" w:color="auto"/>
            <w:left w:val="none" w:sz="0" w:space="0" w:color="auto"/>
            <w:bottom w:val="none" w:sz="0" w:space="0" w:color="auto"/>
            <w:right w:val="none" w:sz="0" w:space="0" w:color="auto"/>
          </w:divBdr>
        </w:div>
        <w:div w:id="214194728">
          <w:marLeft w:val="0"/>
          <w:marRight w:val="0"/>
          <w:marTop w:val="0"/>
          <w:marBottom w:val="0"/>
          <w:divBdr>
            <w:top w:val="none" w:sz="0" w:space="0" w:color="auto"/>
            <w:left w:val="none" w:sz="0" w:space="0" w:color="auto"/>
            <w:bottom w:val="none" w:sz="0" w:space="0" w:color="auto"/>
            <w:right w:val="none" w:sz="0" w:space="0" w:color="auto"/>
          </w:divBdr>
        </w:div>
        <w:div w:id="1711417052">
          <w:marLeft w:val="0"/>
          <w:marRight w:val="0"/>
          <w:marTop w:val="0"/>
          <w:marBottom w:val="0"/>
          <w:divBdr>
            <w:top w:val="none" w:sz="0" w:space="0" w:color="auto"/>
            <w:left w:val="none" w:sz="0" w:space="0" w:color="auto"/>
            <w:bottom w:val="none" w:sz="0" w:space="0" w:color="auto"/>
            <w:right w:val="none" w:sz="0" w:space="0" w:color="auto"/>
          </w:divBdr>
        </w:div>
        <w:div w:id="1817533113">
          <w:marLeft w:val="0"/>
          <w:marRight w:val="0"/>
          <w:marTop w:val="0"/>
          <w:marBottom w:val="0"/>
          <w:divBdr>
            <w:top w:val="none" w:sz="0" w:space="0" w:color="auto"/>
            <w:left w:val="none" w:sz="0" w:space="0" w:color="auto"/>
            <w:bottom w:val="none" w:sz="0" w:space="0" w:color="auto"/>
            <w:right w:val="none" w:sz="0" w:space="0" w:color="auto"/>
          </w:divBdr>
        </w:div>
        <w:div w:id="255212940">
          <w:marLeft w:val="0"/>
          <w:marRight w:val="0"/>
          <w:marTop w:val="0"/>
          <w:marBottom w:val="0"/>
          <w:divBdr>
            <w:top w:val="none" w:sz="0" w:space="0" w:color="auto"/>
            <w:left w:val="none" w:sz="0" w:space="0" w:color="auto"/>
            <w:bottom w:val="none" w:sz="0" w:space="0" w:color="auto"/>
            <w:right w:val="none" w:sz="0" w:space="0" w:color="auto"/>
          </w:divBdr>
        </w:div>
        <w:div w:id="1092312068">
          <w:marLeft w:val="0"/>
          <w:marRight w:val="0"/>
          <w:marTop w:val="0"/>
          <w:marBottom w:val="0"/>
          <w:divBdr>
            <w:top w:val="none" w:sz="0" w:space="0" w:color="auto"/>
            <w:left w:val="none" w:sz="0" w:space="0" w:color="auto"/>
            <w:bottom w:val="none" w:sz="0" w:space="0" w:color="auto"/>
            <w:right w:val="none" w:sz="0" w:space="0" w:color="auto"/>
          </w:divBdr>
        </w:div>
        <w:div w:id="395201153">
          <w:marLeft w:val="0"/>
          <w:marRight w:val="0"/>
          <w:marTop w:val="0"/>
          <w:marBottom w:val="0"/>
          <w:divBdr>
            <w:top w:val="none" w:sz="0" w:space="0" w:color="auto"/>
            <w:left w:val="none" w:sz="0" w:space="0" w:color="auto"/>
            <w:bottom w:val="none" w:sz="0" w:space="0" w:color="auto"/>
            <w:right w:val="none" w:sz="0" w:space="0" w:color="auto"/>
          </w:divBdr>
        </w:div>
        <w:div w:id="1560362157">
          <w:marLeft w:val="0"/>
          <w:marRight w:val="0"/>
          <w:marTop w:val="0"/>
          <w:marBottom w:val="0"/>
          <w:divBdr>
            <w:top w:val="none" w:sz="0" w:space="0" w:color="auto"/>
            <w:left w:val="none" w:sz="0" w:space="0" w:color="auto"/>
            <w:bottom w:val="none" w:sz="0" w:space="0" w:color="auto"/>
            <w:right w:val="none" w:sz="0" w:space="0" w:color="auto"/>
          </w:divBdr>
        </w:div>
        <w:div w:id="1408041910">
          <w:marLeft w:val="0"/>
          <w:marRight w:val="0"/>
          <w:marTop w:val="0"/>
          <w:marBottom w:val="0"/>
          <w:divBdr>
            <w:top w:val="none" w:sz="0" w:space="0" w:color="auto"/>
            <w:left w:val="none" w:sz="0" w:space="0" w:color="auto"/>
            <w:bottom w:val="none" w:sz="0" w:space="0" w:color="auto"/>
            <w:right w:val="none" w:sz="0" w:space="0" w:color="auto"/>
          </w:divBdr>
        </w:div>
        <w:div w:id="1540586393">
          <w:marLeft w:val="0"/>
          <w:marRight w:val="0"/>
          <w:marTop w:val="0"/>
          <w:marBottom w:val="0"/>
          <w:divBdr>
            <w:top w:val="none" w:sz="0" w:space="0" w:color="auto"/>
            <w:left w:val="none" w:sz="0" w:space="0" w:color="auto"/>
            <w:bottom w:val="none" w:sz="0" w:space="0" w:color="auto"/>
            <w:right w:val="none" w:sz="0" w:space="0" w:color="auto"/>
          </w:divBdr>
        </w:div>
        <w:div w:id="1187596099">
          <w:marLeft w:val="0"/>
          <w:marRight w:val="0"/>
          <w:marTop w:val="0"/>
          <w:marBottom w:val="0"/>
          <w:divBdr>
            <w:top w:val="none" w:sz="0" w:space="0" w:color="auto"/>
            <w:left w:val="none" w:sz="0" w:space="0" w:color="auto"/>
            <w:bottom w:val="none" w:sz="0" w:space="0" w:color="auto"/>
            <w:right w:val="none" w:sz="0" w:space="0" w:color="auto"/>
          </w:divBdr>
        </w:div>
        <w:div w:id="1933194785">
          <w:marLeft w:val="0"/>
          <w:marRight w:val="0"/>
          <w:marTop w:val="0"/>
          <w:marBottom w:val="0"/>
          <w:divBdr>
            <w:top w:val="none" w:sz="0" w:space="0" w:color="auto"/>
            <w:left w:val="none" w:sz="0" w:space="0" w:color="auto"/>
            <w:bottom w:val="none" w:sz="0" w:space="0" w:color="auto"/>
            <w:right w:val="none" w:sz="0" w:space="0" w:color="auto"/>
          </w:divBdr>
        </w:div>
        <w:div w:id="780078207">
          <w:marLeft w:val="0"/>
          <w:marRight w:val="0"/>
          <w:marTop w:val="0"/>
          <w:marBottom w:val="0"/>
          <w:divBdr>
            <w:top w:val="none" w:sz="0" w:space="0" w:color="auto"/>
            <w:left w:val="none" w:sz="0" w:space="0" w:color="auto"/>
            <w:bottom w:val="none" w:sz="0" w:space="0" w:color="auto"/>
            <w:right w:val="none" w:sz="0" w:space="0" w:color="auto"/>
          </w:divBdr>
        </w:div>
        <w:div w:id="1843281525">
          <w:marLeft w:val="0"/>
          <w:marRight w:val="0"/>
          <w:marTop w:val="0"/>
          <w:marBottom w:val="0"/>
          <w:divBdr>
            <w:top w:val="none" w:sz="0" w:space="0" w:color="auto"/>
            <w:left w:val="none" w:sz="0" w:space="0" w:color="auto"/>
            <w:bottom w:val="none" w:sz="0" w:space="0" w:color="auto"/>
            <w:right w:val="none" w:sz="0" w:space="0" w:color="auto"/>
          </w:divBdr>
        </w:div>
        <w:div w:id="721368131">
          <w:marLeft w:val="0"/>
          <w:marRight w:val="0"/>
          <w:marTop w:val="0"/>
          <w:marBottom w:val="0"/>
          <w:divBdr>
            <w:top w:val="none" w:sz="0" w:space="0" w:color="auto"/>
            <w:left w:val="none" w:sz="0" w:space="0" w:color="auto"/>
            <w:bottom w:val="none" w:sz="0" w:space="0" w:color="auto"/>
            <w:right w:val="none" w:sz="0" w:space="0" w:color="auto"/>
          </w:divBdr>
        </w:div>
        <w:div w:id="321664451">
          <w:marLeft w:val="0"/>
          <w:marRight w:val="0"/>
          <w:marTop w:val="0"/>
          <w:marBottom w:val="0"/>
          <w:divBdr>
            <w:top w:val="none" w:sz="0" w:space="0" w:color="auto"/>
            <w:left w:val="none" w:sz="0" w:space="0" w:color="auto"/>
            <w:bottom w:val="none" w:sz="0" w:space="0" w:color="auto"/>
            <w:right w:val="none" w:sz="0" w:space="0" w:color="auto"/>
          </w:divBdr>
        </w:div>
        <w:div w:id="494105228">
          <w:marLeft w:val="0"/>
          <w:marRight w:val="0"/>
          <w:marTop w:val="0"/>
          <w:marBottom w:val="0"/>
          <w:divBdr>
            <w:top w:val="none" w:sz="0" w:space="0" w:color="auto"/>
            <w:left w:val="none" w:sz="0" w:space="0" w:color="auto"/>
            <w:bottom w:val="none" w:sz="0" w:space="0" w:color="auto"/>
            <w:right w:val="none" w:sz="0" w:space="0" w:color="auto"/>
          </w:divBdr>
        </w:div>
        <w:div w:id="394205520">
          <w:marLeft w:val="0"/>
          <w:marRight w:val="0"/>
          <w:marTop w:val="0"/>
          <w:marBottom w:val="0"/>
          <w:divBdr>
            <w:top w:val="none" w:sz="0" w:space="0" w:color="auto"/>
            <w:left w:val="none" w:sz="0" w:space="0" w:color="auto"/>
            <w:bottom w:val="none" w:sz="0" w:space="0" w:color="auto"/>
            <w:right w:val="none" w:sz="0" w:space="0" w:color="auto"/>
          </w:divBdr>
        </w:div>
        <w:div w:id="810291583">
          <w:marLeft w:val="0"/>
          <w:marRight w:val="0"/>
          <w:marTop w:val="0"/>
          <w:marBottom w:val="0"/>
          <w:divBdr>
            <w:top w:val="none" w:sz="0" w:space="0" w:color="auto"/>
            <w:left w:val="none" w:sz="0" w:space="0" w:color="auto"/>
            <w:bottom w:val="none" w:sz="0" w:space="0" w:color="auto"/>
            <w:right w:val="none" w:sz="0" w:space="0" w:color="auto"/>
          </w:divBdr>
        </w:div>
        <w:div w:id="1174343325">
          <w:marLeft w:val="0"/>
          <w:marRight w:val="0"/>
          <w:marTop w:val="0"/>
          <w:marBottom w:val="0"/>
          <w:divBdr>
            <w:top w:val="none" w:sz="0" w:space="0" w:color="auto"/>
            <w:left w:val="none" w:sz="0" w:space="0" w:color="auto"/>
            <w:bottom w:val="none" w:sz="0" w:space="0" w:color="auto"/>
            <w:right w:val="none" w:sz="0" w:space="0" w:color="auto"/>
          </w:divBdr>
        </w:div>
        <w:div w:id="865874573">
          <w:marLeft w:val="0"/>
          <w:marRight w:val="0"/>
          <w:marTop w:val="0"/>
          <w:marBottom w:val="0"/>
          <w:divBdr>
            <w:top w:val="none" w:sz="0" w:space="0" w:color="auto"/>
            <w:left w:val="none" w:sz="0" w:space="0" w:color="auto"/>
            <w:bottom w:val="none" w:sz="0" w:space="0" w:color="auto"/>
            <w:right w:val="none" w:sz="0" w:space="0" w:color="auto"/>
          </w:divBdr>
        </w:div>
        <w:div w:id="1926062706">
          <w:marLeft w:val="0"/>
          <w:marRight w:val="0"/>
          <w:marTop w:val="0"/>
          <w:marBottom w:val="0"/>
          <w:divBdr>
            <w:top w:val="none" w:sz="0" w:space="0" w:color="auto"/>
            <w:left w:val="none" w:sz="0" w:space="0" w:color="auto"/>
            <w:bottom w:val="none" w:sz="0" w:space="0" w:color="auto"/>
            <w:right w:val="none" w:sz="0" w:space="0" w:color="auto"/>
          </w:divBdr>
        </w:div>
        <w:div w:id="1448617133">
          <w:marLeft w:val="0"/>
          <w:marRight w:val="0"/>
          <w:marTop w:val="0"/>
          <w:marBottom w:val="0"/>
          <w:divBdr>
            <w:top w:val="none" w:sz="0" w:space="0" w:color="auto"/>
            <w:left w:val="none" w:sz="0" w:space="0" w:color="auto"/>
            <w:bottom w:val="none" w:sz="0" w:space="0" w:color="auto"/>
            <w:right w:val="none" w:sz="0" w:space="0" w:color="auto"/>
          </w:divBdr>
        </w:div>
        <w:div w:id="382367787">
          <w:marLeft w:val="0"/>
          <w:marRight w:val="0"/>
          <w:marTop w:val="0"/>
          <w:marBottom w:val="0"/>
          <w:divBdr>
            <w:top w:val="none" w:sz="0" w:space="0" w:color="auto"/>
            <w:left w:val="none" w:sz="0" w:space="0" w:color="auto"/>
            <w:bottom w:val="none" w:sz="0" w:space="0" w:color="auto"/>
            <w:right w:val="none" w:sz="0" w:space="0" w:color="auto"/>
          </w:divBdr>
        </w:div>
        <w:div w:id="651838834">
          <w:marLeft w:val="0"/>
          <w:marRight w:val="0"/>
          <w:marTop w:val="0"/>
          <w:marBottom w:val="0"/>
          <w:divBdr>
            <w:top w:val="none" w:sz="0" w:space="0" w:color="auto"/>
            <w:left w:val="none" w:sz="0" w:space="0" w:color="auto"/>
            <w:bottom w:val="none" w:sz="0" w:space="0" w:color="auto"/>
            <w:right w:val="none" w:sz="0" w:space="0" w:color="auto"/>
          </w:divBdr>
        </w:div>
        <w:div w:id="1126774920">
          <w:marLeft w:val="0"/>
          <w:marRight w:val="0"/>
          <w:marTop w:val="0"/>
          <w:marBottom w:val="0"/>
          <w:divBdr>
            <w:top w:val="none" w:sz="0" w:space="0" w:color="auto"/>
            <w:left w:val="none" w:sz="0" w:space="0" w:color="auto"/>
            <w:bottom w:val="none" w:sz="0" w:space="0" w:color="auto"/>
            <w:right w:val="none" w:sz="0" w:space="0" w:color="auto"/>
          </w:divBdr>
        </w:div>
        <w:div w:id="1349285024">
          <w:marLeft w:val="0"/>
          <w:marRight w:val="0"/>
          <w:marTop w:val="0"/>
          <w:marBottom w:val="0"/>
          <w:divBdr>
            <w:top w:val="none" w:sz="0" w:space="0" w:color="auto"/>
            <w:left w:val="none" w:sz="0" w:space="0" w:color="auto"/>
            <w:bottom w:val="none" w:sz="0" w:space="0" w:color="auto"/>
            <w:right w:val="none" w:sz="0" w:space="0" w:color="auto"/>
          </w:divBdr>
        </w:div>
        <w:div w:id="963077256">
          <w:marLeft w:val="0"/>
          <w:marRight w:val="0"/>
          <w:marTop w:val="0"/>
          <w:marBottom w:val="0"/>
          <w:divBdr>
            <w:top w:val="none" w:sz="0" w:space="0" w:color="auto"/>
            <w:left w:val="none" w:sz="0" w:space="0" w:color="auto"/>
            <w:bottom w:val="none" w:sz="0" w:space="0" w:color="auto"/>
            <w:right w:val="none" w:sz="0" w:space="0" w:color="auto"/>
          </w:divBdr>
        </w:div>
        <w:div w:id="1486630235">
          <w:marLeft w:val="0"/>
          <w:marRight w:val="0"/>
          <w:marTop w:val="0"/>
          <w:marBottom w:val="0"/>
          <w:divBdr>
            <w:top w:val="none" w:sz="0" w:space="0" w:color="auto"/>
            <w:left w:val="none" w:sz="0" w:space="0" w:color="auto"/>
            <w:bottom w:val="none" w:sz="0" w:space="0" w:color="auto"/>
            <w:right w:val="none" w:sz="0" w:space="0" w:color="auto"/>
          </w:divBdr>
        </w:div>
        <w:div w:id="383021773">
          <w:marLeft w:val="0"/>
          <w:marRight w:val="0"/>
          <w:marTop w:val="0"/>
          <w:marBottom w:val="0"/>
          <w:divBdr>
            <w:top w:val="none" w:sz="0" w:space="0" w:color="auto"/>
            <w:left w:val="none" w:sz="0" w:space="0" w:color="auto"/>
            <w:bottom w:val="none" w:sz="0" w:space="0" w:color="auto"/>
            <w:right w:val="none" w:sz="0" w:space="0" w:color="auto"/>
          </w:divBdr>
        </w:div>
        <w:div w:id="1564103327">
          <w:marLeft w:val="0"/>
          <w:marRight w:val="0"/>
          <w:marTop w:val="0"/>
          <w:marBottom w:val="0"/>
          <w:divBdr>
            <w:top w:val="none" w:sz="0" w:space="0" w:color="auto"/>
            <w:left w:val="none" w:sz="0" w:space="0" w:color="auto"/>
            <w:bottom w:val="none" w:sz="0" w:space="0" w:color="auto"/>
            <w:right w:val="none" w:sz="0" w:space="0" w:color="auto"/>
          </w:divBdr>
        </w:div>
        <w:div w:id="1142036008">
          <w:marLeft w:val="0"/>
          <w:marRight w:val="0"/>
          <w:marTop w:val="0"/>
          <w:marBottom w:val="0"/>
          <w:divBdr>
            <w:top w:val="none" w:sz="0" w:space="0" w:color="auto"/>
            <w:left w:val="none" w:sz="0" w:space="0" w:color="auto"/>
            <w:bottom w:val="none" w:sz="0" w:space="0" w:color="auto"/>
            <w:right w:val="none" w:sz="0" w:space="0" w:color="auto"/>
          </w:divBdr>
        </w:div>
        <w:div w:id="70081437">
          <w:marLeft w:val="0"/>
          <w:marRight w:val="0"/>
          <w:marTop w:val="0"/>
          <w:marBottom w:val="0"/>
          <w:divBdr>
            <w:top w:val="none" w:sz="0" w:space="0" w:color="auto"/>
            <w:left w:val="none" w:sz="0" w:space="0" w:color="auto"/>
            <w:bottom w:val="none" w:sz="0" w:space="0" w:color="auto"/>
            <w:right w:val="none" w:sz="0" w:space="0" w:color="auto"/>
          </w:divBdr>
        </w:div>
        <w:div w:id="1205169150">
          <w:marLeft w:val="0"/>
          <w:marRight w:val="0"/>
          <w:marTop w:val="0"/>
          <w:marBottom w:val="0"/>
          <w:divBdr>
            <w:top w:val="none" w:sz="0" w:space="0" w:color="auto"/>
            <w:left w:val="none" w:sz="0" w:space="0" w:color="auto"/>
            <w:bottom w:val="none" w:sz="0" w:space="0" w:color="auto"/>
            <w:right w:val="none" w:sz="0" w:space="0" w:color="auto"/>
          </w:divBdr>
        </w:div>
        <w:div w:id="541328143">
          <w:marLeft w:val="0"/>
          <w:marRight w:val="0"/>
          <w:marTop w:val="0"/>
          <w:marBottom w:val="0"/>
          <w:divBdr>
            <w:top w:val="none" w:sz="0" w:space="0" w:color="auto"/>
            <w:left w:val="none" w:sz="0" w:space="0" w:color="auto"/>
            <w:bottom w:val="none" w:sz="0" w:space="0" w:color="auto"/>
            <w:right w:val="none" w:sz="0" w:space="0" w:color="auto"/>
          </w:divBdr>
        </w:div>
        <w:div w:id="1919367400">
          <w:marLeft w:val="0"/>
          <w:marRight w:val="0"/>
          <w:marTop w:val="0"/>
          <w:marBottom w:val="0"/>
          <w:divBdr>
            <w:top w:val="none" w:sz="0" w:space="0" w:color="auto"/>
            <w:left w:val="none" w:sz="0" w:space="0" w:color="auto"/>
            <w:bottom w:val="none" w:sz="0" w:space="0" w:color="auto"/>
            <w:right w:val="none" w:sz="0" w:space="0" w:color="auto"/>
          </w:divBdr>
        </w:div>
        <w:div w:id="898631466">
          <w:marLeft w:val="0"/>
          <w:marRight w:val="0"/>
          <w:marTop w:val="0"/>
          <w:marBottom w:val="0"/>
          <w:divBdr>
            <w:top w:val="none" w:sz="0" w:space="0" w:color="auto"/>
            <w:left w:val="none" w:sz="0" w:space="0" w:color="auto"/>
            <w:bottom w:val="none" w:sz="0" w:space="0" w:color="auto"/>
            <w:right w:val="none" w:sz="0" w:space="0" w:color="auto"/>
          </w:divBdr>
        </w:div>
        <w:div w:id="1877113069">
          <w:marLeft w:val="0"/>
          <w:marRight w:val="0"/>
          <w:marTop w:val="0"/>
          <w:marBottom w:val="0"/>
          <w:divBdr>
            <w:top w:val="none" w:sz="0" w:space="0" w:color="auto"/>
            <w:left w:val="none" w:sz="0" w:space="0" w:color="auto"/>
            <w:bottom w:val="none" w:sz="0" w:space="0" w:color="auto"/>
            <w:right w:val="none" w:sz="0" w:space="0" w:color="auto"/>
          </w:divBdr>
        </w:div>
        <w:div w:id="1463687904">
          <w:marLeft w:val="0"/>
          <w:marRight w:val="0"/>
          <w:marTop w:val="0"/>
          <w:marBottom w:val="0"/>
          <w:divBdr>
            <w:top w:val="none" w:sz="0" w:space="0" w:color="auto"/>
            <w:left w:val="none" w:sz="0" w:space="0" w:color="auto"/>
            <w:bottom w:val="none" w:sz="0" w:space="0" w:color="auto"/>
            <w:right w:val="none" w:sz="0" w:space="0" w:color="auto"/>
          </w:divBdr>
        </w:div>
        <w:div w:id="286740710">
          <w:marLeft w:val="0"/>
          <w:marRight w:val="0"/>
          <w:marTop w:val="0"/>
          <w:marBottom w:val="0"/>
          <w:divBdr>
            <w:top w:val="none" w:sz="0" w:space="0" w:color="auto"/>
            <w:left w:val="none" w:sz="0" w:space="0" w:color="auto"/>
            <w:bottom w:val="none" w:sz="0" w:space="0" w:color="auto"/>
            <w:right w:val="none" w:sz="0" w:space="0" w:color="auto"/>
          </w:divBdr>
        </w:div>
        <w:div w:id="756830405">
          <w:marLeft w:val="0"/>
          <w:marRight w:val="0"/>
          <w:marTop w:val="0"/>
          <w:marBottom w:val="0"/>
          <w:divBdr>
            <w:top w:val="none" w:sz="0" w:space="0" w:color="auto"/>
            <w:left w:val="none" w:sz="0" w:space="0" w:color="auto"/>
            <w:bottom w:val="none" w:sz="0" w:space="0" w:color="auto"/>
            <w:right w:val="none" w:sz="0" w:space="0" w:color="auto"/>
          </w:divBdr>
        </w:div>
        <w:div w:id="1055130296">
          <w:marLeft w:val="0"/>
          <w:marRight w:val="0"/>
          <w:marTop w:val="0"/>
          <w:marBottom w:val="0"/>
          <w:divBdr>
            <w:top w:val="none" w:sz="0" w:space="0" w:color="auto"/>
            <w:left w:val="none" w:sz="0" w:space="0" w:color="auto"/>
            <w:bottom w:val="none" w:sz="0" w:space="0" w:color="auto"/>
            <w:right w:val="none" w:sz="0" w:space="0" w:color="auto"/>
          </w:divBdr>
        </w:div>
        <w:div w:id="1732534936">
          <w:marLeft w:val="0"/>
          <w:marRight w:val="0"/>
          <w:marTop w:val="0"/>
          <w:marBottom w:val="0"/>
          <w:divBdr>
            <w:top w:val="none" w:sz="0" w:space="0" w:color="auto"/>
            <w:left w:val="none" w:sz="0" w:space="0" w:color="auto"/>
            <w:bottom w:val="none" w:sz="0" w:space="0" w:color="auto"/>
            <w:right w:val="none" w:sz="0" w:space="0" w:color="auto"/>
          </w:divBdr>
        </w:div>
        <w:div w:id="2020963890">
          <w:marLeft w:val="0"/>
          <w:marRight w:val="0"/>
          <w:marTop w:val="0"/>
          <w:marBottom w:val="0"/>
          <w:divBdr>
            <w:top w:val="none" w:sz="0" w:space="0" w:color="auto"/>
            <w:left w:val="none" w:sz="0" w:space="0" w:color="auto"/>
            <w:bottom w:val="none" w:sz="0" w:space="0" w:color="auto"/>
            <w:right w:val="none" w:sz="0" w:space="0" w:color="auto"/>
          </w:divBdr>
        </w:div>
        <w:div w:id="43069382">
          <w:marLeft w:val="0"/>
          <w:marRight w:val="0"/>
          <w:marTop w:val="0"/>
          <w:marBottom w:val="0"/>
          <w:divBdr>
            <w:top w:val="none" w:sz="0" w:space="0" w:color="auto"/>
            <w:left w:val="none" w:sz="0" w:space="0" w:color="auto"/>
            <w:bottom w:val="none" w:sz="0" w:space="0" w:color="auto"/>
            <w:right w:val="none" w:sz="0" w:space="0" w:color="auto"/>
          </w:divBdr>
        </w:div>
        <w:div w:id="1463815517">
          <w:marLeft w:val="0"/>
          <w:marRight w:val="0"/>
          <w:marTop w:val="0"/>
          <w:marBottom w:val="0"/>
          <w:divBdr>
            <w:top w:val="none" w:sz="0" w:space="0" w:color="auto"/>
            <w:left w:val="none" w:sz="0" w:space="0" w:color="auto"/>
            <w:bottom w:val="none" w:sz="0" w:space="0" w:color="auto"/>
            <w:right w:val="none" w:sz="0" w:space="0" w:color="auto"/>
          </w:divBdr>
        </w:div>
        <w:div w:id="1084181979">
          <w:marLeft w:val="0"/>
          <w:marRight w:val="0"/>
          <w:marTop w:val="0"/>
          <w:marBottom w:val="0"/>
          <w:divBdr>
            <w:top w:val="none" w:sz="0" w:space="0" w:color="auto"/>
            <w:left w:val="none" w:sz="0" w:space="0" w:color="auto"/>
            <w:bottom w:val="none" w:sz="0" w:space="0" w:color="auto"/>
            <w:right w:val="none" w:sz="0" w:space="0" w:color="auto"/>
          </w:divBdr>
        </w:div>
        <w:div w:id="1840071435">
          <w:marLeft w:val="0"/>
          <w:marRight w:val="0"/>
          <w:marTop w:val="0"/>
          <w:marBottom w:val="0"/>
          <w:divBdr>
            <w:top w:val="none" w:sz="0" w:space="0" w:color="auto"/>
            <w:left w:val="none" w:sz="0" w:space="0" w:color="auto"/>
            <w:bottom w:val="none" w:sz="0" w:space="0" w:color="auto"/>
            <w:right w:val="none" w:sz="0" w:space="0" w:color="auto"/>
          </w:divBdr>
        </w:div>
        <w:div w:id="497615705">
          <w:marLeft w:val="0"/>
          <w:marRight w:val="0"/>
          <w:marTop w:val="0"/>
          <w:marBottom w:val="0"/>
          <w:divBdr>
            <w:top w:val="none" w:sz="0" w:space="0" w:color="auto"/>
            <w:left w:val="none" w:sz="0" w:space="0" w:color="auto"/>
            <w:bottom w:val="none" w:sz="0" w:space="0" w:color="auto"/>
            <w:right w:val="none" w:sz="0" w:space="0" w:color="auto"/>
          </w:divBdr>
        </w:div>
        <w:div w:id="26179268">
          <w:marLeft w:val="0"/>
          <w:marRight w:val="0"/>
          <w:marTop w:val="0"/>
          <w:marBottom w:val="0"/>
          <w:divBdr>
            <w:top w:val="none" w:sz="0" w:space="0" w:color="auto"/>
            <w:left w:val="none" w:sz="0" w:space="0" w:color="auto"/>
            <w:bottom w:val="none" w:sz="0" w:space="0" w:color="auto"/>
            <w:right w:val="none" w:sz="0" w:space="0" w:color="auto"/>
          </w:divBdr>
        </w:div>
        <w:div w:id="2074157357">
          <w:marLeft w:val="0"/>
          <w:marRight w:val="0"/>
          <w:marTop w:val="0"/>
          <w:marBottom w:val="0"/>
          <w:divBdr>
            <w:top w:val="none" w:sz="0" w:space="0" w:color="auto"/>
            <w:left w:val="none" w:sz="0" w:space="0" w:color="auto"/>
            <w:bottom w:val="none" w:sz="0" w:space="0" w:color="auto"/>
            <w:right w:val="none" w:sz="0" w:space="0" w:color="auto"/>
          </w:divBdr>
        </w:div>
        <w:div w:id="1505196045">
          <w:marLeft w:val="0"/>
          <w:marRight w:val="0"/>
          <w:marTop w:val="0"/>
          <w:marBottom w:val="0"/>
          <w:divBdr>
            <w:top w:val="none" w:sz="0" w:space="0" w:color="auto"/>
            <w:left w:val="none" w:sz="0" w:space="0" w:color="auto"/>
            <w:bottom w:val="none" w:sz="0" w:space="0" w:color="auto"/>
            <w:right w:val="none" w:sz="0" w:space="0" w:color="auto"/>
          </w:divBdr>
        </w:div>
        <w:div w:id="797643348">
          <w:marLeft w:val="0"/>
          <w:marRight w:val="0"/>
          <w:marTop w:val="0"/>
          <w:marBottom w:val="0"/>
          <w:divBdr>
            <w:top w:val="none" w:sz="0" w:space="0" w:color="auto"/>
            <w:left w:val="none" w:sz="0" w:space="0" w:color="auto"/>
            <w:bottom w:val="none" w:sz="0" w:space="0" w:color="auto"/>
            <w:right w:val="none" w:sz="0" w:space="0" w:color="auto"/>
          </w:divBdr>
        </w:div>
        <w:div w:id="477379596">
          <w:marLeft w:val="0"/>
          <w:marRight w:val="0"/>
          <w:marTop w:val="0"/>
          <w:marBottom w:val="0"/>
          <w:divBdr>
            <w:top w:val="none" w:sz="0" w:space="0" w:color="auto"/>
            <w:left w:val="none" w:sz="0" w:space="0" w:color="auto"/>
            <w:bottom w:val="none" w:sz="0" w:space="0" w:color="auto"/>
            <w:right w:val="none" w:sz="0" w:space="0" w:color="auto"/>
          </w:divBdr>
        </w:div>
        <w:div w:id="1147086642">
          <w:marLeft w:val="0"/>
          <w:marRight w:val="0"/>
          <w:marTop w:val="0"/>
          <w:marBottom w:val="0"/>
          <w:divBdr>
            <w:top w:val="none" w:sz="0" w:space="0" w:color="auto"/>
            <w:left w:val="none" w:sz="0" w:space="0" w:color="auto"/>
            <w:bottom w:val="none" w:sz="0" w:space="0" w:color="auto"/>
            <w:right w:val="none" w:sz="0" w:space="0" w:color="auto"/>
          </w:divBdr>
        </w:div>
        <w:div w:id="1127044495">
          <w:marLeft w:val="0"/>
          <w:marRight w:val="0"/>
          <w:marTop w:val="0"/>
          <w:marBottom w:val="0"/>
          <w:divBdr>
            <w:top w:val="none" w:sz="0" w:space="0" w:color="auto"/>
            <w:left w:val="none" w:sz="0" w:space="0" w:color="auto"/>
            <w:bottom w:val="none" w:sz="0" w:space="0" w:color="auto"/>
            <w:right w:val="none" w:sz="0" w:space="0" w:color="auto"/>
          </w:divBdr>
        </w:div>
        <w:div w:id="1572889632">
          <w:marLeft w:val="0"/>
          <w:marRight w:val="0"/>
          <w:marTop w:val="0"/>
          <w:marBottom w:val="0"/>
          <w:divBdr>
            <w:top w:val="none" w:sz="0" w:space="0" w:color="auto"/>
            <w:left w:val="none" w:sz="0" w:space="0" w:color="auto"/>
            <w:bottom w:val="none" w:sz="0" w:space="0" w:color="auto"/>
            <w:right w:val="none" w:sz="0" w:space="0" w:color="auto"/>
          </w:divBdr>
        </w:div>
        <w:div w:id="1039165077">
          <w:marLeft w:val="0"/>
          <w:marRight w:val="0"/>
          <w:marTop w:val="0"/>
          <w:marBottom w:val="0"/>
          <w:divBdr>
            <w:top w:val="none" w:sz="0" w:space="0" w:color="auto"/>
            <w:left w:val="none" w:sz="0" w:space="0" w:color="auto"/>
            <w:bottom w:val="none" w:sz="0" w:space="0" w:color="auto"/>
            <w:right w:val="none" w:sz="0" w:space="0" w:color="auto"/>
          </w:divBdr>
        </w:div>
        <w:div w:id="327052306">
          <w:marLeft w:val="0"/>
          <w:marRight w:val="0"/>
          <w:marTop w:val="0"/>
          <w:marBottom w:val="0"/>
          <w:divBdr>
            <w:top w:val="none" w:sz="0" w:space="0" w:color="auto"/>
            <w:left w:val="none" w:sz="0" w:space="0" w:color="auto"/>
            <w:bottom w:val="none" w:sz="0" w:space="0" w:color="auto"/>
            <w:right w:val="none" w:sz="0" w:space="0" w:color="auto"/>
          </w:divBdr>
        </w:div>
        <w:div w:id="309944178">
          <w:marLeft w:val="0"/>
          <w:marRight w:val="0"/>
          <w:marTop w:val="0"/>
          <w:marBottom w:val="0"/>
          <w:divBdr>
            <w:top w:val="none" w:sz="0" w:space="0" w:color="auto"/>
            <w:left w:val="none" w:sz="0" w:space="0" w:color="auto"/>
            <w:bottom w:val="none" w:sz="0" w:space="0" w:color="auto"/>
            <w:right w:val="none" w:sz="0" w:space="0" w:color="auto"/>
          </w:divBdr>
        </w:div>
      </w:divsChild>
    </w:div>
    <w:div w:id="1058936723">
      <w:bodyDiv w:val="1"/>
      <w:marLeft w:val="0"/>
      <w:marRight w:val="0"/>
      <w:marTop w:val="0"/>
      <w:marBottom w:val="0"/>
      <w:divBdr>
        <w:top w:val="none" w:sz="0" w:space="0" w:color="auto"/>
        <w:left w:val="none" w:sz="0" w:space="0" w:color="auto"/>
        <w:bottom w:val="none" w:sz="0" w:space="0" w:color="auto"/>
        <w:right w:val="none" w:sz="0" w:space="0" w:color="auto"/>
      </w:divBdr>
      <w:divsChild>
        <w:div w:id="1750224115">
          <w:marLeft w:val="0"/>
          <w:marRight w:val="0"/>
          <w:marTop w:val="0"/>
          <w:marBottom w:val="0"/>
          <w:divBdr>
            <w:top w:val="none" w:sz="0" w:space="0" w:color="auto"/>
            <w:left w:val="none" w:sz="0" w:space="0" w:color="auto"/>
            <w:bottom w:val="none" w:sz="0" w:space="0" w:color="auto"/>
            <w:right w:val="none" w:sz="0" w:space="0" w:color="auto"/>
          </w:divBdr>
        </w:div>
        <w:div w:id="650445865">
          <w:marLeft w:val="0"/>
          <w:marRight w:val="0"/>
          <w:marTop w:val="0"/>
          <w:marBottom w:val="0"/>
          <w:divBdr>
            <w:top w:val="none" w:sz="0" w:space="0" w:color="auto"/>
            <w:left w:val="none" w:sz="0" w:space="0" w:color="auto"/>
            <w:bottom w:val="none" w:sz="0" w:space="0" w:color="auto"/>
            <w:right w:val="none" w:sz="0" w:space="0" w:color="auto"/>
          </w:divBdr>
        </w:div>
        <w:div w:id="441726913">
          <w:marLeft w:val="0"/>
          <w:marRight w:val="0"/>
          <w:marTop w:val="0"/>
          <w:marBottom w:val="0"/>
          <w:divBdr>
            <w:top w:val="none" w:sz="0" w:space="0" w:color="auto"/>
            <w:left w:val="none" w:sz="0" w:space="0" w:color="auto"/>
            <w:bottom w:val="none" w:sz="0" w:space="0" w:color="auto"/>
            <w:right w:val="none" w:sz="0" w:space="0" w:color="auto"/>
          </w:divBdr>
        </w:div>
        <w:div w:id="1882479868">
          <w:marLeft w:val="0"/>
          <w:marRight w:val="0"/>
          <w:marTop w:val="0"/>
          <w:marBottom w:val="0"/>
          <w:divBdr>
            <w:top w:val="none" w:sz="0" w:space="0" w:color="auto"/>
            <w:left w:val="none" w:sz="0" w:space="0" w:color="auto"/>
            <w:bottom w:val="none" w:sz="0" w:space="0" w:color="auto"/>
            <w:right w:val="none" w:sz="0" w:space="0" w:color="auto"/>
          </w:divBdr>
        </w:div>
        <w:div w:id="1279217104">
          <w:marLeft w:val="0"/>
          <w:marRight w:val="0"/>
          <w:marTop w:val="0"/>
          <w:marBottom w:val="0"/>
          <w:divBdr>
            <w:top w:val="none" w:sz="0" w:space="0" w:color="auto"/>
            <w:left w:val="none" w:sz="0" w:space="0" w:color="auto"/>
            <w:bottom w:val="none" w:sz="0" w:space="0" w:color="auto"/>
            <w:right w:val="none" w:sz="0" w:space="0" w:color="auto"/>
          </w:divBdr>
        </w:div>
        <w:div w:id="1413966697">
          <w:marLeft w:val="0"/>
          <w:marRight w:val="0"/>
          <w:marTop w:val="0"/>
          <w:marBottom w:val="0"/>
          <w:divBdr>
            <w:top w:val="none" w:sz="0" w:space="0" w:color="auto"/>
            <w:left w:val="none" w:sz="0" w:space="0" w:color="auto"/>
            <w:bottom w:val="none" w:sz="0" w:space="0" w:color="auto"/>
            <w:right w:val="none" w:sz="0" w:space="0" w:color="auto"/>
          </w:divBdr>
        </w:div>
        <w:div w:id="923756597">
          <w:marLeft w:val="0"/>
          <w:marRight w:val="0"/>
          <w:marTop w:val="0"/>
          <w:marBottom w:val="0"/>
          <w:divBdr>
            <w:top w:val="none" w:sz="0" w:space="0" w:color="auto"/>
            <w:left w:val="none" w:sz="0" w:space="0" w:color="auto"/>
            <w:bottom w:val="none" w:sz="0" w:space="0" w:color="auto"/>
            <w:right w:val="none" w:sz="0" w:space="0" w:color="auto"/>
          </w:divBdr>
        </w:div>
        <w:div w:id="1302732633">
          <w:marLeft w:val="0"/>
          <w:marRight w:val="0"/>
          <w:marTop w:val="0"/>
          <w:marBottom w:val="0"/>
          <w:divBdr>
            <w:top w:val="none" w:sz="0" w:space="0" w:color="auto"/>
            <w:left w:val="none" w:sz="0" w:space="0" w:color="auto"/>
            <w:bottom w:val="none" w:sz="0" w:space="0" w:color="auto"/>
            <w:right w:val="none" w:sz="0" w:space="0" w:color="auto"/>
          </w:divBdr>
        </w:div>
        <w:div w:id="492456635">
          <w:marLeft w:val="0"/>
          <w:marRight w:val="0"/>
          <w:marTop w:val="0"/>
          <w:marBottom w:val="0"/>
          <w:divBdr>
            <w:top w:val="none" w:sz="0" w:space="0" w:color="auto"/>
            <w:left w:val="none" w:sz="0" w:space="0" w:color="auto"/>
            <w:bottom w:val="none" w:sz="0" w:space="0" w:color="auto"/>
            <w:right w:val="none" w:sz="0" w:space="0" w:color="auto"/>
          </w:divBdr>
        </w:div>
        <w:div w:id="415135657">
          <w:marLeft w:val="0"/>
          <w:marRight w:val="0"/>
          <w:marTop w:val="0"/>
          <w:marBottom w:val="0"/>
          <w:divBdr>
            <w:top w:val="none" w:sz="0" w:space="0" w:color="auto"/>
            <w:left w:val="none" w:sz="0" w:space="0" w:color="auto"/>
            <w:bottom w:val="none" w:sz="0" w:space="0" w:color="auto"/>
            <w:right w:val="none" w:sz="0" w:space="0" w:color="auto"/>
          </w:divBdr>
        </w:div>
        <w:div w:id="684333023">
          <w:marLeft w:val="0"/>
          <w:marRight w:val="0"/>
          <w:marTop w:val="0"/>
          <w:marBottom w:val="0"/>
          <w:divBdr>
            <w:top w:val="none" w:sz="0" w:space="0" w:color="auto"/>
            <w:left w:val="none" w:sz="0" w:space="0" w:color="auto"/>
            <w:bottom w:val="none" w:sz="0" w:space="0" w:color="auto"/>
            <w:right w:val="none" w:sz="0" w:space="0" w:color="auto"/>
          </w:divBdr>
        </w:div>
        <w:div w:id="1191339152">
          <w:marLeft w:val="0"/>
          <w:marRight w:val="0"/>
          <w:marTop w:val="0"/>
          <w:marBottom w:val="0"/>
          <w:divBdr>
            <w:top w:val="none" w:sz="0" w:space="0" w:color="auto"/>
            <w:left w:val="none" w:sz="0" w:space="0" w:color="auto"/>
            <w:bottom w:val="none" w:sz="0" w:space="0" w:color="auto"/>
            <w:right w:val="none" w:sz="0" w:space="0" w:color="auto"/>
          </w:divBdr>
        </w:div>
        <w:div w:id="305284396">
          <w:marLeft w:val="0"/>
          <w:marRight w:val="0"/>
          <w:marTop w:val="0"/>
          <w:marBottom w:val="0"/>
          <w:divBdr>
            <w:top w:val="none" w:sz="0" w:space="0" w:color="auto"/>
            <w:left w:val="none" w:sz="0" w:space="0" w:color="auto"/>
            <w:bottom w:val="none" w:sz="0" w:space="0" w:color="auto"/>
            <w:right w:val="none" w:sz="0" w:space="0" w:color="auto"/>
          </w:divBdr>
        </w:div>
        <w:div w:id="1048651567">
          <w:marLeft w:val="0"/>
          <w:marRight w:val="0"/>
          <w:marTop w:val="0"/>
          <w:marBottom w:val="0"/>
          <w:divBdr>
            <w:top w:val="none" w:sz="0" w:space="0" w:color="auto"/>
            <w:left w:val="none" w:sz="0" w:space="0" w:color="auto"/>
            <w:bottom w:val="none" w:sz="0" w:space="0" w:color="auto"/>
            <w:right w:val="none" w:sz="0" w:space="0" w:color="auto"/>
          </w:divBdr>
        </w:div>
      </w:divsChild>
    </w:div>
    <w:div w:id="1059741258">
      <w:bodyDiv w:val="1"/>
      <w:marLeft w:val="0"/>
      <w:marRight w:val="0"/>
      <w:marTop w:val="0"/>
      <w:marBottom w:val="0"/>
      <w:divBdr>
        <w:top w:val="none" w:sz="0" w:space="0" w:color="auto"/>
        <w:left w:val="none" w:sz="0" w:space="0" w:color="auto"/>
        <w:bottom w:val="none" w:sz="0" w:space="0" w:color="auto"/>
        <w:right w:val="none" w:sz="0" w:space="0" w:color="auto"/>
      </w:divBdr>
    </w:div>
    <w:div w:id="1101418878">
      <w:bodyDiv w:val="1"/>
      <w:marLeft w:val="0"/>
      <w:marRight w:val="0"/>
      <w:marTop w:val="0"/>
      <w:marBottom w:val="0"/>
      <w:divBdr>
        <w:top w:val="none" w:sz="0" w:space="0" w:color="auto"/>
        <w:left w:val="none" w:sz="0" w:space="0" w:color="auto"/>
        <w:bottom w:val="none" w:sz="0" w:space="0" w:color="auto"/>
        <w:right w:val="none" w:sz="0" w:space="0" w:color="auto"/>
      </w:divBdr>
    </w:div>
    <w:div w:id="1107585184">
      <w:bodyDiv w:val="1"/>
      <w:marLeft w:val="0"/>
      <w:marRight w:val="0"/>
      <w:marTop w:val="0"/>
      <w:marBottom w:val="0"/>
      <w:divBdr>
        <w:top w:val="none" w:sz="0" w:space="0" w:color="auto"/>
        <w:left w:val="none" w:sz="0" w:space="0" w:color="auto"/>
        <w:bottom w:val="none" w:sz="0" w:space="0" w:color="auto"/>
        <w:right w:val="none" w:sz="0" w:space="0" w:color="auto"/>
      </w:divBdr>
      <w:divsChild>
        <w:div w:id="1178351325">
          <w:marLeft w:val="0"/>
          <w:marRight w:val="0"/>
          <w:marTop w:val="0"/>
          <w:marBottom w:val="0"/>
          <w:divBdr>
            <w:top w:val="none" w:sz="0" w:space="0" w:color="auto"/>
            <w:left w:val="none" w:sz="0" w:space="0" w:color="auto"/>
            <w:bottom w:val="none" w:sz="0" w:space="0" w:color="auto"/>
            <w:right w:val="none" w:sz="0" w:space="0" w:color="auto"/>
          </w:divBdr>
        </w:div>
        <w:div w:id="1354266244">
          <w:marLeft w:val="0"/>
          <w:marRight w:val="0"/>
          <w:marTop w:val="0"/>
          <w:marBottom w:val="0"/>
          <w:divBdr>
            <w:top w:val="none" w:sz="0" w:space="0" w:color="auto"/>
            <w:left w:val="none" w:sz="0" w:space="0" w:color="auto"/>
            <w:bottom w:val="none" w:sz="0" w:space="0" w:color="auto"/>
            <w:right w:val="none" w:sz="0" w:space="0" w:color="auto"/>
          </w:divBdr>
        </w:div>
      </w:divsChild>
    </w:div>
    <w:div w:id="1119572880">
      <w:bodyDiv w:val="1"/>
      <w:marLeft w:val="0"/>
      <w:marRight w:val="0"/>
      <w:marTop w:val="0"/>
      <w:marBottom w:val="0"/>
      <w:divBdr>
        <w:top w:val="none" w:sz="0" w:space="0" w:color="auto"/>
        <w:left w:val="none" w:sz="0" w:space="0" w:color="auto"/>
        <w:bottom w:val="none" w:sz="0" w:space="0" w:color="auto"/>
        <w:right w:val="none" w:sz="0" w:space="0" w:color="auto"/>
      </w:divBdr>
      <w:divsChild>
        <w:div w:id="356006374">
          <w:marLeft w:val="0"/>
          <w:marRight w:val="0"/>
          <w:marTop w:val="0"/>
          <w:marBottom w:val="0"/>
          <w:divBdr>
            <w:top w:val="none" w:sz="0" w:space="0" w:color="auto"/>
            <w:left w:val="none" w:sz="0" w:space="0" w:color="auto"/>
            <w:bottom w:val="none" w:sz="0" w:space="0" w:color="auto"/>
            <w:right w:val="none" w:sz="0" w:space="0" w:color="auto"/>
          </w:divBdr>
        </w:div>
        <w:div w:id="1350134858">
          <w:marLeft w:val="0"/>
          <w:marRight w:val="0"/>
          <w:marTop w:val="0"/>
          <w:marBottom w:val="0"/>
          <w:divBdr>
            <w:top w:val="none" w:sz="0" w:space="0" w:color="auto"/>
            <w:left w:val="none" w:sz="0" w:space="0" w:color="auto"/>
            <w:bottom w:val="none" w:sz="0" w:space="0" w:color="auto"/>
            <w:right w:val="none" w:sz="0" w:space="0" w:color="auto"/>
          </w:divBdr>
        </w:div>
        <w:div w:id="1809664667">
          <w:marLeft w:val="0"/>
          <w:marRight w:val="0"/>
          <w:marTop w:val="0"/>
          <w:marBottom w:val="0"/>
          <w:divBdr>
            <w:top w:val="none" w:sz="0" w:space="0" w:color="auto"/>
            <w:left w:val="none" w:sz="0" w:space="0" w:color="auto"/>
            <w:bottom w:val="none" w:sz="0" w:space="0" w:color="auto"/>
            <w:right w:val="none" w:sz="0" w:space="0" w:color="auto"/>
          </w:divBdr>
        </w:div>
        <w:div w:id="690029092">
          <w:marLeft w:val="0"/>
          <w:marRight w:val="0"/>
          <w:marTop w:val="0"/>
          <w:marBottom w:val="0"/>
          <w:divBdr>
            <w:top w:val="none" w:sz="0" w:space="0" w:color="auto"/>
            <w:left w:val="none" w:sz="0" w:space="0" w:color="auto"/>
            <w:bottom w:val="none" w:sz="0" w:space="0" w:color="auto"/>
            <w:right w:val="none" w:sz="0" w:space="0" w:color="auto"/>
          </w:divBdr>
        </w:div>
        <w:div w:id="453597626">
          <w:marLeft w:val="0"/>
          <w:marRight w:val="0"/>
          <w:marTop w:val="0"/>
          <w:marBottom w:val="0"/>
          <w:divBdr>
            <w:top w:val="none" w:sz="0" w:space="0" w:color="auto"/>
            <w:left w:val="none" w:sz="0" w:space="0" w:color="auto"/>
            <w:bottom w:val="none" w:sz="0" w:space="0" w:color="auto"/>
            <w:right w:val="none" w:sz="0" w:space="0" w:color="auto"/>
          </w:divBdr>
        </w:div>
        <w:div w:id="1192643347">
          <w:marLeft w:val="0"/>
          <w:marRight w:val="0"/>
          <w:marTop w:val="0"/>
          <w:marBottom w:val="0"/>
          <w:divBdr>
            <w:top w:val="none" w:sz="0" w:space="0" w:color="auto"/>
            <w:left w:val="none" w:sz="0" w:space="0" w:color="auto"/>
            <w:bottom w:val="none" w:sz="0" w:space="0" w:color="auto"/>
            <w:right w:val="none" w:sz="0" w:space="0" w:color="auto"/>
          </w:divBdr>
        </w:div>
      </w:divsChild>
    </w:div>
    <w:div w:id="1150826284">
      <w:bodyDiv w:val="1"/>
      <w:marLeft w:val="0"/>
      <w:marRight w:val="0"/>
      <w:marTop w:val="0"/>
      <w:marBottom w:val="0"/>
      <w:divBdr>
        <w:top w:val="none" w:sz="0" w:space="0" w:color="auto"/>
        <w:left w:val="none" w:sz="0" w:space="0" w:color="auto"/>
        <w:bottom w:val="none" w:sz="0" w:space="0" w:color="auto"/>
        <w:right w:val="none" w:sz="0" w:space="0" w:color="auto"/>
      </w:divBdr>
      <w:divsChild>
        <w:div w:id="1842546814">
          <w:marLeft w:val="0"/>
          <w:marRight w:val="0"/>
          <w:marTop w:val="0"/>
          <w:marBottom w:val="0"/>
          <w:divBdr>
            <w:top w:val="none" w:sz="0" w:space="0" w:color="auto"/>
            <w:left w:val="none" w:sz="0" w:space="0" w:color="auto"/>
            <w:bottom w:val="none" w:sz="0" w:space="0" w:color="auto"/>
            <w:right w:val="none" w:sz="0" w:space="0" w:color="auto"/>
          </w:divBdr>
        </w:div>
      </w:divsChild>
    </w:div>
    <w:div w:id="1150944784">
      <w:bodyDiv w:val="1"/>
      <w:marLeft w:val="0"/>
      <w:marRight w:val="0"/>
      <w:marTop w:val="0"/>
      <w:marBottom w:val="0"/>
      <w:divBdr>
        <w:top w:val="none" w:sz="0" w:space="0" w:color="auto"/>
        <w:left w:val="none" w:sz="0" w:space="0" w:color="auto"/>
        <w:bottom w:val="none" w:sz="0" w:space="0" w:color="auto"/>
        <w:right w:val="none" w:sz="0" w:space="0" w:color="auto"/>
      </w:divBdr>
    </w:div>
    <w:div w:id="1163348678">
      <w:bodyDiv w:val="1"/>
      <w:marLeft w:val="0"/>
      <w:marRight w:val="0"/>
      <w:marTop w:val="0"/>
      <w:marBottom w:val="0"/>
      <w:divBdr>
        <w:top w:val="none" w:sz="0" w:space="0" w:color="auto"/>
        <w:left w:val="none" w:sz="0" w:space="0" w:color="auto"/>
        <w:bottom w:val="none" w:sz="0" w:space="0" w:color="auto"/>
        <w:right w:val="none" w:sz="0" w:space="0" w:color="auto"/>
      </w:divBdr>
    </w:div>
    <w:div w:id="1166628419">
      <w:bodyDiv w:val="1"/>
      <w:marLeft w:val="0"/>
      <w:marRight w:val="0"/>
      <w:marTop w:val="0"/>
      <w:marBottom w:val="0"/>
      <w:divBdr>
        <w:top w:val="none" w:sz="0" w:space="0" w:color="auto"/>
        <w:left w:val="none" w:sz="0" w:space="0" w:color="auto"/>
        <w:bottom w:val="none" w:sz="0" w:space="0" w:color="auto"/>
        <w:right w:val="none" w:sz="0" w:space="0" w:color="auto"/>
      </w:divBdr>
      <w:divsChild>
        <w:div w:id="622074747">
          <w:marLeft w:val="0"/>
          <w:marRight w:val="0"/>
          <w:marTop w:val="0"/>
          <w:marBottom w:val="0"/>
          <w:divBdr>
            <w:top w:val="none" w:sz="0" w:space="0" w:color="auto"/>
            <w:left w:val="none" w:sz="0" w:space="0" w:color="auto"/>
            <w:bottom w:val="none" w:sz="0" w:space="0" w:color="auto"/>
            <w:right w:val="none" w:sz="0" w:space="0" w:color="auto"/>
          </w:divBdr>
        </w:div>
      </w:divsChild>
    </w:div>
    <w:div w:id="1184243618">
      <w:bodyDiv w:val="1"/>
      <w:marLeft w:val="0"/>
      <w:marRight w:val="0"/>
      <w:marTop w:val="0"/>
      <w:marBottom w:val="0"/>
      <w:divBdr>
        <w:top w:val="none" w:sz="0" w:space="0" w:color="auto"/>
        <w:left w:val="none" w:sz="0" w:space="0" w:color="auto"/>
        <w:bottom w:val="none" w:sz="0" w:space="0" w:color="auto"/>
        <w:right w:val="none" w:sz="0" w:space="0" w:color="auto"/>
      </w:divBdr>
      <w:divsChild>
        <w:div w:id="1680500525">
          <w:marLeft w:val="0"/>
          <w:marRight w:val="0"/>
          <w:marTop w:val="0"/>
          <w:marBottom w:val="0"/>
          <w:divBdr>
            <w:top w:val="none" w:sz="0" w:space="0" w:color="auto"/>
            <w:left w:val="none" w:sz="0" w:space="0" w:color="auto"/>
            <w:bottom w:val="none" w:sz="0" w:space="0" w:color="auto"/>
            <w:right w:val="none" w:sz="0" w:space="0" w:color="auto"/>
          </w:divBdr>
          <w:divsChild>
            <w:div w:id="634794195">
              <w:marLeft w:val="0"/>
              <w:marRight w:val="0"/>
              <w:marTop w:val="0"/>
              <w:marBottom w:val="0"/>
              <w:divBdr>
                <w:top w:val="none" w:sz="0" w:space="0" w:color="auto"/>
                <w:left w:val="none" w:sz="0" w:space="0" w:color="auto"/>
                <w:bottom w:val="none" w:sz="0" w:space="0" w:color="auto"/>
                <w:right w:val="none" w:sz="0" w:space="0" w:color="auto"/>
              </w:divBdr>
            </w:div>
            <w:div w:id="737216033">
              <w:marLeft w:val="0"/>
              <w:marRight w:val="0"/>
              <w:marTop w:val="0"/>
              <w:marBottom w:val="0"/>
              <w:divBdr>
                <w:top w:val="none" w:sz="0" w:space="0" w:color="auto"/>
                <w:left w:val="none" w:sz="0" w:space="0" w:color="auto"/>
                <w:bottom w:val="none" w:sz="0" w:space="0" w:color="auto"/>
                <w:right w:val="none" w:sz="0" w:space="0" w:color="auto"/>
              </w:divBdr>
            </w:div>
            <w:div w:id="92565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140906">
      <w:bodyDiv w:val="1"/>
      <w:marLeft w:val="0"/>
      <w:marRight w:val="0"/>
      <w:marTop w:val="0"/>
      <w:marBottom w:val="0"/>
      <w:divBdr>
        <w:top w:val="none" w:sz="0" w:space="0" w:color="auto"/>
        <w:left w:val="none" w:sz="0" w:space="0" w:color="auto"/>
        <w:bottom w:val="none" w:sz="0" w:space="0" w:color="auto"/>
        <w:right w:val="none" w:sz="0" w:space="0" w:color="auto"/>
      </w:divBdr>
      <w:divsChild>
        <w:div w:id="1383291233">
          <w:marLeft w:val="0"/>
          <w:marRight w:val="0"/>
          <w:marTop w:val="0"/>
          <w:marBottom w:val="0"/>
          <w:divBdr>
            <w:top w:val="none" w:sz="0" w:space="0" w:color="auto"/>
            <w:left w:val="none" w:sz="0" w:space="0" w:color="auto"/>
            <w:bottom w:val="none" w:sz="0" w:space="0" w:color="auto"/>
            <w:right w:val="none" w:sz="0" w:space="0" w:color="auto"/>
          </w:divBdr>
        </w:div>
        <w:div w:id="257177042">
          <w:marLeft w:val="0"/>
          <w:marRight w:val="0"/>
          <w:marTop w:val="0"/>
          <w:marBottom w:val="0"/>
          <w:divBdr>
            <w:top w:val="none" w:sz="0" w:space="0" w:color="auto"/>
            <w:left w:val="none" w:sz="0" w:space="0" w:color="auto"/>
            <w:bottom w:val="none" w:sz="0" w:space="0" w:color="auto"/>
            <w:right w:val="none" w:sz="0" w:space="0" w:color="auto"/>
          </w:divBdr>
        </w:div>
      </w:divsChild>
    </w:div>
    <w:div w:id="1191528624">
      <w:bodyDiv w:val="1"/>
      <w:marLeft w:val="0"/>
      <w:marRight w:val="0"/>
      <w:marTop w:val="0"/>
      <w:marBottom w:val="0"/>
      <w:divBdr>
        <w:top w:val="none" w:sz="0" w:space="0" w:color="auto"/>
        <w:left w:val="none" w:sz="0" w:space="0" w:color="auto"/>
        <w:bottom w:val="none" w:sz="0" w:space="0" w:color="auto"/>
        <w:right w:val="none" w:sz="0" w:space="0" w:color="auto"/>
      </w:divBdr>
    </w:div>
    <w:div w:id="1196850477">
      <w:bodyDiv w:val="1"/>
      <w:marLeft w:val="0"/>
      <w:marRight w:val="0"/>
      <w:marTop w:val="0"/>
      <w:marBottom w:val="0"/>
      <w:divBdr>
        <w:top w:val="none" w:sz="0" w:space="0" w:color="auto"/>
        <w:left w:val="none" w:sz="0" w:space="0" w:color="auto"/>
        <w:bottom w:val="none" w:sz="0" w:space="0" w:color="auto"/>
        <w:right w:val="none" w:sz="0" w:space="0" w:color="auto"/>
      </w:divBdr>
      <w:divsChild>
        <w:div w:id="200288729">
          <w:marLeft w:val="0"/>
          <w:marRight w:val="0"/>
          <w:marTop w:val="0"/>
          <w:marBottom w:val="0"/>
          <w:divBdr>
            <w:top w:val="none" w:sz="0" w:space="0" w:color="auto"/>
            <w:left w:val="none" w:sz="0" w:space="0" w:color="auto"/>
            <w:bottom w:val="none" w:sz="0" w:space="0" w:color="auto"/>
            <w:right w:val="none" w:sz="0" w:space="0" w:color="auto"/>
          </w:divBdr>
        </w:div>
        <w:div w:id="108551533">
          <w:marLeft w:val="0"/>
          <w:marRight w:val="0"/>
          <w:marTop w:val="0"/>
          <w:marBottom w:val="0"/>
          <w:divBdr>
            <w:top w:val="none" w:sz="0" w:space="0" w:color="auto"/>
            <w:left w:val="none" w:sz="0" w:space="0" w:color="auto"/>
            <w:bottom w:val="none" w:sz="0" w:space="0" w:color="auto"/>
            <w:right w:val="none" w:sz="0" w:space="0" w:color="auto"/>
          </w:divBdr>
        </w:div>
        <w:div w:id="802311010">
          <w:marLeft w:val="0"/>
          <w:marRight w:val="0"/>
          <w:marTop w:val="0"/>
          <w:marBottom w:val="0"/>
          <w:divBdr>
            <w:top w:val="none" w:sz="0" w:space="0" w:color="auto"/>
            <w:left w:val="none" w:sz="0" w:space="0" w:color="auto"/>
            <w:bottom w:val="none" w:sz="0" w:space="0" w:color="auto"/>
            <w:right w:val="none" w:sz="0" w:space="0" w:color="auto"/>
          </w:divBdr>
        </w:div>
        <w:div w:id="355277626">
          <w:marLeft w:val="0"/>
          <w:marRight w:val="0"/>
          <w:marTop w:val="0"/>
          <w:marBottom w:val="0"/>
          <w:divBdr>
            <w:top w:val="none" w:sz="0" w:space="0" w:color="auto"/>
            <w:left w:val="none" w:sz="0" w:space="0" w:color="auto"/>
            <w:bottom w:val="none" w:sz="0" w:space="0" w:color="auto"/>
            <w:right w:val="none" w:sz="0" w:space="0" w:color="auto"/>
          </w:divBdr>
        </w:div>
        <w:div w:id="422649174">
          <w:marLeft w:val="0"/>
          <w:marRight w:val="0"/>
          <w:marTop w:val="0"/>
          <w:marBottom w:val="0"/>
          <w:divBdr>
            <w:top w:val="none" w:sz="0" w:space="0" w:color="auto"/>
            <w:left w:val="none" w:sz="0" w:space="0" w:color="auto"/>
            <w:bottom w:val="none" w:sz="0" w:space="0" w:color="auto"/>
            <w:right w:val="none" w:sz="0" w:space="0" w:color="auto"/>
          </w:divBdr>
        </w:div>
        <w:div w:id="1972439301">
          <w:marLeft w:val="0"/>
          <w:marRight w:val="0"/>
          <w:marTop w:val="0"/>
          <w:marBottom w:val="0"/>
          <w:divBdr>
            <w:top w:val="none" w:sz="0" w:space="0" w:color="auto"/>
            <w:left w:val="none" w:sz="0" w:space="0" w:color="auto"/>
            <w:bottom w:val="none" w:sz="0" w:space="0" w:color="auto"/>
            <w:right w:val="none" w:sz="0" w:space="0" w:color="auto"/>
          </w:divBdr>
        </w:div>
        <w:div w:id="481124770">
          <w:marLeft w:val="0"/>
          <w:marRight w:val="0"/>
          <w:marTop w:val="0"/>
          <w:marBottom w:val="0"/>
          <w:divBdr>
            <w:top w:val="none" w:sz="0" w:space="0" w:color="auto"/>
            <w:left w:val="none" w:sz="0" w:space="0" w:color="auto"/>
            <w:bottom w:val="none" w:sz="0" w:space="0" w:color="auto"/>
            <w:right w:val="none" w:sz="0" w:space="0" w:color="auto"/>
          </w:divBdr>
        </w:div>
        <w:div w:id="642925603">
          <w:marLeft w:val="0"/>
          <w:marRight w:val="0"/>
          <w:marTop w:val="0"/>
          <w:marBottom w:val="0"/>
          <w:divBdr>
            <w:top w:val="none" w:sz="0" w:space="0" w:color="auto"/>
            <w:left w:val="none" w:sz="0" w:space="0" w:color="auto"/>
            <w:bottom w:val="none" w:sz="0" w:space="0" w:color="auto"/>
            <w:right w:val="none" w:sz="0" w:space="0" w:color="auto"/>
          </w:divBdr>
        </w:div>
        <w:div w:id="500899365">
          <w:marLeft w:val="0"/>
          <w:marRight w:val="0"/>
          <w:marTop w:val="0"/>
          <w:marBottom w:val="0"/>
          <w:divBdr>
            <w:top w:val="none" w:sz="0" w:space="0" w:color="auto"/>
            <w:left w:val="none" w:sz="0" w:space="0" w:color="auto"/>
            <w:bottom w:val="none" w:sz="0" w:space="0" w:color="auto"/>
            <w:right w:val="none" w:sz="0" w:space="0" w:color="auto"/>
          </w:divBdr>
        </w:div>
        <w:div w:id="1980187336">
          <w:marLeft w:val="0"/>
          <w:marRight w:val="0"/>
          <w:marTop w:val="0"/>
          <w:marBottom w:val="0"/>
          <w:divBdr>
            <w:top w:val="none" w:sz="0" w:space="0" w:color="auto"/>
            <w:left w:val="none" w:sz="0" w:space="0" w:color="auto"/>
            <w:bottom w:val="none" w:sz="0" w:space="0" w:color="auto"/>
            <w:right w:val="none" w:sz="0" w:space="0" w:color="auto"/>
          </w:divBdr>
        </w:div>
        <w:div w:id="107087152">
          <w:marLeft w:val="0"/>
          <w:marRight w:val="0"/>
          <w:marTop w:val="0"/>
          <w:marBottom w:val="0"/>
          <w:divBdr>
            <w:top w:val="none" w:sz="0" w:space="0" w:color="auto"/>
            <w:left w:val="none" w:sz="0" w:space="0" w:color="auto"/>
            <w:bottom w:val="none" w:sz="0" w:space="0" w:color="auto"/>
            <w:right w:val="none" w:sz="0" w:space="0" w:color="auto"/>
          </w:divBdr>
        </w:div>
        <w:div w:id="359666524">
          <w:marLeft w:val="0"/>
          <w:marRight w:val="0"/>
          <w:marTop w:val="0"/>
          <w:marBottom w:val="0"/>
          <w:divBdr>
            <w:top w:val="none" w:sz="0" w:space="0" w:color="auto"/>
            <w:left w:val="none" w:sz="0" w:space="0" w:color="auto"/>
            <w:bottom w:val="none" w:sz="0" w:space="0" w:color="auto"/>
            <w:right w:val="none" w:sz="0" w:space="0" w:color="auto"/>
          </w:divBdr>
        </w:div>
        <w:div w:id="932473216">
          <w:marLeft w:val="0"/>
          <w:marRight w:val="0"/>
          <w:marTop w:val="0"/>
          <w:marBottom w:val="0"/>
          <w:divBdr>
            <w:top w:val="none" w:sz="0" w:space="0" w:color="auto"/>
            <w:left w:val="none" w:sz="0" w:space="0" w:color="auto"/>
            <w:bottom w:val="none" w:sz="0" w:space="0" w:color="auto"/>
            <w:right w:val="none" w:sz="0" w:space="0" w:color="auto"/>
          </w:divBdr>
        </w:div>
        <w:div w:id="2119525614">
          <w:marLeft w:val="0"/>
          <w:marRight w:val="0"/>
          <w:marTop w:val="0"/>
          <w:marBottom w:val="0"/>
          <w:divBdr>
            <w:top w:val="none" w:sz="0" w:space="0" w:color="auto"/>
            <w:left w:val="none" w:sz="0" w:space="0" w:color="auto"/>
            <w:bottom w:val="none" w:sz="0" w:space="0" w:color="auto"/>
            <w:right w:val="none" w:sz="0" w:space="0" w:color="auto"/>
          </w:divBdr>
        </w:div>
        <w:div w:id="522867022">
          <w:marLeft w:val="0"/>
          <w:marRight w:val="0"/>
          <w:marTop w:val="0"/>
          <w:marBottom w:val="0"/>
          <w:divBdr>
            <w:top w:val="none" w:sz="0" w:space="0" w:color="auto"/>
            <w:left w:val="none" w:sz="0" w:space="0" w:color="auto"/>
            <w:bottom w:val="none" w:sz="0" w:space="0" w:color="auto"/>
            <w:right w:val="none" w:sz="0" w:space="0" w:color="auto"/>
          </w:divBdr>
        </w:div>
        <w:div w:id="816143559">
          <w:marLeft w:val="0"/>
          <w:marRight w:val="0"/>
          <w:marTop w:val="0"/>
          <w:marBottom w:val="0"/>
          <w:divBdr>
            <w:top w:val="none" w:sz="0" w:space="0" w:color="auto"/>
            <w:left w:val="none" w:sz="0" w:space="0" w:color="auto"/>
            <w:bottom w:val="none" w:sz="0" w:space="0" w:color="auto"/>
            <w:right w:val="none" w:sz="0" w:space="0" w:color="auto"/>
          </w:divBdr>
        </w:div>
        <w:div w:id="1959294895">
          <w:marLeft w:val="0"/>
          <w:marRight w:val="0"/>
          <w:marTop w:val="0"/>
          <w:marBottom w:val="0"/>
          <w:divBdr>
            <w:top w:val="none" w:sz="0" w:space="0" w:color="auto"/>
            <w:left w:val="none" w:sz="0" w:space="0" w:color="auto"/>
            <w:bottom w:val="none" w:sz="0" w:space="0" w:color="auto"/>
            <w:right w:val="none" w:sz="0" w:space="0" w:color="auto"/>
          </w:divBdr>
        </w:div>
        <w:div w:id="483157109">
          <w:marLeft w:val="0"/>
          <w:marRight w:val="0"/>
          <w:marTop w:val="0"/>
          <w:marBottom w:val="0"/>
          <w:divBdr>
            <w:top w:val="none" w:sz="0" w:space="0" w:color="auto"/>
            <w:left w:val="none" w:sz="0" w:space="0" w:color="auto"/>
            <w:bottom w:val="none" w:sz="0" w:space="0" w:color="auto"/>
            <w:right w:val="none" w:sz="0" w:space="0" w:color="auto"/>
          </w:divBdr>
        </w:div>
        <w:div w:id="211357275">
          <w:marLeft w:val="0"/>
          <w:marRight w:val="0"/>
          <w:marTop w:val="0"/>
          <w:marBottom w:val="0"/>
          <w:divBdr>
            <w:top w:val="none" w:sz="0" w:space="0" w:color="auto"/>
            <w:left w:val="none" w:sz="0" w:space="0" w:color="auto"/>
            <w:bottom w:val="none" w:sz="0" w:space="0" w:color="auto"/>
            <w:right w:val="none" w:sz="0" w:space="0" w:color="auto"/>
          </w:divBdr>
        </w:div>
        <w:div w:id="1040398986">
          <w:marLeft w:val="0"/>
          <w:marRight w:val="0"/>
          <w:marTop w:val="0"/>
          <w:marBottom w:val="0"/>
          <w:divBdr>
            <w:top w:val="none" w:sz="0" w:space="0" w:color="auto"/>
            <w:left w:val="none" w:sz="0" w:space="0" w:color="auto"/>
            <w:bottom w:val="none" w:sz="0" w:space="0" w:color="auto"/>
            <w:right w:val="none" w:sz="0" w:space="0" w:color="auto"/>
          </w:divBdr>
        </w:div>
        <w:div w:id="1668630743">
          <w:marLeft w:val="0"/>
          <w:marRight w:val="0"/>
          <w:marTop w:val="0"/>
          <w:marBottom w:val="0"/>
          <w:divBdr>
            <w:top w:val="none" w:sz="0" w:space="0" w:color="auto"/>
            <w:left w:val="none" w:sz="0" w:space="0" w:color="auto"/>
            <w:bottom w:val="none" w:sz="0" w:space="0" w:color="auto"/>
            <w:right w:val="none" w:sz="0" w:space="0" w:color="auto"/>
          </w:divBdr>
        </w:div>
        <w:div w:id="2064480305">
          <w:marLeft w:val="0"/>
          <w:marRight w:val="0"/>
          <w:marTop w:val="0"/>
          <w:marBottom w:val="0"/>
          <w:divBdr>
            <w:top w:val="none" w:sz="0" w:space="0" w:color="auto"/>
            <w:left w:val="none" w:sz="0" w:space="0" w:color="auto"/>
            <w:bottom w:val="none" w:sz="0" w:space="0" w:color="auto"/>
            <w:right w:val="none" w:sz="0" w:space="0" w:color="auto"/>
          </w:divBdr>
        </w:div>
        <w:div w:id="450054557">
          <w:marLeft w:val="0"/>
          <w:marRight w:val="0"/>
          <w:marTop w:val="0"/>
          <w:marBottom w:val="0"/>
          <w:divBdr>
            <w:top w:val="none" w:sz="0" w:space="0" w:color="auto"/>
            <w:left w:val="none" w:sz="0" w:space="0" w:color="auto"/>
            <w:bottom w:val="none" w:sz="0" w:space="0" w:color="auto"/>
            <w:right w:val="none" w:sz="0" w:space="0" w:color="auto"/>
          </w:divBdr>
        </w:div>
        <w:div w:id="766845428">
          <w:marLeft w:val="0"/>
          <w:marRight w:val="0"/>
          <w:marTop w:val="0"/>
          <w:marBottom w:val="0"/>
          <w:divBdr>
            <w:top w:val="none" w:sz="0" w:space="0" w:color="auto"/>
            <w:left w:val="none" w:sz="0" w:space="0" w:color="auto"/>
            <w:bottom w:val="none" w:sz="0" w:space="0" w:color="auto"/>
            <w:right w:val="none" w:sz="0" w:space="0" w:color="auto"/>
          </w:divBdr>
        </w:div>
        <w:div w:id="707950491">
          <w:marLeft w:val="0"/>
          <w:marRight w:val="0"/>
          <w:marTop w:val="0"/>
          <w:marBottom w:val="0"/>
          <w:divBdr>
            <w:top w:val="none" w:sz="0" w:space="0" w:color="auto"/>
            <w:left w:val="none" w:sz="0" w:space="0" w:color="auto"/>
            <w:bottom w:val="none" w:sz="0" w:space="0" w:color="auto"/>
            <w:right w:val="none" w:sz="0" w:space="0" w:color="auto"/>
          </w:divBdr>
        </w:div>
        <w:div w:id="404685088">
          <w:marLeft w:val="0"/>
          <w:marRight w:val="0"/>
          <w:marTop w:val="0"/>
          <w:marBottom w:val="0"/>
          <w:divBdr>
            <w:top w:val="none" w:sz="0" w:space="0" w:color="auto"/>
            <w:left w:val="none" w:sz="0" w:space="0" w:color="auto"/>
            <w:bottom w:val="none" w:sz="0" w:space="0" w:color="auto"/>
            <w:right w:val="none" w:sz="0" w:space="0" w:color="auto"/>
          </w:divBdr>
        </w:div>
        <w:div w:id="999773772">
          <w:marLeft w:val="0"/>
          <w:marRight w:val="0"/>
          <w:marTop w:val="0"/>
          <w:marBottom w:val="0"/>
          <w:divBdr>
            <w:top w:val="none" w:sz="0" w:space="0" w:color="auto"/>
            <w:left w:val="none" w:sz="0" w:space="0" w:color="auto"/>
            <w:bottom w:val="none" w:sz="0" w:space="0" w:color="auto"/>
            <w:right w:val="none" w:sz="0" w:space="0" w:color="auto"/>
          </w:divBdr>
        </w:div>
        <w:div w:id="1079445158">
          <w:marLeft w:val="0"/>
          <w:marRight w:val="0"/>
          <w:marTop w:val="0"/>
          <w:marBottom w:val="0"/>
          <w:divBdr>
            <w:top w:val="none" w:sz="0" w:space="0" w:color="auto"/>
            <w:left w:val="none" w:sz="0" w:space="0" w:color="auto"/>
            <w:bottom w:val="none" w:sz="0" w:space="0" w:color="auto"/>
            <w:right w:val="none" w:sz="0" w:space="0" w:color="auto"/>
          </w:divBdr>
        </w:div>
        <w:div w:id="337273969">
          <w:marLeft w:val="0"/>
          <w:marRight w:val="0"/>
          <w:marTop w:val="0"/>
          <w:marBottom w:val="0"/>
          <w:divBdr>
            <w:top w:val="none" w:sz="0" w:space="0" w:color="auto"/>
            <w:left w:val="none" w:sz="0" w:space="0" w:color="auto"/>
            <w:bottom w:val="none" w:sz="0" w:space="0" w:color="auto"/>
            <w:right w:val="none" w:sz="0" w:space="0" w:color="auto"/>
          </w:divBdr>
        </w:div>
        <w:div w:id="1782145383">
          <w:marLeft w:val="0"/>
          <w:marRight w:val="0"/>
          <w:marTop w:val="0"/>
          <w:marBottom w:val="0"/>
          <w:divBdr>
            <w:top w:val="none" w:sz="0" w:space="0" w:color="auto"/>
            <w:left w:val="none" w:sz="0" w:space="0" w:color="auto"/>
            <w:bottom w:val="none" w:sz="0" w:space="0" w:color="auto"/>
            <w:right w:val="none" w:sz="0" w:space="0" w:color="auto"/>
          </w:divBdr>
        </w:div>
        <w:div w:id="1202791563">
          <w:marLeft w:val="0"/>
          <w:marRight w:val="0"/>
          <w:marTop w:val="0"/>
          <w:marBottom w:val="0"/>
          <w:divBdr>
            <w:top w:val="none" w:sz="0" w:space="0" w:color="auto"/>
            <w:left w:val="none" w:sz="0" w:space="0" w:color="auto"/>
            <w:bottom w:val="none" w:sz="0" w:space="0" w:color="auto"/>
            <w:right w:val="none" w:sz="0" w:space="0" w:color="auto"/>
          </w:divBdr>
        </w:div>
        <w:div w:id="190151469">
          <w:marLeft w:val="0"/>
          <w:marRight w:val="0"/>
          <w:marTop w:val="0"/>
          <w:marBottom w:val="0"/>
          <w:divBdr>
            <w:top w:val="none" w:sz="0" w:space="0" w:color="auto"/>
            <w:left w:val="none" w:sz="0" w:space="0" w:color="auto"/>
            <w:bottom w:val="none" w:sz="0" w:space="0" w:color="auto"/>
            <w:right w:val="none" w:sz="0" w:space="0" w:color="auto"/>
          </w:divBdr>
        </w:div>
        <w:div w:id="349064695">
          <w:marLeft w:val="0"/>
          <w:marRight w:val="0"/>
          <w:marTop w:val="0"/>
          <w:marBottom w:val="0"/>
          <w:divBdr>
            <w:top w:val="none" w:sz="0" w:space="0" w:color="auto"/>
            <w:left w:val="none" w:sz="0" w:space="0" w:color="auto"/>
            <w:bottom w:val="none" w:sz="0" w:space="0" w:color="auto"/>
            <w:right w:val="none" w:sz="0" w:space="0" w:color="auto"/>
          </w:divBdr>
        </w:div>
        <w:div w:id="481775144">
          <w:marLeft w:val="0"/>
          <w:marRight w:val="0"/>
          <w:marTop w:val="0"/>
          <w:marBottom w:val="0"/>
          <w:divBdr>
            <w:top w:val="none" w:sz="0" w:space="0" w:color="auto"/>
            <w:left w:val="none" w:sz="0" w:space="0" w:color="auto"/>
            <w:bottom w:val="none" w:sz="0" w:space="0" w:color="auto"/>
            <w:right w:val="none" w:sz="0" w:space="0" w:color="auto"/>
          </w:divBdr>
        </w:div>
        <w:div w:id="115757335">
          <w:marLeft w:val="0"/>
          <w:marRight w:val="0"/>
          <w:marTop w:val="0"/>
          <w:marBottom w:val="0"/>
          <w:divBdr>
            <w:top w:val="none" w:sz="0" w:space="0" w:color="auto"/>
            <w:left w:val="none" w:sz="0" w:space="0" w:color="auto"/>
            <w:bottom w:val="none" w:sz="0" w:space="0" w:color="auto"/>
            <w:right w:val="none" w:sz="0" w:space="0" w:color="auto"/>
          </w:divBdr>
        </w:div>
        <w:div w:id="86463662">
          <w:marLeft w:val="0"/>
          <w:marRight w:val="0"/>
          <w:marTop w:val="0"/>
          <w:marBottom w:val="0"/>
          <w:divBdr>
            <w:top w:val="none" w:sz="0" w:space="0" w:color="auto"/>
            <w:left w:val="none" w:sz="0" w:space="0" w:color="auto"/>
            <w:bottom w:val="none" w:sz="0" w:space="0" w:color="auto"/>
            <w:right w:val="none" w:sz="0" w:space="0" w:color="auto"/>
          </w:divBdr>
        </w:div>
        <w:div w:id="1026129205">
          <w:marLeft w:val="0"/>
          <w:marRight w:val="0"/>
          <w:marTop w:val="0"/>
          <w:marBottom w:val="0"/>
          <w:divBdr>
            <w:top w:val="none" w:sz="0" w:space="0" w:color="auto"/>
            <w:left w:val="none" w:sz="0" w:space="0" w:color="auto"/>
            <w:bottom w:val="none" w:sz="0" w:space="0" w:color="auto"/>
            <w:right w:val="none" w:sz="0" w:space="0" w:color="auto"/>
          </w:divBdr>
        </w:div>
        <w:div w:id="174075984">
          <w:marLeft w:val="0"/>
          <w:marRight w:val="0"/>
          <w:marTop w:val="0"/>
          <w:marBottom w:val="0"/>
          <w:divBdr>
            <w:top w:val="none" w:sz="0" w:space="0" w:color="auto"/>
            <w:left w:val="none" w:sz="0" w:space="0" w:color="auto"/>
            <w:bottom w:val="none" w:sz="0" w:space="0" w:color="auto"/>
            <w:right w:val="none" w:sz="0" w:space="0" w:color="auto"/>
          </w:divBdr>
        </w:div>
        <w:div w:id="124852393">
          <w:marLeft w:val="0"/>
          <w:marRight w:val="0"/>
          <w:marTop w:val="0"/>
          <w:marBottom w:val="0"/>
          <w:divBdr>
            <w:top w:val="none" w:sz="0" w:space="0" w:color="auto"/>
            <w:left w:val="none" w:sz="0" w:space="0" w:color="auto"/>
            <w:bottom w:val="none" w:sz="0" w:space="0" w:color="auto"/>
            <w:right w:val="none" w:sz="0" w:space="0" w:color="auto"/>
          </w:divBdr>
        </w:div>
        <w:div w:id="612134173">
          <w:marLeft w:val="0"/>
          <w:marRight w:val="0"/>
          <w:marTop w:val="0"/>
          <w:marBottom w:val="0"/>
          <w:divBdr>
            <w:top w:val="none" w:sz="0" w:space="0" w:color="auto"/>
            <w:left w:val="none" w:sz="0" w:space="0" w:color="auto"/>
            <w:bottom w:val="none" w:sz="0" w:space="0" w:color="auto"/>
            <w:right w:val="none" w:sz="0" w:space="0" w:color="auto"/>
          </w:divBdr>
        </w:div>
        <w:div w:id="592208230">
          <w:marLeft w:val="0"/>
          <w:marRight w:val="0"/>
          <w:marTop w:val="0"/>
          <w:marBottom w:val="0"/>
          <w:divBdr>
            <w:top w:val="none" w:sz="0" w:space="0" w:color="auto"/>
            <w:left w:val="none" w:sz="0" w:space="0" w:color="auto"/>
            <w:bottom w:val="none" w:sz="0" w:space="0" w:color="auto"/>
            <w:right w:val="none" w:sz="0" w:space="0" w:color="auto"/>
          </w:divBdr>
        </w:div>
        <w:div w:id="448476842">
          <w:marLeft w:val="0"/>
          <w:marRight w:val="0"/>
          <w:marTop w:val="0"/>
          <w:marBottom w:val="0"/>
          <w:divBdr>
            <w:top w:val="none" w:sz="0" w:space="0" w:color="auto"/>
            <w:left w:val="none" w:sz="0" w:space="0" w:color="auto"/>
            <w:bottom w:val="none" w:sz="0" w:space="0" w:color="auto"/>
            <w:right w:val="none" w:sz="0" w:space="0" w:color="auto"/>
          </w:divBdr>
        </w:div>
        <w:div w:id="502940541">
          <w:marLeft w:val="0"/>
          <w:marRight w:val="0"/>
          <w:marTop w:val="0"/>
          <w:marBottom w:val="0"/>
          <w:divBdr>
            <w:top w:val="none" w:sz="0" w:space="0" w:color="auto"/>
            <w:left w:val="none" w:sz="0" w:space="0" w:color="auto"/>
            <w:bottom w:val="none" w:sz="0" w:space="0" w:color="auto"/>
            <w:right w:val="none" w:sz="0" w:space="0" w:color="auto"/>
          </w:divBdr>
        </w:div>
        <w:div w:id="694186539">
          <w:marLeft w:val="0"/>
          <w:marRight w:val="0"/>
          <w:marTop w:val="0"/>
          <w:marBottom w:val="0"/>
          <w:divBdr>
            <w:top w:val="none" w:sz="0" w:space="0" w:color="auto"/>
            <w:left w:val="none" w:sz="0" w:space="0" w:color="auto"/>
            <w:bottom w:val="none" w:sz="0" w:space="0" w:color="auto"/>
            <w:right w:val="none" w:sz="0" w:space="0" w:color="auto"/>
          </w:divBdr>
        </w:div>
        <w:div w:id="128743084">
          <w:marLeft w:val="0"/>
          <w:marRight w:val="0"/>
          <w:marTop w:val="0"/>
          <w:marBottom w:val="0"/>
          <w:divBdr>
            <w:top w:val="none" w:sz="0" w:space="0" w:color="auto"/>
            <w:left w:val="none" w:sz="0" w:space="0" w:color="auto"/>
            <w:bottom w:val="none" w:sz="0" w:space="0" w:color="auto"/>
            <w:right w:val="none" w:sz="0" w:space="0" w:color="auto"/>
          </w:divBdr>
        </w:div>
        <w:div w:id="1387796038">
          <w:marLeft w:val="0"/>
          <w:marRight w:val="0"/>
          <w:marTop w:val="0"/>
          <w:marBottom w:val="0"/>
          <w:divBdr>
            <w:top w:val="none" w:sz="0" w:space="0" w:color="auto"/>
            <w:left w:val="none" w:sz="0" w:space="0" w:color="auto"/>
            <w:bottom w:val="none" w:sz="0" w:space="0" w:color="auto"/>
            <w:right w:val="none" w:sz="0" w:space="0" w:color="auto"/>
          </w:divBdr>
        </w:div>
        <w:div w:id="60955454">
          <w:marLeft w:val="0"/>
          <w:marRight w:val="0"/>
          <w:marTop w:val="0"/>
          <w:marBottom w:val="0"/>
          <w:divBdr>
            <w:top w:val="none" w:sz="0" w:space="0" w:color="auto"/>
            <w:left w:val="none" w:sz="0" w:space="0" w:color="auto"/>
            <w:bottom w:val="none" w:sz="0" w:space="0" w:color="auto"/>
            <w:right w:val="none" w:sz="0" w:space="0" w:color="auto"/>
          </w:divBdr>
        </w:div>
        <w:div w:id="959386113">
          <w:marLeft w:val="0"/>
          <w:marRight w:val="0"/>
          <w:marTop w:val="0"/>
          <w:marBottom w:val="0"/>
          <w:divBdr>
            <w:top w:val="none" w:sz="0" w:space="0" w:color="auto"/>
            <w:left w:val="none" w:sz="0" w:space="0" w:color="auto"/>
            <w:bottom w:val="none" w:sz="0" w:space="0" w:color="auto"/>
            <w:right w:val="none" w:sz="0" w:space="0" w:color="auto"/>
          </w:divBdr>
        </w:div>
        <w:div w:id="843284175">
          <w:marLeft w:val="0"/>
          <w:marRight w:val="0"/>
          <w:marTop w:val="0"/>
          <w:marBottom w:val="0"/>
          <w:divBdr>
            <w:top w:val="none" w:sz="0" w:space="0" w:color="auto"/>
            <w:left w:val="none" w:sz="0" w:space="0" w:color="auto"/>
            <w:bottom w:val="none" w:sz="0" w:space="0" w:color="auto"/>
            <w:right w:val="none" w:sz="0" w:space="0" w:color="auto"/>
          </w:divBdr>
        </w:div>
        <w:div w:id="75321353">
          <w:marLeft w:val="0"/>
          <w:marRight w:val="0"/>
          <w:marTop w:val="0"/>
          <w:marBottom w:val="0"/>
          <w:divBdr>
            <w:top w:val="none" w:sz="0" w:space="0" w:color="auto"/>
            <w:left w:val="none" w:sz="0" w:space="0" w:color="auto"/>
            <w:bottom w:val="none" w:sz="0" w:space="0" w:color="auto"/>
            <w:right w:val="none" w:sz="0" w:space="0" w:color="auto"/>
          </w:divBdr>
        </w:div>
        <w:div w:id="2095932102">
          <w:marLeft w:val="0"/>
          <w:marRight w:val="0"/>
          <w:marTop w:val="0"/>
          <w:marBottom w:val="0"/>
          <w:divBdr>
            <w:top w:val="none" w:sz="0" w:space="0" w:color="auto"/>
            <w:left w:val="none" w:sz="0" w:space="0" w:color="auto"/>
            <w:bottom w:val="none" w:sz="0" w:space="0" w:color="auto"/>
            <w:right w:val="none" w:sz="0" w:space="0" w:color="auto"/>
          </w:divBdr>
        </w:div>
        <w:div w:id="1977299139">
          <w:marLeft w:val="0"/>
          <w:marRight w:val="0"/>
          <w:marTop w:val="0"/>
          <w:marBottom w:val="0"/>
          <w:divBdr>
            <w:top w:val="none" w:sz="0" w:space="0" w:color="auto"/>
            <w:left w:val="none" w:sz="0" w:space="0" w:color="auto"/>
            <w:bottom w:val="none" w:sz="0" w:space="0" w:color="auto"/>
            <w:right w:val="none" w:sz="0" w:space="0" w:color="auto"/>
          </w:divBdr>
        </w:div>
        <w:div w:id="896165626">
          <w:marLeft w:val="0"/>
          <w:marRight w:val="0"/>
          <w:marTop w:val="0"/>
          <w:marBottom w:val="0"/>
          <w:divBdr>
            <w:top w:val="none" w:sz="0" w:space="0" w:color="auto"/>
            <w:left w:val="none" w:sz="0" w:space="0" w:color="auto"/>
            <w:bottom w:val="none" w:sz="0" w:space="0" w:color="auto"/>
            <w:right w:val="none" w:sz="0" w:space="0" w:color="auto"/>
          </w:divBdr>
        </w:div>
        <w:div w:id="427241854">
          <w:marLeft w:val="0"/>
          <w:marRight w:val="0"/>
          <w:marTop w:val="0"/>
          <w:marBottom w:val="0"/>
          <w:divBdr>
            <w:top w:val="none" w:sz="0" w:space="0" w:color="auto"/>
            <w:left w:val="none" w:sz="0" w:space="0" w:color="auto"/>
            <w:bottom w:val="none" w:sz="0" w:space="0" w:color="auto"/>
            <w:right w:val="none" w:sz="0" w:space="0" w:color="auto"/>
          </w:divBdr>
        </w:div>
        <w:div w:id="920716528">
          <w:marLeft w:val="0"/>
          <w:marRight w:val="0"/>
          <w:marTop w:val="0"/>
          <w:marBottom w:val="0"/>
          <w:divBdr>
            <w:top w:val="none" w:sz="0" w:space="0" w:color="auto"/>
            <w:left w:val="none" w:sz="0" w:space="0" w:color="auto"/>
            <w:bottom w:val="none" w:sz="0" w:space="0" w:color="auto"/>
            <w:right w:val="none" w:sz="0" w:space="0" w:color="auto"/>
          </w:divBdr>
        </w:div>
        <w:div w:id="2112822993">
          <w:marLeft w:val="0"/>
          <w:marRight w:val="0"/>
          <w:marTop w:val="0"/>
          <w:marBottom w:val="0"/>
          <w:divBdr>
            <w:top w:val="none" w:sz="0" w:space="0" w:color="auto"/>
            <w:left w:val="none" w:sz="0" w:space="0" w:color="auto"/>
            <w:bottom w:val="none" w:sz="0" w:space="0" w:color="auto"/>
            <w:right w:val="none" w:sz="0" w:space="0" w:color="auto"/>
          </w:divBdr>
        </w:div>
        <w:div w:id="1071738528">
          <w:marLeft w:val="0"/>
          <w:marRight w:val="0"/>
          <w:marTop w:val="0"/>
          <w:marBottom w:val="0"/>
          <w:divBdr>
            <w:top w:val="none" w:sz="0" w:space="0" w:color="auto"/>
            <w:left w:val="none" w:sz="0" w:space="0" w:color="auto"/>
            <w:bottom w:val="none" w:sz="0" w:space="0" w:color="auto"/>
            <w:right w:val="none" w:sz="0" w:space="0" w:color="auto"/>
          </w:divBdr>
        </w:div>
        <w:div w:id="153302450">
          <w:marLeft w:val="0"/>
          <w:marRight w:val="0"/>
          <w:marTop w:val="0"/>
          <w:marBottom w:val="0"/>
          <w:divBdr>
            <w:top w:val="none" w:sz="0" w:space="0" w:color="auto"/>
            <w:left w:val="none" w:sz="0" w:space="0" w:color="auto"/>
            <w:bottom w:val="none" w:sz="0" w:space="0" w:color="auto"/>
            <w:right w:val="none" w:sz="0" w:space="0" w:color="auto"/>
          </w:divBdr>
        </w:div>
        <w:div w:id="18237543">
          <w:marLeft w:val="0"/>
          <w:marRight w:val="0"/>
          <w:marTop w:val="0"/>
          <w:marBottom w:val="0"/>
          <w:divBdr>
            <w:top w:val="none" w:sz="0" w:space="0" w:color="auto"/>
            <w:left w:val="none" w:sz="0" w:space="0" w:color="auto"/>
            <w:bottom w:val="none" w:sz="0" w:space="0" w:color="auto"/>
            <w:right w:val="none" w:sz="0" w:space="0" w:color="auto"/>
          </w:divBdr>
        </w:div>
        <w:div w:id="628316810">
          <w:marLeft w:val="0"/>
          <w:marRight w:val="0"/>
          <w:marTop w:val="0"/>
          <w:marBottom w:val="0"/>
          <w:divBdr>
            <w:top w:val="none" w:sz="0" w:space="0" w:color="auto"/>
            <w:left w:val="none" w:sz="0" w:space="0" w:color="auto"/>
            <w:bottom w:val="none" w:sz="0" w:space="0" w:color="auto"/>
            <w:right w:val="none" w:sz="0" w:space="0" w:color="auto"/>
          </w:divBdr>
        </w:div>
        <w:div w:id="358824438">
          <w:marLeft w:val="0"/>
          <w:marRight w:val="0"/>
          <w:marTop w:val="0"/>
          <w:marBottom w:val="0"/>
          <w:divBdr>
            <w:top w:val="none" w:sz="0" w:space="0" w:color="auto"/>
            <w:left w:val="none" w:sz="0" w:space="0" w:color="auto"/>
            <w:bottom w:val="none" w:sz="0" w:space="0" w:color="auto"/>
            <w:right w:val="none" w:sz="0" w:space="0" w:color="auto"/>
          </w:divBdr>
        </w:div>
        <w:div w:id="819275912">
          <w:marLeft w:val="0"/>
          <w:marRight w:val="0"/>
          <w:marTop w:val="0"/>
          <w:marBottom w:val="0"/>
          <w:divBdr>
            <w:top w:val="none" w:sz="0" w:space="0" w:color="auto"/>
            <w:left w:val="none" w:sz="0" w:space="0" w:color="auto"/>
            <w:bottom w:val="none" w:sz="0" w:space="0" w:color="auto"/>
            <w:right w:val="none" w:sz="0" w:space="0" w:color="auto"/>
          </w:divBdr>
        </w:div>
        <w:div w:id="2118451459">
          <w:marLeft w:val="0"/>
          <w:marRight w:val="0"/>
          <w:marTop w:val="0"/>
          <w:marBottom w:val="0"/>
          <w:divBdr>
            <w:top w:val="none" w:sz="0" w:space="0" w:color="auto"/>
            <w:left w:val="none" w:sz="0" w:space="0" w:color="auto"/>
            <w:bottom w:val="none" w:sz="0" w:space="0" w:color="auto"/>
            <w:right w:val="none" w:sz="0" w:space="0" w:color="auto"/>
          </w:divBdr>
        </w:div>
        <w:div w:id="1192494197">
          <w:marLeft w:val="0"/>
          <w:marRight w:val="0"/>
          <w:marTop w:val="0"/>
          <w:marBottom w:val="0"/>
          <w:divBdr>
            <w:top w:val="none" w:sz="0" w:space="0" w:color="auto"/>
            <w:left w:val="none" w:sz="0" w:space="0" w:color="auto"/>
            <w:bottom w:val="none" w:sz="0" w:space="0" w:color="auto"/>
            <w:right w:val="none" w:sz="0" w:space="0" w:color="auto"/>
          </w:divBdr>
        </w:div>
        <w:div w:id="1963806718">
          <w:marLeft w:val="0"/>
          <w:marRight w:val="0"/>
          <w:marTop w:val="0"/>
          <w:marBottom w:val="0"/>
          <w:divBdr>
            <w:top w:val="none" w:sz="0" w:space="0" w:color="auto"/>
            <w:left w:val="none" w:sz="0" w:space="0" w:color="auto"/>
            <w:bottom w:val="none" w:sz="0" w:space="0" w:color="auto"/>
            <w:right w:val="none" w:sz="0" w:space="0" w:color="auto"/>
          </w:divBdr>
        </w:div>
        <w:div w:id="1917207942">
          <w:marLeft w:val="0"/>
          <w:marRight w:val="0"/>
          <w:marTop w:val="0"/>
          <w:marBottom w:val="0"/>
          <w:divBdr>
            <w:top w:val="none" w:sz="0" w:space="0" w:color="auto"/>
            <w:left w:val="none" w:sz="0" w:space="0" w:color="auto"/>
            <w:bottom w:val="none" w:sz="0" w:space="0" w:color="auto"/>
            <w:right w:val="none" w:sz="0" w:space="0" w:color="auto"/>
          </w:divBdr>
        </w:div>
        <w:div w:id="885457404">
          <w:marLeft w:val="0"/>
          <w:marRight w:val="0"/>
          <w:marTop w:val="0"/>
          <w:marBottom w:val="0"/>
          <w:divBdr>
            <w:top w:val="none" w:sz="0" w:space="0" w:color="auto"/>
            <w:left w:val="none" w:sz="0" w:space="0" w:color="auto"/>
            <w:bottom w:val="none" w:sz="0" w:space="0" w:color="auto"/>
            <w:right w:val="none" w:sz="0" w:space="0" w:color="auto"/>
          </w:divBdr>
        </w:div>
        <w:div w:id="658921704">
          <w:marLeft w:val="0"/>
          <w:marRight w:val="0"/>
          <w:marTop w:val="0"/>
          <w:marBottom w:val="0"/>
          <w:divBdr>
            <w:top w:val="none" w:sz="0" w:space="0" w:color="auto"/>
            <w:left w:val="none" w:sz="0" w:space="0" w:color="auto"/>
            <w:bottom w:val="none" w:sz="0" w:space="0" w:color="auto"/>
            <w:right w:val="none" w:sz="0" w:space="0" w:color="auto"/>
          </w:divBdr>
        </w:div>
        <w:div w:id="1627658772">
          <w:marLeft w:val="0"/>
          <w:marRight w:val="0"/>
          <w:marTop w:val="0"/>
          <w:marBottom w:val="0"/>
          <w:divBdr>
            <w:top w:val="none" w:sz="0" w:space="0" w:color="auto"/>
            <w:left w:val="none" w:sz="0" w:space="0" w:color="auto"/>
            <w:bottom w:val="none" w:sz="0" w:space="0" w:color="auto"/>
            <w:right w:val="none" w:sz="0" w:space="0" w:color="auto"/>
          </w:divBdr>
        </w:div>
        <w:div w:id="2141721133">
          <w:marLeft w:val="0"/>
          <w:marRight w:val="0"/>
          <w:marTop w:val="0"/>
          <w:marBottom w:val="0"/>
          <w:divBdr>
            <w:top w:val="none" w:sz="0" w:space="0" w:color="auto"/>
            <w:left w:val="none" w:sz="0" w:space="0" w:color="auto"/>
            <w:bottom w:val="none" w:sz="0" w:space="0" w:color="auto"/>
            <w:right w:val="none" w:sz="0" w:space="0" w:color="auto"/>
          </w:divBdr>
        </w:div>
        <w:div w:id="1139803822">
          <w:marLeft w:val="0"/>
          <w:marRight w:val="0"/>
          <w:marTop w:val="0"/>
          <w:marBottom w:val="0"/>
          <w:divBdr>
            <w:top w:val="none" w:sz="0" w:space="0" w:color="auto"/>
            <w:left w:val="none" w:sz="0" w:space="0" w:color="auto"/>
            <w:bottom w:val="none" w:sz="0" w:space="0" w:color="auto"/>
            <w:right w:val="none" w:sz="0" w:space="0" w:color="auto"/>
          </w:divBdr>
        </w:div>
      </w:divsChild>
    </w:div>
    <w:div w:id="1202522014">
      <w:bodyDiv w:val="1"/>
      <w:marLeft w:val="0"/>
      <w:marRight w:val="0"/>
      <w:marTop w:val="0"/>
      <w:marBottom w:val="0"/>
      <w:divBdr>
        <w:top w:val="none" w:sz="0" w:space="0" w:color="auto"/>
        <w:left w:val="none" w:sz="0" w:space="0" w:color="auto"/>
        <w:bottom w:val="none" w:sz="0" w:space="0" w:color="auto"/>
        <w:right w:val="none" w:sz="0" w:space="0" w:color="auto"/>
      </w:divBdr>
    </w:div>
    <w:div w:id="1225028710">
      <w:bodyDiv w:val="1"/>
      <w:marLeft w:val="0"/>
      <w:marRight w:val="0"/>
      <w:marTop w:val="0"/>
      <w:marBottom w:val="0"/>
      <w:divBdr>
        <w:top w:val="none" w:sz="0" w:space="0" w:color="auto"/>
        <w:left w:val="none" w:sz="0" w:space="0" w:color="auto"/>
        <w:bottom w:val="none" w:sz="0" w:space="0" w:color="auto"/>
        <w:right w:val="none" w:sz="0" w:space="0" w:color="auto"/>
      </w:divBdr>
      <w:divsChild>
        <w:div w:id="46148780">
          <w:marLeft w:val="0"/>
          <w:marRight w:val="0"/>
          <w:marTop w:val="0"/>
          <w:marBottom w:val="0"/>
          <w:divBdr>
            <w:top w:val="none" w:sz="0" w:space="0" w:color="auto"/>
            <w:left w:val="none" w:sz="0" w:space="0" w:color="auto"/>
            <w:bottom w:val="none" w:sz="0" w:space="0" w:color="auto"/>
            <w:right w:val="none" w:sz="0" w:space="0" w:color="auto"/>
          </w:divBdr>
        </w:div>
        <w:div w:id="1635137321">
          <w:marLeft w:val="0"/>
          <w:marRight w:val="0"/>
          <w:marTop w:val="0"/>
          <w:marBottom w:val="0"/>
          <w:divBdr>
            <w:top w:val="none" w:sz="0" w:space="0" w:color="auto"/>
            <w:left w:val="none" w:sz="0" w:space="0" w:color="auto"/>
            <w:bottom w:val="none" w:sz="0" w:space="0" w:color="auto"/>
            <w:right w:val="none" w:sz="0" w:space="0" w:color="auto"/>
          </w:divBdr>
        </w:div>
        <w:div w:id="848637727">
          <w:marLeft w:val="0"/>
          <w:marRight w:val="0"/>
          <w:marTop w:val="0"/>
          <w:marBottom w:val="0"/>
          <w:divBdr>
            <w:top w:val="none" w:sz="0" w:space="0" w:color="auto"/>
            <w:left w:val="none" w:sz="0" w:space="0" w:color="auto"/>
            <w:bottom w:val="none" w:sz="0" w:space="0" w:color="auto"/>
            <w:right w:val="none" w:sz="0" w:space="0" w:color="auto"/>
          </w:divBdr>
        </w:div>
      </w:divsChild>
    </w:div>
    <w:div w:id="1227836987">
      <w:bodyDiv w:val="1"/>
      <w:marLeft w:val="0"/>
      <w:marRight w:val="0"/>
      <w:marTop w:val="0"/>
      <w:marBottom w:val="0"/>
      <w:divBdr>
        <w:top w:val="none" w:sz="0" w:space="0" w:color="auto"/>
        <w:left w:val="none" w:sz="0" w:space="0" w:color="auto"/>
        <w:bottom w:val="none" w:sz="0" w:space="0" w:color="auto"/>
        <w:right w:val="none" w:sz="0" w:space="0" w:color="auto"/>
      </w:divBdr>
      <w:divsChild>
        <w:div w:id="1732343893">
          <w:marLeft w:val="0"/>
          <w:marRight w:val="0"/>
          <w:marTop w:val="0"/>
          <w:marBottom w:val="0"/>
          <w:divBdr>
            <w:top w:val="none" w:sz="0" w:space="0" w:color="auto"/>
            <w:left w:val="none" w:sz="0" w:space="0" w:color="auto"/>
            <w:bottom w:val="none" w:sz="0" w:space="0" w:color="auto"/>
            <w:right w:val="none" w:sz="0" w:space="0" w:color="auto"/>
          </w:divBdr>
        </w:div>
        <w:div w:id="208883460">
          <w:marLeft w:val="0"/>
          <w:marRight w:val="0"/>
          <w:marTop w:val="0"/>
          <w:marBottom w:val="0"/>
          <w:divBdr>
            <w:top w:val="none" w:sz="0" w:space="0" w:color="auto"/>
            <w:left w:val="none" w:sz="0" w:space="0" w:color="auto"/>
            <w:bottom w:val="none" w:sz="0" w:space="0" w:color="auto"/>
            <w:right w:val="none" w:sz="0" w:space="0" w:color="auto"/>
          </w:divBdr>
        </w:div>
        <w:div w:id="2044359931">
          <w:marLeft w:val="0"/>
          <w:marRight w:val="0"/>
          <w:marTop w:val="0"/>
          <w:marBottom w:val="0"/>
          <w:divBdr>
            <w:top w:val="none" w:sz="0" w:space="0" w:color="auto"/>
            <w:left w:val="none" w:sz="0" w:space="0" w:color="auto"/>
            <w:bottom w:val="none" w:sz="0" w:space="0" w:color="auto"/>
            <w:right w:val="none" w:sz="0" w:space="0" w:color="auto"/>
          </w:divBdr>
        </w:div>
        <w:div w:id="1637684528">
          <w:marLeft w:val="0"/>
          <w:marRight w:val="0"/>
          <w:marTop w:val="0"/>
          <w:marBottom w:val="0"/>
          <w:divBdr>
            <w:top w:val="none" w:sz="0" w:space="0" w:color="auto"/>
            <w:left w:val="none" w:sz="0" w:space="0" w:color="auto"/>
            <w:bottom w:val="none" w:sz="0" w:space="0" w:color="auto"/>
            <w:right w:val="none" w:sz="0" w:space="0" w:color="auto"/>
          </w:divBdr>
        </w:div>
        <w:div w:id="1343628077">
          <w:marLeft w:val="0"/>
          <w:marRight w:val="0"/>
          <w:marTop w:val="0"/>
          <w:marBottom w:val="0"/>
          <w:divBdr>
            <w:top w:val="none" w:sz="0" w:space="0" w:color="auto"/>
            <w:left w:val="none" w:sz="0" w:space="0" w:color="auto"/>
            <w:bottom w:val="none" w:sz="0" w:space="0" w:color="auto"/>
            <w:right w:val="none" w:sz="0" w:space="0" w:color="auto"/>
          </w:divBdr>
        </w:div>
        <w:div w:id="319575559">
          <w:marLeft w:val="0"/>
          <w:marRight w:val="0"/>
          <w:marTop w:val="0"/>
          <w:marBottom w:val="0"/>
          <w:divBdr>
            <w:top w:val="none" w:sz="0" w:space="0" w:color="auto"/>
            <w:left w:val="none" w:sz="0" w:space="0" w:color="auto"/>
            <w:bottom w:val="none" w:sz="0" w:space="0" w:color="auto"/>
            <w:right w:val="none" w:sz="0" w:space="0" w:color="auto"/>
          </w:divBdr>
        </w:div>
        <w:div w:id="2135753255">
          <w:marLeft w:val="0"/>
          <w:marRight w:val="0"/>
          <w:marTop w:val="0"/>
          <w:marBottom w:val="0"/>
          <w:divBdr>
            <w:top w:val="none" w:sz="0" w:space="0" w:color="auto"/>
            <w:left w:val="none" w:sz="0" w:space="0" w:color="auto"/>
            <w:bottom w:val="none" w:sz="0" w:space="0" w:color="auto"/>
            <w:right w:val="none" w:sz="0" w:space="0" w:color="auto"/>
          </w:divBdr>
        </w:div>
        <w:div w:id="499581123">
          <w:marLeft w:val="0"/>
          <w:marRight w:val="0"/>
          <w:marTop w:val="0"/>
          <w:marBottom w:val="0"/>
          <w:divBdr>
            <w:top w:val="none" w:sz="0" w:space="0" w:color="auto"/>
            <w:left w:val="none" w:sz="0" w:space="0" w:color="auto"/>
            <w:bottom w:val="none" w:sz="0" w:space="0" w:color="auto"/>
            <w:right w:val="none" w:sz="0" w:space="0" w:color="auto"/>
          </w:divBdr>
        </w:div>
        <w:div w:id="1409766780">
          <w:marLeft w:val="0"/>
          <w:marRight w:val="0"/>
          <w:marTop w:val="0"/>
          <w:marBottom w:val="0"/>
          <w:divBdr>
            <w:top w:val="none" w:sz="0" w:space="0" w:color="auto"/>
            <w:left w:val="none" w:sz="0" w:space="0" w:color="auto"/>
            <w:bottom w:val="none" w:sz="0" w:space="0" w:color="auto"/>
            <w:right w:val="none" w:sz="0" w:space="0" w:color="auto"/>
          </w:divBdr>
        </w:div>
        <w:div w:id="89543585">
          <w:marLeft w:val="0"/>
          <w:marRight w:val="0"/>
          <w:marTop w:val="0"/>
          <w:marBottom w:val="0"/>
          <w:divBdr>
            <w:top w:val="none" w:sz="0" w:space="0" w:color="auto"/>
            <w:left w:val="none" w:sz="0" w:space="0" w:color="auto"/>
            <w:bottom w:val="none" w:sz="0" w:space="0" w:color="auto"/>
            <w:right w:val="none" w:sz="0" w:space="0" w:color="auto"/>
          </w:divBdr>
        </w:div>
        <w:div w:id="1903908955">
          <w:marLeft w:val="0"/>
          <w:marRight w:val="0"/>
          <w:marTop w:val="0"/>
          <w:marBottom w:val="0"/>
          <w:divBdr>
            <w:top w:val="none" w:sz="0" w:space="0" w:color="auto"/>
            <w:left w:val="none" w:sz="0" w:space="0" w:color="auto"/>
            <w:bottom w:val="none" w:sz="0" w:space="0" w:color="auto"/>
            <w:right w:val="none" w:sz="0" w:space="0" w:color="auto"/>
          </w:divBdr>
        </w:div>
        <w:div w:id="1215658066">
          <w:marLeft w:val="0"/>
          <w:marRight w:val="0"/>
          <w:marTop w:val="0"/>
          <w:marBottom w:val="0"/>
          <w:divBdr>
            <w:top w:val="none" w:sz="0" w:space="0" w:color="auto"/>
            <w:left w:val="none" w:sz="0" w:space="0" w:color="auto"/>
            <w:bottom w:val="none" w:sz="0" w:space="0" w:color="auto"/>
            <w:right w:val="none" w:sz="0" w:space="0" w:color="auto"/>
          </w:divBdr>
        </w:div>
        <w:div w:id="10573029">
          <w:marLeft w:val="0"/>
          <w:marRight w:val="0"/>
          <w:marTop w:val="0"/>
          <w:marBottom w:val="0"/>
          <w:divBdr>
            <w:top w:val="none" w:sz="0" w:space="0" w:color="auto"/>
            <w:left w:val="none" w:sz="0" w:space="0" w:color="auto"/>
            <w:bottom w:val="none" w:sz="0" w:space="0" w:color="auto"/>
            <w:right w:val="none" w:sz="0" w:space="0" w:color="auto"/>
          </w:divBdr>
        </w:div>
        <w:div w:id="61871104">
          <w:marLeft w:val="0"/>
          <w:marRight w:val="0"/>
          <w:marTop w:val="0"/>
          <w:marBottom w:val="0"/>
          <w:divBdr>
            <w:top w:val="none" w:sz="0" w:space="0" w:color="auto"/>
            <w:left w:val="none" w:sz="0" w:space="0" w:color="auto"/>
            <w:bottom w:val="none" w:sz="0" w:space="0" w:color="auto"/>
            <w:right w:val="none" w:sz="0" w:space="0" w:color="auto"/>
          </w:divBdr>
        </w:div>
        <w:div w:id="1554388405">
          <w:marLeft w:val="0"/>
          <w:marRight w:val="0"/>
          <w:marTop w:val="0"/>
          <w:marBottom w:val="0"/>
          <w:divBdr>
            <w:top w:val="none" w:sz="0" w:space="0" w:color="auto"/>
            <w:left w:val="none" w:sz="0" w:space="0" w:color="auto"/>
            <w:bottom w:val="none" w:sz="0" w:space="0" w:color="auto"/>
            <w:right w:val="none" w:sz="0" w:space="0" w:color="auto"/>
          </w:divBdr>
        </w:div>
      </w:divsChild>
    </w:div>
    <w:div w:id="1250508827">
      <w:bodyDiv w:val="1"/>
      <w:marLeft w:val="0"/>
      <w:marRight w:val="0"/>
      <w:marTop w:val="0"/>
      <w:marBottom w:val="0"/>
      <w:divBdr>
        <w:top w:val="none" w:sz="0" w:space="0" w:color="auto"/>
        <w:left w:val="none" w:sz="0" w:space="0" w:color="auto"/>
        <w:bottom w:val="none" w:sz="0" w:space="0" w:color="auto"/>
        <w:right w:val="none" w:sz="0" w:space="0" w:color="auto"/>
      </w:divBdr>
      <w:divsChild>
        <w:div w:id="584992338">
          <w:marLeft w:val="0"/>
          <w:marRight w:val="0"/>
          <w:marTop w:val="0"/>
          <w:marBottom w:val="0"/>
          <w:divBdr>
            <w:top w:val="none" w:sz="0" w:space="0" w:color="auto"/>
            <w:left w:val="none" w:sz="0" w:space="0" w:color="auto"/>
            <w:bottom w:val="none" w:sz="0" w:space="0" w:color="auto"/>
            <w:right w:val="none" w:sz="0" w:space="0" w:color="auto"/>
          </w:divBdr>
        </w:div>
      </w:divsChild>
    </w:div>
    <w:div w:id="1269049179">
      <w:bodyDiv w:val="1"/>
      <w:marLeft w:val="0"/>
      <w:marRight w:val="0"/>
      <w:marTop w:val="0"/>
      <w:marBottom w:val="0"/>
      <w:divBdr>
        <w:top w:val="none" w:sz="0" w:space="0" w:color="auto"/>
        <w:left w:val="none" w:sz="0" w:space="0" w:color="auto"/>
        <w:bottom w:val="none" w:sz="0" w:space="0" w:color="auto"/>
        <w:right w:val="none" w:sz="0" w:space="0" w:color="auto"/>
      </w:divBdr>
      <w:divsChild>
        <w:div w:id="364717988">
          <w:marLeft w:val="0"/>
          <w:marRight w:val="0"/>
          <w:marTop w:val="0"/>
          <w:marBottom w:val="0"/>
          <w:divBdr>
            <w:top w:val="none" w:sz="0" w:space="0" w:color="auto"/>
            <w:left w:val="none" w:sz="0" w:space="0" w:color="auto"/>
            <w:bottom w:val="none" w:sz="0" w:space="0" w:color="auto"/>
            <w:right w:val="none" w:sz="0" w:space="0" w:color="auto"/>
          </w:divBdr>
        </w:div>
        <w:div w:id="1259019149">
          <w:marLeft w:val="0"/>
          <w:marRight w:val="0"/>
          <w:marTop w:val="0"/>
          <w:marBottom w:val="0"/>
          <w:divBdr>
            <w:top w:val="none" w:sz="0" w:space="0" w:color="auto"/>
            <w:left w:val="none" w:sz="0" w:space="0" w:color="auto"/>
            <w:bottom w:val="none" w:sz="0" w:space="0" w:color="auto"/>
            <w:right w:val="none" w:sz="0" w:space="0" w:color="auto"/>
          </w:divBdr>
        </w:div>
        <w:div w:id="2090106047">
          <w:marLeft w:val="0"/>
          <w:marRight w:val="0"/>
          <w:marTop w:val="0"/>
          <w:marBottom w:val="0"/>
          <w:divBdr>
            <w:top w:val="none" w:sz="0" w:space="0" w:color="auto"/>
            <w:left w:val="none" w:sz="0" w:space="0" w:color="auto"/>
            <w:bottom w:val="none" w:sz="0" w:space="0" w:color="auto"/>
            <w:right w:val="none" w:sz="0" w:space="0" w:color="auto"/>
          </w:divBdr>
        </w:div>
      </w:divsChild>
    </w:div>
    <w:div w:id="1329822555">
      <w:bodyDiv w:val="1"/>
      <w:marLeft w:val="0"/>
      <w:marRight w:val="0"/>
      <w:marTop w:val="0"/>
      <w:marBottom w:val="0"/>
      <w:divBdr>
        <w:top w:val="none" w:sz="0" w:space="0" w:color="auto"/>
        <w:left w:val="none" w:sz="0" w:space="0" w:color="auto"/>
        <w:bottom w:val="none" w:sz="0" w:space="0" w:color="auto"/>
        <w:right w:val="none" w:sz="0" w:space="0" w:color="auto"/>
      </w:divBdr>
    </w:div>
    <w:div w:id="1340813991">
      <w:bodyDiv w:val="1"/>
      <w:marLeft w:val="0"/>
      <w:marRight w:val="0"/>
      <w:marTop w:val="0"/>
      <w:marBottom w:val="0"/>
      <w:divBdr>
        <w:top w:val="none" w:sz="0" w:space="0" w:color="auto"/>
        <w:left w:val="none" w:sz="0" w:space="0" w:color="auto"/>
        <w:bottom w:val="none" w:sz="0" w:space="0" w:color="auto"/>
        <w:right w:val="none" w:sz="0" w:space="0" w:color="auto"/>
      </w:divBdr>
    </w:div>
    <w:div w:id="1367952199">
      <w:bodyDiv w:val="1"/>
      <w:marLeft w:val="0"/>
      <w:marRight w:val="0"/>
      <w:marTop w:val="0"/>
      <w:marBottom w:val="0"/>
      <w:divBdr>
        <w:top w:val="none" w:sz="0" w:space="0" w:color="auto"/>
        <w:left w:val="none" w:sz="0" w:space="0" w:color="auto"/>
        <w:bottom w:val="none" w:sz="0" w:space="0" w:color="auto"/>
        <w:right w:val="none" w:sz="0" w:space="0" w:color="auto"/>
      </w:divBdr>
    </w:div>
    <w:div w:id="1380859396">
      <w:bodyDiv w:val="1"/>
      <w:marLeft w:val="0"/>
      <w:marRight w:val="0"/>
      <w:marTop w:val="0"/>
      <w:marBottom w:val="0"/>
      <w:divBdr>
        <w:top w:val="none" w:sz="0" w:space="0" w:color="auto"/>
        <w:left w:val="none" w:sz="0" w:space="0" w:color="auto"/>
        <w:bottom w:val="none" w:sz="0" w:space="0" w:color="auto"/>
        <w:right w:val="none" w:sz="0" w:space="0" w:color="auto"/>
      </w:divBdr>
    </w:div>
    <w:div w:id="1391463946">
      <w:bodyDiv w:val="1"/>
      <w:marLeft w:val="0"/>
      <w:marRight w:val="0"/>
      <w:marTop w:val="0"/>
      <w:marBottom w:val="0"/>
      <w:divBdr>
        <w:top w:val="none" w:sz="0" w:space="0" w:color="auto"/>
        <w:left w:val="none" w:sz="0" w:space="0" w:color="auto"/>
        <w:bottom w:val="none" w:sz="0" w:space="0" w:color="auto"/>
        <w:right w:val="none" w:sz="0" w:space="0" w:color="auto"/>
      </w:divBdr>
    </w:div>
    <w:div w:id="1413816243">
      <w:bodyDiv w:val="1"/>
      <w:marLeft w:val="0"/>
      <w:marRight w:val="0"/>
      <w:marTop w:val="0"/>
      <w:marBottom w:val="0"/>
      <w:divBdr>
        <w:top w:val="none" w:sz="0" w:space="0" w:color="auto"/>
        <w:left w:val="none" w:sz="0" w:space="0" w:color="auto"/>
        <w:bottom w:val="none" w:sz="0" w:space="0" w:color="auto"/>
        <w:right w:val="none" w:sz="0" w:space="0" w:color="auto"/>
      </w:divBdr>
      <w:divsChild>
        <w:div w:id="2018656825">
          <w:marLeft w:val="0"/>
          <w:marRight w:val="0"/>
          <w:marTop w:val="0"/>
          <w:marBottom w:val="0"/>
          <w:divBdr>
            <w:top w:val="none" w:sz="0" w:space="0" w:color="auto"/>
            <w:left w:val="none" w:sz="0" w:space="0" w:color="auto"/>
            <w:bottom w:val="none" w:sz="0" w:space="0" w:color="auto"/>
            <w:right w:val="none" w:sz="0" w:space="0" w:color="auto"/>
          </w:divBdr>
        </w:div>
        <w:div w:id="386808403">
          <w:marLeft w:val="0"/>
          <w:marRight w:val="0"/>
          <w:marTop w:val="0"/>
          <w:marBottom w:val="0"/>
          <w:divBdr>
            <w:top w:val="none" w:sz="0" w:space="0" w:color="auto"/>
            <w:left w:val="none" w:sz="0" w:space="0" w:color="auto"/>
            <w:bottom w:val="none" w:sz="0" w:space="0" w:color="auto"/>
            <w:right w:val="none" w:sz="0" w:space="0" w:color="auto"/>
          </w:divBdr>
        </w:div>
        <w:div w:id="1497070150">
          <w:marLeft w:val="0"/>
          <w:marRight w:val="0"/>
          <w:marTop w:val="0"/>
          <w:marBottom w:val="0"/>
          <w:divBdr>
            <w:top w:val="none" w:sz="0" w:space="0" w:color="auto"/>
            <w:left w:val="none" w:sz="0" w:space="0" w:color="auto"/>
            <w:bottom w:val="none" w:sz="0" w:space="0" w:color="auto"/>
            <w:right w:val="none" w:sz="0" w:space="0" w:color="auto"/>
          </w:divBdr>
          <w:divsChild>
            <w:div w:id="449665123">
              <w:marLeft w:val="0"/>
              <w:marRight w:val="0"/>
              <w:marTop w:val="0"/>
              <w:marBottom w:val="0"/>
              <w:divBdr>
                <w:top w:val="none" w:sz="0" w:space="0" w:color="auto"/>
                <w:left w:val="none" w:sz="0" w:space="0" w:color="auto"/>
                <w:bottom w:val="none" w:sz="0" w:space="0" w:color="auto"/>
                <w:right w:val="none" w:sz="0" w:space="0" w:color="auto"/>
              </w:divBdr>
            </w:div>
            <w:div w:id="1601794879">
              <w:marLeft w:val="0"/>
              <w:marRight w:val="0"/>
              <w:marTop w:val="0"/>
              <w:marBottom w:val="0"/>
              <w:divBdr>
                <w:top w:val="none" w:sz="0" w:space="0" w:color="auto"/>
                <w:left w:val="none" w:sz="0" w:space="0" w:color="auto"/>
                <w:bottom w:val="none" w:sz="0" w:space="0" w:color="auto"/>
                <w:right w:val="none" w:sz="0" w:space="0" w:color="auto"/>
              </w:divBdr>
            </w:div>
          </w:divsChild>
        </w:div>
        <w:div w:id="121386053">
          <w:marLeft w:val="0"/>
          <w:marRight w:val="0"/>
          <w:marTop w:val="0"/>
          <w:marBottom w:val="0"/>
          <w:divBdr>
            <w:top w:val="none" w:sz="0" w:space="0" w:color="auto"/>
            <w:left w:val="none" w:sz="0" w:space="0" w:color="auto"/>
            <w:bottom w:val="none" w:sz="0" w:space="0" w:color="auto"/>
            <w:right w:val="none" w:sz="0" w:space="0" w:color="auto"/>
          </w:divBdr>
        </w:div>
        <w:div w:id="1411318372">
          <w:marLeft w:val="0"/>
          <w:marRight w:val="0"/>
          <w:marTop w:val="0"/>
          <w:marBottom w:val="0"/>
          <w:divBdr>
            <w:top w:val="none" w:sz="0" w:space="0" w:color="auto"/>
            <w:left w:val="none" w:sz="0" w:space="0" w:color="auto"/>
            <w:bottom w:val="none" w:sz="0" w:space="0" w:color="auto"/>
            <w:right w:val="none" w:sz="0" w:space="0" w:color="auto"/>
          </w:divBdr>
        </w:div>
        <w:div w:id="997536372">
          <w:marLeft w:val="0"/>
          <w:marRight w:val="0"/>
          <w:marTop w:val="0"/>
          <w:marBottom w:val="0"/>
          <w:divBdr>
            <w:top w:val="none" w:sz="0" w:space="0" w:color="auto"/>
            <w:left w:val="none" w:sz="0" w:space="0" w:color="auto"/>
            <w:bottom w:val="none" w:sz="0" w:space="0" w:color="auto"/>
            <w:right w:val="none" w:sz="0" w:space="0" w:color="auto"/>
          </w:divBdr>
        </w:div>
        <w:div w:id="553546196">
          <w:marLeft w:val="0"/>
          <w:marRight w:val="0"/>
          <w:marTop w:val="0"/>
          <w:marBottom w:val="0"/>
          <w:divBdr>
            <w:top w:val="none" w:sz="0" w:space="0" w:color="auto"/>
            <w:left w:val="none" w:sz="0" w:space="0" w:color="auto"/>
            <w:bottom w:val="none" w:sz="0" w:space="0" w:color="auto"/>
            <w:right w:val="none" w:sz="0" w:space="0" w:color="auto"/>
          </w:divBdr>
        </w:div>
        <w:div w:id="187568598">
          <w:marLeft w:val="0"/>
          <w:marRight w:val="0"/>
          <w:marTop w:val="0"/>
          <w:marBottom w:val="0"/>
          <w:divBdr>
            <w:top w:val="none" w:sz="0" w:space="0" w:color="auto"/>
            <w:left w:val="none" w:sz="0" w:space="0" w:color="auto"/>
            <w:bottom w:val="none" w:sz="0" w:space="0" w:color="auto"/>
            <w:right w:val="none" w:sz="0" w:space="0" w:color="auto"/>
          </w:divBdr>
        </w:div>
        <w:div w:id="1221406466">
          <w:marLeft w:val="0"/>
          <w:marRight w:val="0"/>
          <w:marTop w:val="0"/>
          <w:marBottom w:val="0"/>
          <w:divBdr>
            <w:top w:val="none" w:sz="0" w:space="0" w:color="auto"/>
            <w:left w:val="none" w:sz="0" w:space="0" w:color="auto"/>
            <w:bottom w:val="none" w:sz="0" w:space="0" w:color="auto"/>
            <w:right w:val="none" w:sz="0" w:space="0" w:color="auto"/>
          </w:divBdr>
        </w:div>
        <w:div w:id="2060517844">
          <w:marLeft w:val="0"/>
          <w:marRight w:val="0"/>
          <w:marTop w:val="0"/>
          <w:marBottom w:val="0"/>
          <w:divBdr>
            <w:top w:val="none" w:sz="0" w:space="0" w:color="auto"/>
            <w:left w:val="none" w:sz="0" w:space="0" w:color="auto"/>
            <w:bottom w:val="none" w:sz="0" w:space="0" w:color="auto"/>
            <w:right w:val="none" w:sz="0" w:space="0" w:color="auto"/>
          </w:divBdr>
        </w:div>
        <w:div w:id="844440812">
          <w:marLeft w:val="0"/>
          <w:marRight w:val="0"/>
          <w:marTop w:val="0"/>
          <w:marBottom w:val="0"/>
          <w:divBdr>
            <w:top w:val="none" w:sz="0" w:space="0" w:color="auto"/>
            <w:left w:val="none" w:sz="0" w:space="0" w:color="auto"/>
            <w:bottom w:val="none" w:sz="0" w:space="0" w:color="auto"/>
            <w:right w:val="none" w:sz="0" w:space="0" w:color="auto"/>
          </w:divBdr>
        </w:div>
        <w:div w:id="261884647">
          <w:marLeft w:val="0"/>
          <w:marRight w:val="0"/>
          <w:marTop w:val="0"/>
          <w:marBottom w:val="0"/>
          <w:divBdr>
            <w:top w:val="none" w:sz="0" w:space="0" w:color="auto"/>
            <w:left w:val="none" w:sz="0" w:space="0" w:color="auto"/>
            <w:bottom w:val="none" w:sz="0" w:space="0" w:color="auto"/>
            <w:right w:val="none" w:sz="0" w:space="0" w:color="auto"/>
          </w:divBdr>
        </w:div>
      </w:divsChild>
    </w:div>
    <w:div w:id="1441025589">
      <w:bodyDiv w:val="1"/>
      <w:marLeft w:val="0"/>
      <w:marRight w:val="0"/>
      <w:marTop w:val="0"/>
      <w:marBottom w:val="0"/>
      <w:divBdr>
        <w:top w:val="none" w:sz="0" w:space="0" w:color="auto"/>
        <w:left w:val="none" w:sz="0" w:space="0" w:color="auto"/>
        <w:bottom w:val="none" w:sz="0" w:space="0" w:color="auto"/>
        <w:right w:val="none" w:sz="0" w:space="0" w:color="auto"/>
      </w:divBdr>
      <w:divsChild>
        <w:div w:id="1773429485">
          <w:marLeft w:val="0"/>
          <w:marRight w:val="0"/>
          <w:marTop w:val="0"/>
          <w:marBottom w:val="0"/>
          <w:divBdr>
            <w:top w:val="none" w:sz="0" w:space="0" w:color="auto"/>
            <w:left w:val="none" w:sz="0" w:space="0" w:color="auto"/>
            <w:bottom w:val="none" w:sz="0" w:space="0" w:color="auto"/>
            <w:right w:val="none" w:sz="0" w:space="0" w:color="auto"/>
          </w:divBdr>
        </w:div>
        <w:div w:id="1305961374">
          <w:marLeft w:val="0"/>
          <w:marRight w:val="0"/>
          <w:marTop w:val="0"/>
          <w:marBottom w:val="0"/>
          <w:divBdr>
            <w:top w:val="none" w:sz="0" w:space="0" w:color="auto"/>
            <w:left w:val="none" w:sz="0" w:space="0" w:color="auto"/>
            <w:bottom w:val="none" w:sz="0" w:space="0" w:color="auto"/>
            <w:right w:val="none" w:sz="0" w:space="0" w:color="auto"/>
          </w:divBdr>
        </w:div>
      </w:divsChild>
    </w:div>
    <w:div w:id="1442453391">
      <w:bodyDiv w:val="1"/>
      <w:marLeft w:val="0"/>
      <w:marRight w:val="0"/>
      <w:marTop w:val="0"/>
      <w:marBottom w:val="0"/>
      <w:divBdr>
        <w:top w:val="none" w:sz="0" w:space="0" w:color="auto"/>
        <w:left w:val="none" w:sz="0" w:space="0" w:color="auto"/>
        <w:bottom w:val="none" w:sz="0" w:space="0" w:color="auto"/>
        <w:right w:val="none" w:sz="0" w:space="0" w:color="auto"/>
      </w:divBdr>
      <w:divsChild>
        <w:div w:id="1852991981">
          <w:marLeft w:val="0"/>
          <w:marRight w:val="0"/>
          <w:marTop w:val="0"/>
          <w:marBottom w:val="0"/>
          <w:divBdr>
            <w:top w:val="none" w:sz="0" w:space="0" w:color="auto"/>
            <w:left w:val="none" w:sz="0" w:space="0" w:color="auto"/>
            <w:bottom w:val="none" w:sz="0" w:space="0" w:color="auto"/>
            <w:right w:val="none" w:sz="0" w:space="0" w:color="auto"/>
          </w:divBdr>
        </w:div>
        <w:div w:id="1154177112">
          <w:marLeft w:val="0"/>
          <w:marRight w:val="0"/>
          <w:marTop w:val="0"/>
          <w:marBottom w:val="0"/>
          <w:divBdr>
            <w:top w:val="none" w:sz="0" w:space="0" w:color="auto"/>
            <w:left w:val="none" w:sz="0" w:space="0" w:color="auto"/>
            <w:bottom w:val="none" w:sz="0" w:space="0" w:color="auto"/>
            <w:right w:val="none" w:sz="0" w:space="0" w:color="auto"/>
          </w:divBdr>
        </w:div>
      </w:divsChild>
    </w:div>
    <w:div w:id="1449936391">
      <w:bodyDiv w:val="1"/>
      <w:marLeft w:val="0"/>
      <w:marRight w:val="0"/>
      <w:marTop w:val="0"/>
      <w:marBottom w:val="0"/>
      <w:divBdr>
        <w:top w:val="none" w:sz="0" w:space="0" w:color="auto"/>
        <w:left w:val="none" w:sz="0" w:space="0" w:color="auto"/>
        <w:bottom w:val="none" w:sz="0" w:space="0" w:color="auto"/>
        <w:right w:val="none" w:sz="0" w:space="0" w:color="auto"/>
      </w:divBdr>
    </w:div>
    <w:div w:id="1484811405">
      <w:bodyDiv w:val="1"/>
      <w:marLeft w:val="0"/>
      <w:marRight w:val="0"/>
      <w:marTop w:val="0"/>
      <w:marBottom w:val="0"/>
      <w:divBdr>
        <w:top w:val="none" w:sz="0" w:space="0" w:color="auto"/>
        <w:left w:val="none" w:sz="0" w:space="0" w:color="auto"/>
        <w:bottom w:val="none" w:sz="0" w:space="0" w:color="auto"/>
        <w:right w:val="none" w:sz="0" w:space="0" w:color="auto"/>
      </w:divBdr>
      <w:divsChild>
        <w:div w:id="325519002">
          <w:marLeft w:val="0"/>
          <w:marRight w:val="0"/>
          <w:marTop w:val="0"/>
          <w:marBottom w:val="0"/>
          <w:divBdr>
            <w:top w:val="none" w:sz="0" w:space="0" w:color="auto"/>
            <w:left w:val="none" w:sz="0" w:space="0" w:color="auto"/>
            <w:bottom w:val="none" w:sz="0" w:space="0" w:color="auto"/>
            <w:right w:val="none" w:sz="0" w:space="0" w:color="auto"/>
          </w:divBdr>
          <w:divsChild>
            <w:div w:id="2015301050">
              <w:marLeft w:val="0"/>
              <w:marRight w:val="0"/>
              <w:marTop w:val="0"/>
              <w:marBottom w:val="0"/>
              <w:divBdr>
                <w:top w:val="none" w:sz="0" w:space="0" w:color="auto"/>
                <w:left w:val="none" w:sz="0" w:space="0" w:color="auto"/>
                <w:bottom w:val="none" w:sz="0" w:space="0" w:color="auto"/>
                <w:right w:val="none" w:sz="0" w:space="0" w:color="auto"/>
              </w:divBdr>
            </w:div>
            <w:div w:id="1643347093">
              <w:marLeft w:val="0"/>
              <w:marRight w:val="0"/>
              <w:marTop w:val="0"/>
              <w:marBottom w:val="0"/>
              <w:divBdr>
                <w:top w:val="none" w:sz="0" w:space="0" w:color="auto"/>
                <w:left w:val="none" w:sz="0" w:space="0" w:color="auto"/>
                <w:bottom w:val="none" w:sz="0" w:space="0" w:color="auto"/>
                <w:right w:val="none" w:sz="0" w:space="0" w:color="auto"/>
              </w:divBdr>
              <w:divsChild>
                <w:div w:id="585455788">
                  <w:marLeft w:val="0"/>
                  <w:marRight w:val="0"/>
                  <w:marTop w:val="0"/>
                  <w:marBottom w:val="0"/>
                  <w:divBdr>
                    <w:top w:val="none" w:sz="0" w:space="0" w:color="auto"/>
                    <w:left w:val="none" w:sz="0" w:space="0" w:color="auto"/>
                    <w:bottom w:val="none" w:sz="0" w:space="0" w:color="auto"/>
                    <w:right w:val="none" w:sz="0" w:space="0" w:color="auto"/>
                  </w:divBdr>
                </w:div>
                <w:div w:id="1499273565">
                  <w:marLeft w:val="0"/>
                  <w:marRight w:val="0"/>
                  <w:marTop w:val="0"/>
                  <w:marBottom w:val="0"/>
                  <w:divBdr>
                    <w:top w:val="none" w:sz="0" w:space="0" w:color="auto"/>
                    <w:left w:val="none" w:sz="0" w:space="0" w:color="auto"/>
                    <w:bottom w:val="none" w:sz="0" w:space="0" w:color="auto"/>
                    <w:right w:val="none" w:sz="0" w:space="0" w:color="auto"/>
                  </w:divBdr>
                </w:div>
                <w:div w:id="31224817">
                  <w:marLeft w:val="0"/>
                  <w:marRight w:val="0"/>
                  <w:marTop w:val="0"/>
                  <w:marBottom w:val="0"/>
                  <w:divBdr>
                    <w:top w:val="none" w:sz="0" w:space="0" w:color="auto"/>
                    <w:left w:val="none" w:sz="0" w:space="0" w:color="auto"/>
                    <w:bottom w:val="none" w:sz="0" w:space="0" w:color="auto"/>
                    <w:right w:val="none" w:sz="0" w:space="0" w:color="auto"/>
                  </w:divBdr>
                </w:div>
                <w:div w:id="458182484">
                  <w:marLeft w:val="0"/>
                  <w:marRight w:val="0"/>
                  <w:marTop w:val="0"/>
                  <w:marBottom w:val="0"/>
                  <w:divBdr>
                    <w:top w:val="none" w:sz="0" w:space="0" w:color="auto"/>
                    <w:left w:val="none" w:sz="0" w:space="0" w:color="auto"/>
                    <w:bottom w:val="none" w:sz="0" w:space="0" w:color="auto"/>
                    <w:right w:val="none" w:sz="0" w:space="0" w:color="auto"/>
                  </w:divBdr>
                </w:div>
                <w:div w:id="1887988769">
                  <w:marLeft w:val="0"/>
                  <w:marRight w:val="0"/>
                  <w:marTop w:val="0"/>
                  <w:marBottom w:val="0"/>
                  <w:divBdr>
                    <w:top w:val="none" w:sz="0" w:space="0" w:color="auto"/>
                    <w:left w:val="none" w:sz="0" w:space="0" w:color="auto"/>
                    <w:bottom w:val="none" w:sz="0" w:space="0" w:color="auto"/>
                    <w:right w:val="none" w:sz="0" w:space="0" w:color="auto"/>
                  </w:divBdr>
                </w:div>
              </w:divsChild>
            </w:div>
            <w:div w:id="1105689898">
              <w:marLeft w:val="0"/>
              <w:marRight w:val="0"/>
              <w:marTop w:val="0"/>
              <w:marBottom w:val="0"/>
              <w:divBdr>
                <w:top w:val="none" w:sz="0" w:space="0" w:color="auto"/>
                <w:left w:val="none" w:sz="0" w:space="0" w:color="auto"/>
                <w:bottom w:val="none" w:sz="0" w:space="0" w:color="auto"/>
                <w:right w:val="none" w:sz="0" w:space="0" w:color="auto"/>
              </w:divBdr>
              <w:divsChild>
                <w:div w:id="286010328">
                  <w:marLeft w:val="0"/>
                  <w:marRight w:val="0"/>
                  <w:marTop w:val="0"/>
                  <w:marBottom w:val="0"/>
                  <w:divBdr>
                    <w:top w:val="none" w:sz="0" w:space="0" w:color="auto"/>
                    <w:left w:val="none" w:sz="0" w:space="0" w:color="auto"/>
                    <w:bottom w:val="none" w:sz="0" w:space="0" w:color="auto"/>
                    <w:right w:val="none" w:sz="0" w:space="0" w:color="auto"/>
                  </w:divBdr>
                </w:div>
                <w:div w:id="290281825">
                  <w:marLeft w:val="0"/>
                  <w:marRight w:val="0"/>
                  <w:marTop w:val="0"/>
                  <w:marBottom w:val="0"/>
                  <w:divBdr>
                    <w:top w:val="none" w:sz="0" w:space="0" w:color="auto"/>
                    <w:left w:val="none" w:sz="0" w:space="0" w:color="auto"/>
                    <w:bottom w:val="none" w:sz="0" w:space="0" w:color="auto"/>
                    <w:right w:val="none" w:sz="0" w:space="0" w:color="auto"/>
                  </w:divBdr>
                </w:div>
                <w:div w:id="2064600068">
                  <w:marLeft w:val="0"/>
                  <w:marRight w:val="0"/>
                  <w:marTop w:val="0"/>
                  <w:marBottom w:val="0"/>
                  <w:divBdr>
                    <w:top w:val="none" w:sz="0" w:space="0" w:color="auto"/>
                    <w:left w:val="none" w:sz="0" w:space="0" w:color="auto"/>
                    <w:bottom w:val="none" w:sz="0" w:space="0" w:color="auto"/>
                    <w:right w:val="none" w:sz="0" w:space="0" w:color="auto"/>
                  </w:divBdr>
                </w:div>
              </w:divsChild>
            </w:div>
            <w:div w:id="1940217720">
              <w:marLeft w:val="0"/>
              <w:marRight w:val="0"/>
              <w:marTop w:val="0"/>
              <w:marBottom w:val="0"/>
              <w:divBdr>
                <w:top w:val="none" w:sz="0" w:space="0" w:color="auto"/>
                <w:left w:val="none" w:sz="0" w:space="0" w:color="auto"/>
                <w:bottom w:val="none" w:sz="0" w:space="0" w:color="auto"/>
                <w:right w:val="none" w:sz="0" w:space="0" w:color="auto"/>
              </w:divBdr>
              <w:divsChild>
                <w:div w:id="992366536">
                  <w:marLeft w:val="0"/>
                  <w:marRight w:val="0"/>
                  <w:marTop w:val="0"/>
                  <w:marBottom w:val="0"/>
                  <w:divBdr>
                    <w:top w:val="none" w:sz="0" w:space="0" w:color="auto"/>
                    <w:left w:val="none" w:sz="0" w:space="0" w:color="auto"/>
                    <w:bottom w:val="none" w:sz="0" w:space="0" w:color="auto"/>
                    <w:right w:val="none" w:sz="0" w:space="0" w:color="auto"/>
                  </w:divBdr>
                  <w:divsChild>
                    <w:div w:id="1407723680">
                      <w:marLeft w:val="0"/>
                      <w:marRight w:val="0"/>
                      <w:marTop w:val="0"/>
                      <w:marBottom w:val="0"/>
                      <w:divBdr>
                        <w:top w:val="none" w:sz="0" w:space="0" w:color="auto"/>
                        <w:left w:val="none" w:sz="0" w:space="0" w:color="auto"/>
                        <w:bottom w:val="none" w:sz="0" w:space="0" w:color="auto"/>
                        <w:right w:val="none" w:sz="0" w:space="0" w:color="auto"/>
                      </w:divBdr>
                    </w:div>
                    <w:div w:id="376055765">
                      <w:marLeft w:val="0"/>
                      <w:marRight w:val="0"/>
                      <w:marTop w:val="0"/>
                      <w:marBottom w:val="0"/>
                      <w:divBdr>
                        <w:top w:val="none" w:sz="0" w:space="0" w:color="auto"/>
                        <w:left w:val="none" w:sz="0" w:space="0" w:color="auto"/>
                        <w:bottom w:val="none" w:sz="0" w:space="0" w:color="auto"/>
                        <w:right w:val="none" w:sz="0" w:space="0" w:color="auto"/>
                      </w:divBdr>
                    </w:div>
                    <w:div w:id="632255501">
                      <w:marLeft w:val="0"/>
                      <w:marRight w:val="0"/>
                      <w:marTop w:val="0"/>
                      <w:marBottom w:val="0"/>
                      <w:divBdr>
                        <w:top w:val="none" w:sz="0" w:space="0" w:color="auto"/>
                        <w:left w:val="none" w:sz="0" w:space="0" w:color="auto"/>
                        <w:bottom w:val="none" w:sz="0" w:space="0" w:color="auto"/>
                        <w:right w:val="none" w:sz="0" w:space="0" w:color="auto"/>
                      </w:divBdr>
                    </w:div>
                    <w:div w:id="1296449128">
                      <w:marLeft w:val="0"/>
                      <w:marRight w:val="0"/>
                      <w:marTop w:val="0"/>
                      <w:marBottom w:val="0"/>
                      <w:divBdr>
                        <w:top w:val="none" w:sz="0" w:space="0" w:color="auto"/>
                        <w:left w:val="none" w:sz="0" w:space="0" w:color="auto"/>
                        <w:bottom w:val="none" w:sz="0" w:space="0" w:color="auto"/>
                        <w:right w:val="none" w:sz="0" w:space="0" w:color="auto"/>
                      </w:divBdr>
                    </w:div>
                    <w:div w:id="1215657876">
                      <w:marLeft w:val="0"/>
                      <w:marRight w:val="0"/>
                      <w:marTop w:val="0"/>
                      <w:marBottom w:val="0"/>
                      <w:divBdr>
                        <w:top w:val="none" w:sz="0" w:space="0" w:color="auto"/>
                        <w:left w:val="none" w:sz="0" w:space="0" w:color="auto"/>
                        <w:bottom w:val="none" w:sz="0" w:space="0" w:color="auto"/>
                        <w:right w:val="none" w:sz="0" w:space="0" w:color="auto"/>
                      </w:divBdr>
                    </w:div>
                    <w:div w:id="428502587">
                      <w:marLeft w:val="0"/>
                      <w:marRight w:val="0"/>
                      <w:marTop w:val="0"/>
                      <w:marBottom w:val="0"/>
                      <w:divBdr>
                        <w:top w:val="none" w:sz="0" w:space="0" w:color="auto"/>
                        <w:left w:val="none" w:sz="0" w:space="0" w:color="auto"/>
                        <w:bottom w:val="none" w:sz="0" w:space="0" w:color="auto"/>
                        <w:right w:val="none" w:sz="0" w:space="0" w:color="auto"/>
                      </w:divBdr>
                    </w:div>
                    <w:div w:id="1756710029">
                      <w:marLeft w:val="0"/>
                      <w:marRight w:val="0"/>
                      <w:marTop w:val="0"/>
                      <w:marBottom w:val="0"/>
                      <w:divBdr>
                        <w:top w:val="none" w:sz="0" w:space="0" w:color="auto"/>
                        <w:left w:val="none" w:sz="0" w:space="0" w:color="auto"/>
                        <w:bottom w:val="none" w:sz="0" w:space="0" w:color="auto"/>
                        <w:right w:val="none" w:sz="0" w:space="0" w:color="auto"/>
                      </w:divBdr>
                    </w:div>
                    <w:div w:id="2140148605">
                      <w:marLeft w:val="0"/>
                      <w:marRight w:val="0"/>
                      <w:marTop w:val="0"/>
                      <w:marBottom w:val="0"/>
                      <w:divBdr>
                        <w:top w:val="none" w:sz="0" w:space="0" w:color="auto"/>
                        <w:left w:val="none" w:sz="0" w:space="0" w:color="auto"/>
                        <w:bottom w:val="none" w:sz="0" w:space="0" w:color="auto"/>
                        <w:right w:val="none" w:sz="0" w:space="0" w:color="auto"/>
                      </w:divBdr>
                    </w:div>
                    <w:div w:id="878053345">
                      <w:marLeft w:val="0"/>
                      <w:marRight w:val="0"/>
                      <w:marTop w:val="0"/>
                      <w:marBottom w:val="0"/>
                      <w:divBdr>
                        <w:top w:val="none" w:sz="0" w:space="0" w:color="auto"/>
                        <w:left w:val="none" w:sz="0" w:space="0" w:color="auto"/>
                        <w:bottom w:val="none" w:sz="0" w:space="0" w:color="auto"/>
                        <w:right w:val="none" w:sz="0" w:space="0" w:color="auto"/>
                      </w:divBdr>
                    </w:div>
                  </w:divsChild>
                </w:div>
                <w:div w:id="1085109811">
                  <w:marLeft w:val="0"/>
                  <w:marRight w:val="0"/>
                  <w:marTop w:val="0"/>
                  <w:marBottom w:val="0"/>
                  <w:divBdr>
                    <w:top w:val="none" w:sz="0" w:space="0" w:color="auto"/>
                    <w:left w:val="none" w:sz="0" w:space="0" w:color="auto"/>
                    <w:bottom w:val="none" w:sz="0" w:space="0" w:color="auto"/>
                    <w:right w:val="none" w:sz="0" w:space="0" w:color="auto"/>
                  </w:divBdr>
                </w:div>
                <w:div w:id="63559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0471717">
          <w:marLeft w:val="0"/>
          <w:marRight w:val="0"/>
          <w:marTop w:val="0"/>
          <w:marBottom w:val="0"/>
          <w:divBdr>
            <w:top w:val="none" w:sz="0" w:space="0" w:color="auto"/>
            <w:left w:val="none" w:sz="0" w:space="0" w:color="auto"/>
            <w:bottom w:val="none" w:sz="0" w:space="0" w:color="auto"/>
            <w:right w:val="none" w:sz="0" w:space="0" w:color="auto"/>
          </w:divBdr>
          <w:divsChild>
            <w:div w:id="1433161598">
              <w:marLeft w:val="0"/>
              <w:marRight w:val="0"/>
              <w:marTop w:val="0"/>
              <w:marBottom w:val="0"/>
              <w:divBdr>
                <w:top w:val="none" w:sz="0" w:space="0" w:color="auto"/>
                <w:left w:val="none" w:sz="0" w:space="0" w:color="auto"/>
                <w:bottom w:val="none" w:sz="0" w:space="0" w:color="auto"/>
                <w:right w:val="none" w:sz="0" w:space="0" w:color="auto"/>
              </w:divBdr>
            </w:div>
            <w:div w:id="1936862148">
              <w:marLeft w:val="0"/>
              <w:marRight w:val="0"/>
              <w:marTop w:val="0"/>
              <w:marBottom w:val="0"/>
              <w:divBdr>
                <w:top w:val="none" w:sz="0" w:space="0" w:color="auto"/>
                <w:left w:val="none" w:sz="0" w:space="0" w:color="auto"/>
                <w:bottom w:val="none" w:sz="0" w:space="0" w:color="auto"/>
                <w:right w:val="none" w:sz="0" w:space="0" w:color="auto"/>
              </w:divBdr>
              <w:divsChild>
                <w:div w:id="1084688209">
                  <w:marLeft w:val="0"/>
                  <w:marRight w:val="0"/>
                  <w:marTop w:val="0"/>
                  <w:marBottom w:val="0"/>
                  <w:divBdr>
                    <w:top w:val="none" w:sz="0" w:space="0" w:color="auto"/>
                    <w:left w:val="none" w:sz="0" w:space="0" w:color="auto"/>
                    <w:bottom w:val="none" w:sz="0" w:space="0" w:color="auto"/>
                    <w:right w:val="none" w:sz="0" w:space="0" w:color="auto"/>
                  </w:divBdr>
                </w:div>
                <w:div w:id="1125544113">
                  <w:marLeft w:val="0"/>
                  <w:marRight w:val="0"/>
                  <w:marTop w:val="0"/>
                  <w:marBottom w:val="0"/>
                  <w:divBdr>
                    <w:top w:val="none" w:sz="0" w:space="0" w:color="auto"/>
                    <w:left w:val="none" w:sz="0" w:space="0" w:color="auto"/>
                    <w:bottom w:val="none" w:sz="0" w:space="0" w:color="auto"/>
                    <w:right w:val="none" w:sz="0" w:space="0" w:color="auto"/>
                  </w:divBdr>
                </w:div>
                <w:div w:id="1565876708">
                  <w:marLeft w:val="0"/>
                  <w:marRight w:val="0"/>
                  <w:marTop w:val="0"/>
                  <w:marBottom w:val="0"/>
                  <w:divBdr>
                    <w:top w:val="none" w:sz="0" w:space="0" w:color="auto"/>
                    <w:left w:val="none" w:sz="0" w:space="0" w:color="auto"/>
                    <w:bottom w:val="none" w:sz="0" w:space="0" w:color="auto"/>
                    <w:right w:val="none" w:sz="0" w:space="0" w:color="auto"/>
                  </w:divBdr>
                </w:div>
                <w:div w:id="88743392">
                  <w:marLeft w:val="0"/>
                  <w:marRight w:val="0"/>
                  <w:marTop w:val="0"/>
                  <w:marBottom w:val="0"/>
                  <w:divBdr>
                    <w:top w:val="none" w:sz="0" w:space="0" w:color="auto"/>
                    <w:left w:val="none" w:sz="0" w:space="0" w:color="auto"/>
                    <w:bottom w:val="none" w:sz="0" w:space="0" w:color="auto"/>
                    <w:right w:val="none" w:sz="0" w:space="0" w:color="auto"/>
                  </w:divBdr>
                </w:div>
                <w:div w:id="630356970">
                  <w:marLeft w:val="0"/>
                  <w:marRight w:val="0"/>
                  <w:marTop w:val="0"/>
                  <w:marBottom w:val="0"/>
                  <w:divBdr>
                    <w:top w:val="none" w:sz="0" w:space="0" w:color="auto"/>
                    <w:left w:val="none" w:sz="0" w:space="0" w:color="auto"/>
                    <w:bottom w:val="none" w:sz="0" w:space="0" w:color="auto"/>
                    <w:right w:val="none" w:sz="0" w:space="0" w:color="auto"/>
                  </w:divBdr>
                </w:div>
              </w:divsChild>
            </w:div>
            <w:div w:id="346761613">
              <w:marLeft w:val="0"/>
              <w:marRight w:val="0"/>
              <w:marTop w:val="0"/>
              <w:marBottom w:val="0"/>
              <w:divBdr>
                <w:top w:val="none" w:sz="0" w:space="0" w:color="auto"/>
                <w:left w:val="none" w:sz="0" w:space="0" w:color="auto"/>
                <w:bottom w:val="none" w:sz="0" w:space="0" w:color="auto"/>
                <w:right w:val="none" w:sz="0" w:space="0" w:color="auto"/>
              </w:divBdr>
              <w:divsChild>
                <w:div w:id="99764263">
                  <w:marLeft w:val="0"/>
                  <w:marRight w:val="0"/>
                  <w:marTop w:val="0"/>
                  <w:marBottom w:val="0"/>
                  <w:divBdr>
                    <w:top w:val="none" w:sz="0" w:space="0" w:color="auto"/>
                    <w:left w:val="none" w:sz="0" w:space="0" w:color="auto"/>
                    <w:bottom w:val="none" w:sz="0" w:space="0" w:color="auto"/>
                    <w:right w:val="none" w:sz="0" w:space="0" w:color="auto"/>
                  </w:divBdr>
                </w:div>
                <w:div w:id="533540909">
                  <w:marLeft w:val="0"/>
                  <w:marRight w:val="0"/>
                  <w:marTop w:val="0"/>
                  <w:marBottom w:val="0"/>
                  <w:divBdr>
                    <w:top w:val="none" w:sz="0" w:space="0" w:color="auto"/>
                    <w:left w:val="none" w:sz="0" w:space="0" w:color="auto"/>
                    <w:bottom w:val="none" w:sz="0" w:space="0" w:color="auto"/>
                    <w:right w:val="none" w:sz="0" w:space="0" w:color="auto"/>
                  </w:divBdr>
                </w:div>
                <w:div w:id="984433089">
                  <w:marLeft w:val="0"/>
                  <w:marRight w:val="0"/>
                  <w:marTop w:val="0"/>
                  <w:marBottom w:val="0"/>
                  <w:divBdr>
                    <w:top w:val="none" w:sz="0" w:space="0" w:color="auto"/>
                    <w:left w:val="none" w:sz="0" w:space="0" w:color="auto"/>
                    <w:bottom w:val="none" w:sz="0" w:space="0" w:color="auto"/>
                    <w:right w:val="none" w:sz="0" w:space="0" w:color="auto"/>
                  </w:divBdr>
                </w:div>
              </w:divsChild>
            </w:div>
            <w:div w:id="1924989683">
              <w:marLeft w:val="0"/>
              <w:marRight w:val="0"/>
              <w:marTop w:val="0"/>
              <w:marBottom w:val="0"/>
              <w:divBdr>
                <w:top w:val="none" w:sz="0" w:space="0" w:color="auto"/>
                <w:left w:val="none" w:sz="0" w:space="0" w:color="auto"/>
                <w:bottom w:val="none" w:sz="0" w:space="0" w:color="auto"/>
                <w:right w:val="none" w:sz="0" w:space="0" w:color="auto"/>
              </w:divBdr>
              <w:divsChild>
                <w:div w:id="167718156">
                  <w:marLeft w:val="0"/>
                  <w:marRight w:val="0"/>
                  <w:marTop w:val="0"/>
                  <w:marBottom w:val="0"/>
                  <w:divBdr>
                    <w:top w:val="none" w:sz="0" w:space="0" w:color="auto"/>
                    <w:left w:val="none" w:sz="0" w:space="0" w:color="auto"/>
                    <w:bottom w:val="none" w:sz="0" w:space="0" w:color="auto"/>
                    <w:right w:val="none" w:sz="0" w:space="0" w:color="auto"/>
                  </w:divBdr>
                  <w:divsChild>
                    <w:div w:id="545072254">
                      <w:marLeft w:val="0"/>
                      <w:marRight w:val="0"/>
                      <w:marTop w:val="0"/>
                      <w:marBottom w:val="0"/>
                      <w:divBdr>
                        <w:top w:val="none" w:sz="0" w:space="0" w:color="auto"/>
                        <w:left w:val="none" w:sz="0" w:space="0" w:color="auto"/>
                        <w:bottom w:val="none" w:sz="0" w:space="0" w:color="auto"/>
                        <w:right w:val="none" w:sz="0" w:space="0" w:color="auto"/>
                      </w:divBdr>
                    </w:div>
                    <w:div w:id="2086678886">
                      <w:marLeft w:val="0"/>
                      <w:marRight w:val="0"/>
                      <w:marTop w:val="0"/>
                      <w:marBottom w:val="0"/>
                      <w:divBdr>
                        <w:top w:val="none" w:sz="0" w:space="0" w:color="auto"/>
                        <w:left w:val="none" w:sz="0" w:space="0" w:color="auto"/>
                        <w:bottom w:val="none" w:sz="0" w:space="0" w:color="auto"/>
                        <w:right w:val="none" w:sz="0" w:space="0" w:color="auto"/>
                      </w:divBdr>
                    </w:div>
                    <w:div w:id="934820958">
                      <w:marLeft w:val="0"/>
                      <w:marRight w:val="0"/>
                      <w:marTop w:val="0"/>
                      <w:marBottom w:val="0"/>
                      <w:divBdr>
                        <w:top w:val="none" w:sz="0" w:space="0" w:color="auto"/>
                        <w:left w:val="none" w:sz="0" w:space="0" w:color="auto"/>
                        <w:bottom w:val="none" w:sz="0" w:space="0" w:color="auto"/>
                        <w:right w:val="none" w:sz="0" w:space="0" w:color="auto"/>
                      </w:divBdr>
                    </w:div>
                    <w:div w:id="34546968">
                      <w:marLeft w:val="0"/>
                      <w:marRight w:val="0"/>
                      <w:marTop w:val="0"/>
                      <w:marBottom w:val="0"/>
                      <w:divBdr>
                        <w:top w:val="none" w:sz="0" w:space="0" w:color="auto"/>
                        <w:left w:val="none" w:sz="0" w:space="0" w:color="auto"/>
                        <w:bottom w:val="none" w:sz="0" w:space="0" w:color="auto"/>
                        <w:right w:val="none" w:sz="0" w:space="0" w:color="auto"/>
                      </w:divBdr>
                    </w:div>
                    <w:div w:id="602804121">
                      <w:marLeft w:val="0"/>
                      <w:marRight w:val="0"/>
                      <w:marTop w:val="0"/>
                      <w:marBottom w:val="0"/>
                      <w:divBdr>
                        <w:top w:val="none" w:sz="0" w:space="0" w:color="auto"/>
                        <w:left w:val="none" w:sz="0" w:space="0" w:color="auto"/>
                        <w:bottom w:val="none" w:sz="0" w:space="0" w:color="auto"/>
                        <w:right w:val="none" w:sz="0" w:space="0" w:color="auto"/>
                      </w:divBdr>
                    </w:div>
                    <w:div w:id="2031031097">
                      <w:marLeft w:val="0"/>
                      <w:marRight w:val="0"/>
                      <w:marTop w:val="0"/>
                      <w:marBottom w:val="0"/>
                      <w:divBdr>
                        <w:top w:val="none" w:sz="0" w:space="0" w:color="auto"/>
                        <w:left w:val="none" w:sz="0" w:space="0" w:color="auto"/>
                        <w:bottom w:val="none" w:sz="0" w:space="0" w:color="auto"/>
                        <w:right w:val="none" w:sz="0" w:space="0" w:color="auto"/>
                      </w:divBdr>
                    </w:div>
                    <w:div w:id="131599934">
                      <w:marLeft w:val="0"/>
                      <w:marRight w:val="0"/>
                      <w:marTop w:val="0"/>
                      <w:marBottom w:val="0"/>
                      <w:divBdr>
                        <w:top w:val="none" w:sz="0" w:space="0" w:color="auto"/>
                        <w:left w:val="none" w:sz="0" w:space="0" w:color="auto"/>
                        <w:bottom w:val="none" w:sz="0" w:space="0" w:color="auto"/>
                        <w:right w:val="none" w:sz="0" w:space="0" w:color="auto"/>
                      </w:divBdr>
                    </w:div>
                    <w:div w:id="2058703071">
                      <w:marLeft w:val="0"/>
                      <w:marRight w:val="0"/>
                      <w:marTop w:val="0"/>
                      <w:marBottom w:val="0"/>
                      <w:divBdr>
                        <w:top w:val="none" w:sz="0" w:space="0" w:color="auto"/>
                        <w:left w:val="none" w:sz="0" w:space="0" w:color="auto"/>
                        <w:bottom w:val="none" w:sz="0" w:space="0" w:color="auto"/>
                        <w:right w:val="none" w:sz="0" w:space="0" w:color="auto"/>
                      </w:divBdr>
                    </w:div>
                    <w:div w:id="351734728">
                      <w:marLeft w:val="0"/>
                      <w:marRight w:val="0"/>
                      <w:marTop w:val="0"/>
                      <w:marBottom w:val="0"/>
                      <w:divBdr>
                        <w:top w:val="none" w:sz="0" w:space="0" w:color="auto"/>
                        <w:left w:val="none" w:sz="0" w:space="0" w:color="auto"/>
                        <w:bottom w:val="none" w:sz="0" w:space="0" w:color="auto"/>
                        <w:right w:val="none" w:sz="0" w:space="0" w:color="auto"/>
                      </w:divBdr>
                    </w:div>
                  </w:divsChild>
                </w:div>
                <w:div w:id="1290666304">
                  <w:marLeft w:val="0"/>
                  <w:marRight w:val="0"/>
                  <w:marTop w:val="0"/>
                  <w:marBottom w:val="0"/>
                  <w:divBdr>
                    <w:top w:val="none" w:sz="0" w:space="0" w:color="auto"/>
                    <w:left w:val="none" w:sz="0" w:space="0" w:color="auto"/>
                    <w:bottom w:val="none" w:sz="0" w:space="0" w:color="auto"/>
                    <w:right w:val="none" w:sz="0" w:space="0" w:color="auto"/>
                  </w:divBdr>
                </w:div>
                <w:div w:id="17303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981496">
      <w:bodyDiv w:val="1"/>
      <w:marLeft w:val="0"/>
      <w:marRight w:val="0"/>
      <w:marTop w:val="0"/>
      <w:marBottom w:val="0"/>
      <w:divBdr>
        <w:top w:val="none" w:sz="0" w:space="0" w:color="auto"/>
        <w:left w:val="none" w:sz="0" w:space="0" w:color="auto"/>
        <w:bottom w:val="none" w:sz="0" w:space="0" w:color="auto"/>
        <w:right w:val="none" w:sz="0" w:space="0" w:color="auto"/>
      </w:divBdr>
      <w:divsChild>
        <w:div w:id="79639188">
          <w:marLeft w:val="0"/>
          <w:marRight w:val="0"/>
          <w:marTop w:val="0"/>
          <w:marBottom w:val="0"/>
          <w:divBdr>
            <w:top w:val="none" w:sz="0" w:space="0" w:color="auto"/>
            <w:left w:val="none" w:sz="0" w:space="0" w:color="auto"/>
            <w:bottom w:val="none" w:sz="0" w:space="0" w:color="auto"/>
            <w:right w:val="none" w:sz="0" w:space="0" w:color="auto"/>
          </w:divBdr>
        </w:div>
        <w:div w:id="1930457091">
          <w:marLeft w:val="0"/>
          <w:marRight w:val="0"/>
          <w:marTop w:val="0"/>
          <w:marBottom w:val="0"/>
          <w:divBdr>
            <w:top w:val="none" w:sz="0" w:space="0" w:color="auto"/>
            <w:left w:val="none" w:sz="0" w:space="0" w:color="auto"/>
            <w:bottom w:val="none" w:sz="0" w:space="0" w:color="auto"/>
            <w:right w:val="none" w:sz="0" w:space="0" w:color="auto"/>
          </w:divBdr>
        </w:div>
      </w:divsChild>
    </w:div>
    <w:div w:id="1506164008">
      <w:bodyDiv w:val="1"/>
      <w:marLeft w:val="0"/>
      <w:marRight w:val="0"/>
      <w:marTop w:val="0"/>
      <w:marBottom w:val="0"/>
      <w:divBdr>
        <w:top w:val="none" w:sz="0" w:space="0" w:color="auto"/>
        <w:left w:val="none" w:sz="0" w:space="0" w:color="auto"/>
        <w:bottom w:val="none" w:sz="0" w:space="0" w:color="auto"/>
        <w:right w:val="none" w:sz="0" w:space="0" w:color="auto"/>
      </w:divBdr>
    </w:div>
    <w:div w:id="1522351468">
      <w:bodyDiv w:val="1"/>
      <w:marLeft w:val="0"/>
      <w:marRight w:val="0"/>
      <w:marTop w:val="0"/>
      <w:marBottom w:val="0"/>
      <w:divBdr>
        <w:top w:val="none" w:sz="0" w:space="0" w:color="auto"/>
        <w:left w:val="none" w:sz="0" w:space="0" w:color="auto"/>
        <w:bottom w:val="none" w:sz="0" w:space="0" w:color="auto"/>
        <w:right w:val="none" w:sz="0" w:space="0" w:color="auto"/>
      </w:divBdr>
      <w:divsChild>
        <w:div w:id="587614203">
          <w:marLeft w:val="0"/>
          <w:marRight w:val="0"/>
          <w:marTop w:val="0"/>
          <w:marBottom w:val="0"/>
          <w:divBdr>
            <w:top w:val="none" w:sz="0" w:space="0" w:color="auto"/>
            <w:left w:val="none" w:sz="0" w:space="0" w:color="auto"/>
            <w:bottom w:val="none" w:sz="0" w:space="0" w:color="auto"/>
            <w:right w:val="none" w:sz="0" w:space="0" w:color="auto"/>
          </w:divBdr>
        </w:div>
        <w:div w:id="2000496598">
          <w:marLeft w:val="0"/>
          <w:marRight w:val="0"/>
          <w:marTop w:val="0"/>
          <w:marBottom w:val="0"/>
          <w:divBdr>
            <w:top w:val="none" w:sz="0" w:space="0" w:color="auto"/>
            <w:left w:val="none" w:sz="0" w:space="0" w:color="auto"/>
            <w:bottom w:val="none" w:sz="0" w:space="0" w:color="auto"/>
            <w:right w:val="none" w:sz="0" w:space="0" w:color="auto"/>
          </w:divBdr>
        </w:div>
        <w:div w:id="1451510042">
          <w:marLeft w:val="0"/>
          <w:marRight w:val="0"/>
          <w:marTop w:val="0"/>
          <w:marBottom w:val="0"/>
          <w:divBdr>
            <w:top w:val="none" w:sz="0" w:space="0" w:color="auto"/>
            <w:left w:val="none" w:sz="0" w:space="0" w:color="auto"/>
            <w:bottom w:val="none" w:sz="0" w:space="0" w:color="auto"/>
            <w:right w:val="none" w:sz="0" w:space="0" w:color="auto"/>
          </w:divBdr>
        </w:div>
        <w:div w:id="2052538228">
          <w:marLeft w:val="0"/>
          <w:marRight w:val="0"/>
          <w:marTop w:val="0"/>
          <w:marBottom w:val="0"/>
          <w:divBdr>
            <w:top w:val="none" w:sz="0" w:space="0" w:color="auto"/>
            <w:left w:val="none" w:sz="0" w:space="0" w:color="auto"/>
            <w:bottom w:val="none" w:sz="0" w:space="0" w:color="auto"/>
            <w:right w:val="none" w:sz="0" w:space="0" w:color="auto"/>
          </w:divBdr>
        </w:div>
        <w:div w:id="1633317614">
          <w:marLeft w:val="0"/>
          <w:marRight w:val="0"/>
          <w:marTop w:val="0"/>
          <w:marBottom w:val="0"/>
          <w:divBdr>
            <w:top w:val="none" w:sz="0" w:space="0" w:color="auto"/>
            <w:left w:val="none" w:sz="0" w:space="0" w:color="auto"/>
            <w:bottom w:val="none" w:sz="0" w:space="0" w:color="auto"/>
            <w:right w:val="none" w:sz="0" w:space="0" w:color="auto"/>
          </w:divBdr>
        </w:div>
        <w:div w:id="1205218467">
          <w:marLeft w:val="0"/>
          <w:marRight w:val="0"/>
          <w:marTop w:val="0"/>
          <w:marBottom w:val="0"/>
          <w:divBdr>
            <w:top w:val="none" w:sz="0" w:space="0" w:color="auto"/>
            <w:left w:val="none" w:sz="0" w:space="0" w:color="auto"/>
            <w:bottom w:val="none" w:sz="0" w:space="0" w:color="auto"/>
            <w:right w:val="none" w:sz="0" w:space="0" w:color="auto"/>
          </w:divBdr>
        </w:div>
        <w:div w:id="208567262">
          <w:marLeft w:val="0"/>
          <w:marRight w:val="0"/>
          <w:marTop w:val="0"/>
          <w:marBottom w:val="0"/>
          <w:divBdr>
            <w:top w:val="none" w:sz="0" w:space="0" w:color="auto"/>
            <w:left w:val="none" w:sz="0" w:space="0" w:color="auto"/>
            <w:bottom w:val="none" w:sz="0" w:space="0" w:color="auto"/>
            <w:right w:val="none" w:sz="0" w:space="0" w:color="auto"/>
          </w:divBdr>
        </w:div>
        <w:div w:id="735200363">
          <w:marLeft w:val="0"/>
          <w:marRight w:val="0"/>
          <w:marTop w:val="0"/>
          <w:marBottom w:val="0"/>
          <w:divBdr>
            <w:top w:val="none" w:sz="0" w:space="0" w:color="auto"/>
            <w:left w:val="none" w:sz="0" w:space="0" w:color="auto"/>
            <w:bottom w:val="none" w:sz="0" w:space="0" w:color="auto"/>
            <w:right w:val="none" w:sz="0" w:space="0" w:color="auto"/>
          </w:divBdr>
        </w:div>
        <w:div w:id="1558737154">
          <w:marLeft w:val="0"/>
          <w:marRight w:val="0"/>
          <w:marTop w:val="0"/>
          <w:marBottom w:val="0"/>
          <w:divBdr>
            <w:top w:val="none" w:sz="0" w:space="0" w:color="auto"/>
            <w:left w:val="none" w:sz="0" w:space="0" w:color="auto"/>
            <w:bottom w:val="none" w:sz="0" w:space="0" w:color="auto"/>
            <w:right w:val="none" w:sz="0" w:space="0" w:color="auto"/>
          </w:divBdr>
        </w:div>
        <w:div w:id="244651899">
          <w:marLeft w:val="0"/>
          <w:marRight w:val="0"/>
          <w:marTop w:val="0"/>
          <w:marBottom w:val="0"/>
          <w:divBdr>
            <w:top w:val="none" w:sz="0" w:space="0" w:color="auto"/>
            <w:left w:val="none" w:sz="0" w:space="0" w:color="auto"/>
            <w:bottom w:val="none" w:sz="0" w:space="0" w:color="auto"/>
            <w:right w:val="none" w:sz="0" w:space="0" w:color="auto"/>
          </w:divBdr>
        </w:div>
      </w:divsChild>
    </w:div>
    <w:div w:id="1539900885">
      <w:bodyDiv w:val="1"/>
      <w:marLeft w:val="0"/>
      <w:marRight w:val="0"/>
      <w:marTop w:val="0"/>
      <w:marBottom w:val="0"/>
      <w:divBdr>
        <w:top w:val="none" w:sz="0" w:space="0" w:color="auto"/>
        <w:left w:val="none" w:sz="0" w:space="0" w:color="auto"/>
        <w:bottom w:val="none" w:sz="0" w:space="0" w:color="auto"/>
        <w:right w:val="none" w:sz="0" w:space="0" w:color="auto"/>
      </w:divBdr>
    </w:div>
    <w:div w:id="1547180255">
      <w:bodyDiv w:val="1"/>
      <w:marLeft w:val="0"/>
      <w:marRight w:val="0"/>
      <w:marTop w:val="0"/>
      <w:marBottom w:val="0"/>
      <w:divBdr>
        <w:top w:val="none" w:sz="0" w:space="0" w:color="auto"/>
        <w:left w:val="none" w:sz="0" w:space="0" w:color="auto"/>
        <w:bottom w:val="none" w:sz="0" w:space="0" w:color="auto"/>
        <w:right w:val="none" w:sz="0" w:space="0" w:color="auto"/>
      </w:divBdr>
      <w:divsChild>
        <w:div w:id="194584731">
          <w:marLeft w:val="0"/>
          <w:marRight w:val="0"/>
          <w:marTop w:val="0"/>
          <w:marBottom w:val="0"/>
          <w:divBdr>
            <w:top w:val="none" w:sz="0" w:space="0" w:color="auto"/>
            <w:left w:val="none" w:sz="0" w:space="0" w:color="auto"/>
            <w:bottom w:val="none" w:sz="0" w:space="0" w:color="auto"/>
            <w:right w:val="none" w:sz="0" w:space="0" w:color="auto"/>
          </w:divBdr>
        </w:div>
        <w:div w:id="1695495191">
          <w:marLeft w:val="0"/>
          <w:marRight w:val="0"/>
          <w:marTop w:val="0"/>
          <w:marBottom w:val="0"/>
          <w:divBdr>
            <w:top w:val="none" w:sz="0" w:space="0" w:color="auto"/>
            <w:left w:val="none" w:sz="0" w:space="0" w:color="auto"/>
            <w:bottom w:val="none" w:sz="0" w:space="0" w:color="auto"/>
            <w:right w:val="none" w:sz="0" w:space="0" w:color="auto"/>
          </w:divBdr>
        </w:div>
        <w:div w:id="1896237612">
          <w:marLeft w:val="0"/>
          <w:marRight w:val="0"/>
          <w:marTop w:val="0"/>
          <w:marBottom w:val="0"/>
          <w:divBdr>
            <w:top w:val="none" w:sz="0" w:space="0" w:color="auto"/>
            <w:left w:val="none" w:sz="0" w:space="0" w:color="auto"/>
            <w:bottom w:val="none" w:sz="0" w:space="0" w:color="auto"/>
            <w:right w:val="none" w:sz="0" w:space="0" w:color="auto"/>
          </w:divBdr>
        </w:div>
        <w:div w:id="635109982">
          <w:marLeft w:val="0"/>
          <w:marRight w:val="0"/>
          <w:marTop w:val="0"/>
          <w:marBottom w:val="0"/>
          <w:divBdr>
            <w:top w:val="none" w:sz="0" w:space="0" w:color="auto"/>
            <w:left w:val="none" w:sz="0" w:space="0" w:color="auto"/>
            <w:bottom w:val="none" w:sz="0" w:space="0" w:color="auto"/>
            <w:right w:val="none" w:sz="0" w:space="0" w:color="auto"/>
          </w:divBdr>
        </w:div>
        <w:div w:id="1684740987">
          <w:marLeft w:val="0"/>
          <w:marRight w:val="0"/>
          <w:marTop w:val="0"/>
          <w:marBottom w:val="0"/>
          <w:divBdr>
            <w:top w:val="none" w:sz="0" w:space="0" w:color="auto"/>
            <w:left w:val="none" w:sz="0" w:space="0" w:color="auto"/>
            <w:bottom w:val="none" w:sz="0" w:space="0" w:color="auto"/>
            <w:right w:val="none" w:sz="0" w:space="0" w:color="auto"/>
          </w:divBdr>
        </w:div>
      </w:divsChild>
    </w:div>
    <w:div w:id="1557006084">
      <w:bodyDiv w:val="1"/>
      <w:marLeft w:val="0"/>
      <w:marRight w:val="0"/>
      <w:marTop w:val="0"/>
      <w:marBottom w:val="0"/>
      <w:divBdr>
        <w:top w:val="none" w:sz="0" w:space="0" w:color="auto"/>
        <w:left w:val="none" w:sz="0" w:space="0" w:color="auto"/>
        <w:bottom w:val="none" w:sz="0" w:space="0" w:color="auto"/>
        <w:right w:val="none" w:sz="0" w:space="0" w:color="auto"/>
      </w:divBdr>
    </w:div>
    <w:div w:id="1589390142">
      <w:bodyDiv w:val="1"/>
      <w:marLeft w:val="0"/>
      <w:marRight w:val="0"/>
      <w:marTop w:val="0"/>
      <w:marBottom w:val="0"/>
      <w:divBdr>
        <w:top w:val="none" w:sz="0" w:space="0" w:color="auto"/>
        <w:left w:val="none" w:sz="0" w:space="0" w:color="auto"/>
        <w:bottom w:val="none" w:sz="0" w:space="0" w:color="auto"/>
        <w:right w:val="none" w:sz="0" w:space="0" w:color="auto"/>
      </w:divBdr>
      <w:divsChild>
        <w:div w:id="219899963">
          <w:marLeft w:val="0"/>
          <w:marRight w:val="0"/>
          <w:marTop w:val="0"/>
          <w:marBottom w:val="0"/>
          <w:divBdr>
            <w:top w:val="none" w:sz="0" w:space="0" w:color="auto"/>
            <w:left w:val="none" w:sz="0" w:space="0" w:color="auto"/>
            <w:bottom w:val="none" w:sz="0" w:space="0" w:color="auto"/>
            <w:right w:val="none" w:sz="0" w:space="0" w:color="auto"/>
          </w:divBdr>
        </w:div>
        <w:div w:id="1119836219">
          <w:marLeft w:val="0"/>
          <w:marRight w:val="0"/>
          <w:marTop w:val="0"/>
          <w:marBottom w:val="0"/>
          <w:divBdr>
            <w:top w:val="none" w:sz="0" w:space="0" w:color="auto"/>
            <w:left w:val="none" w:sz="0" w:space="0" w:color="auto"/>
            <w:bottom w:val="none" w:sz="0" w:space="0" w:color="auto"/>
            <w:right w:val="none" w:sz="0" w:space="0" w:color="auto"/>
          </w:divBdr>
        </w:div>
        <w:div w:id="114837073">
          <w:marLeft w:val="0"/>
          <w:marRight w:val="0"/>
          <w:marTop w:val="0"/>
          <w:marBottom w:val="0"/>
          <w:divBdr>
            <w:top w:val="none" w:sz="0" w:space="0" w:color="auto"/>
            <w:left w:val="none" w:sz="0" w:space="0" w:color="auto"/>
            <w:bottom w:val="none" w:sz="0" w:space="0" w:color="auto"/>
            <w:right w:val="none" w:sz="0" w:space="0" w:color="auto"/>
          </w:divBdr>
          <w:divsChild>
            <w:div w:id="55666370">
              <w:marLeft w:val="0"/>
              <w:marRight w:val="0"/>
              <w:marTop w:val="0"/>
              <w:marBottom w:val="0"/>
              <w:divBdr>
                <w:top w:val="none" w:sz="0" w:space="0" w:color="auto"/>
                <w:left w:val="none" w:sz="0" w:space="0" w:color="auto"/>
                <w:bottom w:val="none" w:sz="0" w:space="0" w:color="auto"/>
                <w:right w:val="none" w:sz="0" w:space="0" w:color="auto"/>
              </w:divBdr>
            </w:div>
            <w:div w:id="1357847641">
              <w:marLeft w:val="0"/>
              <w:marRight w:val="0"/>
              <w:marTop w:val="0"/>
              <w:marBottom w:val="0"/>
              <w:divBdr>
                <w:top w:val="none" w:sz="0" w:space="0" w:color="auto"/>
                <w:left w:val="none" w:sz="0" w:space="0" w:color="auto"/>
                <w:bottom w:val="none" w:sz="0" w:space="0" w:color="auto"/>
                <w:right w:val="none" w:sz="0" w:space="0" w:color="auto"/>
              </w:divBdr>
            </w:div>
          </w:divsChild>
        </w:div>
        <w:div w:id="566184346">
          <w:marLeft w:val="0"/>
          <w:marRight w:val="0"/>
          <w:marTop w:val="0"/>
          <w:marBottom w:val="0"/>
          <w:divBdr>
            <w:top w:val="none" w:sz="0" w:space="0" w:color="auto"/>
            <w:left w:val="none" w:sz="0" w:space="0" w:color="auto"/>
            <w:bottom w:val="none" w:sz="0" w:space="0" w:color="auto"/>
            <w:right w:val="none" w:sz="0" w:space="0" w:color="auto"/>
          </w:divBdr>
        </w:div>
        <w:div w:id="1100640834">
          <w:marLeft w:val="0"/>
          <w:marRight w:val="0"/>
          <w:marTop w:val="0"/>
          <w:marBottom w:val="0"/>
          <w:divBdr>
            <w:top w:val="none" w:sz="0" w:space="0" w:color="auto"/>
            <w:left w:val="none" w:sz="0" w:space="0" w:color="auto"/>
            <w:bottom w:val="none" w:sz="0" w:space="0" w:color="auto"/>
            <w:right w:val="none" w:sz="0" w:space="0" w:color="auto"/>
          </w:divBdr>
        </w:div>
        <w:div w:id="1922718093">
          <w:marLeft w:val="0"/>
          <w:marRight w:val="0"/>
          <w:marTop w:val="0"/>
          <w:marBottom w:val="0"/>
          <w:divBdr>
            <w:top w:val="none" w:sz="0" w:space="0" w:color="auto"/>
            <w:left w:val="none" w:sz="0" w:space="0" w:color="auto"/>
            <w:bottom w:val="none" w:sz="0" w:space="0" w:color="auto"/>
            <w:right w:val="none" w:sz="0" w:space="0" w:color="auto"/>
          </w:divBdr>
        </w:div>
        <w:div w:id="318272781">
          <w:marLeft w:val="0"/>
          <w:marRight w:val="0"/>
          <w:marTop w:val="0"/>
          <w:marBottom w:val="0"/>
          <w:divBdr>
            <w:top w:val="none" w:sz="0" w:space="0" w:color="auto"/>
            <w:left w:val="none" w:sz="0" w:space="0" w:color="auto"/>
            <w:bottom w:val="none" w:sz="0" w:space="0" w:color="auto"/>
            <w:right w:val="none" w:sz="0" w:space="0" w:color="auto"/>
          </w:divBdr>
        </w:div>
        <w:div w:id="618148208">
          <w:marLeft w:val="0"/>
          <w:marRight w:val="0"/>
          <w:marTop w:val="0"/>
          <w:marBottom w:val="0"/>
          <w:divBdr>
            <w:top w:val="none" w:sz="0" w:space="0" w:color="auto"/>
            <w:left w:val="none" w:sz="0" w:space="0" w:color="auto"/>
            <w:bottom w:val="none" w:sz="0" w:space="0" w:color="auto"/>
            <w:right w:val="none" w:sz="0" w:space="0" w:color="auto"/>
          </w:divBdr>
        </w:div>
        <w:div w:id="575478589">
          <w:marLeft w:val="0"/>
          <w:marRight w:val="0"/>
          <w:marTop w:val="0"/>
          <w:marBottom w:val="0"/>
          <w:divBdr>
            <w:top w:val="none" w:sz="0" w:space="0" w:color="auto"/>
            <w:left w:val="none" w:sz="0" w:space="0" w:color="auto"/>
            <w:bottom w:val="none" w:sz="0" w:space="0" w:color="auto"/>
            <w:right w:val="none" w:sz="0" w:space="0" w:color="auto"/>
          </w:divBdr>
        </w:div>
        <w:div w:id="1901331338">
          <w:marLeft w:val="0"/>
          <w:marRight w:val="0"/>
          <w:marTop w:val="0"/>
          <w:marBottom w:val="0"/>
          <w:divBdr>
            <w:top w:val="none" w:sz="0" w:space="0" w:color="auto"/>
            <w:left w:val="none" w:sz="0" w:space="0" w:color="auto"/>
            <w:bottom w:val="none" w:sz="0" w:space="0" w:color="auto"/>
            <w:right w:val="none" w:sz="0" w:space="0" w:color="auto"/>
          </w:divBdr>
        </w:div>
        <w:div w:id="1545485191">
          <w:marLeft w:val="0"/>
          <w:marRight w:val="0"/>
          <w:marTop w:val="0"/>
          <w:marBottom w:val="0"/>
          <w:divBdr>
            <w:top w:val="none" w:sz="0" w:space="0" w:color="auto"/>
            <w:left w:val="none" w:sz="0" w:space="0" w:color="auto"/>
            <w:bottom w:val="none" w:sz="0" w:space="0" w:color="auto"/>
            <w:right w:val="none" w:sz="0" w:space="0" w:color="auto"/>
          </w:divBdr>
        </w:div>
        <w:div w:id="1135676779">
          <w:marLeft w:val="0"/>
          <w:marRight w:val="0"/>
          <w:marTop w:val="0"/>
          <w:marBottom w:val="0"/>
          <w:divBdr>
            <w:top w:val="none" w:sz="0" w:space="0" w:color="auto"/>
            <w:left w:val="none" w:sz="0" w:space="0" w:color="auto"/>
            <w:bottom w:val="none" w:sz="0" w:space="0" w:color="auto"/>
            <w:right w:val="none" w:sz="0" w:space="0" w:color="auto"/>
          </w:divBdr>
        </w:div>
      </w:divsChild>
    </w:div>
    <w:div w:id="1602492446">
      <w:bodyDiv w:val="1"/>
      <w:marLeft w:val="0"/>
      <w:marRight w:val="0"/>
      <w:marTop w:val="0"/>
      <w:marBottom w:val="0"/>
      <w:divBdr>
        <w:top w:val="none" w:sz="0" w:space="0" w:color="auto"/>
        <w:left w:val="none" w:sz="0" w:space="0" w:color="auto"/>
        <w:bottom w:val="none" w:sz="0" w:space="0" w:color="auto"/>
        <w:right w:val="none" w:sz="0" w:space="0" w:color="auto"/>
      </w:divBdr>
    </w:div>
    <w:div w:id="1616711358">
      <w:bodyDiv w:val="1"/>
      <w:marLeft w:val="0"/>
      <w:marRight w:val="0"/>
      <w:marTop w:val="0"/>
      <w:marBottom w:val="0"/>
      <w:divBdr>
        <w:top w:val="none" w:sz="0" w:space="0" w:color="auto"/>
        <w:left w:val="none" w:sz="0" w:space="0" w:color="auto"/>
        <w:bottom w:val="none" w:sz="0" w:space="0" w:color="auto"/>
        <w:right w:val="none" w:sz="0" w:space="0" w:color="auto"/>
      </w:divBdr>
      <w:divsChild>
        <w:div w:id="806163912">
          <w:marLeft w:val="0"/>
          <w:marRight w:val="0"/>
          <w:marTop w:val="0"/>
          <w:marBottom w:val="0"/>
          <w:divBdr>
            <w:top w:val="none" w:sz="0" w:space="0" w:color="auto"/>
            <w:left w:val="none" w:sz="0" w:space="0" w:color="auto"/>
            <w:bottom w:val="none" w:sz="0" w:space="0" w:color="auto"/>
            <w:right w:val="none" w:sz="0" w:space="0" w:color="auto"/>
          </w:divBdr>
        </w:div>
        <w:div w:id="871770075">
          <w:marLeft w:val="0"/>
          <w:marRight w:val="0"/>
          <w:marTop w:val="0"/>
          <w:marBottom w:val="0"/>
          <w:divBdr>
            <w:top w:val="none" w:sz="0" w:space="0" w:color="auto"/>
            <w:left w:val="none" w:sz="0" w:space="0" w:color="auto"/>
            <w:bottom w:val="none" w:sz="0" w:space="0" w:color="auto"/>
            <w:right w:val="none" w:sz="0" w:space="0" w:color="auto"/>
          </w:divBdr>
        </w:div>
        <w:div w:id="369494774">
          <w:marLeft w:val="0"/>
          <w:marRight w:val="0"/>
          <w:marTop w:val="0"/>
          <w:marBottom w:val="0"/>
          <w:divBdr>
            <w:top w:val="none" w:sz="0" w:space="0" w:color="auto"/>
            <w:left w:val="none" w:sz="0" w:space="0" w:color="auto"/>
            <w:bottom w:val="none" w:sz="0" w:space="0" w:color="auto"/>
            <w:right w:val="none" w:sz="0" w:space="0" w:color="auto"/>
          </w:divBdr>
        </w:div>
        <w:div w:id="2004510488">
          <w:marLeft w:val="0"/>
          <w:marRight w:val="0"/>
          <w:marTop w:val="0"/>
          <w:marBottom w:val="0"/>
          <w:divBdr>
            <w:top w:val="none" w:sz="0" w:space="0" w:color="auto"/>
            <w:left w:val="none" w:sz="0" w:space="0" w:color="auto"/>
            <w:bottom w:val="none" w:sz="0" w:space="0" w:color="auto"/>
            <w:right w:val="none" w:sz="0" w:space="0" w:color="auto"/>
          </w:divBdr>
        </w:div>
        <w:div w:id="753743819">
          <w:marLeft w:val="0"/>
          <w:marRight w:val="0"/>
          <w:marTop w:val="0"/>
          <w:marBottom w:val="0"/>
          <w:divBdr>
            <w:top w:val="none" w:sz="0" w:space="0" w:color="auto"/>
            <w:left w:val="none" w:sz="0" w:space="0" w:color="auto"/>
            <w:bottom w:val="none" w:sz="0" w:space="0" w:color="auto"/>
            <w:right w:val="none" w:sz="0" w:space="0" w:color="auto"/>
          </w:divBdr>
        </w:div>
        <w:div w:id="2059891292">
          <w:marLeft w:val="0"/>
          <w:marRight w:val="0"/>
          <w:marTop w:val="0"/>
          <w:marBottom w:val="0"/>
          <w:divBdr>
            <w:top w:val="none" w:sz="0" w:space="0" w:color="auto"/>
            <w:left w:val="none" w:sz="0" w:space="0" w:color="auto"/>
            <w:bottom w:val="none" w:sz="0" w:space="0" w:color="auto"/>
            <w:right w:val="none" w:sz="0" w:space="0" w:color="auto"/>
          </w:divBdr>
        </w:div>
        <w:div w:id="1433158971">
          <w:marLeft w:val="0"/>
          <w:marRight w:val="0"/>
          <w:marTop w:val="0"/>
          <w:marBottom w:val="0"/>
          <w:divBdr>
            <w:top w:val="none" w:sz="0" w:space="0" w:color="auto"/>
            <w:left w:val="none" w:sz="0" w:space="0" w:color="auto"/>
            <w:bottom w:val="none" w:sz="0" w:space="0" w:color="auto"/>
            <w:right w:val="none" w:sz="0" w:space="0" w:color="auto"/>
          </w:divBdr>
        </w:div>
        <w:div w:id="2141680558">
          <w:marLeft w:val="0"/>
          <w:marRight w:val="0"/>
          <w:marTop w:val="0"/>
          <w:marBottom w:val="0"/>
          <w:divBdr>
            <w:top w:val="none" w:sz="0" w:space="0" w:color="auto"/>
            <w:left w:val="none" w:sz="0" w:space="0" w:color="auto"/>
            <w:bottom w:val="none" w:sz="0" w:space="0" w:color="auto"/>
            <w:right w:val="none" w:sz="0" w:space="0" w:color="auto"/>
          </w:divBdr>
        </w:div>
        <w:div w:id="351686762">
          <w:marLeft w:val="0"/>
          <w:marRight w:val="0"/>
          <w:marTop w:val="0"/>
          <w:marBottom w:val="0"/>
          <w:divBdr>
            <w:top w:val="none" w:sz="0" w:space="0" w:color="auto"/>
            <w:left w:val="none" w:sz="0" w:space="0" w:color="auto"/>
            <w:bottom w:val="none" w:sz="0" w:space="0" w:color="auto"/>
            <w:right w:val="none" w:sz="0" w:space="0" w:color="auto"/>
          </w:divBdr>
        </w:div>
        <w:div w:id="234898226">
          <w:marLeft w:val="0"/>
          <w:marRight w:val="0"/>
          <w:marTop w:val="0"/>
          <w:marBottom w:val="0"/>
          <w:divBdr>
            <w:top w:val="none" w:sz="0" w:space="0" w:color="auto"/>
            <w:left w:val="none" w:sz="0" w:space="0" w:color="auto"/>
            <w:bottom w:val="none" w:sz="0" w:space="0" w:color="auto"/>
            <w:right w:val="none" w:sz="0" w:space="0" w:color="auto"/>
          </w:divBdr>
        </w:div>
        <w:div w:id="1647122845">
          <w:marLeft w:val="0"/>
          <w:marRight w:val="0"/>
          <w:marTop w:val="0"/>
          <w:marBottom w:val="0"/>
          <w:divBdr>
            <w:top w:val="none" w:sz="0" w:space="0" w:color="auto"/>
            <w:left w:val="none" w:sz="0" w:space="0" w:color="auto"/>
            <w:bottom w:val="none" w:sz="0" w:space="0" w:color="auto"/>
            <w:right w:val="none" w:sz="0" w:space="0" w:color="auto"/>
          </w:divBdr>
        </w:div>
        <w:div w:id="760561631">
          <w:marLeft w:val="0"/>
          <w:marRight w:val="0"/>
          <w:marTop w:val="0"/>
          <w:marBottom w:val="0"/>
          <w:divBdr>
            <w:top w:val="none" w:sz="0" w:space="0" w:color="auto"/>
            <w:left w:val="none" w:sz="0" w:space="0" w:color="auto"/>
            <w:bottom w:val="none" w:sz="0" w:space="0" w:color="auto"/>
            <w:right w:val="none" w:sz="0" w:space="0" w:color="auto"/>
          </w:divBdr>
        </w:div>
        <w:div w:id="1843659735">
          <w:marLeft w:val="0"/>
          <w:marRight w:val="0"/>
          <w:marTop w:val="0"/>
          <w:marBottom w:val="0"/>
          <w:divBdr>
            <w:top w:val="none" w:sz="0" w:space="0" w:color="auto"/>
            <w:left w:val="none" w:sz="0" w:space="0" w:color="auto"/>
            <w:bottom w:val="none" w:sz="0" w:space="0" w:color="auto"/>
            <w:right w:val="none" w:sz="0" w:space="0" w:color="auto"/>
          </w:divBdr>
        </w:div>
      </w:divsChild>
    </w:div>
    <w:div w:id="1627202735">
      <w:bodyDiv w:val="1"/>
      <w:marLeft w:val="0"/>
      <w:marRight w:val="0"/>
      <w:marTop w:val="0"/>
      <w:marBottom w:val="0"/>
      <w:divBdr>
        <w:top w:val="none" w:sz="0" w:space="0" w:color="auto"/>
        <w:left w:val="none" w:sz="0" w:space="0" w:color="auto"/>
        <w:bottom w:val="none" w:sz="0" w:space="0" w:color="auto"/>
        <w:right w:val="none" w:sz="0" w:space="0" w:color="auto"/>
      </w:divBdr>
    </w:div>
    <w:div w:id="1644122542">
      <w:bodyDiv w:val="1"/>
      <w:marLeft w:val="0"/>
      <w:marRight w:val="0"/>
      <w:marTop w:val="0"/>
      <w:marBottom w:val="0"/>
      <w:divBdr>
        <w:top w:val="none" w:sz="0" w:space="0" w:color="auto"/>
        <w:left w:val="none" w:sz="0" w:space="0" w:color="auto"/>
        <w:bottom w:val="none" w:sz="0" w:space="0" w:color="auto"/>
        <w:right w:val="none" w:sz="0" w:space="0" w:color="auto"/>
      </w:divBdr>
      <w:divsChild>
        <w:div w:id="275904">
          <w:marLeft w:val="0"/>
          <w:marRight w:val="0"/>
          <w:marTop w:val="0"/>
          <w:marBottom w:val="0"/>
          <w:divBdr>
            <w:top w:val="none" w:sz="0" w:space="0" w:color="auto"/>
            <w:left w:val="none" w:sz="0" w:space="0" w:color="auto"/>
            <w:bottom w:val="none" w:sz="0" w:space="0" w:color="auto"/>
            <w:right w:val="none" w:sz="0" w:space="0" w:color="auto"/>
          </w:divBdr>
        </w:div>
        <w:div w:id="367028117">
          <w:marLeft w:val="0"/>
          <w:marRight w:val="0"/>
          <w:marTop w:val="0"/>
          <w:marBottom w:val="0"/>
          <w:divBdr>
            <w:top w:val="none" w:sz="0" w:space="0" w:color="auto"/>
            <w:left w:val="none" w:sz="0" w:space="0" w:color="auto"/>
            <w:bottom w:val="none" w:sz="0" w:space="0" w:color="auto"/>
            <w:right w:val="none" w:sz="0" w:space="0" w:color="auto"/>
          </w:divBdr>
        </w:div>
      </w:divsChild>
    </w:div>
    <w:div w:id="1653828482">
      <w:bodyDiv w:val="1"/>
      <w:marLeft w:val="0"/>
      <w:marRight w:val="0"/>
      <w:marTop w:val="0"/>
      <w:marBottom w:val="0"/>
      <w:divBdr>
        <w:top w:val="none" w:sz="0" w:space="0" w:color="auto"/>
        <w:left w:val="none" w:sz="0" w:space="0" w:color="auto"/>
        <w:bottom w:val="none" w:sz="0" w:space="0" w:color="auto"/>
        <w:right w:val="none" w:sz="0" w:space="0" w:color="auto"/>
      </w:divBdr>
      <w:divsChild>
        <w:div w:id="583340049">
          <w:marLeft w:val="0"/>
          <w:marRight w:val="0"/>
          <w:marTop w:val="0"/>
          <w:marBottom w:val="0"/>
          <w:divBdr>
            <w:top w:val="none" w:sz="0" w:space="0" w:color="auto"/>
            <w:left w:val="none" w:sz="0" w:space="0" w:color="auto"/>
            <w:bottom w:val="none" w:sz="0" w:space="0" w:color="auto"/>
            <w:right w:val="none" w:sz="0" w:space="0" w:color="auto"/>
          </w:divBdr>
          <w:divsChild>
            <w:div w:id="2111047008">
              <w:marLeft w:val="0"/>
              <w:marRight w:val="0"/>
              <w:marTop w:val="0"/>
              <w:marBottom w:val="0"/>
              <w:divBdr>
                <w:top w:val="none" w:sz="0" w:space="0" w:color="auto"/>
                <w:left w:val="none" w:sz="0" w:space="0" w:color="auto"/>
                <w:bottom w:val="none" w:sz="0" w:space="0" w:color="auto"/>
                <w:right w:val="none" w:sz="0" w:space="0" w:color="auto"/>
              </w:divBdr>
            </w:div>
            <w:div w:id="921718516">
              <w:marLeft w:val="0"/>
              <w:marRight w:val="0"/>
              <w:marTop w:val="0"/>
              <w:marBottom w:val="0"/>
              <w:divBdr>
                <w:top w:val="none" w:sz="0" w:space="0" w:color="auto"/>
                <w:left w:val="none" w:sz="0" w:space="0" w:color="auto"/>
                <w:bottom w:val="none" w:sz="0" w:space="0" w:color="auto"/>
                <w:right w:val="none" w:sz="0" w:space="0" w:color="auto"/>
              </w:divBdr>
            </w:div>
            <w:div w:id="205881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567982">
      <w:bodyDiv w:val="1"/>
      <w:marLeft w:val="0"/>
      <w:marRight w:val="0"/>
      <w:marTop w:val="0"/>
      <w:marBottom w:val="0"/>
      <w:divBdr>
        <w:top w:val="none" w:sz="0" w:space="0" w:color="auto"/>
        <w:left w:val="none" w:sz="0" w:space="0" w:color="auto"/>
        <w:bottom w:val="none" w:sz="0" w:space="0" w:color="auto"/>
        <w:right w:val="none" w:sz="0" w:space="0" w:color="auto"/>
      </w:divBdr>
      <w:divsChild>
        <w:div w:id="513887583">
          <w:marLeft w:val="0"/>
          <w:marRight w:val="0"/>
          <w:marTop w:val="0"/>
          <w:marBottom w:val="0"/>
          <w:divBdr>
            <w:top w:val="none" w:sz="0" w:space="0" w:color="auto"/>
            <w:left w:val="none" w:sz="0" w:space="0" w:color="auto"/>
            <w:bottom w:val="none" w:sz="0" w:space="0" w:color="auto"/>
            <w:right w:val="none" w:sz="0" w:space="0" w:color="auto"/>
          </w:divBdr>
        </w:div>
      </w:divsChild>
    </w:div>
    <w:div w:id="1659992767">
      <w:bodyDiv w:val="1"/>
      <w:marLeft w:val="0"/>
      <w:marRight w:val="0"/>
      <w:marTop w:val="0"/>
      <w:marBottom w:val="0"/>
      <w:divBdr>
        <w:top w:val="none" w:sz="0" w:space="0" w:color="auto"/>
        <w:left w:val="none" w:sz="0" w:space="0" w:color="auto"/>
        <w:bottom w:val="none" w:sz="0" w:space="0" w:color="auto"/>
        <w:right w:val="none" w:sz="0" w:space="0" w:color="auto"/>
      </w:divBdr>
      <w:divsChild>
        <w:div w:id="1451513791">
          <w:marLeft w:val="0"/>
          <w:marRight w:val="0"/>
          <w:marTop w:val="0"/>
          <w:marBottom w:val="0"/>
          <w:divBdr>
            <w:top w:val="none" w:sz="0" w:space="0" w:color="auto"/>
            <w:left w:val="none" w:sz="0" w:space="0" w:color="auto"/>
            <w:bottom w:val="none" w:sz="0" w:space="0" w:color="auto"/>
            <w:right w:val="none" w:sz="0" w:space="0" w:color="auto"/>
          </w:divBdr>
        </w:div>
        <w:div w:id="1724671406">
          <w:marLeft w:val="0"/>
          <w:marRight w:val="0"/>
          <w:marTop w:val="0"/>
          <w:marBottom w:val="0"/>
          <w:divBdr>
            <w:top w:val="none" w:sz="0" w:space="0" w:color="auto"/>
            <w:left w:val="none" w:sz="0" w:space="0" w:color="auto"/>
            <w:bottom w:val="none" w:sz="0" w:space="0" w:color="auto"/>
            <w:right w:val="none" w:sz="0" w:space="0" w:color="auto"/>
          </w:divBdr>
        </w:div>
        <w:div w:id="1518813521">
          <w:marLeft w:val="0"/>
          <w:marRight w:val="0"/>
          <w:marTop w:val="0"/>
          <w:marBottom w:val="0"/>
          <w:divBdr>
            <w:top w:val="none" w:sz="0" w:space="0" w:color="auto"/>
            <w:left w:val="none" w:sz="0" w:space="0" w:color="auto"/>
            <w:bottom w:val="none" w:sz="0" w:space="0" w:color="auto"/>
            <w:right w:val="none" w:sz="0" w:space="0" w:color="auto"/>
          </w:divBdr>
        </w:div>
      </w:divsChild>
    </w:div>
    <w:div w:id="1660040411">
      <w:bodyDiv w:val="1"/>
      <w:marLeft w:val="0"/>
      <w:marRight w:val="0"/>
      <w:marTop w:val="0"/>
      <w:marBottom w:val="0"/>
      <w:divBdr>
        <w:top w:val="none" w:sz="0" w:space="0" w:color="auto"/>
        <w:left w:val="none" w:sz="0" w:space="0" w:color="auto"/>
        <w:bottom w:val="none" w:sz="0" w:space="0" w:color="auto"/>
        <w:right w:val="none" w:sz="0" w:space="0" w:color="auto"/>
      </w:divBdr>
      <w:divsChild>
        <w:div w:id="1557932248">
          <w:marLeft w:val="0"/>
          <w:marRight w:val="0"/>
          <w:marTop w:val="0"/>
          <w:marBottom w:val="0"/>
          <w:divBdr>
            <w:top w:val="none" w:sz="0" w:space="0" w:color="auto"/>
            <w:left w:val="none" w:sz="0" w:space="0" w:color="auto"/>
            <w:bottom w:val="none" w:sz="0" w:space="0" w:color="auto"/>
            <w:right w:val="none" w:sz="0" w:space="0" w:color="auto"/>
          </w:divBdr>
        </w:div>
        <w:div w:id="192113853">
          <w:marLeft w:val="0"/>
          <w:marRight w:val="0"/>
          <w:marTop w:val="0"/>
          <w:marBottom w:val="0"/>
          <w:divBdr>
            <w:top w:val="none" w:sz="0" w:space="0" w:color="auto"/>
            <w:left w:val="none" w:sz="0" w:space="0" w:color="auto"/>
            <w:bottom w:val="none" w:sz="0" w:space="0" w:color="auto"/>
            <w:right w:val="none" w:sz="0" w:space="0" w:color="auto"/>
          </w:divBdr>
        </w:div>
        <w:div w:id="1087188934">
          <w:marLeft w:val="0"/>
          <w:marRight w:val="0"/>
          <w:marTop w:val="0"/>
          <w:marBottom w:val="0"/>
          <w:divBdr>
            <w:top w:val="none" w:sz="0" w:space="0" w:color="auto"/>
            <w:left w:val="none" w:sz="0" w:space="0" w:color="auto"/>
            <w:bottom w:val="none" w:sz="0" w:space="0" w:color="auto"/>
            <w:right w:val="none" w:sz="0" w:space="0" w:color="auto"/>
          </w:divBdr>
        </w:div>
      </w:divsChild>
    </w:div>
    <w:div w:id="1690642543">
      <w:bodyDiv w:val="1"/>
      <w:marLeft w:val="0"/>
      <w:marRight w:val="0"/>
      <w:marTop w:val="0"/>
      <w:marBottom w:val="0"/>
      <w:divBdr>
        <w:top w:val="none" w:sz="0" w:space="0" w:color="auto"/>
        <w:left w:val="none" w:sz="0" w:space="0" w:color="auto"/>
        <w:bottom w:val="none" w:sz="0" w:space="0" w:color="auto"/>
        <w:right w:val="none" w:sz="0" w:space="0" w:color="auto"/>
      </w:divBdr>
      <w:divsChild>
        <w:div w:id="1647976551">
          <w:marLeft w:val="0"/>
          <w:marRight w:val="0"/>
          <w:marTop w:val="0"/>
          <w:marBottom w:val="0"/>
          <w:divBdr>
            <w:top w:val="none" w:sz="0" w:space="0" w:color="auto"/>
            <w:left w:val="none" w:sz="0" w:space="0" w:color="auto"/>
            <w:bottom w:val="none" w:sz="0" w:space="0" w:color="auto"/>
            <w:right w:val="none" w:sz="0" w:space="0" w:color="auto"/>
          </w:divBdr>
        </w:div>
        <w:div w:id="777145912">
          <w:marLeft w:val="0"/>
          <w:marRight w:val="0"/>
          <w:marTop w:val="0"/>
          <w:marBottom w:val="0"/>
          <w:divBdr>
            <w:top w:val="none" w:sz="0" w:space="0" w:color="auto"/>
            <w:left w:val="none" w:sz="0" w:space="0" w:color="auto"/>
            <w:bottom w:val="none" w:sz="0" w:space="0" w:color="auto"/>
            <w:right w:val="none" w:sz="0" w:space="0" w:color="auto"/>
          </w:divBdr>
        </w:div>
        <w:div w:id="1332834670">
          <w:marLeft w:val="0"/>
          <w:marRight w:val="0"/>
          <w:marTop w:val="0"/>
          <w:marBottom w:val="0"/>
          <w:divBdr>
            <w:top w:val="none" w:sz="0" w:space="0" w:color="auto"/>
            <w:left w:val="none" w:sz="0" w:space="0" w:color="auto"/>
            <w:bottom w:val="none" w:sz="0" w:space="0" w:color="auto"/>
            <w:right w:val="none" w:sz="0" w:space="0" w:color="auto"/>
          </w:divBdr>
        </w:div>
        <w:div w:id="1119224675">
          <w:marLeft w:val="0"/>
          <w:marRight w:val="0"/>
          <w:marTop w:val="0"/>
          <w:marBottom w:val="0"/>
          <w:divBdr>
            <w:top w:val="none" w:sz="0" w:space="0" w:color="auto"/>
            <w:left w:val="none" w:sz="0" w:space="0" w:color="auto"/>
            <w:bottom w:val="none" w:sz="0" w:space="0" w:color="auto"/>
            <w:right w:val="none" w:sz="0" w:space="0" w:color="auto"/>
          </w:divBdr>
        </w:div>
      </w:divsChild>
    </w:div>
    <w:div w:id="1757170102">
      <w:bodyDiv w:val="1"/>
      <w:marLeft w:val="0"/>
      <w:marRight w:val="0"/>
      <w:marTop w:val="0"/>
      <w:marBottom w:val="0"/>
      <w:divBdr>
        <w:top w:val="none" w:sz="0" w:space="0" w:color="auto"/>
        <w:left w:val="none" w:sz="0" w:space="0" w:color="auto"/>
        <w:bottom w:val="none" w:sz="0" w:space="0" w:color="auto"/>
        <w:right w:val="none" w:sz="0" w:space="0" w:color="auto"/>
      </w:divBdr>
    </w:div>
    <w:div w:id="1769152926">
      <w:bodyDiv w:val="1"/>
      <w:marLeft w:val="0"/>
      <w:marRight w:val="0"/>
      <w:marTop w:val="0"/>
      <w:marBottom w:val="0"/>
      <w:divBdr>
        <w:top w:val="none" w:sz="0" w:space="0" w:color="auto"/>
        <w:left w:val="none" w:sz="0" w:space="0" w:color="auto"/>
        <w:bottom w:val="none" w:sz="0" w:space="0" w:color="auto"/>
        <w:right w:val="none" w:sz="0" w:space="0" w:color="auto"/>
      </w:divBdr>
      <w:divsChild>
        <w:div w:id="2085250986">
          <w:marLeft w:val="0"/>
          <w:marRight w:val="0"/>
          <w:marTop w:val="0"/>
          <w:marBottom w:val="0"/>
          <w:divBdr>
            <w:top w:val="none" w:sz="0" w:space="0" w:color="auto"/>
            <w:left w:val="none" w:sz="0" w:space="0" w:color="auto"/>
            <w:bottom w:val="none" w:sz="0" w:space="0" w:color="auto"/>
            <w:right w:val="none" w:sz="0" w:space="0" w:color="auto"/>
          </w:divBdr>
        </w:div>
        <w:div w:id="135613559">
          <w:marLeft w:val="0"/>
          <w:marRight w:val="0"/>
          <w:marTop w:val="0"/>
          <w:marBottom w:val="0"/>
          <w:divBdr>
            <w:top w:val="none" w:sz="0" w:space="0" w:color="auto"/>
            <w:left w:val="none" w:sz="0" w:space="0" w:color="auto"/>
            <w:bottom w:val="none" w:sz="0" w:space="0" w:color="auto"/>
            <w:right w:val="none" w:sz="0" w:space="0" w:color="auto"/>
          </w:divBdr>
        </w:div>
        <w:div w:id="427893657">
          <w:marLeft w:val="0"/>
          <w:marRight w:val="0"/>
          <w:marTop w:val="0"/>
          <w:marBottom w:val="0"/>
          <w:divBdr>
            <w:top w:val="none" w:sz="0" w:space="0" w:color="auto"/>
            <w:left w:val="none" w:sz="0" w:space="0" w:color="auto"/>
            <w:bottom w:val="none" w:sz="0" w:space="0" w:color="auto"/>
            <w:right w:val="none" w:sz="0" w:space="0" w:color="auto"/>
          </w:divBdr>
        </w:div>
        <w:div w:id="738214972">
          <w:marLeft w:val="0"/>
          <w:marRight w:val="0"/>
          <w:marTop w:val="0"/>
          <w:marBottom w:val="0"/>
          <w:divBdr>
            <w:top w:val="none" w:sz="0" w:space="0" w:color="auto"/>
            <w:left w:val="none" w:sz="0" w:space="0" w:color="auto"/>
            <w:bottom w:val="none" w:sz="0" w:space="0" w:color="auto"/>
            <w:right w:val="none" w:sz="0" w:space="0" w:color="auto"/>
          </w:divBdr>
        </w:div>
        <w:div w:id="1245801280">
          <w:marLeft w:val="0"/>
          <w:marRight w:val="0"/>
          <w:marTop w:val="0"/>
          <w:marBottom w:val="0"/>
          <w:divBdr>
            <w:top w:val="none" w:sz="0" w:space="0" w:color="auto"/>
            <w:left w:val="none" w:sz="0" w:space="0" w:color="auto"/>
            <w:bottom w:val="none" w:sz="0" w:space="0" w:color="auto"/>
            <w:right w:val="none" w:sz="0" w:space="0" w:color="auto"/>
          </w:divBdr>
        </w:div>
        <w:div w:id="765006573">
          <w:marLeft w:val="0"/>
          <w:marRight w:val="0"/>
          <w:marTop w:val="0"/>
          <w:marBottom w:val="0"/>
          <w:divBdr>
            <w:top w:val="none" w:sz="0" w:space="0" w:color="auto"/>
            <w:left w:val="none" w:sz="0" w:space="0" w:color="auto"/>
            <w:bottom w:val="none" w:sz="0" w:space="0" w:color="auto"/>
            <w:right w:val="none" w:sz="0" w:space="0" w:color="auto"/>
          </w:divBdr>
        </w:div>
        <w:div w:id="230434596">
          <w:marLeft w:val="0"/>
          <w:marRight w:val="0"/>
          <w:marTop w:val="0"/>
          <w:marBottom w:val="0"/>
          <w:divBdr>
            <w:top w:val="none" w:sz="0" w:space="0" w:color="auto"/>
            <w:left w:val="none" w:sz="0" w:space="0" w:color="auto"/>
            <w:bottom w:val="none" w:sz="0" w:space="0" w:color="auto"/>
            <w:right w:val="none" w:sz="0" w:space="0" w:color="auto"/>
          </w:divBdr>
        </w:div>
        <w:div w:id="741371174">
          <w:marLeft w:val="0"/>
          <w:marRight w:val="0"/>
          <w:marTop w:val="0"/>
          <w:marBottom w:val="0"/>
          <w:divBdr>
            <w:top w:val="none" w:sz="0" w:space="0" w:color="auto"/>
            <w:left w:val="none" w:sz="0" w:space="0" w:color="auto"/>
            <w:bottom w:val="none" w:sz="0" w:space="0" w:color="auto"/>
            <w:right w:val="none" w:sz="0" w:space="0" w:color="auto"/>
          </w:divBdr>
        </w:div>
      </w:divsChild>
    </w:div>
    <w:div w:id="1780683284">
      <w:bodyDiv w:val="1"/>
      <w:marLeft w:val="0"/>
      <w:marRight w:val="0"/>
      <w:marTop w:val="0"/>
      <w:marBottom w:val="0"/>
      <w:divBdr>
        <w:top w:val="none" w:sz="0" w:space="0" w:color="auto"/>
        <w:left w:val="none" w:sz="0" w:space="0" w:color="auto"/>
        <w:bottom w:val="none" w:sz="0" w:space="0" w:color="auto"/>
        <w:right w:val="none" w:sz="0" w:space="0" w:color="auto"/>
      </w:divBdr>
    </w:div>
    <w:div w:id="1790663009">
      <w:bodyDiv w:val="1"/>
      <w:marLeft w:val="0"/>
      <w:marRight w:val="0"/>
      <w:marTop w:val="0"/>
      <w:marBottom w:val="0"/>
      <w:divBdr>
        <w:top w:val="none" w:sz="0" w:space="0" w:color="auto"/>
        <w:left w:val="none" w:sz="0" w:space="0" w:color="auto"/>
        <w:bottom w:val="none" w:sz="0" w:space="0" w:color="auto"/>
        <w:right w:val="none" w:sz="0" w:space="0" w:color="auto"/>
      </w:divBdr>
      <w:divsChild>
        <w:div w:id="1481189957">
          <w:marLeft w:val="0"/>
          <w:marRight w:val="0"/>
          <w:marTop w:val="0"/>
          <w:marBottom w:val="0"/>
          <w:divBdr>
            <w:top w:val="none" w:sz="0" w:space="0" w:color="auto"/>
            <w:left w:val="none" w:sz="0" w:space="0" w:color="auto"/>
            <w:bottom w:val="none" w:sz="0" w:space="0" w:color="auto"/>
            <w:right w:val="none" w:sz="0" w:space="0" w:color="auto"/>
          </w:divBdr>
        </w:div>
        <w:div w:id="494221542">
          <w:marLeft w:val="0"/>
          <w:marRight w:val="0"/>
          <w:marTop w:val="0"/>
          <w:marBottom w:val="0"/>
          <w:divBdr>
            <w:top w:val="none" w:sz="0" w:space="0" w:color="auto"/>
            <w:left w:val="none" w:sz="0" w:space="0" w:color="auto"/>
            <w:bottom w:val="none" w:sz="0" w:space="0" w:color="auto"/>
            <w:right w:val="none" w:sz="0" w:space="0" w:color="auto"/>
          </w:divBdr>
        </w:div>
        <w:div w:id="1663855197">
          <w:marLeft w:val="0"/>
          <w:marRight w:val="0"/>
          <w:marTop w:val="0"/>
          <w:marBottom w:val="0"/>
          <w:divBdr>
            <w:top w:val="none" w:sz="0" w:space="0" w:color="auto"/>
            <w:left w:val="none" w:sz="0" w:space="0" w:color="auto"/>
            <w:bottom w:val="none" w:sz="0" w:space="0" w:color="auto"/>
            <w:right w:val="none" w:sz="0" w:space="0" w:color="auto"/>
          </w:divBdr>
        </w:div>
        <w:div w:id="400492892">
          <w:marLeft w:val="0"/>
          <w:marRight w:val="0"/>
          <w:marTop w:val="0"/>
          <w:marBottom w:val="0"/>
          <w:divBdr>
            <w:top w:val="none" w:sz="0" w:space="0" w:color="auto"/>
            <w:left w:val="none" w:sz="0" w:space="0" w:color="auto"/>
            <w:bottom w:val="none" w:sz="0" w:space="0" w:color="auto"/>
            <w:right w:val="none" w:sz="0" w:space="0" w:color="auto"/>
          </w:divBdr>
        </w:div>
        <w:div w:id="446848753">
          <w:marLeft w:val="0"/>
          <w:marRight w:val="0"/>
          <w:marTop w:val="0"/>
          <w:marBottom w:val="0"/>
          <w:divBdr>
            <w:top w:val="none" w:sz="0" w:space="0" w:color="auto"/>
            <w:left w:val="none" w:sz="0" w:space="0" w:color="auto"/>
            <w:bottom w:val="none" w:sz="0" w:space="0" w:color="auto"/>
            <w:right w:val="none" w:sz="0" w:space="0" w:color="auto"/>
          </w:divBdr>
        </w:div>
        <w:div w:id="2019775096">
          <w:marLeft w:val="0"/>
          <w:marRight w:val="0"/>
          <w:marTop w:val="0"/>
          <w:marBottom w:val="0"/>
          <w:divBdr>
            <w:top w:val="none" w:sz="0" w:space="0" w:color="auto"/>
            <w:left w:val="none" w:sz="0" w:space="0" w:color="auto"/>
            <w:bottom w:val="none" w:sz="0" w:space="0" w:color="auto"/>
            <w:right w:val="none" w:sz="0" w:space="0" w:color="auto"/>
          </w:divBdr>
        </w:div>
      </w:divsChild>
    </w:div>
    <w:div w:id="1791626871">
      <w:bodyDiv w:val="1"/>
      <w:marLeft w:val="0"/>
      <w:marRight w:val="0"/>
      <w:marTop w:val="0"/>
      <w:marBottom w:val="0"/>
      <w:divBdr>
        <w:top w:val="none" w:sz="0" w:space="0" w:color="auto"/>
        <w:left w:val="none" w:sz="0" w:space="0" w:color="auto"/>
        <w:bottom w:val="none" w:sz="0" w:space="0" w:color="auto"/>
        <w:right w:val="none" w:sz="0" w:space="0" w:color="auto"/>
      </w:divBdr>
      <w:divsChild>
        <w:div w:id="2052142600">
          <w:marLeft w:val="0"/>
          <w:marRight w:val="0"/>
          <w:marTop w:val="0"/>
          <w:marBottom w:val="0"/>
          <w:divBdr>
            <w:top w:val="none" w:sz="0" w:space="0" w:color="auto"/>
            <w:left w:val="none" w:sz="0" w:space="0" w:color="auto"/>
            <w:bottom w:val="none" w:sz="0" w:space="0" w:color="auto"/>
            <w:right w:val="none" w:sz="0" w:space="0" w:color="auto"/>
          </w:divBdr>
        </w:div>
        <w:div w:id="1520050495">
          <w:marLeft w:val="0"/>
          <w:marRight w:val="0"/>
          <w:marTop w:val="0"/>
          <w:marBottom w:val="0"/>
          <w:divBdr>
            <w:top w:val="none" w:sz="0" w:space="0" w:color="auto"/>
            <w:left w:val="none" w:sz="0" w:space="0" w:color="auto"/>
            <w:bottom w:val="none" w:sz="0" w:space="0" w:color="auto"/>
            <w:right w:val="none" w:sz="0" w:space="0" w:color="auto"/>
          </w:divBdr>
        </w:div>
        <w:div w:id="33702779">
          <w:marLeft w:val="0"/>
          <w:marRight w:val="0"/>
          <w:marTop w:val="0"/>
          <w:marBottom w:val="0"/>
          <w:divBdr>
            <w:top w:val="none" w:sz="0" w:space="0" w:color="auto"/>
            <w:left w:val="none" w:sz="0" w:space="0" w:color="auto"/>
            <w:bottom w:val="none" w:sz="0" w:space="0" w:color="auto"/>
            <w:right w:val="none" w:sz="0" w:space="0" w:color="auto"/>
          </w:divBdr>
        </w:div>
      </w:divsChild>
    </w:div>
    <w:div w:id="1811634932">
      <w:bodyDiv w:val="1"/>
      <w:marLeft w:val="0"/>
      <w:marRight w:val="0"/>
      <w:marTop w:val="0"/>
      <w:marBottom w:val="0"/>
      <w:divBdr>
        <w:top w:val="none" w:sz="0" w:space="0" w:color="auto"/>
        <w:left w:val="none" w:sz="0" w:space="0" w:color="auto"/>
        <w:bottom w:val="none" w:sz="0" w:space="0" w:color="auto"/>
        <w:right w:val="none" w:sz="0" w:space="0" w:color="auto"/>
      </w:divBdr>
      <w:divsChild>
        <w:div w:id="809711085">
          <w:marLeft w:val="0"/>
          <w:marRight w:val="0"/>
          <w:marTop w:val="0"/>
          <w:marBottom w:val="0"/>
          <w:divBdr>
            <w:top w:val="none" w:sz="0" w:space="0" w:color="auto"/>
            <w:left w:val="none" w:sz="0" w:space="0" w:color="auto"/>
            <w:bottom w:val="none" w:sz="0" w:space="0" w:color="auto"/>
            <w:right w:val="none" w:sz="0" w:space="0" w:color="auto"/>
          </w:divBdr>
        </w:div>
      </w:divsChild>
    </w:div>
    <w:div w:id="1811821646">
      <w:bodyDiv w:val="1"/>
      <w:marLeft w:val="0"/>
      <w:marRight w:val="0"/>
      <w:marTop w:val="0"/>
      <w:marBottom w:val="0"/>
      <w:divBdr>
        <w:top w:val="none" w:sz="0" w:space="0" w:color="auto"/>
        <w:left w:val="none" w:sz="0" w:space="0" w:color="auto"/>
        <w:bottom w:val="none" w:sz="0" w:space="0" w:color="auto"/>
        <w:right w:val="none" w:sz="0" w:space="0" w:color="auto"/>
      </w:divBdr>
    </w:div>
    <w:div w:id="1845701509">
      <w:bodyDiv w:val="1"/>
      <w:marLeft w:val="0"/>
      <w:marRight w:val="0"/>
      <w:marTop w:val="0"/>
      <w:marBottom w:val="0"/>
      <w:divBdr>
        <w:top w:val="none" w:sz="0" w:space="0" w:color="auto"/>
        <w:left w:val="none" w:sz="0" w:space="0" w:color="auto"/>
        <w:bottom w:val="none" w:sz="0" w:space="0" w:color="auto"/>
        <w:right w:val="none" w:sz="0" w:space="0" w:color="auto"/>
      </w:divBdr>
      <w:divsChild>
        <w:div w:id="1628006522">
          <w:marLeft w:val="0"/>
          <w:marRight w:val="0"/>
          <w:marTop w:val="0"/>
          <w:marBottom w:val="0"/>
          <w:divBdr>
            <w:top w:val="none" w:sz="0" w:space="0" w:color="auto"/>
            <w:left w:val="none" w:sz="0" w:space="0" w:color="auto"/>
            <w:bottom w:val="none" w:sz="0" w:space="0" w:color="auto"/>
            <w:right w:val="none" w:sz="0" w:space="0" w:color="auto"/>
          </w:divBdr>
        </w:div>
        <w:div w:id="1240168058">
          <w:marLeft w:val="0"/>
          <w:marRight w:val="0"/>
          <w:marTop w:val="0"/>
          <w:marBottom w:val="0"/>
          <w:divBdr>
            <w:top w:val="none" w:sz="0" w:space="0" w:color="auto"/>
            <w:left w:val="none" w:sz="0" w:space="0" w:color="auto"/>
            <w:bottom w:val="none" w:sz="0" w:space="0" w:color="auto"/>
            <w:right w:val="none" w:sz="0" w:space="0" w:color="auto"/>
          </w:divBdr>
        </w:div>
        <w:div w:id="1535771702">
          <w:marLeft w:val="0"/>
          <w:marRight w:val="0"/>
          <w:marTop w:val="0"/>
          <w:marBottom w:val="0"/>
          <w:divBdr>
            <w:top w:val="none" w:sz="0" w:space="0" w:color="auto"/>
            <w:left w:val="none" w:sz="0" w:space="0" w:color="auto"/>
            <w:bottom w:val="none" w:sz="0" w:space="0" w:color="auto"/>
            <w:right w:val="none" w:sz="0" w:space="0" w:color="auto"/>
          </w:divBdr>
        </w:div>
        <w:div w:id="449084854">
          <w:marLeft w:val="0"/>
          <w:marRight w:val="0"/>
          <w:marTop w:val="0"/>
          <w:marBottom w:val="0"/>
          <w:divBdr>
            <w:top w:val="none" w:sz="0" w:space="0" w:color="auto"/>
            <w:left w:val="none" w:sz="0" w:space="0" w:color="auto"/>
            <w:bottom w:val="none" w:sz="0" w:space="0" w:color="auto"/>
            <w:right w:val="none" w:sz="0" w:space="0" w:color="auto"/>
          </w:divBdr>
        </w:div>
        <w:div w:id="1604798497">
          <w:marLeft w:val="0"/>
          <w:marRight w:val="0"/>
          <w:marTop w:val="0"/>
          <w:marBottom w:val="0"/>
          <w:divBdr>
            <w:top w:val="none" w:sz="0" w:space="0" w:color="auto"/>
            <w:left w:val="none" w:sz="0" w:space="0" w:color="auto"/>
            <w:bottom w:val="none" w:sz="0" w:space="0" w:color="auto"/>
            <w:right w:val="none" w:sz="0" w:space="0" w:color="auto"/>
          </w:divBdr>
        </w:div>
        <w:div w:id="1160390366">
          <w:marLeft w:val="0"/>
          <w:marRight w:val="0"/>
          <w:marTop w:val="0"/>
          <w:marBottom w:val="0"/>
          <w:divBdr>
            <w:top w:val="none" w:sz="0" w:space="0" w:color="auto"/>
            <w:left w:val="none" w:sz="0" w:space="0" w:color="auto"/>
            <w:bottom w:val="none" w:sz="0" w:space="0" w:color="auto"/>
            <w:right w:val="none" w:sz="0" w:space="0" w:color="auto"/>
          </w:divBdr>
        </w:div>
        <w:div w:id="566914303">
          <w:marLeft w:val="0"/>
          <w:marRight w:val="0"/>
          <w:marTop w:val="0"/>
          <w:marBottom w:val="0"/>
          <w:divBdr>
            <w:top w:val="none" w:sz="0" w:space="0" w:color="auto"/>
            <w:left w:val="none" w:sz="0" w:space="0" w:color="auto"/>
            <w:bottom w:val="none" w:sz="0" w:space="0" w:color="auto"/>
            <w:right w:val="none" w:sz="0" w:space="0" w:color="auto"/>
          </w:divBdr>
        </w:div>
        <w:div w:id="453211647">
          <w:marLeft w:val="0"/>
          <w:marRight w:val="0"/>
          <w:marTop w:val="0"/>
          <w:marBottom w:val="0"/>
          <w:divBdr>
            <w:top w:val="none" w:sz="0" w:space="0" w:color="auto"/>
            <w:left w:val="none" w:sz="0" w:space="0" w:color="auto"/>
            <w:bottom w:val="none" w:sz="0" w:space="0" w:color="auto"/>
            <w:right w:val="none" w:sz="0" w:space="0" w:color="auto"/>
          </w:divBdr>
        </w:div>
        <w:div w:id="1869949137">
          <w:marLeft w:val="0"/>
          <w:marRight w:val="0"/>
          <w:marTop w:val="0"/>
          <w:marBottom w:val="0"/>
          <w:divBdr>
            <w:top w:val="none" w:sz="0" w:space="0" w:color="auto"/>
            <w:left w:val="none" w:sz="0" w:space="0" w:color="auto"/>
            <w:bottom w:val="none" w:sz="0" w:space="0" w:color="auto"/>
            <w:right w:val="none" w:sz="0" w:space="0" w:color="auto"/>
          </w:divBdr>
        </w:div>
        <w:div w:id="1654675385">
          <w:marLeft w:val="0"/>
          <w:marRight w:val="0"/>
          <w:marTop w:val="0"/>
          <w:marBottom w:val="0"/>
          <w:divBdr>
            <w:top w:val="none" w:sz="0" w:space="0" w:color="auto"/>
            <w:left w:val="none" w:sz="0" w:space="0" w:color="auto"/>
            <w:bottom w:val="none" w:sz="0" w:space="0" w:color="auto"/>
            <w:right w:val="none" w:sz="0" w:space="0" w:color="auto"/>
          </w:divBdr>
        </w:div>
        <w:div w:id="1875993032">
          <w:marLeft w:val="0"/>
          <w:marRight w:val="0"/>
          <w:marTop w:val="0"/>
          <w:marBottom w:val="0"/>
          <w:divBdr>
            <w:top w:val="none" w:sz="0" w:space="0" w:color="auto"/>
            <w:left w:val="none" w:sz="0" w:space="0" w:color="auto"/>
            <w:bottom w:val="none" w:sz="0" w:space="0" w:color="auto"/>
            <w:right w:val="none" w:sz="0" w:space="0" w:color="auto"/>
          </w:divBdr>
        </w:div>
        <w:div w:id="1691636604">
          <w:marLeft w:val="0"/>
          <w:marRight w:val="0"/>
          <w:marTop w:val="0"/>
          <w:marBottom w:val="0"/>
          <w:divBdr>
            <w:top w:val="none" w:sz="0" w:space="0" w:color="auto"/>
            <w:left w:val="none" w:sz="0" w:space="0" w:color="auto"/>
            <w:bottom w:val="none" w:sz="0" w:space="0" w:color="auto"/>
            <w:right w:val="none" w:sz="0" w:space="0" w:color="auto"/>
          </w:divBdr>
        </w:div>
      </w:divsChild>
    </w:div>
    <w:div w:id="1870144175">
      <w:bodyDiv w:val="1"/>
      <w:marLeft w:val="0"/>
      <w:marRight w:val="0"/>
      <w:marTop w:val="0"/>
      <w:marBottom w:val="0"/>
      <w:divBdr>
        <w:top w:val="none" w:sz="0" w:space="0" w:color="auto"/>
        <w:left w:val="none" w:sz="0" w:space="0" w:color="auto"/>
        <w:bottom w:val="none" w:sz="0" w:space="0" w:color="auto"/>
        <w:right w:val="none" w:sz="0" w:space="0" w:color="auto"/>
      </w:divBdr>
    </w:div>
    <w:div w:id="1914315401">
      <w:bodyDiv w:val="1"/>
      <w:marLeft w:val="0"/>
      <w:marRight w:val="0"/>
      <w:marTop w:val="0"/>
      <w:marBottom w:val="0"/>
      <w:divBdr>
        <w:top w:val="none" w:sz="0" w:space="0" w:color="auto"/>
        <w:left w:val="none" w:sz="0" w:space="0" w:color="auto"/>
        <w:bottom w:val="none" w:sz="0" w:space="0" w:color="auto"/>
        <w:right w:val="none" w:sz="0" w:space="0" w:color="auto"/>
      </w:divBdr>
    </w:div>
    <w:div w:id="1914655017">
      <w:bodyDiv w:val="1"/>
      <w:marLeft w:val="0"/>
      <w:marRight w:val="0"/>
      <w:marTop w:val="0"/>
      <w:marBottom w:val="0"/>
      <w:divBdr>
        <w:top w:val="none" w:sz="0" w:space="0" w:color="auto"/>
        <w:left w:val="none" w:sz="0" w:space="0" w:color="auto"/>
        <w:bottom w:val="none" w:sz="0" w:space="0" w:color="auto"/>
        <w:right w:val="none" w:sz="0" w:space="0" w:color="auto"/>
      </w:divBdr>
    </w:div>
    <w:div w:id="1920364350">
      <w:bodyDiv w:val="1"/>
      <w:marLeft w:val="0"/>
      <w:marRight w:val="0"/>
      <w:marTop w:val="0"/>
      <w:marBottom w:val="0"/>
      <w:divBdr>
        <w:top w:val="none" w:sz="0" w:space="0" w:color="auto"/>
        <w:left w:val="none" w:sz="0" w:space="0" w:color="auto"/>
        <w:bottom w:val="none" w:sz="0" w:space="0" w:color="auto"/>
        <w:right w:val="none" w:sz="0" w:space="0" w:color="auto"/>
      </w:divBdr>
      <w:divsChild>
        <w:div w:id="192544960">
          <w:marLeft w:val="0"/>
          <w:marRight w:val="0"/>
          <w:marTop w:val="0"/>
          <w:marBottom w:val="0"/>
          <w:divBdr>
            <w:top w:val="none" w:sz="0" w:space="0" w:color="auto"/>
            <w:left w:val="none" w:sz="0" w:space="0" w:color="auto"/>
            <w:bottom w:val="none" w:sz="0" w:space="0" w:color="auto"/>
            <w:right w:val="none" w:sz="0" w:space="0" w:color="auto"/>
          </w:divBdr>
          <w:divsChild>
            <w:div w:id="1649364434">
              <w:marLeft w:val="0"/>
              <w:marRight w:val="0"/>
              <w:marTop w:val="0"/>
              <w:marBottom w:val="0"/>
              <w:divBdr>
                <w:top w:val="none" w:sz="0" w:space="0" w:color="auto"/>
                <w:left w:val="none" w:sz="0" w:space="0" w:color="auto"/>
                <w:bottom w:val="none" w:sz="0" w:space="0" w:color="auto"/>
                <w:right w:val="none" w:sz="0" w:space="0" w:color="auto"/>
              </w:divBdr>
              <w:divsChild>
                <w:div w:id="1502431106">
                  <w:marLeft w:val="0"/>
                  <w:marRight w:val="0"/>
                  <w:marTop w:val="0"/>
                  <w:marBottom w:val="0"/>
                  <w:divBdr>
                    <w:top w:val="none" w:sz="0" w:space="0" w:color="auto"/>
                    <w:left w:val="none" w:sz="0" w:space="0" w:color="auto"/>
                    <w:bottom w:val="none" w:sz="0" w:space="0" w:color="auto"/>
                    <w:right w:val="none" w:sz="0" w:space="0" w:color="auto"/>
                  </w:divBdr>
                  <w:divsChild>
                    <w:div w:id="979766069">
                      <w:marLeft w:val="0"/>
                      <w:marRight w:val="0"/>
                      <w:marTop w:val="0"/>
                      <w:marBottom w:val="0"/>
                      <w:divBdr>
                        <w:top w:val="none" w:sz="0" w:space="0" w:color="auto"/>
                        <w:left w:val="none" w:sz="0" w:space="0" w:color="auto"/>
                        <w:bottom w:val="none" w:sz="0" w:space="0" w:color="auto"/>
                        <w:right w:val="none" w:sz="0" w:space="0" w:color="auto"/>
                      </w:divBdr>
                    </w:div>
                    <w:div w:id="3771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115612">
          <w:marLeft w:val="0"/>
          <w:marRight w:val="0"/>
          <w:marTop w:val="0"/>
          <w:marBottom w:val="0"/>
          <w:divBdr>
            <w:top w:val="none" w:sz="0" w:space="0" w:color="auto"/>
            <w:left w:val="none" w:sz="0" w:space="0" w:color="auto"/>
            <w:bottom w:val="none" w:sz="0" w:space="0" w:color="auto"/>
            <w:right w:val="none" w:sz="0" w:space="0" w:color="auto"/>
          </w:divBdr>
          <w:divsChild>
            <w:div w:id="599071792">
              <w:marLeft w:val="0"/>
              <w:marRight w:val="0"/>
              <w:marTop w:val="0"/>
              <w:marBottom w:val="0"/>
              <w:divBdr>
                <w:top w:val="none" w:sz="0" w:space="0" w:color="auto"/>
                <w:left w:val="none" w:sz="0" w:space="0" w:color="auto"/>
                <w:bottom w:val="none" w:sz="0" w:space="0" w:color="auto"/>
                <w:right w:val="none" w:sz="0" w:space="0" w:color="auto"/>
              </w:divBdr>
              <w:divsChild>
                <w:div w:id="12643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531901">
          <w:marLeft w:val="0"/>
          <w:marRight w:val="0"/>
          <w:marTop w:val="0"/>
          <w:marBottom w:val="0"/>
          <w:divBdr>
            <w:top w:val="none" w:sz="0" w:space="0" w:color="auto"/>
            <w:left w:val="none" w:sz="0" w:space="0" w:color="auto"/>
            <w:bottom w:val="none" w:sz="0" w:space="0" w:color="auto"/>
            <w:right w:val="none" w:sz="0" w:space="0" w:color="auto"/>
          </w:divBdr>
          <w:divsChild>
            <w:div w:id="215632748">
              <w:marLeft w:val="0"/>
              <w:marRight w:val="0"/>
              <w:marTop w:val="0"/>
              <w:marBottom w:val="0"/>
              <w:divBdr>
                <w:top w:val="none" w:sz="0" w:space="0" w:color="auto"/>
                <w:left w:val="none" w:sz="0" w:space="0" w:color="auto"/>
                <w:bottom w:val="none" w:sz="0" w:space="0" w:color="auto"/>
                <w:right w:val="none" w:sz="0" w:space="0" w:color="auto"/>
              </w:divBdr>
              <w:divsChild>
                <w:div w:id="56164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319581">
          <w:marLeft w:val="0"/>
          <w:marRight w:val="0"/>
          <w:marTop w:val="0"/>
          <w:marBottom w:val="0"/>
          <w:divBdr>
            <w:top w:val="none" w:sz="0" w:space="0" w:color="auto"/>
            <w:left w:val="none" w:sz="0" w:space="0" w:color="auto"/>
            <w:bottom w:val="none" w:sz="0" w:space="0" w:color="auto"/>
            <w:right w:val="none" w:sz="0" w:space="0" w:color="auto"/>
          </w:divBdr>
          <w:divsChild>
            <w:div w:id="2100561481">
              <w:marLeft w:val="0"/>
              <w:marRight w:val="0"/>
              <w:marTop w:val="0"/>
              <w:marBottom w:val="0"/>
              <w:divBdr>
                <w:top w:val="none" w:sz="0" w:space="0" w:color="auto"/>
                <w:left w:val="none" w:sz="0" w:space="0" w:color="auto"/>
                <w:bottom w:val="none" w:sz="0" w:space="0" w:color="auto"/>
                <w:right w:val="none" w:sz="0" w:space="0" w:color="auto"/>
              </w:divBdr>
              <w:divsChild>
                <w:div w:id="92638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643023">
      <w:bodyDiv w:val="1"/>
      <w:marLeft w:val="0"/>
      <w:marRight w:val="0"/>
      <w:marTop w:val="0"/>
      <w:marBottom w:val="0"/>
      <w:divBdr>
        <w:top w:val="none" w:sz="0" w:space="0" w:color="auto"/>
        <w:left w:val="none" w:sz="0" w:space="0" w:color="auto"/>
        <w:bottom w:val="none" w:sz="0" w:space="0" w:color="auto"/>
        <w:right w:val="none" w:sz="0" w:space="0" w:color="auto"/>
      </w:divBdr>
      <w:divsChild>
        <w:div w:id="2099207876">
          <w:marLeft w:val="0"/>
          <w:marRight w:val="0"/>
          <w:marTop w:val="0"/>
          <w:marBottom w:val="0"/>
          <w:divBdr>
            <w:top w:val="none" w:sz="0" w:space="0" w:color="auto"/>
            <w:left w:val="none" w:sz="0" w:space="0" w:color="auto"/>
            <w:bottom w:val="none" w:sz="0" w:space="0" w:color="auto"/>
            <w:right w:val="none" w:sz="0" w:space="0" w:color="auto"/>
          </w:divBdr>
        </w:div>
        <w:div w:id="788931758">
          <w:marLeft w:val="0"/>
          <w:marRight w:val="0"/>
          <w:marTop w:val="0"/>
          <w:marBottom w:val="0"/>
          <w:divBdr>
            <w:top w:val="none" w:sz="0" w:space="0" w:color="auto"/>
            <w:left w:val="none" w:sz="0" w:space="0" w:color="auto"/>
            <w:bottom w:val="none" w:sz="0" w:space="0" w:color="auto"/>
            <w:right w:val="none" w:sz="0" w:space="0" w:color="auto"/>
          </w:divBdr>
        </w:div>
        <w:div w:id="715619335">
          <w:marLeft w:val="0"/>
          <w:marRight w:val="0"/>
          <w:marTop w:val="0"/>
          <w:marBottom w:val="0"/>
          <w:divBdr>
            <w:top w:val="none" w:sz="0" w:space="0" w:color="auto"/>
            <w:left w:val="none" w:sz="0" w:space="0" w:color="auto"/>
            <w:bottom w:val="none" w:sz="0" w:space="0" w:color="auto"/>
            <w:right w:val="none" w:sz="0" w:space="0" w:color="auto"/>
          </w:divBdr>
        </w:div>
        <w:div w:id="1306280731">
          <w:marLeft w:val="0"/>
          <w:marRight w:val="0"/>
          <w:marTop w:val="0"/>
          <w:marBottom w:val="0"/>
          <w:divBdr>
            <w:top w:val="none" w:sz="0" w:space="0" w:color="auto"/>
            <w:left w:val="none" w:sz="0" w:space="0" w:color="auto"/>
            <w:bottom w:val="none" w:sz="0" w:space="0" w:color="auto"/>
            <w:right w:val="none" w:sz="0" w:space="0" w:color="auto"/>
          </w:divBdr>
        </w:div>
        <w:div w:id="1815636417">
          <w:marLeft w:val="0"/>
          <w:marRight w:val="0"/>
          <w:marTop w:val="0"/>
          <w:marBottom w:val="0"/>
          <w:divBdr>
            <w:top w:val="none" w:sz="0" w:space="0" w:color="auto"/>
            <w:left w:val="none" w:sz="0" w:space="0" w:color="auto"/>
            <w:bottom w:val="none" w:sz="0" w:space="0" w:color="auto"/>
            <w:right w:val="none" w:sz="0" w:space="0" w:color="auto"/>
          </w:divBdr>
        </w:div>
        <w:div w:id="899831223">
          <w:marLeft w:val="0"/>
          <w:marRight w:val="0"/>
          <w:marTop w:val="0"/>
          <w:marBottom w:val="0"/>
          <w:divBdr>
            <w:top w:val="none" w:sz="0" w:space="0" w:color="auto"/>
            <w:left w:val="none" w:sz="0" w:space="0" w:color="auto"/>
            <w:bottom w:val="none" w:sz="0" w:space="0" w:color="auto"/>
            <w:right w:val="none" w:sz="0" w:space="0" w:color="auto"/>
          </w:divBdr>
        </w:div>
      </w:divsChild>
    </w:div>
    <w:div w:id="1927424491">
      <w:bodyDiv w:val="1"/>
      <w:marLeft w:val="0"/>
      <w:marRight w:val="0"/>
      <w:marTop w:val="0"/>
      <w:marBottom w:val="0"/>
      <w:divBdr>
        <w:top w:val="none" w:sz="0" w:space="0" w:color="auto"/>
        <w:left w:val="none" w:sz="0" w:space="0" w:color="auto"/>
        <w:bottom w:val="none" w:sz="0" w:space="0" w:color="auto"/>
        <w:right w:val="none" w:sz="0" w:space="0" w:color="auto"/>
      </w:divBdr>
    </w:div>
    <w:div w:id="1951693678">
      <w:bodyDiv w:val="1"/>
      <w:marLeft w:val="0"/>
      <w:marRight w:val="0"/>
      <w:marTop w:val="0"/>
      <w:marBottom w:val="0"/>
      <w:divBdr>
        <w:top w:val="none" w:sz="0" w:space="0" w:color="auto"/>
        <w:left w:val="none" w:sz="0" w:space="0" w:color="auto"/>
        <w:bottom w:val="none" w:sz="0" w:space="0" w:color="auto"/>
        <w:right w:val="none" w:sz="0" w:space="0" w:color="auto"/>
      </w:divBdr>
      <w:divsChild>
        <w:div w:id="2001079518">
          <w:marLeft w:val="0"/>
          <w:marRight w:val="0"/>
          <w:marTop w:val="0"/>
          <w:marBottom w:val="0"/>
          <w:divBdr>
            <w:top w:val="none" w:sz="0" w:space="0" w:color="auto"/>
            <w:left w:val="none" w:sz="0" w:space="0" w:color="auto"/>
            <w:bottom w:val="none" w:sz="0" w:space="0" w:color="auto"/>
            <w:right w:val="none" w:sz="0" w:space="0" w:color="auto"/>
          </w:divBdr>
        </w:div>
        <w:div w:id="691682927">
          <w:marLeft w:val="0"/>
          <w:marRight w:val="0"/>
          <w:marTop w:val="0"/>
          <w:marBottom w:val="0"/>
          <w:divBdr>
            <w:top w:val="none" w:sz="0" w:space="0" w:color="auto"/>
            <w:left w:val="none" w:sz="0" w:space="0" w:color="auto"/>
            <w:bottom w:val="none" w:sz="0" w:space="0" w:color="auto"/>
            <w:right w:val="none" w:sz="0" w:space="0" w:color="auto"/>
          </w:divBdr>
        </w:div>
        <w:div w:id="1288505184">
          <w:marLeft w:val="0"/>
          <w:marRight w:val="0"/>
          <w:marTop w:val="0"/>
          <w:marBottom w:val="0"/>
          <w:divBdr>
            <w:top w:val="none" w:sz="0" w:space="0" w:color="auto"/>
            <w:left w:val="none" w:sz="0" w:space="0" w:color="auto"/>
            <w:bottom w:val="none" w:sz="0" w:space="0" w:color="auto"/>
            <w:right w:val="none" w:sz="0" w:space="0" w:color="auto"/>
          </w:divBdr>
        </w:div>
      </w:divsChild>
    </w:div>
    <w:div w:id="1990816288">
      <w:bodyDiv w:val="1"/>
      <w:marLeft w:val="0"/>
      <w:marRight w:val="0"/>
      <w:marTop w:val="0"/>
      <w:marBottom w:val="0"/>
      <w:divBdr>
        <w:top w:val="none" w:sz="0" w:space="0" w:color="auto"/>
        <w:left w:val="none" w:sz="0" w:space="0" w:color="auto"/>
        <w:bottom w:val="none" w:sz="0" w:space="0" w:color="auto"/>
        <w:right w:val="none" w:sz="0" w:space="0" w:color="auto"/>
      </w:divBdr>
    </w:div>
    <w:div w:id="1994332968">
      <w:bodyDiv w:val="1"/>
      <w:marLeft w:val="0"/>
      <w:marRight w:val="0"/>
      <w:marTop w:val="0"/>
      <w:marBottom w:val="0"/>
      <w:divBdr>
        <w:top w:val="none" w:sz="0" w:space="0" w:color="auto"/>
        <w:left w:val="none" w:sz="0" w:space="0" w:color="auto"/>
        <w:bottom w:val="none" w:sz="0" w:space="0" w:color="auto"/>
        <w:right w:val="none" w:sz="0" w:space="0" w:color="auto"/>
      </w:divBdr>
      <w:divsChild>
        <w:div w:id="2026635741">
          <w:marLeft w:val="0"/>
          <w:marRight w:val="0"/>
          <w:marTop w:val="0"/>
          <w:marBottom w:val="0"/>
          <w:divBdr>
            <w:top w:val="none" w:sz="0" w:space="0" w:color="auto"/>
            <w:left w:val="none" w:sz="0" w:space="0" w:color="auto"/>
            <w:bottom w:val="none" w:sz="0" w:space="0" w:color="auto"/>
            <w:right w:val="none" w:sz="0" w:space="0" w:color="auto"/>
          </w:divBdr>
        </w:div>
      </w:divsChild>
    </w:div>
    <w:div w:id="2001497594">
      <w:bodyDiv w:val="1"/>
      <w:marLeft w:val="0"/>
      <w:marRight w:val="0"/>
      <w:marTop w:val="0"/>
      <w:marBottom w:val="0"/>
      <w:divBdr>
        <w:top w:val="none" w:sz="0" w:space="0" w:color="auto"/>
        <w:left w:val="none" w:sz="0" w:space="0" w:color="auto"/>
        <w:bottom w:val="none" w:sz="0" w:space="0" w:color="auto"/>
        <w:right w:val="none" w:sz="0" w:space="0" w:color="auto"/>
      </w:divBdr>
      <w:divsChild>
        <w:div w:id="58983187">
          <w:marLeft w:val="0"/>
          <w:marRight w:val="0"/>
          <w:marTop w:val="0"/>
          <w:marBottom w:val="0"/>
          <w:divBdr>
            <w:top w:val="none" w:sz="0" w:space="0" w:color="auto"/>
            <w:left w:val="none" w:sz="0" w:space="0" w:color="auto"/>
            <w:bottom w:val="none" w:sz="0" w:space="0" w:color="auto"/>
            <w:right w:val="none" w:sz="0" w:space="0" w:color="auto"/>
          </w:divBdr>
          <w:divsChild>
            <w:div w:id="1319924781">
              <w:marLeft w:val="0"/>
              <w:marRight w:val="0"/>
              <w:marTop w:val="0"/>
              <w:marBottom w:val="0"/>
              <w:divBdr>
                <w:top w:val="none" w:sz="0" w:space="0" w:color="auto"/>
                <w:left w:val="none" w:sz="0" w:space="0" w:color="auto"/>
                <w:bottom w:val="none" w:sz="0" w:space="0" w:color="auto"/>
                <w:right w:val="none" w:sz="0" w:space="0" w:color="auto"/>
              </w:divBdr>
            </w:div>
          </w:divsChild>
        </w:div>
        <w:div w:id="1797794245">
          <w:marLeft w:val="0"/>
          <w:marRight w:val="0"/>
          <w:marTop w:val="0"/>
          <w:marBottom w:val="0"/>
          <w:divBdr>
            <w:top w:val="none" w:sz="0" w:space="0" w:color="auto"/>
            <w:left w:val="none" w:sz="0" w:space="0" w:color="auto"/>
            <w:bottom w:val="none" w:sz="0" w:space="0" w:color="auto"/>
            <w:right w:val="none" w:sz="0" w:space="0" w:color="auto"/>
          </w:divBdr>
        </w:div>
      </w:divsChild>
    </w:div>
    <w:div w:id="2032953123">
      <w:bodyDiv w:val="1"/>
      <w:marLeft w:val="0"/>
      <w:marRight w:val="0"/>
      <w:marTop w:val="0"/>
      <w:marBottom w:val="0"/>
      <w:divBdr>
        <w:top w:val="none" w:sz="0" w:space="0" w:color="auto"/>
        <w:left w:val="none" w:sz="0" w:space="0" w:color="auto"/>
        <w:bottom w:val="none" w:sz="0" w:space="0" w:color="auto"/>
        <w:right w:val="none" w:sz="0" w:space="0" w:color="auto"/>
      </w:divBdr>
      <w:divsChild>
        <w:div w:id="1866168437">
          <w:marLeft w:val="0"/>
          <w:marRight w:val="0"/>
          <w:marTop w:val="0"/>
          <w:marBottom w:val="0"/>
          <w:divBdr>
            <w:top w:val="none" w:sz="0" w:space="0" w:color="auto"/>
            <w:left w:val="none" w:sz="0" w:space="0" w:color="auto"/>
            <w:bottom w:val="none" w:sz="0" w:space="0" w:color="auto"/>
            <w:right w:val="none" w:sz="0" w:space="0" w:color="auto"/>
          </w:divBdr>
        </w:div>
        <w:div w:id="1195923802">
          <w:marLeft w:val="0"/>
          <w:marRight w:val="0"/>
          <w:marTop w:val="0"/>
          <w:marBottom w:val="0"/>
          <w:divBdr>
            <w:top w:val="none" w:sz="0" w:space="0" w:color="auto"/>
            <w:left w:val="none" w:sz="0" w:space="0" w:color="auto"/>
            <w:bottom w:val="none" w:sz="0" w:space="0" w:color="auto"/>
            <w:right w:val="none" w:sz="0" w:space="0" w:color="auto"/>
          </w:divBdr>
        </w:div>
      </w:divsChild>
    </w:div>
    <w:div w:id="2039046583">
      <w:bodyDiv w:val="1"/>
      <w:marLeft w:val="0"/>
      <w:marRight w:val="0"/>
      <w:marTop w:val="0"/>
      <w:marBottom w:val="0"/>
      <w:divBdr>
        <w:top w:val="none" w:sz="0" w:space="0" w:color="auto"/>
        <w:left w:val="none" w:sz="0" w:space="0" w:color="auto"/>
        <w:bottom w:val="none" w:sz="0" w:space="0" w:color="auto"/>
        <w:right w:val="none" w:sz="0" w:space="0" w:color="auto"/>
      </w:divBdr>
    </w:div>
    <w:div w:id="2044817566">
      <w:bodyDiv w:val="1"/>
      <w:marLeft w:val="0"/>
      <w:marRight w:val="0"/>
      <w:marTop w:val="0"/>
      <w:marBottom w:val="0"/>
      <w:divBdr>
        <w:top w:val="none" w:sz="0" w:space="0" w:color="auto"/>
        <w:left w:val="none" w:sz="0" w:space="0" w:color="auto"/>
        <w:bottom w:val="none" w:sz="0" w:space="0" w:color="auto"/>
        <w:right w:val="none" w:sz="0" w:space="0" w:color="auto"/>
      </w:divBdr>
      <w:divsChild>
        <w:div w:id="218054902">
          <w:marLeft w:val="0"/>
          <w:marRight w:val="0"/>
          <w:marTop w:val="0"/>
          <w:marBottom w:val="0"/>
          <w:divBdr>
            <w:top w:val="none" w:sz="0" w:space="0" w:color="auto"/>
            <w:left w:val="none" w:sz="0" w:space="0" w:color="auto"/>
            <w:bottom w:val="none" w:sz="0" w:space="0" w:color="auto"/>
            <w:right w:val="none" w:sz="0" w:space="0" w:color="auto"/>
          </w:divBdr>
        </w:div>
        <w:div w:id="779493755">
          <w:marLeft w:val="0"/>
          <w:marRight w:val="0"/>
          <w:marTop w:val="0"/>
          <w:marBottom w:val="0"/>
          <w:divBdr>
            <w:top w:val="none" w:sz="0" w:space="0" w:color="auto"/>
            <w:left w:val="none" w:sz="0" w:space="0" w:color="auto"/>
            <w:bottom w:val="none" w:sz="0" w:space="0" w:color="auto"/>
            <w:right w:val="none" w:sz="0" w:space="0" w:color="auto"/>
          </w:divBdr>
        </w:div>
      </w:divsChild>
    </w:div>
    <w:div w:id="2078284537">
      <w:bodyDiv w:val="1"/>
      <w:marLeft w:val="0"/>
      <w:marRight w:val="0"/>
      <w:marTop w:val="0"/>
      <w:marBottom w:val="0"/>
      <w:divBdr>
        <w:top w:val="none" w:sz="0" w:space="0" w:color="auto"/>
        <w:left w:val="none" w:sz="0" w:space="0" w:color="auto"/>
        <w:bottom w:val="none" w:sz="0" w:space="0" w:color="auto"/>
        <w:right w:val="none" w:sz="0" w:space="0" w:color="auto"/>
      </w:divBdr>
      <w:divsChild>
        <w:div w:id="1287391030">
          <w:marLeft w:val="0"/>
          <w:marRight w:val="0"/>
          <w:marTop w:val="0"/>
          <w:marBottom w:val="0"/>
          <w:divBdr>
            <w:top w:val="none" w:sz="0" w:space="0" w:color="auto"/>
            <w:left w:val="none" w:sz="0" w:space="0" w:color="auto"/>
            <w:bottom w:val="none" w:sz="0" w:space="0" w:color="auto"/>
            <w:right w:val="none" w:sz="0" w:space="0" w:color="auto"/>
          </w:divBdr>
        </w:div>
        <w:div w:id="727143654">
          <w:marLeft w:val="0"/>
          <w:marRight w:val="0"/>
          <w:marTop w:val="0"/>
          <w:marBottom w:val="0"/>
          <w:divBdr>
            <w:top w:val="none" w:sz="0" w:space="0" w:color="auto"/>
            <w:left w:val="none" w:sz="0" w:space="0" w:color="auto"/>
            <w:bottom w:val="none" w:sz="0" w:space="0" w:color="auto"/>
            <w:right w:val="none" w:sz="0" w:space="0" w:color="auto"/>
          </w:divBdr>
        </w:div>
        <w:div w:id="190804329">
          <w:marLeft w:val="0"/>
          <w:marRight w:val="0"/>
          <w:marTop w:val="0"/>
          <w:marBottom w:val="0"/>
          <w:divBdr>
            <w:top w:val="none" w:sz="0" w:space="0" w:color="auto"/>
            <w:left w:val="none" w:sz="0" w:space="0" w:color="auto"/>
            <w:bottom w:val="none" w:sz="0" w:space="0" w:color="auto"/>
            <w:right w:val="none" w:sz="0" w:space="0" w:color="auto"/>
          </w:divBdr>
        </w:div>
      </w:divsChild>
    </w:div>
    <w:div w:id="2081632813">
      <w:bodyDiv w:val="1"/>
      <w:marLeft w:val="0"/>
      <w:marRight w:val="0"/>
      <w:marTop w:val="0"/>
      <w:marBottom w:val="0"/>
      <w:divBdr>
        <w:top w:val="none" w:sz="0" w:space="0" w:color="auto"/>
        <w:left w:val="none" w:sz="0" w:space="0" w:color="auto"/>
        <w:bottom w:val="none" w:sz="0" w:space="0" w:color="auto"/>
        <w:right w:val="none" w:sz="0" w:space="0" w:color="auto"/>
      </w:divBdr>
      <w:divsChild>
        <w:div w:id="1147430326">
          <w:marLeft w:val="0"/>
          <w:marRight w:val="0"/>
          <w:marTop w:val="0"/>
          <w:marBottom w:val="0"/>
          <w:divBdr>
            <w:top w:val="none" w:sz="0" w:space="0" w:color="auto"/>
            <w:left w:val="none" w:sz="0" w:space="0" w:color="auto"/>
            <w:bottom w:val="none" w:sz="0" w:space="0" w:color="auto"/>
            <w:right w:val="none" w:sz="0" w:space="0" w:color="auto"/>
          </w:divBdr>
        </w:div>
        <w:div w:id="768475224">
          <w:marLeft w:val="0"/>
          <w:marRight w:val="0"/>
          <w:marTop w:val="0"/>
          <w:marBottom w:val="0"/>
          <w:divBdr>
            <w:top w:val="none" w:sz="0" w:space="0" w:color="auto"/>
            <w:left w:val="none" w:sz="0" w:space="0" w:color="auto"/>
            <w:bottom w:val="none" w:sz="0" w:space="0" w:color="auto"/>
            <w:right w:val="none" w:sz="0" w:space="0" w:color="auto"/>
          </w:divBdr>
        </w:div>
        <w:div w:id="953512580">
          <w:marLeft w:val="0"/>
          <w:marRight w:val="0"/>
          <w:marTop w:val="0"/>
          <w:marBottom w:val="0"/>
          <w:divBdr>
            <w:top w:val="none" w:sz="0" w:space="0" w:color="auto"/>
            <w:left w:val="none" w:sz="0" w:space="0" w:color="auto"/>
            <w:bottom w:val="none" w:sz="0" w:space="0" w:color="auto"/>
            <w:right w:val="none" w:sz="0" w:space="0" w:color="auto"/>
          </w:divBdr>
        </w:div>
        <w:div w:id="1335911501">
          <w:marLeft w:val="0"/>
          <w:marRight w:val="0"/>
          <w:marTop w:val="0"/>
          <w:marBottom w:val="0"/>
          <w:divBdr>
            <w:top w:val="none" w:sz="0" w:space="0" w:color="auto"/>
            <w:left w:val="none" w:sz="0" w:space="0" w:color="auto"/>
            <w:bottom w:val="none" w:sz="0" w:space="0" w:color="auto"/>
            <w:right w:val="none" w:sz="0" w:space="0" w:color="auto"/>
          </w:divBdr>
        </w:div>
      </w:divsChild>
    </w:div>
    <w:div w:id="2121490995">
      <w:bodyDiv w:val="1"/>
      <w:marLeft w:val="0"/>
      <w:marRight w:val="0"/>
      <w:marTop w:val="0"/>
      <w:marBottom w:val="0"/>
      <w:divBdr>
        <w:top w:val="none" w:sz="0" w:space="0" w:color="auto"/>
        <w:left w:val="none" w:sz="0" w:space="0" w:color="auto"/>
        <w:bottom w:val="none" w:sz="0" w:space="0" w:color="auto"/>
        <w:right w:val="none" w:sz="0" w:space="0" w:color="auto"/>
      </w:divBdr>
      <w:divsChild>
        <w:div w:id="1405835925">
          <w:marLeft w:val="0"/>
          <w:marRight w:val="0"/>
          <w:marTop w:val="0"/>
          <w:marBottom w:val="0"/>
          <w:divBdr>
            <w:top w:val="none" w:sz="0" w:space="0" w:color="auto"/>
            <w:left w:val="none" w:sz="0" w:space="0" w:color="auto"/>
            <w:bottom w:val="none" w:sz="0" w:space="0" w:color="auto"/>
            <w:right w:val="none" w:sz="0" w:space="0" w:color="auto"/>
          </w:divBdr>
        </w:div>
        <w:div w:id="531500739">
          <w:marLeft w:val="0"/>
          <w:marRight w:val="0"/>
          <w:marTop w:val="0"/>
          <w:marBottom w:val="0"/>
          <w:divBdr>
            <w:top w:val="none" w:sz="0" w:space="0" w:color="auto"/>
            <w:left w:val="none" w:sz="0" w:space="0" w:color="auto"/>
            <w:bottom w:val="none" w:sz="0" w:space="0" w:color="auto"/>
            <w:right w:val="none" w:sz="0" w:space="0" w:color="auto"/>
          </w:divBdr>
        </w:div>
        <w:div w:id="1659267439">
          <w:marLeft w:val="0"/>
          <w:marRight w:val="0"/>
          <w:marTop w:val="0"/>
          <w:marBottom w:val="0"/>
          <w:divBdr>
            <w:top w:val="none" w:sz="0" w:space="0" w:color="auto"/>
            <w:left w:val="none" w:sz="0" w:space="0" w:color="auto"/>
            <w:bottom w:val="none" w:sz="0" w:space="0" w:color="auto"/>
            <w:right w:val="none" w:sz="0" w:space="0" w:color="auto"/>
          </w:divBdr>
        </w:div>
        <w:div w:id="15910455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6" ma:contentTypeDescription="Create a new document." ma:contentTypeScope="" ma:versionID="cae15e6c34d5bf32657b66f4dd812014">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4b2310de1f009de9736f287c6141a56c"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customData xmlns:s="http://www.wps.cn/officeDocument/2013/wpsCustomData" xmlns="http://www.wps.cn/officeDocument/2013/wpsCustomData">
  <customSectProps>
    <customSectPr/>
  </customSectProps>
</s:customDat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lentele" DocPartId="e0970c7b578f42f6a05884ab0e92c1c4" PartId="03394674d0ad44f988eec852e75cb1bd"/>
  <Part Type="lentele" DocPartId="210f505c006c4379bff01db4b84e3109" PartId="808823d6e38742869bcfeb484c7dba95"/>
  <Part Type="lentele" DocPartId="c5626ae659794519a2a72ec66c1bf9c3" PartId="a31ee450e5594ea49f33706c77922d78"/>
</Parts>
</file>

<file path=customXml/itemProps1.xml><?xml version="1.0" encoding="utf-8"?>
<ds:datastoreItem xmlns:ds="http://schemas.openxmlformats.org/officeDocument/2006/customXml" ds:itemID="{575BE6BA-6109-4CEC-9F9E-2363F2BCFEAA}">
  <ds:schemaRefs>
    <ds:schemaRef ds:uri="http://schemas.microsoft.com/sharepoint/v3/contenttype/forms"/>
  </ds:schemaRefs>
</ds:datastoreItem>
</file>

<file path=customXml/itemProps2.xml><?xml version="1.0" encoding="utf-8"?>
<ds:datastoreItem xmlns:ds="http://schemas.openxmlformats.org/officeDocument/2006/customXml" ds:itemID="{A876F962-1DBB-441A-8DF8-2F5DB68D9C7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346FA5B-AC15-468F-A759-52078BB558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4E676072-BF81-403B-8F26-0F87731947F2}">
  <ds:schemaRefs>
    <ds:schemaRef ds:uri="http://schemas.openxmlformats.org/officeDocument/2006/bibliography"/>
  </ds:schemaRefs>
</ds:datastoreItem>
</file>

<file path=customXml/itemProps6.xml><?xml version="1.0" encoding="utf-8"?>
<ds:datastoreItem xmlns:ds="http://schemas.openxmlformats.org/officeDocument/2006/customXml" ds:itemID="{B1CB5F70-EAF5-4BD2-B3BB-1937EF024E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27632</Words>
  <Characters>190114</Characters>
  <Application>Microsoft Office Word</Application>
  <DocSecurity>4</DocSecurity>
  <Lines>3656</Lines>
  <Paragraphs>1577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AAA</Company>
  <LinksUpToDate>false</LinksUpToDate>
  <CharactersWithSpaces>216169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2022-04-19T05:25:00Z</dcterms:created>
  <dc:creator>vytautas</dc:creator>
  <lastModifiedBy>adlibuser</lastModifiedBy>
  <lastPrinted>2016-06-03T07:59:00Z</lastPrinted>
  <dcterms:modified xsi:type="dcterms:W3CDTF">2022-04-19T05:25:00Z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1033-11.2.0.9453</vt:lpwstr>
  </property>
  <property fmtid="{D5CDD505-2E9C-101B-9397-08002B2CF9AE}" pid="3" name="ContentTypeId">
    <vt:lpwstr>0x010100AA351E0ECF89C14A900DE8C04996CFDF</vt:lpwstr>
  </property>
</Properties>
</file>