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ecd3580347e4702ab05d2bfc93e1602"/>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098DB6E1" wp14:editId="1CAD859F">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8 706 63661,  el. p. info@am.lt, http://am.lrv.lt.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rPr>
                    <w:rFonts w:eastAsia="Andale Sans UI" w:cs="Tahoma"/>
                    <w:spacing w:val="10"/>
                    <w:szCs w:val="24"/>
                    <w:lang w:bidi="en-US"/>
                  </w:rPr>
                </w:pPr>
                <w:r>
                  <w:rPr>
                    <w:rFonts w:eastAsia="Andale Sans UI" w:cs="Tahoma"/>
                    <w:spacing w:val="10"/>
                    <w:szCs w:val="24"/>
                    <w:lang w:bidi="en-US"/>
                  </w:rPr>
                  <w:t>Adresatams pagal sąrašą</w:t>
                </w:r>
              </w:p>
              <w:p>
                <w:pPr>
                  <w:widowControl w:val="0"/>
                  <w:suppressLineNumbers/>
                  <w:suppressAutoHyphens/>
                  <w:rPr>
                    <w:rFonts w:eastAsia="Andale Sans UI" w:cs="Tahoma"/>
                    <w:spacing w:val="10"/>
                    <w:szCs w:val="24"/>
                    <w:lang w:bidi="en-US"/>
                  </w:rPr>
                </w:pPr>
              </w:p>
            </w:tc>
            <w:tc>
              <w:tcPr>
                <w:tcW w:w="282" w:type="dxa"/>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suppressAutoHyphens/>
                  <w:ind w:right="67"/>
                  <w:jc w:val="right"/>
                  <w:rPr>
                    <w:rFonts w:eastAsia="Andale Sans UI" w:cs="Tahoma"/>
                    <w:spacing w:val="10"/>
                    <w:szCs w:val="24"/>
                    <w:lang w:bidi="en-US"/>
                  </w:rPr>
                </w:pPr>
              </w:p>
            </w:tc>
            <w:tc>
              <w:tcPr>
                <w:tcW w:w="2133" w:type="dxa"/>
              </w:tcPr>
              <w:p>
                <w:pPr>
                  <w:widowControl w:val="0"/>
                  <w:suppressLineNumbers/>
                  <w:suppressAutoHyphens/>
                  <w:ind w:right="67"/>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suppressLineNumbers/>
                  <w:suppressAutoHyphens/>
                  <w:ind w:right="67"/>
                  <w:rPr>
                    <w:rFonts w:eastAsia="Andale Sans UI" w:cs="Tahoma"/>
                    <w:szCs w:val="24"/>
                    <w:lang w:bidi="en-US"/>
                  </w:rPr>
                </w:pPr>
                <w:r>
                  <w:rPr>
                    <w:rFonts w:eastAsia="Andale Sans UI" w:cs="Tahoma"/>
                    <w:szCs w:val="24"/>
                    <w:lang w:bidi="en-US"/>
                  </w:rPr>
                  <w:t>Nr.</w:t>
                </w:r>
              </w:p>
            </w:tc>
            <w:tc>
              <w:tcPr>
                <w:tcW w:w="2133" w:type="dxa"/>
              </w:tcPr>
              <w:p>
                <w:pPr>
                  <w:widowControl w:val="0"/>
                  <w:suppressLineNumbers/>
                  <w:suppressAutoHyphens/>
                  <w:ind w:right="67"/>
                  <w:rPr>
                    <w:rFonts w:eastAsia="Andale Sans UI" w:cs="Tahoma"/>
                    <w:szCs w:val="24"/>
                    <w:lang w:bidi="en-US"/>
                  </w:rPr>
                </w:pPr>
              </w:p>
            </w:tc>
          </w:tr>
          <w:tr>
            <w:trPr>
              <w:cantSplit/>
              <w:trHeight w:val="347"/>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jc w:val="both"/>
                  <w:rPr>
                    <w:b/>
                    <w:bCs/>
                    <w:szCs w:val="24"/>
                    <w:lang w:eastAsia="lt-LT"/>
                  </w:rPr>
                </w:pPr>
                <w:r>
                  <w:rPr>
                    <w:b/>
                    <w:bCs/>
                    <w:szCs w:val="24"/>
                    <w:lang w:eastAsia="lt-LT"/>
                  </w:rPr>
                  <w:t xml:space="preserve">DĖL </w:t>
                </w:r>
                <w:r>
                  <w:rPr>
                    <w:b/>
                    <w:bCs/>
                    <w:caps/>
                    <w:szCs w:val="24"/>
                    <w:lang w:eastAsia="lt-LT"/>
                  </w:rPr>
                  <w:t>ĮSTATYMO PROJeKTO DERINIMO</w:t>
                </w:r>
              </w:p>
            </w:tc>
          </w:tr>
        </w:tbl>
        <w:p>
          <w:pPr>
            <w:widowControl w:val="0"/>
            <w:suppressAutoHyphens/>
            <w:ind w:firstLine="567"/>
            <w:jc w:val="both"/>
            <w:rPr>
              <w:rFonts w:eastAsia="Andale Sans UI" w:cs="Tahoma"/>
              <w:szCs w:val="24"/>
              <w:lang w:bidi="en-US"/>
            </w:rPr>
          </w:pPr>
        </w:p>
      </w:sdtContent>
    </w:sdt>
    <w:sdt>
      <w:sdtPr>
        <w:alias w:val="pastraipa"/>
        <w:tag w:val="part_a5ea1cf640d94fb68f5c25f94f485e6c"/>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Teikiame derinti </w:t>
          </w:r>
          <w:r>
            <w:rPr>
              <w:rFonts w:eastAsia="Andale Sans UI" w:cs="Tahoma"/>
              <w:bCs/>
              <w:szCs w:val="24"/>
              <w:lang w:val="lt" w:eastAsia="lt-LT" w:bidi="en-US"/>
            </w:rPr>
            <w:t xml:space="preserve">Lietuvos Respublikos planuojamos ūkinės veiklos poveikio aplinkai vertinimo įstatymo Nr. I-1495 </w:t>
          </w:r>
          <w:r>
            <w:rPr>
              <w:rFonts w:eastAsia="Andale Sans UI" w:cs="Tahoma"/>
              <w:bCs/>
              <w:szCs w:val="24"/>
              <w:lang w:eastAsia="lt-LT" w:bidi="en-US"/>
            </w:rPr>
            <w:t xml:space="preserve">pakeitimo įstatymo projektą </w:t>
          </w:r>
          <w:r>
            <w:rPr>
              <w:rFonts w:eastAsia="Andale Sans UI" w:cs="Tahoma"/>
              <w:szCs w:val="24"/>
              <w:lang w:val="lt" w:bidi="en-US"/>
            </w:rPr>
            <w:t xml:space="preserve">(toliau – </w:t>
          </w:r>
          <w:r>
            <w:rPr>
              <w:rFonts w:eastAsia="Andale Sans UI" w:cs="Tahoma"/>
              <w:bCs/>
              <w:szCs w:val="24"/>
              <w:lang w:bidi="en-US"/>
            </w:rPr>
            <w:t>Įstatymo projektas). Įstatymo projektu siekiama:</w:t>
          </w:r>
        </w:p>
      </w:sdtContent>
    </w:sdt>
    <w:sdt>
      <w:sdtPr>
        <w:alias w:val="pastraipa"/>
        <w:tag w:val="part_74fd3e15abab4f65a960e44cd32ef7ca"/>
        <w:lock w:val="sdtLocked"/>
        <w:richText/>
      </w:sdtPr>
      <w:sdtContent>
        <w:p>
          <w:pPr>
            <w:widowControl w:val="0"/>
            <w:suppressAutoHyphens/>
            <w:spacing w:line="276" w:lineRule="auto"/>
            <w:ind w:firstLine="567"/>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xml:space="preserve">- nustatyti aiškų reikalavimą, kad visuomenė pastabas dėl poveikio aplinkai vertinimo dokumentų </w:t>
          </w:r>
          <w:r>
            <w:rPr>
              <w:rFonts w:eastAsia="Andale Sans UI" w:cs="Tahoma"/>
              <w:szCs w:val="24"/>
              <w:lang w:bidi="en-US"/>
            </w:rPr>
            <w:t>ir planuojamos ūkinės veiklos</w:t>
          </w:r>
          <w:r>
            <w:rPr>
              <w:rFonts w:eastAsia="Andale Sans UI" w:cs="Tahoma"/>
              <w:color w:val="000000"/>
              <w:szCs w:val="24"/>
              <w:shd w:val="clear" w:color="auto" w:fill="FFFFFF"/>
              <w:lang w:bidi="en-US"/>
            </w:rPr>
            <w:t xml:space="preserve">  t</w:t>
          </w:r>
          <w:r>
            <w:rPr>
              <w:rFonts w:eastAsia="Andale Sans UI" w:cs="Tahoma"/>
              <w:color w:val="000000"/>
              <w:szCs w:val="24"/>
              <w:lang w:bidi="en-US"/>
            </w:rPr>
            <w:t>eikia</w:t>
          </w:r>
          <w:r>
            <w:rPr>
              <w:rFonts w:eastAsia="Andale Sans UI" w:cs="Tahoma"/>
              <w:color w:val="000000"/>
              <w:szCs w:val="24"/>
              <w:shd w:val="clear" w:color="auto" w:fill="FFFFFF"/>
              <w:lang w:bidi="en-US"/>
            </w:rPr>
            <w:t xml:space="preserve"> atsakingajai institucijai,</w:t>
          </w:r>
        </w:p>
      </w:sdtContent>
    </w:sdt>
    <w:sdt>
      <w:sdtPr>
        <w:alias w:val="pastraipa"/>
        <w:tag w:val="part_5e0da8d203be426094e1e7b658cd7175"/>
        <w:lock w:val="sdtLocked"/>
        <w:richText/>
      </w:sdtPr>
      <w:sdtContent>
        <w:p>
          <w:pPr>
            <w:widowControl w:val="0"/>
            <w:suppressAutoHyphens/>
            <w:spacing w:line="276" w:lineRule="auto"/>
            <w:ind w:firstLine="567"/>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nustatyti aiškius draudimus planuojamos ūkinės veiklos skaidymui,</w:t>
          </w:r>
        </w:p>
      </w:sdtContent>
    </w:sdt>
    <w:sdt>
      <w:sdtPr>
        <w:alias w:val="pastraipa"/>
        <w:tag w:val="part_74f121cc4e9440faa756dfb82369b0de"/>
        <w:lock w:val="sdtLocked"/>
        <w:richText/>
      </w:sdtPr>
      <w:sdtContent>
        <w:p>
          <w:pPr>
            <w:widowControl w:val="0"/>
            <w:suppressAutoHyphens/>
            <w:spacing w:line="276" w:lineRule="auto"/>
            <w:ind w:firstLine="567"/>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xml:space="preserve">- patikslinti sąvokų apibrėžtis, </w:t>
          </w:r>
        </w:p>
      </w:sdtContent>
    </w:sdt>
    <w:sdt>
      <w:sdtPr>
        <w:alias w:val="pastraipa"/>
        <w:tag w:val="part_1134d1ac26fb41e78a59ab6b1badc20e"/>
        <w:lock w:val="sdtLocked"/>
        <w:richText/>
      </w:sdtPr>
      <w:sdtContent>
        <w:p>
          <w:pPr>
            <w:widowControl w:val="0"/>
            <w:suppressAutoHyphens/>
            <w:spacing w:line="276" w:lineRule="auto"/>
            <w:ind w:firstLine="567"/>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xml:space="preserve">- tiksliau apibrėžti kompensacinius mechanizmus, </w:t>
          </w:r>
        </w:p>
      </w:sdtContent>
    </w:sdt>
    <w:sdt>
      <w:sdtPr>
        <w:alias w:val="pastraipa"/>
        <w:tag w:val="part_589366e9002d48648b8cf09b28b9479c"/>
        <w:lock w:val="sdtLocked"/>
        <w:richText/>
      </w:sdtPr>
      <w:sdtContent>
        <w:p>
          <w:pPr>
            <w:widowControl w:val="0"/>
            <w:suppressAutoHyphens/>
            <w:spacing w:line="276" w:lineRule="auto"/>
            <w:ind w:firstLine="567"/>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xml:space="preserve">- patikslinti nuostatas, susijusias su tarpvalstybinio poveikio aplinkai vertinimo atlikimu ir atsisakyti poveikį patiriančios valstybės informavimo atrankos etape; </w:t>
          </w:r>
        </w:p>
      </w:sdtContent>
    </w:sdt>
    <w:sdt>
      <w:sdtPr>
        <w:alias w:val="pastraipa"/>
        <w:tag w:val="part_357fccfade9c4622a5c92d6914fe327b"/>
        <w:lock w:val="sdtLocked"/>
        <w:richText/>
      </w:sdtPr>
      <w:sdtContent>
        <w:p>
          <w:pPr>
            <w:widowControl w:val="0"/>
            <w:suppressAutoHyphens/>
            <w:spacing w:line="276" w:lineRule="auto"/>
            <w:ind w:firstLine="567"/>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xml:space="preserve">- detalizuoti reikalavimus dėl prievolės atlikti poveikio aplinkai vertinimą (toliau – PAV)  gyvulininkystės srityje, urbanistiniams objektams, metalurgijos srityje, pramoninių teritorijų vystymo ir kitose srityse;</w:t>
          </w:r>
        </w:p>
      </w:sdtContent>
    </w:sdt>
    <w:sdt>
      <w:sdtPr>
        <w:alias w:val="pastraipa"/>
        <w:tag w:val="part_3d9e4f20747e488ab49c2050076170db"/>
        <w:lock w:val="sdtLocked"/>
        <w:richText/>
      </w:sdtPr>
      <w:sdtContent>
        <w:p>
          <w:pPr>
            <w:widowControl w:val="0"/>
            <w:suppressAutoHyphens/>
            <w:spacing w:line="276" w:lineRule="auto"/>
            <w:ind w:firstLine="567"/>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patikslinti nuostatas dėl PAV įstatymo taikymo, kai ūkinė veikla plečiama ar keičiama;</w:t>
          </w:r>
        </w:p>
      </w:sdtContent>
    </w:sdt>
    <w:sdt>
      <w:sdtPr>
        <w:alias w:val="pastraipa"/>
        <w:tag w:val="part_9412d9090eb14aa0aa4da2f120abde68"/>
        <w:lock w:val="sdtLocked"/>
        <w:richText/>
      </w:sdtPr>
      <w:sdtContent>
        <w:p>
          <w:pPr>
            <w:widowControl w:val="0"/>
            <w:suppressAutoHyphens/>
            <w:spacing w:line="276" w:lineRule="auto"/>
            <w:ind w:firstLine="567"/>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atsižvelgus į praktinio taikymo metu kylančius klausimus, siekiant PAV įstatymo struktūros aiškumo, patikslinti kai kurias įstatymo nuostatas arba perkelti jas į kitus straipsnius;</w:t>
          </w:r>
        </w:p>
      </w:sdtContent>
    </w:sdt>
    <w:sdt>
      <w:sdtPr>
        <w:alias w:val="pastraipa"/>
        <w:tag w:val="part_962e133526704cf7b5c191f9834294fb"/>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color w:val="000000"/>
              <w:szCs w:val="24"/>
              <w:shd w:val="clear" w:color="auto" w:fill="FFFFFF"/>
              <w:lang w:bidi="en-US"/>
            </w:rPr>
            <w:t>- atlikti redakcinius pakeitimus. </w:t>
          </w:r>
        </w:p>
      </w:sdtContent>
    </w:sdt>
    <w:sdt>
      <w:sdtPr>
        <w:alias w:val="pastraipa"/>
        <w:tag w:val="part_2eeb0604fb224a409c1ca19fd78f5878"/>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Rengiant Įstatymo projektą, 2021 m. gruodžio mėnesį vykdytos viešosios konsultacijos, kai kurie siūlomi pakeitimai suformuluoti atsižvelgus į šių konsultacijų rezultatus. Siūlomi pakeitimai darbo tvarka iš anksto aptarti su kai kuriomis valstybinėmis institucijomis ir suinteresuotais asmenimis.</w:t>
          </w:r>
        </w:p>
      </w:sdtContent>
    </w:sdt>
    <w:sdt>
      <w:sdtPr>
        <w:alias w:val="pastraipa"/>
        <w:tag w:val="part_ffd53aae23db40b0a6d4e2b8405939d9"/>
        <w:lock w:val="sdtLocked"/>
        <w:richText/>
      </w:sdtPr>
      <w:sdtContent>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Konkrečios Įstatymo projekte siūlomos teisinio reguliavimo priemonės nurodytos Įstatymo projekto aiškinamajame rašte.</w:t>
          </w:r>
        </w:p>
      </w:sdtContent>
    </w:sdt>
    <w:sdt>
      <w:sdtPr>
        <w:alias w:val="pastraipa"/>
        <w:tag w:val="part_355f0bf4836047de840c808879878c38"/>
        <w:lock w:val="sdtLocked"/>
        <w:richText/>
      </w:sdtPr>
      <w:sdtContent>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Atsižvelgiant į tai, kad Lietuvos Respublikos energetikos ministerija parengė PAV įstatymo pakeitimo projektą (TAIS Nr. 22-4683), kuriame siūlo nuostatų, susijusių su atsinaujinančių išteklių energijos vystymo veiklomis, pakeitimus, ir šio PAV įstatymo pakeitimo projektas pateiktas derinti bendrame pakete su Lietuvos Respublikos elektros energetikos įstatymo Nr. VIII-1881 2, 6, 7, 9, 16, 17, 20, 211, 22, 22</w:t>
          </w:r>
          <w:r>
            <w:rPr>
              <w:rFonts w:eastAsia="Andale Sans UI" w:cs="Tahoma"/>
              <w:szCs w:val="24"/>
              <w:vertAlign w:val="superscript"/>
              <w:lang w:bidi="en-US"/>
            </w:rPr>
            <w:t>2</w:t>
          </w:r>
          <w:r>
            <w:rPr>
              <w:rFonts w:eastAsia="Andale Sans UI" w:cs="Tahoma"/>
              <w:szCs w:val="24"/>
              <w:lang w:bidi="en-US"/>
            </w:rPr>
            <w:t>, 23, 41, 48</w:t>
          </w:r>
          <w:r>
            <w:rPr>
              <w:rFonts w:eastAsia="Andale Sans UI" w:cs="Tahoma"/>
              <w:szCs w:val="24"/>
              <w:vertAlign w:val="superscript"/>
              <w:lang w:bidi="en-US"/>
            </w:rPr>
            <w:t>2</w:t>
          </w:r>
          <w:r>
            <w:rPr>
              <w:rFonts w:eastAsia="Andale Sans UI" w:cs="Tahoma"/>
              <w:szCs w:val="24"/>
              <w:lang w:bidi="en-US"/>
            </w:rPr>
            <w:t>, 49, 58, 72 ir 74 straipsnių pakeitimo ir Įstatymo papildymo 201 straipsniu įstatymo, Lietuvos Respublikos atsinaujinančių išteklių energetikos įstatymo Nr. XI-1375 2, 3, 6, 11, 13, 14, 20</w:t>
          </w:r>
          <w:r>
            <w:rPr>
              <w:rFonts w:eastAsia="Andale Sans UI" w:cs="Tahoma"/>
              <w:szCs w:val="24"/>
              <w:vertAlign w:val="superscript"/>
              <w:lang w:bidi="en-US"/>
            </w:rPr>
            <w:t>1</w:t>
          </w:r>
          <w:r>
            <w:rPr>
              <w:rFonts w:eastAsia="Andale Sans UI" w:cs="Tahoma"/>
              <w:szCs w:val="24"/>
              <w:lang w:bidi="en-US"/>
            </w:rPr>
            <w:t>, 202, 22, 30, 32, 49 straipsnių pakeitimo ir Įstatymo papildymo 13</w:t>
          </w:r>
          <w:r>
            <w:rPr>
              <w:rFonts w:eastAsia="Andale Sans UI" w:cs="Tahoma"/>
              <w:szCs w:val="24"/>
              <w:vertAlign w:val="superscript"/>
              <w:lang w:bidi="en-US"/>
            </w:rPr>
            <w:t>1</w:t>
          </w:r>
          <w:r>
            <w:rPr>
              <w:rFonts w:eastAsia="Andale Sans UI" w:cs="Tahoma"/>
              <w:szCs w:val="24"/>
              <w:lang w:bidi="en-US"/>
            </w:rPr>
            <w:t xml:space="preserve"> ir 20</w:t>
          </w:r>
          <w:r>
            <w:rPr>
              <w:rFonts w:eastAsia="Andale Sans UI" w:cs="Tahoma"/>
              <w:szCs w:val="24"/>
              <w:vertAlign w:val="superscript"/>
              <w:lang w:bidi="en-US"/>
            </w:rPr>
            <w:t>3</w:t>
          </w:r>
          <w:r>
            <w:rPr>
              <w:rFonts w:eastAsia="Andale Sans UI" w:cs="Tahoma"/>
              <w:szCs w:val="24"/>
              <w:lang w:bidi="en-US"/>
            </w:rPr>
            <w:t xml:space="preserve"> straipsniais įstatymo, Lietuvos Respublikos specialiųjų žemės naudojimo sąlygų įstatymo Nr. XIII-2166 50, 69, 84, 86 straipsnių ir 2 priedo pakeitimo įstatymo, Lietuvos Respublikos teritorijų planavimo įstatymo Nr. I-1120 20 straipsnio pakeitimo įstatymo projektais (toliau – Įstatymų paketas), kurių įsigaliojimas planuojamas nuo 2022-07-01, Aplinkos ministerija teikiamu Įstatymo projektu nekeičia nuostatų, susijusių su vėjo elektrinėmis ir saulės šviesos elektrinėmis, bet pateikia šių nuostatų galiojančią redakciją. Šios nuostatos bus atitinkamai pakeistos atsižvelgus į Energetikos ministerijos pateikto derinti Įstatymų paketo derinimo rezultatus.</w:t>
          </w:r>
        </w:p>
      </w:sdtContent>
    </w:sdt>
    <w:sdt>
      <w:sdtPr>
        <w:alias w:val="pastraipa"/>
        <w:tag w:val="part_0836de3b9f654572883521638b99a47f"/>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Priėmus nurodytus įstatymo pakeitimus, tikėtinas teigiamas poveikis aplinkai:</w:t>
          </w:r>
        </w:p>
      </w:sdtContent>
    </w:sdt>
    <w:sdt>
      <w:sdtPr>
        <w:alias w:val="pastraipa"/>
        <w:tag w:val="part_2d0f85a24fda4e619afdf2d1c07af1d8"/>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užtikrinant visuomenės dalyvavimą priimant aplinkosauginius sprendimus;</w:t>
          </w:r>
        </w:p>
      </w:sdtContent>
    </w:sdt>
    <w:sdt>
      <w:sdtPr>
        <w:alias w:val="pastraipa"/>
        <w:tag w:val="part_ef08ca402c154d89948fb46f0d3c28a2"/>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 užtikrinant </w:t>
          </w:r>
          <w:r>
            <w:rPr>
              <w:color w:val="000000"/>
              <w:szCs w:val="24"/>
              <w:lang w:eastAsia="lt-LT" w:bidi="en-US"/>
            </w:rPr>
            <w:t xml:space="preserve">2011 m. gruodžio 13 d. Europos Parlamento ir Tarybos direktyvoje </w:t>
          </w:r>
          <w:fldSimple w:instr="HYPERLINK http://eur-lex.europa.eu/legal-content/LIT/TXT/?uri=CELEX:32011L0092&amp;locale=lt \t _blank">
            <w:r>
              <w:rPr>
                <w:color w:val="0000FF" w:themeColor="hyperlink"/>
                <w:szCs w:val="24"/>
                <w:lang w:eastAsia="lt-LT" w:bidi="en-US"/>
                <w:u w:val="single"/>
              </w:rPr>
              <w:t>2011/92/ES</w:t>
            </w:r>
          </w:fldSimple>
          <w:r>
            <w:rPr>
              <w:color w:val="000000"/>
              <w:szCs w:val="24"/>
              <w:lang w:eastAsia="lt-LT" w:bidi="en-US"/>
            </w:rPr>
            <w:t xml:space="preserve"> dėl tam tikrų valstybės ir privačių projektų poveikio aplinkai vertinimo su paskutiniais pakeitimais, padarytais 2014 m. balandžio 16 d. Europos Parlamento ir Tarybos direktyva </w:t>
          </w:r>
          <w:fldSimple w:instr="HYPERLINK http://eur-lex.europa.eu/legal-content/LIT/TXT/?uri=CELEX:32014L0052&amp;locale=lt \t _blank">
            <w:r>
              <w:rPr>
                <w:color w:val="0000FF" w:themeColor="hyperlink"/>
                <w:szCs w:val="24"/>
                <w:lang w:eastAsia="lt-LT" w:bidi="en-US"/>
                <w:u w:val="single"/>
              </w:rPr>
              <w:t>2014/52/ES</w:t>
            </w:r>
          </w:fldSimple>
          <w:r>
            <w:rPr>
              <w:color w:val="000000"/>
              <w:szCs w:val="24"/>
              <w:lang w:eastAsia="lt-LT" w:bidi="en-US"/>
            </w:rPr>
            <w:t>,</w:t>
          </w:r>
          <w:r>
            <w:rPr>
              <w:rFonts w:eastAsia="Andale Sans UI" w:cs="Tahoma"/>
              <w:color w:val="000000"/>
              <w:szCs w:val="24"/>
              <w:bdr w:val="none" w:sz="0" w:space="0" w:color="auto" w:frame="1"/>
              <w:lang w:bidi="en-US"/>
            </w:rPr>
            <w:t xml:space="preserve"> </w:t>
          </w:r>
          <w:r>
            <w:rPr>
              <w:rFonts w:eastAsia="Andale Sans UI" w:cs="Tahoma"/>
              <w:szCs w:val="24"/>
              <w:bdr w:val="none" w:sz="0" w:space="0" w:color="auto" w:frame="1"/>
              <w:lang w:bidi="en-US"/>
            </w:rPr>
            <w:t>nustatytų tikslų laikymosi;</w:t>
          </w:r>
        </w:p>
      </w:sdtContent>
    </w:sdt>
    <w:sdt>
      <w:sdtPr>
        <w:alias w:val="pastraipa"/>
        <w:tag w:val="part_81768e7b5799439f802b92d7a80d8690"/>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 nustatant kompensacines neigiamo reikšmingo poveikio aplinkai priemones; </w:t>
          </w:r>
        </w:p>
      </w:sdtContent>
    </w:sdt>
    <w:sdt>
      <w:sdtPr>
        <w:alias w:val="pastraipa"/>
        <w:tag w:val="part_1a5b1bb3a49f42999005af9f1225a676"/>
        <w:lock w:val="sdtLocked"/>
        <w:richText/>
      </w:sdtPr>
      <w:sdtContent>
        <w:p>
          <w:pPr>
            <w:widowControl w:val="0"/>
            <w:suppressAutoHyphens/>
            <w:spacing w:line="276" w:lineRule="auto"/>
            <w:ind w:firstLine="567"/>
            <w:jc w:val="both"/>
            <w:rPr>
              <w:rFonts w:eastAsia="Andale Sans UI" w:cs="Tahoma"/>
              <w:color w:val="000000"/>
              <w:szCs w:val="24"/>
              <w:lang w:bidi="en-US"/>
            </w:rPr>
          </w:pPr>
          <w:r>
            <w:rPr>
              <w:rFonts w:eastAsia="Andale Sans UI" w:cs="Tahoma"/>
              <w:szCs w:val="24"/>
              <w:lang w:bidi="en-US"/>
            </w:rPr>
            <w:t xml:space="preserve">- užkertant kelią veiklų skaidymui, kuriuo siekiama išvengti atrankos ar poveikio aplinkai vertinimo procedūrų arba </w:t>
          </w:r>
          <w:r>
            <w:rPr>
              <w:rFonts w:eastAsia="Andale Sans UI" w:cs="Tahoma"/>
              <w:color w:val="000000"/>
              <w:szCs w:val="24"/>
              <w:bdr w:val="none" w:sz="0" w:space="0" w:color="auto" w:frame="1"/>
              <w:lang w:bidi="en-US"/>
            </w:rPr>
            <w:t xml:space="preserve">suminio poveikio vertinimo. </w:t>
          </w:r>
          <w:r>
            <w:rPr>
              <w:rFonts w:eastAsia="Andale Sans UI" w:cs="Tahoma"/>
              <w:color w:val="000000"/>
              <w:szCs w:val="24"/>
              <w:lang w:bidi="en-US"/>
            </w:rPr>
            <w:t>Numatomas teigiamas poveikis verslo sąlygoms:</w:t>
          </w:r>
        </w:p>
      </w:sdtContent>
    </w:sdt>
    <w:sdt>
      <w:sdtPr>
        <w:alias w:val="pastraipa"/>
        <w:tag w:val="part_f4d13b0ca9b74f48917310cfc66fdae3"/>
        <w:lock w:val="sdtLocked"/>
        <w:richText/>
      </w:sdtPr>
      <w:sdtContent>
        <w:p>
          <w:pPr>
            <w:widowControl w:val="0"/>
            <w:suppressAutoHyphens/>
            <w:spacing w:line="276" w:lineRule="auto"/>
            <w:ind w:firstLine="567"/>
            <w:jc w:val="both"/>
            <w:rPr>
              <w:rFonts w:eastAsia="Andale Sans UI" w:cs="Tahoma"/>
              <w:color w:val="000000"/>
              <w:szCs w:val="24"/>
              <w:lang w:bidi="en-US"/>
            </w:rPr>
          </w:pPr>
          <w:r>
            <w:rPr>
              <w:rFonts w:eastAsia="Andale Sans UI" w:cs="Tahoma"/>
              <w:color w:val="000000"/>
              <w:szCs w:val="24"/>
              <w:lang w:bidi="en-US"/>
            </w:rPr>
            <w:t>- nustatant aiškesnį reglamentavimą ir patogesnę PAV įstatymo struktūrą;</w:t>
          </w:r>
        </w:p>
      </w:sdtContent>
    </w:sdt>
    <w:sdt>
      <w:sdtPr>
        <w:alias w:val="pastraipa"/>
        <w:tag w:val="part_bca0135e877f43029e153963945a9388"/>
        <w:lock w:val="sdtLocked"/>
        <w:richText/>
      </w:sdtPr>
      <w:sdtContent>
        <w:p>
          <w:pPr>
            <w:widowControl w:val="0"/>
            <w:suppressAutoHyphens/>
            <w:spacing w:line="276" w:lineRule="auto"/>
            <w:ind w:firstLine="567"/>
            <w:jc w:val="both"/>
            <w:rPr>
              <w:rFonts w:eastAsia="Andale Sans UI" w:cs="Tahoma"/>
              <w:color w:val="000000"/>
              <w:szCs w:val="24"/>
              <w:lang w:bidi="en-US"/>
            </w:rPr>
          </w:pPr>
          <w:r>
            <w:rPr>
              <w:rFonts w:eastAsia="Andale Sans UI" w:cs="Tahoma"/>
              <w:color w:val="000000"/>
              <w:szCs w:val="24"/>
              <w:lang w:bidi="en-US"/>
            </w:rPr>
            <w:t>- patikslinant nuostatas dėl pakartotinių atrankos ar poveikio aplinkai vertinimo atlikimo prievolės ir aiškiau nustatant, kada procedūros nekartojamos;</w:t>
          </w:r>
        </w:p>
      </w:sdtContent>
    </w:sdt>
    <w:sdt>
      <w:sdtPr>
        <w:alias w:val="pastraipa"/>
        <w:tag w:val="part_dfcc389a7212434191dce09dded51b85"/>
        <w:lock w:val="sdtLocked"/>
        <w:richText/>
      </w:sdtPr>
      <w:sdtContent>
        <w:p>
          <w:pPr>
            <w:widowControl w:val="0"/>
            <w:suppressAutoHyphens/>
            <w:spacing w:line="276" w:lineRule="auto"/>
            <w:ind w:firstLine="567"/>
            <w:jc w:val="both"/>
            <w:rPr>
              <w:rFonts w:eastAsia="Andale Sans UI" w:cs="Tahoma"/>
              <w:color w:val="000000"/>
              <w:szCs w:val="24"/>
              <w:lang w:bidi="en-US"/>
            </w:rPr>
          </w:pPr>
          <w:r>
            <w:rPr>
              <w:rFonts w:eastAsia="Andale Sans UI" w:cs="Tahoma"/>
              <w:color w:val="000000"/>
              <w:szCs w:val="24"/>
              <w:lang w:bidi="en-US"/>
            </w:rPr>
            <w:t>- patikslinant veiklos rūšių pavadinimus ir tuo išvengiant perteklinių reikalavimų netinkamai taikant nuostatas;</w:t>
          </w:r>
        </w:p>
      </w:sdtContent>
    </w:sdt>
    <w:sdt>
      <w:sdtPr>
        <w:alias w:val="pastraipa"/>
        <w:tag w:val="part_7456e08ba37a45d486c0525f0d39f412"/>
        <w:lock w:val="sdtLocked"/>
        <w:richText/>
      </w:sdtPr>
      <w:sdtContent>
        <w:p>
          <w:pPr>
            <w:widowControl w:val="0"/>
            <w:suppressAutoHyphens/>
            <w:spacing w:line="276" w:lineRule="auto"/>
            <w:ind w:firstLine="567"/>
            <w:jc w:val="both"/>
            <w:rPr>
              <w:rFonts w:eastAsia="Andale Sans UI" w:cs="Tahoma"/>
              <w:color w:val="000000"/>
              <w:szCs w:val="24"/>
              <w:lang w:bidi="en-US"/>
            </w:rPr>
          </w:pPr>
          <w:r>
            <w:rPr>
              <w:rFonts w:eastAsia="Andale Sans UI" w:cs="Tahoma"/>
              <w:color w:val="000000"/>
              <w:szCs w:val="24"/>
              <w:lang w:bidi="en-US"/>
            </w:rPr>
            <w:t>- užtikrinama valstybės institucijų parama planuojamos ūkinės veiklos organizatoriui ir poveikio aplinkai vertinimo dokumentų rengėjui norint gauti informaciją iš užsienio valstybių tarpvalstybinio poveikio aplinkai vertinimo metu;</w:t>
          </w:r>
        </w:p>
      </w:sdtContent>
    </w:sdt>
    <w:sdt>
      <w:sdtPr>
        <w:alias w:val="pastraipa"/>
        <w:tag w:val="part_9ab941f95d214b11913cb327c1af71db"/>
        <w:lock w:val="sdtLocked"/>
        <w:richText/>
      </w:sdtPr>
      <w:sdtContent>
        <w:p>
          <w:pPr>
            <w:widowControl w:val="0"/>
            <w:suppressAutoHyphens/>
            <w:spacing w:line="276" w:lineRule="auto"/>
            <w:ind w:firstLine="567"/>
            <w:jc w:val="both"/>
            <w:rPr>
              <w:rFonts w:eastAsia="Andale Sans UI" w:cs="Tahoma"/>
              <w:color w:val="000000"/>
              <w:szCs w:val="24"/>
              <w:lang w:bidi="en-US"/>
            </w:rPr>
          </w:pPr>
          <w:r>
            <w:rPr>
              <w:rFonts w:eastAsia="Andale Sans UI" w:cs="Tahoma"/>
              <w:color w:val="000000"/>
              <w:szCs w:val="24"/>
              <w:lang w:bidi="en-US"/>
            </w:rPr>
            <w:t xml:space="preserve">- nustatytas baigtinis atvejų sąrašas, kai saugomų teritorijų institucijos gali būti kviečiamos dalyvauti vertinant poveikį aplinkai subjekto teisėmis. </w:t>
          </w:r>
        </w:p>
      </w:sdtContent>
    </w:sdt>
    <w:sdt>
      <w:sdtPr>
        <w:alias w:val="pastraipa"/>
        <w:tag w:val="part_bc2d86419d2447d48575ae00dbe5268c"/>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Neigiamų pasekmių priėmus Įstatymo projektą nenumatoma.</w:t>
          </w:r>
        </w:p>
      </w:sdtContent>
    </w:sdt>
    <w:sdt>
      <w:sdtPr>
        <w:alias w:val="pastraipa"/>
        <w:tag w:val="part_a0188c558b0040b7b77de3c81b41227a"/>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Įstatymo projekto įgyvendinimas nepareikalaus papildomų valstybės biudžeto lėšų. Įstatymo projekte nenustatomos naujos funkcijos ir įpareigojimai, kuriems įgyvendinti valstybės institucijoms reikėtų papildomų lėšų.</w:t>
          </w:r>
        </w:p>
      </w:sdtContent>
    </w:sdt>
    <w:sdt>
      <w:sdtPr>
        <w:alias w:val="pastraipa"/>
        <w:tag w:val="part_213bf0089069400da8cd392d8655d8e6"/>
        <w:lock w:val="sdtLocked"/>
        <w:richText/>
      </w:sdtPr>
      <w:sdtContent>
        <w:p>
          <w:pPr>
            <w:widowControl w:val="0"/>
            <w:suppressAutoHyphens/>
            <w:spacing w:line="276" w:lineRule="auto"/>
            <w:ind w:firstLine="567"/>
            <w:jc w:val="both"/>
            <w:rPr>
              <w:szCs w:val="24"/>
              <w:lang w:eastAsia="lt-LT" w:bidi="en-US"/>
            </w:rPr>
          </w:pPr>
          <w:r>
            <w:rPr>
              <w:szCs w:val="24"/>
              <w:lang w:eastAsia="lt-LT" w:bidi="en-US"/>
            </w:rPr>
            <w:t>Priimtas įstatymas įtakos kriminogeninei situacijai ir korupcijai neturės.</w:t>
          </w:r>
        </w:p>
      </w:sdtContent>
    </w:sdt>
    <w:sdt>
      <w:sdtPr>
        <w:alias w:val="pastraipa"/>
        <w:tag w:val="part_e6fe51b82ecc46e895923fa628175eaf"/>
        <w:lock w:val="sdtLocked"/>
        <w:richText/>
      </w:sdtPr>
      <w:sdtContent>
        <w:p>
          <w:pPr>
            <w:widowControl w:val="0"/>
            <w:suppressAutoHyphens/>
            <w:spacing w:line="276" w:lineRule="auto"/>
            <w:ind w:firstLine="567"/>
            <w:jc w:val="both"/>
            <w:rPr>
              <w:rFonts w:eastAsia="Calibri" w:cs="Tahoma"/>
              <w:szCs w:val="24"/>
              <w:lang w:bidi="en-US"/>
            </w:rPr>
          </w:pPr>
          <w:r>
            <w:rPr>
              <w:rFonts w:eastAsia="Calibri" w:cs="Tahoma"/>
              <w:szCs w:val="24"/>
              <w:lang w:bidi="en-US"/>
            </w:rPr>
            <w:t>Įstatymo projektas poveikio socialinei aplinkai neturės.</w:t>
          </w:r>
        </w:p>
      </w:sdtContent>
    </w:sdt>
    <w:sdt>
      <w:sdtPr>
        <w:alias w:val="pastraipa"/>
        <w:tag w:val="part_bee3e5bb458b4c5dbc09ea5611555bf7"/>
        <w:lock w:val="sdtLocked"/>
        <w:richText/>
      </w:sdtPr>
      <w:sdtContent>
        <w:p>
          <w:pPr>
            <w:widowControl w:val="0"/>
            <w:suppressAutoHyphens/>
            <w:spacing w:line="276" w:lineRule="auto"/>
            <w:ind w:firstLine="567"/>
            <w:jc w:val="both"/>
            <w:rPr>
              <w:rFonts w:eastAsia="Calibri" w:cs="Tahoma"/>
              <w:szCs w:val="24"/>
              <w:lang w:bidi="en-US"/>
            </w:rPr>
          </w:pPr>
          <w:r>
            <w:rPr>
              <w:rFonts w:eastAsia="Calibri" w:cs="Tahoma"/>
              <w:szCs w:val="24"/>
              <w:lang w:bidi="en-US"/>
            </w:rPr>
            <w:t>Įstatymo projektas tiesioginio poveikio klimato kaitai neturės.</w:t>
          </w:r>
        </w:p>
      </w:sdtContent>
    </w:sdt>
    <w:sdt>
      <w:sdtPr>
        <w:alias w:val="pastraipa"/>
        <w:tag w:val="part_e899ed71950b417eb3a9fe5f9d7d0b94"/>
        <w:lock w:val="sdtLocked"/>
        <w:richText/>
      </w:sdtPr>
      <w:sdtContent>
        <w:p>
          <w:pPr>
            <w:widowControl w:val="0"/>
            <w:suppressAutoHyphens/>
            <w:spacing w:line="276" w:lineRule="auto"/>
            <w:ind w:firstLine="567"/>
            <w:jc w:val="both"/>
            <w:rPr>
              <w:rFonts w:eastAsia="Calibri" w:cs="Tahoma"/>
              <w:szCs w:val="24"/>
              <w:lang w:bidi="en-US"/>
            </w:rPr>
          </w:pPr>
          <w:r>
            <w:rPr>
              <w:rFonts w:eastAsia="Calibri" w:cs="Tahoma"/>
              <w:szCs w:val="24"/>
              <w:lang w:bidi="en-US"/>
            </w:rPr>
            <w:t>Įstatymo projektas nenotifikuotinas Europos Komisijai vadovaujantis Vyriausybės 1999 m. gegužės 20 d. nutarimu Nr. 617 „Dėl Informacijos apie techninius reglamentus ir atitikties įvertinimo procedūras teikimo taisyklių patvirtinimo“.</w:t>
          </w:r>
        </w:p>
      </w:sdtContent>
    </w:sdt>
    <w:sdt>
      <w:sdtPr>
        <w:alias w:val="pastraipa"/>
        <w:tag w:val="part_88fc6fc847da463b9fd57b6e16bdd103"/>
        <w:lock w:val="sdtLocked"/>
        <w:richText/>
      </w:sdtPr>
      <w:sdtContent>
        <w:p>
          <w:pPr>
            <w:widowControl w:val="0"/>
            <w:suppressAutoHyphens/>
            <w:spacing w:line="276" w:lineRule="auto"/>
            <w:ind w:firstLine="567"/>
            <w:jc w:val="both"/>
            <w:rPr>
              <w:rFonts w:eastAsia="Calibri" w:cs="Tahoma"/>
              <w:szCs w:val="24"/>
              <w:lang w:bidi="en-US"/>
            </w:rPr>
          </w:pPr>
          <w:r>
            <w:rPr>
              <w:rFonts w:eastAsia="Calibri" w:cs="Tahoma"/>
              <w:szCs w:val="24"/>
              <w:lang w:bidi="en-US"/>
            </w:rPr>
            <w:t>Vadovaujantis Lietuvos Respublikos teisėkūros pagrindų įstatymo 15 straipsnio 1 dalimi, Įstatymų projektų numatomo teisinio reguliavimo poveikio vertinimas neatliekamas.</w:t>
          </w:r>
        </w:p>
      </w:sdtContent>
    </w:sdt>
    <w:sdt>
      <w:sdtPr>
        <w:alias w:val="pastraipa"/>
        <w:tag w:val="part_fc7155500b7549a7bc7a5b6ceb69c991"/>
        <w:lock w:val="sdtLocked"/>
        <w:richText/>
      </w:sdtPr>
      <w:sdtContent>
        <w:p>
          <w:pPr>
            <w:widowControl w:val="0"/>
            <w:suppressAutoHyphens/>
            <w:ind w:firstLine="567"/>
            <w:jc w:val="both"/>
            <w:rPr>
              <w:rFonts w:eastAsia="Andale Sans UI" w:cs="Tahoma"/>
              <w:color w:val="000000"/>
              <w:szCs w:val="24"/>
              <w:lang w:bidi="en-US"/>
            </w:rPr>
          </w:pPr>
          <w:r>
            <w:rPr>
              <w:szCs w:val="24"/>
              <w:lang w:bidi="en-US"/>
            </w:rPr>
            <w:t>Įstatymo projekte pateikta nauja sąvoka „planuojamos ūkinės veiklos artima aplinka“ ir keičiamos sąvokos „numatomas reikšmingas neigiamas poveikis aplinkai“, „Natura 2000“ teritorijos artima aplinka“, „planuojamos ūkinės veiklos organizatorius (užsakovas)“, „poveikio aplinkai vertinimo dokumentų rengėjas“, „</w:t>
          </w:r>
          <w:r>
            <w:rPr>
              <w:rFonts w:eastAsia="Andale Sans UI" w:cs="Tahoma"/>
              <w:color w:val="000000"/>
              <w:szCs w:val="24"/>
              <w:lang w:bidi="en-US"/>
            </w:rPr>
            <w:t>planuojamos ūkinės veiklos atranka dėl poveikio aplinkai vertinimo</w:t>
          </w:r>
          <w:r>
            <w:rPr>
              <w:szCs w:val="24"/>
              <w:lang w:bidi="en-US"/>
            </w:rPr>
            <w:t>“, „sprendimas dėl planuojamos ūkinės veiklos poveikio aplinkai“ bus suderintos su Valstybine lietuvių kalbos komisija Lietuvos</w:t>
          </w:r>
          <w:r>
            <w:rPr>
              <w:rFonts w:eastAsia="Andale Sans UI" w:cs="Tahoma"/>
              <w:szCs w:val="24"/>
              <w:lang w:bidi="en-US"/>
            </w:rPr>
            <w:t xml:space="preserve"> Respublikos t</w:t>
          </w:r>
          <w:r>
            <w:rPr>
              <w:rFonts w:eastAsia="Andale Sans UI" w:cs="Tahoma"/>
              <w:color w:val="000000"/>
              <w:szCs w:val="24"/>
              <w:lang w:bidi="en-US"/>
            </w:rPr>
            <w:t xml:space="preserve">erminų banko įstatymo ir jo įgyvendinamųjų teisės aktų nustatyta tvarka. </w:t>
          </w:r>
        </w:p>
      </w:sdtContent>
    </w:sdt>
    <w:sdt>
      <w:sdtPr>
        <w:alias w:val="pastraipa"/>
        <w:tag w:val="part_c38a5219fe024be9bbd8eef8d9ad3f9e"/>
        <w:lock w:val="sdtLocked"/>
        <w:richText/>
      </w:sdtPr>
      <w:sdtContent>
        <w:p>
          <w:pPr>
            <w:widowControl w:val="0"/>
            <w:suppressAutoHyphens/>
            <w:spacing w:line="276" w:lineRule="auto"/>
            <w:ind w:firstLine="567"/>
            <w:jc w:val="both"/>
            <w:rPr>
              <w:rFonts w:eastAsia="Calibri" w:cs="Tahoma"/>
              <w:szCs w:val="24"/>
              <w:lang w:bidi="en-US"/>
            </w:rPr>
          </w:pPr>
          <w:r>
            <w:rPr>
              <w:rFonts w:eastAsia="Calibri" w:cs="Tahoma"/>
              <w:szCs w:val="24"/>
              <w:lang w:bidi="en-US"/>
            </w:rPr>
            <w:t xml:space="preserve">Įstatymo projektu perkeliamos 2011 m. gruodžio 13 d. Europos Parlamento ir Tarybos direktyvos </w:t>
          </w:r>
          <w:fldSimple w:instr="HYPERLINK http://eur-lex.europa.eu/legal-content/LIT/TXT/?uri=CELEX:32011L0092&amp;locale=lt \t _blank">
            <w:r>
              <w:rPr>
                <w:rFonts w:eastAsia="Calibri" w:cs="Tahoma"/>
                <w:szCs w:val="24"/>
                <w:lang w:bidi="en-US"/>
                <w:u w:val="single"/>
                <w:color w:val="0000FF" w:themeColor="hyperlink"/>
              </w:rPr>
              <w:t>2011/92/ES</w:t>
            </w:r>
          </w:fldSimple>
          <w:r>
            <w:rPr>
              <w:rFonts w:eastAsia="Calibri" w:cs="Tahoma"/>
              <w:szCs w:val="24"/>
              <w:lang w:bidi="en-US"/>
            </w:rPr>
            <w:t xml:space="preserve"> dėl tam tikrų valstybės ir privačių projektų poveikio aplinkai </w:t>
          </w:r>
          <w:r>
            <w:rPr>
              <w:color w:val="000000"/>
              <w:szCs w:val="24"/>
              <w:lang w:eastAsia="lt-LT" w:bidi="en-US"/>
            </w:rPr>
            <w:t xml:space="preserve">vertinimo su paskutiniais pakeitimais, padarytais 2014 m. balandžio 16 d. Europos Parlamento ir Tarybos direktyva </w:t>
          </w:r>
          <w:fldSimple w:instr="HYPERLINK http://eur-lex.europa.eu/legal-content/LIT/TXT/?uri=CELEX:32014L0052&amp;locale=lt \t _blank">
            <w:r>
              <w:rPr>
                <w:color w:val="0000FF" w:themeColor="hyperlink"/>
                <w:szCs w:val="24"/>
                <w:lang w:eastAsia="lt-LT" w:bidi="en-US"/>
                <w:u w:val="single"/>
              </w:rPr>
              <w:t>2014/52/ES</w:t>
            </w:r>
          </w:fldSimple>
          <w:r>
            <w:rPr>
              <w:color w:val="000000"/>
              <w:szCs w:val="24"/>
              <w:lang w:eastAsia="lt-LT" w:bidi="en-US"/>
            </w:rPr>
            <w:t>,</w:t>
          </w:r>
          <w:r>
            <w:rPr>
              <w:rFonts w:eastAsia="Calibri" w:cs="Tahoma"/>
              <w:szCs w:val="24"/>
              <w:lang w:bidi="en-US"/>
            </w:rPr>
            <w:t xml:space="preserve"> nuostatos.</w:t>
          </w:r>
        </w:p>
      </w:sdtContent>
    </w:sdt>
    <w:sdt>
      <w:sdtPr>
        <w:alias w:val="pastraipa"/>
        <w:tag w:val="part_bbc4e5f916b440c09d2d61176fce359b"/>
        <w:lock w:val="sdtLocked"/>
        <w:richText/>
      </w:sdtPr>
      <w:sdtContent>
        <w:p>
          <w:pPr>
            <w:widowControl w:val="0"/>
            <w:suppressAutoHyphens/>
            <w:spacing w:line="276" w:lineRule="auto"/>
            <w:ind w:firstLine="567"/>
            <w:jc w:val="both"/>
            <w:rPr>
              <w:rFonts w:eastAsia="Andale Sans UI" w:cs="Tahoma"/>
              <w:szCs w:val="24"/>
              <w:lang w:bidi="en-US"/>
            </w:rPr>
          </w:pPr>
          <w:r>
            <w:rPr>
              <w:rFonts w:eastAsia="Calibri" w:cs="Tahoma"/>
              <w:szCs w:val="24"/>
              <w:lang w:bidi="en-US"/>
            </w:rPr>
            <w:t>Įstatymo projektas neprieštarauja Lietuvos Respublikos Vyriausybės programai, patvirtintai Lietuvos Respublikos Seimo 2020 m. gruodžio 11</w:t>
          </w:r>
          <w:r>
            <w:rPr>
              <w:rFonts w:eastAsia="Andale Sans UI" w:cs="Tahoma"/>
              <w:szCs w:val="24"/>
              <w:lang w:bidi="en-US"/>
            </w:rPr>
            <w:t xml:space="preserve"> d. nutarimu Nr. XIV-72 „Dėl Aštuonioliktosios Lietuvos Respublikos Vyriausybės programos“. Įstatymo projektas įrašytas į Vyriausybės 2021–2024 metų teisėkūros planą (Eil. Nr. 113) kaip Vyriausybės programą įgyvendinantis teisės akto projektas.</w:t>
          </w:r>
        </w:p>
      </w:sdtContent>
    </w:sdt>
    <w:sdt>
      <w:sdtPr>
        <w:alias w:val="pastraipa"/>
        <w:tag w:val="part_0c6d6c5b77b44a8ab2147dab3076fbaf"/>
        <w:lock w:val="sdtLocked"/>
        <w:richText/>
      </w:sdtPr>
      <w:sdtContent>
        <w:p>
          <w:pPr>
            <w:widowControl w:val="0"/>
            <w:shd w:val="clear" w:color="auto" w:fill="FFFFFF"/>
            <w:suppressAutoHyphens/>
            <w:spacing w:line="276" w:lineRule="auto"/>
            <w:ind w:firstLine="567"/>
            <w:jc w:val="both"/>
            <w:rPr>
              <w:rFonts w:eastAsia="Andale Sans UI" w:cs="Tahoma"/>
              <w:bCs/>
              <w:color w:val="000000"/>
              <w:szCs w:val="24"/>
              <w:lang w:eastAsia="lt-LT" w:bidi="en-US"/>
            </w:rPr>
          </w:pPr>
          <w:r>
            <w:rPr>
              <w:rFonts w:eastAsia="Andale Sans UI" w:cs="Tahoma"/>
              <w:bCs/>
              <w:color w:val="000000"/>
              <w:szCs w:val="24"/>
              <w:lang w:eastAsia="lt-LT" w:bidi="en-US"/>
            </w:rPr>
            <w:t xml:space="preserve">Įstatymo projektas parengtas laikantis Lietuvos Respublikos valstybinės kalbos, Teisėkūros pagrindų įstatymo reikalavimų ir atitinka bendrinės lietuvių kalbos normas. </w:t>
          </w:r>
        </w:p>
      </w:sdtContent>
    </w:sdt>
    <w:sdt>
      <w:sdtPr>
        <w:alias w:val="pastraipa"/>
        <w:tag w:val="part_01efc90e07db4ddb840d8eae6d822423"/>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Įstatymo projektas skelbiamas Lietuvos Respublikos Seimo kanceliarijos teisės aktų informacinėje sistemoje (TAIS), kur su Įstatymų projektu gali susipažinti suinteresuotos institucijos ir visuomenė. Viešoji konsultacija dėl PAV įstatymo pakeitimo su visuomene organizuota per platformą  E. pilietis 2021 m. gruodžio 8–31 d. apklausos būdu. Viešųjų konsultacijų tikslas – sužinoti Lietuvos suinteresuotų asmenų ir visuomenės nuomonę dėl PAV įstatymo pakeitimo poreikio. Apklausos metu  norėta išsiaiškinti suinteresuotų asmenų ir visuomenės nuomonę  dėl poreikio atlikti poveikio aplinkai vertinimo procedūras vystant vėjo elektrines; reikalavimo atlikti atrankos dėl poveikio aplinkai vertinimo procedūras vystant saulės elektrines; kiti aktualūs pasiūlymai. Apklausos metu gauta labai skirtingų nuomonių, kai kurie respondentai siūlė labai griežtinti reikalavimus dėl PAV atlikimo vėjo ir saulės šviesos elektrinėms, kiti siūlė jų atsisakyti. Gauta pasiūlymų dėl kitų PAV įstatymo nuostatų tikslinimo, į kuriuos atsižvelgta rengiant Įstatymo projektą. Prašome išnagrinėti Įstatymo projektą ir ne vėliau kaip per 12 darbo dienų nuo jo paskelbimo TAIS dienos pagal kompetenciją pateikti pastabas ir pasiūlymus. Per nurodytą terminą negavę pastabų ir pasiūlymų, laikysime, kad pastabų ir pasiūlymų dėl Įstatymo projekto neturite.</w:t>
          </w:r>
        </w:p>
      </w:sdtContent>
    </w:sdt>
    <w:sdt>
      <w:sdtPr>
        <w:alias w:val="pastraipa"/>
        <w:tag w:val="part_06ef8dac92c0428da4b9ffe75b6b1d34"/>
        <w:lock w:val="sdtLocked"/>
        <w:richText/>
      </w:sdtPr>
      <w:sdtContent>
        <w:p>
          <w:pPr>
            <w:widowControl w:val="0"/>
            <w:suppressAutoHyphens/>
            <w:spacing w:line="276" w:lineRule="auto"/>
            <w:ind w:firstLine="567"/>
            <w:jc w:val="both"/>
            <w:rPr>
              <w:lang w:bidi="en-US"/>
            </w:rPr>
          </w:pPr>
          <w:r>
            <w:rPr>
              <w:rFonts w:eastAsia="Andale Sans UI" w:cs="Tahoma"/>
              <w:szCs w:val="24"/>
              <w:lang w:bidi="en-US"/>
            </w:rPr>
            <w:t>Įst</w:t>
          </w:r>
          <w:r>
            <w:rPr>
              <w:lang w:bidi="en-US"/>
            </w:rPr>
            <w:t xml:space="preserve">atymo projektą parengė Aplinkos ministerijos Taršos prevencijos politikos grupės (vadovas – Vitalijus Auglys, tel. 8 686 46087, el. p. vitalijus.auglys@am.lt) vyresnioji patarėja Beata Vilimaitė Šilobritienė (tel. 8 645 89487, el. p. </w:t>
          </w:r>
          <w:r>
            <w:rPr>
              <w:lang w:bidi="en-US"/>
            </w:rPr>
            <w:t>beata.silobritiene@am.lt</w:t>
          </w:r>
          <w:r>
            <w:rPr>
              <w:lang w:bidi="en-US"/>
            </w:rPr>
            <w:t>), vyriausiasis specialistas Mindaugas Raulinaitis (tel. 8 695 41925, el. p. mindaugas.raulinaitis@am.lt).</w:t>
          </w:r>
        </w:p>
      </w:sdtContent>
    </w:sdt>
    <w:sdt>
      <w:sdtPr>
        <w:alias w:val="pastraipa"/>
        <w:tag w:val="part_d02370a4e6784663a78f0df0ad2b5292"/>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PRIDEDAMA:</w:t>
          </w:r>
        </w:p>
        <w:sdt>
          <w:sdtPr>
            <w:alias w:val="1 p."/>
            <w:tag w:val="part_742e854d7a7c487baf5fa1363a84b591"/>
            <w:lock w:val="sdtLocked"/>
            <w:richText/>
          </w:sdtPr>
          <w:sdtContent>
            <w:p>
              <w:pPr>
                <w:widowControl w:val="0"/>
                <w:suppressAutoHyphens/>
                <w:spacing w:line="276" w:lineRule="auto"/>
                <w:ind w:firstLine="567"/>
                <w:jc w:val="both"/>
                <w:rPr>
                  <w:rFonts w:eastAsia="Andale Sans UI" w:cs="Tahoma"/>
                  <w:szCs w:val="24"/>
                  <w:lang w:val="lt" w:bidi="en-US"/>
                </w:rPr>
              </w:pPr>
              <w:sdt>
                <w:sdtPr>
                  <w:alias w:val="Numeris"/>
                  <w:tag w:val="nr_742e854d7a7c487baf5fa1363a84b591"/>
                  <w:lock w:val="sdtLocked"/>
                  <w:richText/>
                </w:sdtPr>
                <w:sdtContent>
                  <w:r>
                    <w:rPr>
                      <w:rFonts w:eastAsia="Andale Sans UI" w:cs="Tahoma"/>
                      <w:szCs w:val="24"/>
                      <w:lang w:bidi="en-US"/>
                    </w:rPr>
                    <w:t>1</w:t>
                  </w:r>
                </w:sdtContent>
              </w:sdt>
              <w:r>
                <w:rPr>
                  <w:rFonts w:eastAsia="Andale Sans UI" w:cs="Tahoma"/>
                  <w:szCs w:val="24"/>
                  <w:lang w:bidi="en-US"/>
                </w:rPr>
                <w:t xml:space="preserve">. </w:t>
              </w:r>
              <w:r>
                <w:rPr>
                  <w:rFonts w:eastAsia="Andale Sans UI" w:cs="Tahoma"/>
                  <w:szCs w:val="24"/>
                  <w:lang w:val="lt" w:bidi="en-US"/>
                </w:rPr>
                <w:t>Įstatymo projektas, 2</w:t>
              </w:r>
              <w:r>
                <w:rPr>
                  <w:rFonts w:eastAsia="Andale Sans UI" w:cs="Tahoma"/>
                  <w:szCs w:val="24"/>
                  <w:lang w:bidi="en-US"/>
                </w:rPr>
                <w:t>7</w:t>
              </w:r>
              <w:r>
                <w:rPr>
                  <w:rFonts w:eastAsia="Andale Sans UI" w:cs="Tahoma"/>
                  <w:szCs w:val="24"/>
                  <w:lang w:val="lt" w:bidi="en-US"/>
                </w:rPr>
                <w:t xml:space="preserve"> lapai.</w:t>
              </w:r>
            </w:p>
          </w:sdtContent>
        </w:sdt>
        <w:sdt>
          <w:sdtPr>
            <w:alias w:val="2 p."/>
            <w:tag w:val="part_1153f39fcc2744568eed6662e37c4e34"/>
            <w:lock w:val="sdtLocked"/>
            <w:richText/>
          </w:sdtPr>
          <w:sdtContent>
            <w:p>
              <w:pPr>
                <w:widowControl w:val="0"/>
                <w:suppressAutoHyphens/>
                <w:spacing w:line="276" w:lineRule="auto"/>
                <w:ind w:firstLine="567"/>
                <w:jc w:val="both"/>
                <w:rPr>
                  <w:rFonts w:eastAsia="Andale Sans UI" w:cs="Tahoma"/>
                  <w:szCs w:val="24"/>
                  <w:lang w:val="lt" w:bidi="en-US"/>
                </w:rPr>
              </w:pPr>
              <w:sdt>
                <w:sdtPr>
                  <w:alias w:val="Numeris"/>
                  <w:tag w:val="nr_1153f39fcc2744568eed6662e37c4e34"/>
                  <w:lock w:val="sdtLocked"/>
                  <w:richText/>
                </w:sdtPr>
                <w:sdtContent>
                  <w:r>
                    <w:rPr>
                      <w:rFonts w:eastAsia="Andale Sans UI" w:cs="Tahoma"/>
                      <w:szCs w:val="24"/>
                      <w:lang w:val="lt" w:bidi="en-US"/>
                    </w:rPr>
                    <w:t>2</w:t>
                  </w:r>
                </w:sdtContent>
              </w:sdt>
              <w:r>
                <w:rPr>
                  <w:rFonts w:eastAsia="Andale Sans UI" w:cs="Tahoma"/>
                  <w:szCs w:val="24"/>
                  <w:lang w:val="lt" w:bidi="en-US"/>
                </w:rPr>
                <w:t xml:space="preserve">. Įstatymo projekto lyginamasis variantas, 30 </w:t>
              </w:r>
              <w:r>
                <w:rPr>
                  <w:rFonts w:eastAsia="Andale Sans UI" w:cs="Tahoma"/>
                  <w:color w:val="000000"/>
                  <w:szCs w:val="24"/>
                  <w:lang w:val="lt" w:bidi="en-US"/>
                </w:rPr>
                <w:t>lapų</w:t>
              </w:r>
              <w:r>
                <w:rPr>
                  <w:rFonts w:eastAsia="Andale Sans UI" w:cs="Tahoma"/>
                  <w:color w:val="FF0000"/>
                  <w:szCs w:val="24"/>
                  <w:lang w:val="lt" w:bidi="en-US"/>
                </w:rPr>
                <w:t>.</w:t>
              </w:r>
            </w:p>
          </w:sdtContent>
        </w:sdt>
        <w:sdt>
          <w:sdtPr>
            <w:alias w:val="3 p."/>
            <w:tag w:val="part_f6f5ff8074084eafb1d08fecd0f9b295"/>
            <w:lock w:val="sdtLocked"/>
            <w:richText/>
          </w:sdtPr>
          <w:sdtContent>
            <w:p>
              <w:pPr>
                <w:widowControl w:val="0"/>
                <w:suppressAutoHyphens/>
                <w:spacing w:line="276" w:lineRule="auto"/>
                <w:ind w:firstLine="567"/>
                <w:jc w:val="both"/>
                <w:rPr>
                  <w:rFonts w:eastAsia="Andale Sans UI" w:cs="Tahoma"/>
                  <w:bCs/>
                  <w:szCs w:val="24"/>
                  <w:lang w:bidi="en-US"/>
                </w:rPr>
              </w:pPr>
              <w:sdt>
                <w:sdtPr>
                  <w:alias w:val="Numeris"/>
                  <w:tag w:val="nr_f6f5ff8074084eafb1d08fecd0f9b295"/>
                  <w:lock w:val="sdtLocked"/>
                  <w:richText/>
                </w:sdtPr>
                <w:sdtContent>
                  <w:r>
                    <w:rPr>
                      <w:rFonts w:eastAsia="Andale Sans UI" w:cs="Tahoma"/>
                      <w:szCs w:val="24"/>
                      <w:lang w:bidi="en-US"/>
                    </w:rPr>
                    <w:t>3</w:t>
                  </w:r>
                </w:sdtContent>
              </w:sdt>
              <w:r>
                <w:rPr>
                  <w:rFonts w:eastAsia="Andale Sans UI" w:cs="Tahoma"/>
                  <w:szCs w:val="24"/>
                  <w:lang w:bidi="en-US"/>
                </w:rPr>
                <w:t xml:space="preserve">. </w:t>
              </w:r>
              <w:r>
                <w:rPr>
                  <w:rFonts w:eastAsia="Andale Sans UI" w:cs="Tahoma"/>
                  <w:bCs/>
                  <w:szCs w:val="24"/>
                  <w:lang w:bidi="en-US"/>
                </w:rPr>
                <w:t xml:space="preserve">Lietuvos Respublikos nutarimo „Dėl </w:t>
              </w:r>
              <w:r>
                <w:rPr>
                  <w:rFonts w:eastAsia="Andale Sans UI" w:cs="Tahoma"/>
                  <w:bCs/>
                  <w:szCs w:val="24"/>
                  <w:lang w:val="lt" w:eastAsia="lt-LT" w:bidi="en-US"/>
                </w:rPr>
                <w:t xml:space="preserve">Lietuvos Respublikos planuojamos ūkinės veiklos poveikio aplinkai vertinimo įstatymo Nr. I-1495 </w:t>
              </w:r>
              <w:r>
                <w:rPr>
                  <w:rFonts w:eastAsia="Andale Sans UI" w:cs="Tahoma"/>
                  <w:bCs/>
                  <w:szCs w:val="24"/>
                  <w:lang w:eastAsia="lt-LT" w:bidi="en-US"/>
                </w:rPr>
                <w:t xml:space="preserve">pakeitimo įstatymo </w:t>
              </w:r>
              <w:r>
                <w:rPr>
                  <w:rFonts w:eastAsia="Andale Sans UI" w:cs="Tahoma"/>
                  <w:bCs/>
                  <w:szCs w:val="24"/>
                  <w:lang w:bidi="en-US"/>
                </w:rPr>
                <w:t>projekto pateikimo Lietuvos Respublikos Seimui“ projektas, 1 lapas.</w:t>
              </w:r>
            </w:p>
          </w:sdtContent>
        </w:sdt>
        <w:sdt>
          <w:sdtPr>
            <w:alias w:val="4 p."/>
            <w:tag w:val="part_2e6cde9e03fc4fd9aa8b2d8681b775f5"/>
            <w:lock w:val="sdtLocked"/>
            <w:richText/>
          </w:sdtPr>
          <w:sdtContent>
            <w:p>
              <w:pPr>
                <w:widowControl w:val="0"/>
                <w:suppressAutoHyphens/>
                <w:spacing w:line="276" w:lineRule="auto"/>
                <w:ind w:firstLine="567"/>
                <w:jc w:val="both"/>
                <w:rPr>
                  <w:rFonts w:eastAsia="Andale Sans UI" w:cs="Tahoma"/>
                  <w:bCs/>
                  <w:szCs w:val="24"/>
                  <w:lang w:bidi="en-US"/>
                </w:rPr>
              </w:pPr>
              <w:sdt>
                <w:sdtPr>
                  <w:alias w:val="Numeris"/>
                  <w:tag w:val="nr_2e6cde9e03fc4fd9aa8b2d8681b775f5"/>
                  <w:lock w:val="sdtLocked"/>
                  <w:richText/>
                </w:sdtPr>
                <w:sdtContent>
                  <w:r>
                    <w:rPr>
                      <w:rFonts w:eastAsia="Andale Sans UI" w:cs="Tahoma"/>
                      <w:bCs/>
                      <w:szCs w:val="24"/>
                      <w:lang w:bidi="en-US"/>
                    </w:rPr>
                    <w:t>4</w:t>
                  </w:r>
                </w:sdtContent>
              </w:sdt>
              <w:r>
                <w:rPr>
                  <w:rFonts w:eastAsia="Andale Sans UI" w:cs="Tahoma"/>
                  <w:bCs/>
                  <w:szCs w:val="24"/>
                  <w:lang w:bidi="en-US"/>
                </w:rPr>
                <w:t>. Aiškinamasis raštas, 24 lapai.</w:t>
              </w:r>
            </w:p>
          </w:sdtContent>
        </w:sdt>
        <w:sdt>
          <w:sdtPr>
            <w:alias w:val="5 p."/>
            <w:tag w:val="part_f50b6265c8ed4ba0a3967402d781e512"/>
            <w:lock w:val="sdtLocked"/>
            <w:richText/>
          </w:sdtPr>
          <w:sdtContent>
            <w:p>
              <w:pPr>
                <w:widowControl w:val="0"/>
                <w:suppressAutoHyphens/>
                <w:spacing w:line="276" w:lineRule="auto"/>
                <w:ind w:firstLine="567"/>
                <w:jc w:val="both"/>
                <w:rPr>
                  <w:rFonts w:eastAsia="Andale Sans UI" w:cs="Tahoma"/>
                  <w:bCs/>
                  <w:szCs w:val="24"/>
                  <w:lang w:bidi="en-US"/>
                </w:rPr>
              </w:pPr>
              <w:sdt>
                <w:sdtPr>
                  <w:alias w:val="Numeris"/>
                  <w:tag w:val="nr_f50b6265c8ed4ba0a3967402d781e512"/>
                  <w:lock w:val="sdtLocked"/>
                  <w:richText/>
                </w:sdtPr>
                <w:sdtContent>
                  <w:r>
                    <w:rPr>
                      <w:rFonts w:eastAsia="Andale Sans UI" w:cs="Tahoma"/>
                      <w:bCs/>
                      <w:szCs w:val="24"/>
                      <w:lang w:bidi="en-US"/>
                    </w:rPr>
                    <w:t>5</w:t>
                  </w:r>
                </w:sdtContent>
              </w:sdt>
              <w:r>
                <w:rPr>
                  <w:rFonts w:eastAsia="Andale Sans UI" w:cs="Tahoma"/>
                  <w:bCs/>
                  <w:szCs w:val="24"/>
                  <w:lang w:bidi="en-US"/>
                </w:rPr>
                <w:t xml:space="preserve">. Direktyvos </w:t>
              </w:r>
              <w:fldSimple w:instr="HYPERLINK http://eur-lex.europa.eu/legal-content/LIT/TXT/?uri=CELEX:32011L0092&amp;locale=lt \t _blank">
                <w:r>
                  <w:rPr>
                    <w:rFonts w:eastAsia="Andale Sans UI" w:cs="Tahoma"/>
                    <w:bCs/>
                    <w:szCs w:val="24"/>
                    <w:lang w:bidi="en-US"/>
                    <w:u w:val="single"/>
                    <w:color w:val="0000FF" w:themeColor="hyperlink"/>
                  </w:rPr>
                  <w:t>2011/92/ES</w:t>
                </w:r>
              </w:fldSimple>
              <w:r>
                <w:rPr>
                  <w:rFonts w:eastAsia="Andale Sans UI" w:cs="Tahoma"/>
                  <w:bCs/>
                  <w:szCs w:val="24"/>
                  <w:lang w:bidi="en-US"/>
                </w:rPr>
                <w:t xml:space="preserve"> (iš dalies pakeistos direktyvos </w:t>
              </w:r>
              <w:fldSimple w:instr="HYPERLINK http://eur-lex.europa.eu/legal-content/LIT/TXT/?uri=CELEX:32014L0052&amp;locale=lt \t _blank">
                <w:r>
                  <w:rPr>
                    <w:rFonts w:eastAsia="Andale Sans UI" w:cs="Tahoma"/>
                    <w:bCs/>
                    <w:szCs w:val="24"/>
                    <w:lang w:bidi="en-US"/>
                    <w:u w:val="single"/>
                    <w:color w:val="0000FF" w:themeColor="hyperlink"/>
                  </w:rPr>
                  <w:t>2014/52/ES</w:t>
                </w:r>
              </w:fldSimple>
              <w:r>
                <w:rPr>
                  <w:rFonts w:eastAsia="Andale Sans UI" w:cs="Tahoma"/>
                  <w:bCs/>
                  <w:szCs w:val="24"/>
                  <w:lang w:bidi="en-US"/>
                </w:rPr>
                <w:t xml:space="preserve">) ir </w:t>
              </w:r>
              <w:r>
                <w:rPr>
                  <w:rFonts w:eastAsia="Andale Sans UI" w:cs="Tahoma"/>
                  <w:bCs/>
                  <w:szCs w:val="24"/>
                  <w:lang w:val="lt" w:eastAsia="lt-LT" w:bidi="en-US"/>
                </w:rPr>
                <w:t xml:space="preserve">Lietuvos Respublikos planuojamos ūkinės veiklos poveikio aplinkai vertinimo įstatymo Nr. I-1495 </w:t>
              </w:r>
              <w:r>
                <w:rPr>
                  <w:rFonts w:eastAsia="Andale Sans UI" w:cs="Tahoma"/>
                  <w:bCs/>
                  <w:szCs w:val="24"/>
                  <w:lang w:bidi="en-US"/>
                </w:rPr>
                <w:t>pakeitimo projekto atitikties lentelė, 61 lapas.</w:t>
              </w:r>
            </w:p>
          </w:sdtContent>
        </w:sdt>
        <w:sdt>
          <w:sdtPr>
            <w:alias w:val="6 p."/>
            <w:tag w:val="part_201722f9a5d5403bb4d4da8900ce3dec"/>
            <w:lock w:val="sdtLocked"/>
            <w:richText/>
          </w:sdtPr>
          <w:sdtContent>
            <w:p>
              <w:pPr>
                <w:widowControl w:val="0"/>
                <w:suppressAutoHyphens/>
                <w:spacing w:line="276" w:lineRule="auto"/>
                <w:ind w:firstLine="567"/>
                <w:jc w:val="both"/>
                <w:rPr>
                  <w:rFonts w:eastAsia="Andale Sans UI" w:cs="Tahoma"/>
                  <w:bCs/>
                  <w:szCs w:val="24"/>
                  <w:lang w:bidi="en-US"/>
                </w:rPr>
              </w:pPr>
              <w:sdt>
                <w:sdtPr>
                  <w:alias w:val="Numeris"/>
                  <w:tag w:val="nr_201722f9a5d5403bb4d4da8900ce3dec"/>
                  <w:lock w:val="sdtLocked"/>
                  <w:richText/>
                </w:sdtPr>
                <w:sdtContent>
                  <w:r>
                    <w:rPr>
                      <w:rFonts w:eastAsia="Andale Sans UI" w:cs="Tahoma"/>
                      <w:bCs/>
                      <w:szCs w:val="24"/>
                      <w:lang w:bidi="en-US"/>
                    </w:rPr>
                    <w:t>6</w:t>
                  </w:r>
                </w:sdtContent>
              </w:sdt>
              <w:r>
                <w:rPr>
                  <w:rFonts w:eastAsia="Andale Sans UI" w:cs="Tahoma"/>
                  <w:bCs/>
                  <w:szCs w:val="24"/>
                  <w:lang w:bidi="en-US"/>
                </w:rPr>
                <w:t>. Antikorupcinio vertinimo pažyma, 14 lapų.</w:t>
              </w:r>
            </w:p>
            <w:p>
              <w:pPr>
                <w:widowControl w:val="0"/>
                <w:suppressAutoHyphens/>
                <w:ind w:firstLine="567"/>
                <w:jc w:val="both"/>
                <w:rPr>
                  <w:rFonts w:eastAsia="Andale Sans UI" w:cs="Tahoma"/>
                  <w:bCs/>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widowControl w:val="0"/>
                      <w:suppressLineNumbers/>
                      <w:suppressAutoHyphens/>
                      <w:rPr>
                        <w:rFonts w:eastAsia="Andale Sans UI" w:cs="Tahoma"/>
                        <w:szCs w:val="24"/>
                        <w:lang w:bidi="en-US"/>
                      </w:rPr>
                    </w:pPr>
                    <w:r>
                      <w:rPr>
                        <w:rFonts w:eastAsia="Andale Sans UI" w:cs="Tahoma"/>
                        <w:szCs w:val="24"/>
                        <w:lang w:bidi="en-US"/>
                      </w:rPr>
                      <w:t>Aplinkos viceministrė</w:t>
                    </w:r>
                  </w:p>
                </w:tc>
                <w:tc>
                  <w:tcPr>
                    <w:tcW w:w="4826" w:type="dxa"/>
                    <w:vAlign w:val="bottom"/>
                  </w:tcPr>
                  <w:p>
                    <w:pPr>
                      <w:widowControl w:val="0"/>
                      <w:suppressAutoHyphens/>
                      <w:ind w:right="34"/>
                      <w:jc w:val="right"/>
                      <w:rPr>
                        <w:rFonts w:eastAsia="Andale Sans UI" w:cs="Tahoma"/>
                        <w:szCs w:val="24"/>
                        <w:lang w:bidi="en-US"/>
                      </w:rPr>
                    </w:pPr>
                    <w:r>
                      <w:rPr>
                        <w:rFonts w:eastAsia="Andale Sans UI" w:cs="Tahoma"/>
                        <w:szCs w:val="24"/>
                        <w:lang w:bidi="en-US"/>
                      </w:rPr>
                      <w:t>Raminta Radavičienė</w:t>
                    </w:r>
                  </w:p>
                </w:tc>
              </w:tr>
            </w:tbl>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tbl>
                    <w:tblPr>
                      <w:tblW w:w="9643" w:type="dxa"/>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tbl>
                          <w:tblPr>
                            <w:tblW w:w="9643" w:type="dxa"/>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tbl>
                                <w:tblPr>
                                  <w:tblW w:w="0" w:type="auto"/>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widowControl w:val="0"/>
                                        <w:suppressLineNumbers/>
                                        <w:suppressAutoHyphens/>
                                        <w:rPr>
                                          <w:rFonts w:eastAsia="Andale Sans UI" w:cs="Tahoma"/>
                                          <w:szCs w:val="24"/>
                                          <w:lang w:bidi="en-US"/>
                                        </w:rPr>
                                      </w:pPr>
                                      <w:r>
                                        <w:rPr>
                                          <w:rFonts w:eastAsia="Andale Sans UI" w:cs="Tahoma"/>
                                          <w:szCs w:val="24"/>
                                          <w:lang w:bidi="en-US"/>
                                        </w:rPr>
                                        <w:t xml:space="preserve">B. Vilimaitė Šilobritienė, +370 </w:t>
                                      </w:r>
                                      <w:r>
                                        <w:rPr>
                                          <w:rFonts w:eastAsia="Andale Sans UI"/>
                                          <w:szCs w:val="24"/>
                                          <w:lang w:bidi="en-US"/>
                                        </w:rPr>
                                        <w:t>645 89 487</w:t>
                                      </w:r>
                                      <w:r>
                                        <w:rPr>
                                          <w:rFonts w:eastAsia="Andale Sans UI" w:cs="Tahoma"/>
                                          <w:szCs w:val="24"/>
                                          <w:lang w:bidi="en-US"/>
                                        </w:rPr>
                                        <w:t xml:space="preserve">, el. p. </w:t>
                                      </w:r>
                                      <w:r>
                                        <w:rPr>
                                          <w:rFonts w:eastAsia="Andale Sans UI" w:cs="Tahoma"/>
                                          <w:color w:val="000080"/>
                                          <w:szCs w:val="24"/>
                                          <w:u w:val="single"/>
                                          <w:lang w:bidi="en-US"/>
                                        </w:rPr>
                                        <w:t>beata.silobritiene@am.lt</w:t>
                                      </w:r>
                                    </w:p>
                                  </w:tc>
                                </w:tr>
                              </w:tbl>
                              <w:p>
                                <w:pPr>
                                  <w:keepLines/>
                                  <w:widowControl w:val="0"/>
                                  <w:suppressLineNumbers/>
                                  <w:suppressAutoHyphens/>
                                  <w:rPr>
                                    <w:rFonts w:eastAsia="Andale Sans UI" w:cs="Tahoma"/>
                                    <w:szCs w:val="24"/>
                                    <w:lang w:bidi="en-US"/>
                                  </w:rPr>
                                </w:pPr>
                              </w:p>
                            </w:tc>
                          </w:tr>
                        </w:tbl>
                        <w:p>
                          <w:pPr>
                            <w:widowControl w:val="0"/>
                            <w:suppressLineNumbers/>
                            <w:suppressAutoHyphens/>
                            <w:rPr>
                              <w:rFonts w:eastAsia="Andale Sans UI" w:cs="Tahoma"/>
                              <w:szCs w:val="24"/>
                              <w:lang w:bidi="en-US"/>
                            </w:rPr>
                          </w:pPr>
                        </w:p>
                      </w:tc>
                    </w:tr>
                  </w:tbl>
                  <w:p>
                    <w:pPr>
                      <w:widowControl w:val="0"/>
                      <w:suppressLineNumbers/>
                      <w:suppressAutoHyphens/>
                      <w:rPr>
                        <w:rFonts w:eastAsia="Andale Sans UI" w:cs="Tahoma"/>
                        <w:szCs w:val="24"/>
                        <w:lang w:bidi="en-US"/>
                      </w:rPr>
                    </w:pPr>
                  </w:p>
                </w:tc>
              </w:tr>
            </w:tbl>
            <w:p>
              <w:pPr>
                <w:widowControl w:val="0"/>
                <w:suppressAutoHyphens/>
                <w:rPr>
                  <w:rFonts w:eastAsia="Andale Sans UI" w:cs="Tahoma"/>
                  <w:szCs w:val="24"/>
                  <w:lang w:bidi="en-US"/>
                </w:rPr>
              </w:pPr>
              <w:r>
                <w:rPr>
                  <w:rFonts w:eastAsia="Andale Sans UI" w:cs="Tahoma"/>
                  <w:szCs w:val="24"/>
                  <w:lang w:bidi="en-US"/>
                </w:rPr>
                <w:br w:type="page"/>
              </w: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widowControl w:val="0"/>
                      <w:suppressLineNumbers/>
                      <w:suppressAutoHyphens/>
                      <w:rPr>
                        <w:rFonts w:eastAsia="Andale Sans UI" w:cs="Tahoma"/>
                        <w:b/>
                        <w:szCs w:val="24"/>
                        <w:lang w:bidi="en-US"/>
                      </w:rPr>
                    </w:pPr>
                    <w:r>
                      <w:rPr>
                        <w:rFonts w:eastAsia="Andale Sans UI" w:cs="Tahoma"/>
                        <w:b/>
                        <w:szCs w:val="24"/>
                        <w:lang w:bidi="en-US"/>
                      </w:rPr>
                      <w:t>Adresatų sąrašas</w:t>
                    </w: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r>
                      <w:rPr>
                        <w:rFonts w:eastAsia="Andale Sans UI" w:cs="Tahoma"/>
                        <w:szCs w:val="24"/>
                        <w:lang w:bidi="en-US"/>
                      </w:rPr>
                      <w:t xml:space="preserve">Ekonomikos ir inovacijų ministerijai </w:t>
                    </w:r>
                  </w:p>
                  <w:p>
                    <w:pPr>
                      <w:widowControl w:val="0"/>
                      <w:suppressLineNumbers/>
                      <w:suppressAutoHyphens/>
                      <w:rPr>
                        <w:rFonts w:eastAsia="Andale Sans UI" w:cs="Tahoma"/>
                        <w:szCs w:val="24"/>
                        <w:lang w:bidi="en-US"/>
                      </w:rPr>
                    </w:pPr>
                    <w:r>
                      <w:rPr>
                        <w:rFonts w:eastAsia="Andale Sans UI" w:cs="Tahoma"/>
                        <w:szCs w:val="24"/>
                        <w:lang w:bidi="en-US"/>
                      </w:rPr>
                      <w:t>Energetikos ministerijai</w:t>
                    </w:r>
                  </w:p>
                  <w:p>
                    <w:pPr>
                      <w:widowControl w:val="0"/>
                      <w:suppressLineNumbers/>
                      <w:suppressAutoHyphens/>
                      <w:rPr>
                        <w:rFonts w:eastAsia="Andale Sans UI" w:cs="Tahoma"/>
                        <w:szCs w:val="24"/>
                        <w:lang w:bidi="en-US"/>
                      </w:rPr>
                    </w:pPr>
                    <w:r>
                      <w:rPr>
                        <w:rFonts w:eastAsia="Andale Sans UI" w:cs="Tahoma"/>
                        <w:szCs w:val="24"/>
                        <w:lang w:bidi="en-US"/>
                      </w:rPr>
                      <w:t>Finansų ministerijai</w:t>
                    </w:r>
                  </w:p>
                  <w:p>
                    <w:pPr>
                      <w:widowControl w:val="0"/>
                      <w:suppressLineNumbers/>
                      <w:suppressAutoHyphens/>
                      <w:rPr>
                        <w:rFonts w:eastAsia="Andale Sans UI" w:cs="Tahoma"/>
                        <w:szCs w:val="24"/>
                        <w:lang w:bidi="en-US"/>
                      </w:rPr>
                    </w:pPr>
                    <w:r>
                      <w:rPr>
                        <w:rFonts w:eastAsia="Andale Sans UI" w:cs="Tahoma"/>
                        <w:szCs w:val="24"/>
                        <w:lang w:bidi="en-US"/>
                      </w:rPr>
                      <w:t>Kultūros ministerijai</w:t>
                    </w:r>
                  </w:p>
                  <w:p>
                    <w:pPr>
                      <w:widowControl w:val="0"/>
                      <w:suppressLineNumbers/>
                      <w:suppressAutoHyphens/>
                      <w:rPr>
                        <w:rFonts w:eastAsia="Andale Sans UI" w:cs="Tahoma"/>
                        <w:szCs w:val="24"/>
                        <w:lang w:bidi="en-US"/>
                      </w:rPr>
                    </w:pPr>
                    <w:r>
                      <w:rPr>
                        <w:rFonts w:eastAsia="Andale Sans UI" w:cs="Tahoma"/>
                        <w:szCs w:val="24"/>
                        <w:lang w:bidi="en-US"/>
                      </w:rPr>
                      <w:t>Susisiekimo ministerijai</w:t>
                    </w:r>
                  </w:p>
                  <w:p>
                    <w:pPr>
                      <w:widowControl w:val="0"/>
                      <w:suppressLineNumbers/>
                      <w:suppressAutoHyphens/>
                      <w:rPr>
                        <w:rFonts w:eastAsia="Andale Sans UI" w:cs="Tahoma"/>
                        <w:szCs w:val="24"/>
                        <w:lang w:bidi="en-US"/>
                      </w:rPr>
                    </w:pPr>
                    <w:r>
                      <w:rPr>
                        <w:rFonts w:eastAsia="Andale Sans UI" w:cs="Tahoma"/>
                        <w:szCs w:val="24"/>
                        <w:lang w:bidi="en-US"/>
                      </w:rPr>
                      <w:t xml:space="preserve">Sveikatos apsaugos ministerijai </w:t>
                    </w:r>
                  </w:p>
                  <w:p>
                    <w:pPr>
                      <w:widowControl w:val="0"/>
                      <w:suppressLineNumbers/>
                      <w:suppressAutoHyphens/>
                      <w:rPr>
                        <w:rFonts w:eastAsia="Andale Sans UI" w:cs="Tahoma"/>
                        <w:szCs w:val="24"/>
                        <w:lang w:bidi="en-US"/>
                      </w:rPr>
                    </w:pPr>
                    <w:r>
                      <w:rPr>
                        <w:rFonts w:eastAsia="Andale Sans UI" w:cs="Tahoma"/>
                        <w:szCs w:val="24"/>
                        <w:lang w:bidi="en-US"/>
                      </w:rPr>
                      <w:t xml:space="preserve">Teisingumo ministerijai </w:t>
                    </w:r>
                  </w:p>
                  <w:p>
                    <w:pPr>
                      <w:widowControl w:val="0"/>
                      <w:suppressLineNumbers/>
                      <w:suppressAutoHyphens/>
                      <w:rPr>
                        <w:rFonts w:eastAsia="Andale Sans UI" w:cs="Tahoma"/>
                        <w:szCs w:val="24"/>
                        <w:lang w:bidi="en-US"/>
                      </w:rPr>
                    </w:pPr>
                    <w:r>
                      <w:rPr>
                        <w:rFonts w:eastAsia="Andale Sans UI" w:cs="Tahoma"/>
                        <w:szCs w:val="24"/>
                        <w:lang w:bidi="en-US"/>
                      </w:rPr>
                      <w:t>Vidaus reikalų ministerijai</w:t>
                    </w:r>
                  </w:p>
                  <w:p>
                    <w:pPr>
                      <w:widowControl w:val="0"/>
                      <w:suppressLineNumbers/>
                      <w:suppressAutoHyphens/>
                      <w:rPr>
                        <w:rFonts w:eastAsia="Andale Sans UI" w:cs="Tahoma"/>
                        <w:szCs w:val="24"/>
                        <w:lang w:bidi="en-US"/>
                      </w:rPr>
                    </w:pPr>
                    <w:r>
                      <w:rPr>
                        <w:rFonts w:eastAsia="Andale Sans UI" w:cs="Tahoma"/>
                        <w:szCs w:val="24"/>
                        <w:lang w:bidi="en-US"/>
                      </w:rPr>
                      <w:t>Žemės ūkio ministerijai</w:t>
                    </w:r>
                  </w:p>
                  <w:p>
                    <w:pPr>
                      <w:widowControl w:val="0"/>
                      <w:suppressLineNumbers/>
                      <w:suppressAutoHyphens/>
                      <w:rPr>
                        <w:rFonts w:eastAsia="Andale Sans UI" w:cs="Tahoma"/>
                        <w:szCs w:val="24"/>
                        <w:lang w:bidi="en-US"/>
                      </w:rPr>
                    </w:pPr>
                    <w:r>
                      <w:rPr>
                        <w:rFonts w:eastAsia="Andale Sans UI" w:cs="Tahoma"/>
                        <w:szCs w:val="24"/>
                        <w:lang w:bidi="en-US"/>
                      </w:rPr>
                      <w:t>Kultūros paveldo departamentui</w:t>
                    </w:r>
                  </w:p>
                  <w:p>
                    <w:pPr>
                      <w:widowControl w:val="0"/>
                      <w:suppressLineNumbers/>
                      <w:suppressAutoHyphens/>
                      <w:rPr>
                        <w:rFonts w:eastAsia="Andale Sans UI" w:cs="Tahoma"/>
                        <w:szCs w:val="24"/>
                        <w:lang w:bidi="en-US"/>
                      </w:rPr>
                    </w:pPr>
                    <w:r>
                      <w:rPr>
                        <w:rFonts w:eastAsia="Andale Sans UI" w:cs="Tahoma"/>
                        <w:szCs w:val="24"/>
                        <w:lang w:bidi="en-US"/>
                      </w:rPr>
                      <w:t>Lietuvos savivaldybių asociacijai</w:t>
                    </w:r>
                  </w:p>
                  <w:p>
                    <w:pPr>
                      <w:widowControl w:val="0"/>
                      <w:suppressLineNumbers/>
                      <w:suppressAutoHyphens/>
                      <w:rPr>
                        <w:rFonts w:eastAsia="Andale Sans UI" w:cs="Tahoma"/>
                        <w:szCs w:val="24"/>
                        <w:lang w:bidi="en-US"/>
                      </w:rPr>
                    </w:pPr>
                    <w:r>
                      <w:rPr>
                        <w:rFonts w:eastAsia="Andale Sans UI" w:cs="Tahoma"/>
                        <w:szCs w:val="24"/>
                        <w:lang w:bidi="en-US"/>
                      </w:rPr>
                      <w:t>Nacionaliniam visuomenės sveikatos centrui</w:t>
                    </w:r>
                  </w:p>
                  <w:p>
                    <w:pPr>
                      <w:widowControl w:val="0"/>
                      <w:suppressLineNumbers/>
                      <w:suppressAutoHyphens/>
                      <w:rPr>
                        <w:rFonts w:eastAsia="Andale Sans UI" w:cs="Tahoma"/>
                        <w:szCs w:val="24"/>
                        <w:lang w:bidi="en-US"/>
                      </w:rPr>
                    </w:pPr>
                    <w:r>
                      <w:rPr>
                        <w:rFonts w:eastAsia="Andale Sans UI" w:cs="Tahoma"/>
                        <w:szCs w:val="24"/>
                        <w:lang w:bidi="en-US"/>
                      </w:rPr>
                      <w:t>Priešgaisrinės apsaugos ir gelbėjimo departamentui</w:t>
                    </w:r>
                  </w:p>
                  <w:p>
                    <w:pPr>
                      <w:widowControl w:val="0"/>
                      <w:suppressLineNumbers/>
                      <w:suppressAutoHyphens/>
                      <w:rPr>
                        <w:rFonts w:eastAsia="Andale Sans UI" w:cs="Tahoma"/>
                        <w:szCs w:val="24"/>
                        <w:lang w:bidi="en-US"/>
                      </w:rPr>
                    </w:pPr>
                    <w:r>
                      <w:rPr>
                        <w:rFonts w:eastAsia="Andale Sans UI" w:cs="Tahoma"/>
                        <w:szCs w:val="24"/>
                        <w:lang w:bidi="en-US"/>
                      </w:rPr>
                      <w:t>Valstybinei atominės energetikos saugos inspekcijai</w:t>
                    </w:r>
                  </w:p>
                  <w:p>
                    <w:pPr>
                      <w:widowControl w:val="0"/>
                      <w:suppressLineNumbers/>
                      <w:suppressAutoHyphens/>
                      <w:rPr>
                        <w:rFonts w:eastAsia="Andale Sans UI" w:cs="Tahoma"/>
                        <w:szCs w:val="24"/>
                        <w:lang w:bidi="en-US"/>
                      </w:rPr>
                    </w:pPr>
                    <w:r>
                      <w:rPr>
                        <w:rFonts w:eastAsia="Andale Sans UI" w:cs="Tahoma"/>
                        <w:szCs w:val="24"/>
                        <w:lang w:bidi="en-US"/>
                      </w:rPr>
                      <w:t>Valstybinei maisto ir veterinarijos tarnybai</w:t>
                    </w:r>
                  </w:p>
                  <w:p>
                    <w:pPr>
                      <w:widowControl w:val="0"/>
                      <w:suppressLineNumbers/>
                      <w:suppressAutoHyphens/>
                      <w:rPr>
                        <w:rFonts w:eastAsia="Andale Sans UI" w:cs="Tahoma"/>
                        <w:szCs w:val="24"/>
                        <w:lang w:bidi="en-US"/>
                      </w:rPr>
                    </w:pPr>
                    <w:r>
                      <w:rPr>
                        <w:rFonts w:eastAsia="Andale Sans UI" w:cs="Tahoma"/>
                        <w:szCs w:val="24"/>
                        <w:lang w:bidi="en-US"/>
                      </w:rPr>
                      <w:t>Atliekų tvarkytojų ir turėtojų asociacijai</w:t>
                    </w:r>
                  </w:p>
                  <w:p>
                    <w:pPr>
                      <w:widowControl w:val="0"/>
                      <w:suppressLineNumbers/>
                      <w:suppressAutoHyphens/>
                      <w:rPr>
                        <w:rFonts w:eastAsia="Andale Sans UI" w:cs="Tahoma"/>
                        <w:szCs w:val="24"/>
                        <w:lang w:bidi="en-US"/>
                      </w:rPr>
                    </w:pPr>
                    <w:r>
                      <w:rPr>
                        <w:rFonts w:eastAsia="Andale Sans UI" w:cs="Tahoma"/>
                        <w:szCs w:val="24"/>
                        <w:lang w:bidi="en-US"/>
                      </w:rPr>
                      <w:t>Lietuvos atliekų tvarkytojų asociacijai</w:t>
                    </w:r>
                  </w:p>
                  <w:p>
                    <w:pPr>
                      <w:widowControl w:val="0"/>
                      <w:suppressLineNumbers/>
                      <w:suppressAutoHyphens/>
                      <w:rPr>
                        <w:rFonts w:eastAsia="Andale Sans UI" w:cs="Tahoma"/>
                        <w:szCs w:val="24"/>
                        <w:lang w:bidi="en-US"/>
                      </w:rPr>
                    </w:pPr>
                    <w:r>
                      <w:rPr>
                        <w:rFonts w:eastAsia="Andale Sans UI" w:cs="Tahoma"/>
                        <w:szCs w:val="24"/>
                        <w:lang w:bidi="en-US"/>
                      </w:rPr>
                      <w:t>Lietuvos chemijos pramonės įmonių asociacijai</w:t>
                    </w:r>
                  </w:p>
                  <w:p>
                    <w:pPr>
                      <w:widowControl w:val="0"/>
                      <w:suppressLineNumbers/>
                      <w:suppressAutoHyphens/>
                      <w:rPr>
                        <w:rFonts w:eastAsia="Andale Sans UI" w:cs="Tahoma"/>
                        <w:szCs w:val="24"/>
                        <w:lang w:bidi="en-US"/>
                      </w:rPr>
                    </w:pPr>
                    <w:r>
                      <w:rPr>
                        <w:rFonts w:eastAsia="Andale Sans UI" w:cs="Tahoma"/>
                        <w:szCs w:val="24"/>
                        <w:lang w:bidi="en-US"/>
                      </w:rPr>
                      <w:t>Lietuvos kiaulių augintojų asociacijai</w:t>
                    </w:r>
                  </w:p>
                  <w:p>
                    <w:pPr>
                      <w:widowControl w:val="0"/>
                      <w:suppressLineNumbers/>
                      <w:suppressAutoHyphens/>
                      <w:rPr>
                        <w:rFonts w:eastAsia="Andale Sans UI" w:cs="Tahoma"/>
                        <w:szCs w:val="24"/>
                        <w:lang w:bidi="en-US"/>
                      </w:rPr>
                    </w:pPr>
                    <w:r>
                      <w:rPr>
                        <w:rFonts w:eastAsia="Andale Sans UI" w:cs="Tahoma"/>
                        <w:szCs w:val="24"/>
                        <w:lang w:bidi="en-US"/>
                      </w:rPr>
                      <w:t>Lietuvos komunalininkų ir atliekų tvarkytojų asociacijai</w:t>
                    </w:r>
                  </w:p>
                  <w:p>
                    <w:pPr>
                      <w:widowControl w:val="0"/>
                      <w:suppressLineNumbers/>
                      <w:suppressAutoHyphens/>
                      <w:rPr>
                        <w:rFonts w:eastAsia="Andale Sans UI" w:cs="Tahoma"/>
                        <w:szCs w:val="24"/>
                        <w:lang w:bidi="en-US"/>
                      </w:rPr>
                    </w:pPr>
                    <w:r>
                      <w:rPr>
                        <w:rFonts w:eastAsia="Andale Sans UI" w:cs="Tahoma"/>
                        <w:szCs w:val="24"/>
                        <w:lang w:bidi="en-US"/>
                      </w:rPr>
                      <w:t>Lietuvos pramonininkų konfederacijai</w:t>
                    </w:r>
                  </w:p>
                  <w:p>
                    <w:pPr>
                      <w:widowControl w:val="0"/>
                      <w:suppressLineNumbers/>
                      <w:suppressAutoHyphens/>
                      <w:rPr>
                        <w:rFonts w:eastAsia="Andale Sans UI" w:cs="Tahoma"/>
                        <w:szCs w:val="24"/>
                        <w:lang w:bidi="en-US"/>
                      </w:rPr>
                    </w:pPr>
                    <w:r>
                      <w:rPr>
                        <w:rFonts w:eastAsia="Andale Sans UI" w:cs="Tahoma"/>
                        <w:szCs w:val="24"/>
                        <w:lang w:bidi="en-US"/>
                      </w:rPr>
                      <w:t>Lietuvos regioninių atliekų tvarkymo centrų asociacijai</w:t>
                    </w:r>
                  </w:p>
                  <w:p>
                    <w:pPr>
                      <w:widowControl w:val="0"/>
                      <w:suppressLineNumbers/>
                      <w:suppressAutoHyphens/>
                      <w:rPr>
                        <w:rFonts w:eastAsia="Andale Sans UI" w:cs="Tahoma"/>
                        <w:szCs w:val="24"/>
                        <w:lang w:bidi="en-US"/>
                      </w:rPr>
                    </w:pPr>
                    <w:r>
                      <w:rPr>
                        <w:rFonts w:eastAsia="Andale Sans UI" w:cs="Tahoma"/>
                        <w:szCs w:val="24"/>
                        <w:lang w:bidi="en-US"/>
                      </w:rPr>
                      <w:t>Pavojingųjų atliekų tvarkytojų asociacijai</w:t>
                    </w:r>
                  </w:p>
                  <w:p>
                    <w:pPr>
                      <w:widowControl w:val="0"/>
                      <w:suppressLineNumbers/>
                      <w:suppressAutoHyphens/>
                      <w:rPr>
                        <w:rFonts w:eastAsia="Andale Sans UI" w:cs="Tahoma"/>
                        <w:szCs w:val="24"/>
                        <w:lang w:bidi="en-US"/>
                      </w:rPr>
                    </w:pPr>
                    <w:r>
                      <w:rPr>
                        <w:rFonts w:eastAsia="Andale Sans UI" w:cs="Tahoma"/>
                        <w:szCs w:val="24"/>
                        <w:lang w:bidi="en-US"/>
                      </w:rPr>
                      <w:t>Žemės ūkio rūmams</w:t>
                    </w:r>
                  </w:p>
                  <w:p>
                    <w:pPr>
                      <w:widowControl w:val="0"/>
                      <w:suppressLineNumbers/>
                      <w:suppressAutoHyphens/>
                      <w:rPr>
                        <w:rFonts w:eastAsia="Andale Sans UI" w:cs="Tahoma"/>
                        <w:szCs w:val="24"/>
                        <w:lang w:bidi="en-US"/>
                      </w:rPr>
                    </w:pPr>
                    <w:r>
                      <w:rPr>
                        <w:rFonts w:eastAsia="Andale Sans UI" w:cs="Tahoma"/>
                        <w:szCs w:val="24"/>
                        <w:lang w:bidi="en-US"/>
                      </w:rPr>
                      <w:t>Rudaminos bendruomenei</w:t>
                    </w:r>
                  </w:p>
                </w:tc>
              </w:tr>
            </w:tbl>
            <w:p>
              <w:pPr>
                <w:widowControl w:val="0"/>
                <w:suppressAutoHyphens/>
                <w:ind w:firstLine="567"/>
                <w:jc w:val="both"/>
                <w:rPr>
                  <w:rFonts w:eastAsia="Andale Sans UI" w:cs="Tahoma"/>
                  <w:sz w:val="2"/>
                  <w:szCs w:val="2"/>
                  <w:lang w:bidi="en-US"/>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8193"/>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1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6770031">
      <w:bodyDiv w:val="1"/>
      <w:marLeft w:val="0"/>
      <w:marRight w:val="0"/>
      <w:marTop w:val="0"/>
      <w:marBottom w:val="0"/>
      <w:divBdr>
        <w:top w:val="none" w:sz="0" w:space="0" w:color="auto"/>
        <w:left w:val="none" w:sz="0" w:space="0" w:color="auto"/>
        <w:bottom w:val="none" w:sz="0" w:space="0" w:color="auto"/>
        <w:right w:val="none" w:sz="0" w:space="0" w:color="auto"/>
      </w:divBdr>
    </w:div>
    <w:div w:id="338235038">
      <w:bodyDiv w:val="1"/>
      <w:marLeft w:val="0"/>
      <w:marRight w:val="0"/>
      <w:marTop w:val="0"/>
      <w:marBottom w:val="0"/>
      <w:divBdr>
        <w:top w:val="none" w:sz="0" w:space="0" w:color="auto"/>
        <w:left w:val="none" w:sz="0" w:space="0" w:color="auto"/>
        <w:bottom w:val="none" w:sz="0" w:space="0" w:color="auto"/>
        <w:right w:val="none" w:sz="0" w:space="0" w:color="auto"/>
      </w:divBdr>
    </w:div>
    <w:div w:id="375083238">
      <w:bodyDiv w:val="1"/>
      <w:marLeft w:val="0"/>
      <w:marRight w:val="0"/>
      <w:marTop w:val="0"/>
      <w:marBottom w:val="0"/>
      <w:divBdr>
        <w:top w:val="none" w:sz="0" w:space="0" w:color="auto"/>
        <w:left w:val="none" w:sz="0" w:space="0" w:color="auto"/>
        <w:bottom w:val="none" w:sz="0" w:space="0" w:color="auto"/>
        <w:right w:val="none" w:sz="0" w:space="0" w:color="auto"/>
      </w:divBdr>
    </w:div>
    <w:div w:id="395932483">
      <w:bodyDiv w:val="1"/>
      <w:marLeft w:val="0"/>
      <w:marRight w:val="0"/>
      <w:marTop w:val="0"/>
      <w:marBottom w:val="0"/>
      <w:divBdr>
        <w:top w:val="none" w:sz="0" w:space="0" w:color="auto"/>
        <w:left w:val="none" w:sz="0" w:space="0" w:color="auto"/>
        <w:bottom w:val="none" w:sz="0" w:space="0" w:color="auto"/>
        <w:right w:val="none" w:sz="0" w:space="0" w:color="auto"/>
      </w:divBdr>
    </w:div>
    <w:div w:id="885680971">
      <w:bodyDiv w:val="1"/>
      <w:marLeft w:val="0"/>
      <w:marRight w:val="0"/>
      <w:marTop w:val="0"/>
      <w:marBottom w:val="0"/>
      <w:divBdr>
        <w:top w:val="none" w:sz="0" w:space="0" w:color="auto"/>
        <w:left w:val="none" w:sz="0" w:space="0" w:color="auto"/>
        <w:bottom w:val="none" w:sz="0" w:space="0" w:color="auto"/>
        <w:right w:val="none" w:sz="0" w:space="0" w:color="auto"/>
      </w:divBdr>
      <w:divsChild>
        <w:div w:id="650448902">
          <w:marLeft w:val="0"/>
          <w:marRight w:val="0"/>
          <w:marTop w:val="0"/>
          <w:marBottom w:val="0"/>
          <w:divBdr>
            <w:top w:val="none" w:sz="0" w:space="0" w:color="auto"/>
            <w:left w:val="none" w:sz="0" w:space="0" w:color="auto"/>
            <w:bottom w:val="none" w:sz="0" w:space="0" w:color="auto"/>
            <w:right w:val="none" w:sz="0" w:space="0" w:color="auto"/>
          </w:divBdr>
        </w:div>
        <w:div w:id="1147165768">
          <w:marLeft w:val="0"/>
          <w:marRight w:val="0"/>
          <w:marTop w:val="0"/>
          <w:marBottom w:val="0"/>
          <w:divBdr>
            <w:top w:val="none" w:sz="0" w:space="0" w:color="auto"/>
            <w:left w:val="none" w:sz="0" w:space="0" w:color="auto"/>
            <w:bottom w:val="none" w:sz="0" w:space="0" w:color="auto"/>
            <w:right w:val="none" w:sz="0" w:space="0" w:color="auto"/>
          </w:divBdr>
        </w:div>
        <w:div w:id="1817843908">
          <w:marLeft w:val="0"/>
          <w:marRight w:val="0"/>
          <w:marTop w:val="0"/>
          <w:marBottom w:val="0"/>
          <w:divBdr>
            <w:top w:val="none" w:sz="0" w:space="0" w:color="auto"/>
            <w:left w:val="none" w:sz="0" w:space="0" w:color="auto"/>
            <w:bottom w:val="none" w:sz="0" w:space="0" w:color="auto"/>
            <w:right w:val="none" w:sz="0" w:space="0" w:color="auto"/>
          </w:divBdr>
        </w:div>
      </w:divsChild>
    </w:div>
    <w:div w:id="899053141">
      <w:bodyDiv w:val="1"/>
      <w:marLeft w:val="0"/>
      <w:marRight w:val="0"/>
      <w:marTop w:val="0"/>
      <w:marBottom w:val="0"/>
      <w:divBdr>
        <w:top w:val="none" w:sz="0" w:space="0" w:color="auto"/>
        <w:left w:val="none" w:sz="0" w:space="0" w:color="auto"/>
        <w:bottom w:val="none" w:sz="0" w:space="0" w:color="auto"/>
        <w:right w:val="none" w:sz="0" w:space="0" w:color="auto"/>
      </w:divBdr>
    </w:div>
    <w:div w:id="913317420">
      <w:bodyDiv w:val="1"/>
      <w:marLeft w:val="0"/>
      <w:marRight w:val="0"/>
      <w:marTop w:val="0"/>
      <w:marBottom w:val="0"/>
      <w:divBdr>
        <w:top w:val="none" w:sz="0" w:space="0" w:color="auto"/>
        <w:left w:val="none" w:sz="0" w:space="0" w:color="auto"/>
        <w:bottom w:val="none" w:sz="0" w:space="0" w:color="auto"/>
        <w:right w:val="none" w:sz="0" w:space="0" w:color="auto"/>
      </w:divBdr>
      <w:divsChild>
        <w:div w:id="1589970801">
          <w:marLeft w:val="0"/>
          <w:marRight w:val="0"/>
          <w:marTop w:val="0"/>
          <w:marBottom w:val="0"/>
          <w:divBdr>
            <w:top w:val="none" w:sz="0" w:space="0" w:color="auto"/>
            <w:left w:val="none" w:sz="0" w:space="0" w:color="auto"/>
            <w:bottom w:val="none" w:sz="0" w:space="0" w:color="auto"/>
            <w:right w:val="none" w:sz="0" w:space="0" w:color="auto"/>
          </w:divBdr>
        </w:div>
        <w:div w:id="217785835">
          <w:marLeft w:val="0"/>
          <w:marRight w:val="0"/>
          <w:marTop w:val="0"/>
          <w:marBottom w:val="0"/>
          <w:divBdr>
            <w:top w:val="none" w:sz="0" w:space="0" w:color="auto"/>
            <w:left w:val="none" w:sz="0" w:space="0" w:color="auto"/>
            <w:bottom w:val="none" w:sz="0" w:space="0" w:color="auto"/>
            <w:right w:val="none" w:sz="0" w:space="0" w:color="auto"/>
          </w:divBdr>
        </w:div>
      </w:divsChild>
    </w:div>
    <w:div w:id="957224466">
      <w:bodyDiv w:val="1"/>
      <w:marLeft w:val="0"/>
      <w:marRight w:val="0"/>
      <w:marTop w:val="0"/>
      <w:marBottom w:val="0"/>
      <w:divBdr>
        <w:top w:val="none" w:sz="0" w:space="0" w:color="auto"/>
        <w:left w:val="none" w:sz="0" w:space="0" w:color="auto"/>
        <w:bottom w:val="none" w:sz="0" w:space="0" w:color="auto"/>
        <w:right w:val="none" w:sz="0" w:space="0" w:color="auto"/>
      </w:divBdr>
    </w:div>
    <w:div w:id="1031492414">
      <w:bodyDiv w:val="1"/>
      <w:marLeft w:val="0"/>
      <w:marRight w:val="0"/>
      <w:marTop w:val="0"/>
      <w:marBottom w:val="0"/>
      <w:divBdr>
        <w:top w:val="none" w:sz="0" w:space="0" w:color="auto"/>
        <w:left w:val="none" w:sz="0" w:space="0" w:color="auto"/>
        <w:bottom w:val="none" w:sz="0" w:space="0" w:color="auto"/>
        <w:right w:val="none" w:sz="0" w:space="0" w:color="auto"/>
      </w:divBdr>
      <w:divsChild>
        <w:div w:id="1391004884">
          <w:marLeft w:val="0"/>
          <w:marRight w:val="0"/>
          <w:marTop w:val="0"/>
          <w:marBottom w:val="0"/>
          <w:divBdr>
            <w:top w:val="none" w:sz="0" w:space="0" w:color="auto"/>
            <w:left w:val="none" w:sz="0" w:space="0" w:color="auto"/>
            <w:bottom w:val="none" w:sz="0" w:space="0" w:color="auto"/>
            <w:right w:val="none" w:sz="0" w:space="0" w:color="auto"/>
          </w:divBdr>
        </w:div>
      </w:divsChild>
    </w:div>
    <w:div w:id="1154953914">
      <w:bodyDiv w:val="1"/>
      <w:marLeft w:val="0"/>
      <w:marRight w:val="0"/>
      <w:marTop w:val="0"/>
      <w:marBottom w:val="0"/>
      <w:divBdr>
        <w:top w:val="none" w:sz="0" w:space="0" w:color="auto"/>
        <w:left w:val="none" w:sz="0" w:space="0" w:color="auto"/>
        <w:bottom w:val="none" w:sz="0" w:space="0" w:color="auto"/>
        <w:right w:val="none" w:sz="0" w:space="0" w:color="auto"/>
      </w:divBdr>
    </w:div>
    <w:div w:id="1176381453">
      <w:bodyDiv w:val="1"/>
      <w:marLeft w:val="0"/>
      <w:marRight w:val="0"/>
      <w:marTop w:val="0"/>
      <w:marBottom w:val="0"/>
      <w:divBdr>
        <w:top w:val="none" w:sz="0" w:space="0" w:color="auto"/>
        <w:left w:val="none" w:sz="0" w:space="0" w:color="auto"/>
        <w:bottom w:val="none" w:sz="0" w:space="0" w:color="auto"/>
        <w:right w:val="none" w:sz="0" w:space="0" w:color="auto"/>
      </w:divBdr>
    </w:div>
    <w:div w:id="1311060117">
      <w:bodyDiv w:val="1"/>
      <w:marLeft w:val="0"/>
      <w:marRight w:val="0"/>
      <w:marTop w:val="0"/>
      <w:marBottom w:val="0"/>
      <w:divBdr>
        <w:top w:val="none" w:sz="0" w:space="0" w:color="auto"/>
        <w:left w:val="none" w:sz="0" w:space="0" w:color="auto"/>
        <w:bottom w:val="none" w:sz="0" w:space="0" w:color="auto"/>
        <w:right w:val="none" w:sz="0" w:space="0" w:color="auto"/>
      </w:divBdr>
    </w:div>
    <w:div w:id="1415862096">
      <w:bodyDiv w:val="1"/>
      <w:marLeft w:val="0"/>
      <w:marRight w:val="0"/>
      <w:marTop w:val="0"/>
      <w:marBottom w:val="0"/>
      <w:divBdr>
        <w:top w:val="none" w:sz="0" w:space="0" w:color="auto"/>
        <w:left w:val="none" w:sz="0" w:space="0" w:color="auto"/>
        <w:bottom w:val="none" w:sz="0" w:space="0" w:color="auto"/>
        <w:right w:val="none" w:sz="0" w:space="0" w:color="auto"/>
      </w:divBdr>
    </w:div>
    <w:div w:id="1798838643">
      <w:bodyDiv w:val="1"/>
      <w:marLeft w:val="0"/>
      <w:marRight w:val="0"/>
      <w:marTop w:val="0"/>
      <w:marBottom w:val="0"/>
      <w:divBdr>
        <w:top w:val="none" w:sz="0" w:space="0" w:color="auto"/>
        <w:left w:val="none" w:sz="0" w:space="0" w:color="auto"/>
        <w:bottom w:val="none" w:sz="0" w:space="0" w:color="auto"/>
        <w:right w:val="none" w:sz="0" w:space="0" w:color="auto"/>
      </w:divBdr>
    </w:div>
    <w:div w:id="1916166128">
      <w:bodyDiv w:val="1"/>
      <w:marLeft w:val="0"/>
      <w:marRight w:val="0"/>
      <w:marTop w:val="0"/>
      <w:marBottom w:val="0"/>
      <w:divBdr>
        <w:top w:val="none" w:sz="0" w:space="0" w:color="auto"/>
        <w:left w:val="none" w:sz="0" w:space="0" w:color="auto"/>
        <w:bottom w:val="none" w:sz="0" w:space="0" w:color="auto"/>
        <w:right w:val="none" w:sz="0" w:space="0" w:color="auto"/>
      </w:divBdr>
    </w:div>
    <w:div w:id="2135977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Beata Vilimaitė Šilobritienė</DisplayName>
        <AccountId>54</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725ed7f7a33c4cf68925a979586e8763" PartId="9ecd3580347e4702ab05d2bfc93e1602"/>
  <Part Type="pastraipa" DocPartId="99d80b5e1a1c4504bf89aa3bd9a0fc6d" PartId="a5ea1cf640d94fb68f5c25f94f485e6c"/>
  <Part Type="pastraipa" DocPartId="11621f54787b466c9e4e75523d78c716" PartId="74fd3e15abab4f65a960e44cd32ef7ca"/>
  <Part Type="pastraipa" DocPartId="46dbd381c1bc4bd2a14b7806226be2c0" PartId="5e0da8d203be426094e1e7b658cd7175"/>
  <Part Type="pastraipa" DocPartId="610469293ad94cd9a544ceb2c1a231dc" PartId="74f121cc4e9440faa756dfb82369b0de"/>
  <Part Type="pastraipa" DocPartId="9a6c969f29694e0eb909f238365b42cf" PartId="1134d1ac26fb41e78a59ab6b1badc20e"/>
  <Part Type="pastraipa" DocPartId="3c063db07c4d4b97984c8e1520c0dab3" PartId="589366e9002d48648b8cf09b28b9479c"/>
  <Part Type="pastraipa" DocPartId="0e2bbccd8fad45beb99898f0262a3a22" PartId="357fccfade9c4622a5c92d6914fe327b"/>
  <Part Type="pastraipa" DocPartId="35a897864f8e45a7a741d87fc8090c41" PartId="3d9e4f20747e488ab49c2050076170db"/>
  <Part Type="pastraipa" DocPartId="1688df00c1a24c8ca6ffd9c1b0d5097e" PartId="9412d9090eb14aa0aa4da2f120abde68"/>
  <Part Type="pastraipa" DocPartId="8052ab92b5be43189447e1eb6a533e50" PartId="962e133526704cf7b5c191f9834294fb"/>
  <Part Type="pastraipa" DocPartId="ce51a652679b469d8382ce19eead1134" PartId="2eeb0604fb224a409c1ca19fd78f5878"/>
  <Part Type="pastraipa" DocPartId="e59fc8e138bb4b9d82c1c7232b857300" PartId="ffd53aae23db40b0a6d4e2b8405939d9"/>
  <Part Type="pastraipa" DocPartId="326e38dad17b4c6ba58c222ab62f14ab" PartId="355f0bf4836047de840c808879878c38"/>
  <Part Type="pastraipa" DocPartId="f6f4916886d74758a5db680b714c67b6" PartId="0836de3b9f654572883521638b99a47f"/>
  <Part Type="pastraipa" DocPartId="b0ca9b7cac8740a181ad1590fc26e179" PartId="2d0f85a24fda4e619afdf2d1c07af1d8"/>
  <Part Type="pastraipa" DocPartId="3e8e567ad57e4b7884692d78b576b7db" PartId="ef08ca402c154d89948fb46f0d3c28a2"/>
  <Part Type="pastraipa" DocPartId="aee049721fc24937b6c3279e335bb1e5" PartId="81768e7b5799439f802b92d7a80d8690"/>
  <Part Type="pastraipa" DocPartId="ff9748d7a4f04ab4a7d60610a940f191" PartId="1a5b1bb3a49f42999005af9f1225a676"/>
  <Part Type="pastraipa" DocPartId="f7c740a0ed0247a9921a2670f3a92ff0" PartId="f4d13b0ca9b74f48917310cfc66fdae3"/>
  <Part Type="pastraipa" DocPartId="b3742e92fd2b49e881449a50c1d853dd" PartId="bca0135e877f43029e153963945a9388"/>
  <Part Type="pastraipa" DocPartId="57615b6466824c9b87b8e6cdb524689b" PartId="dfcc389a7212434191dce09dded51b85"/>
  <Part Type="pastraipa" DocPartId="22887ba60de14608841ee779cb12f49a" PartId="7456e08ba37a45d486c0525f0d39f412"/>
  <Part Type="pastraipa" DocPartId="992c5a4ddaab4b899ca6f5331ae3892b" PartId="9ab941f95d214b11913cb327c1af71db"/>
  <Part Type="pastraipa" DocPartId="05301e725f034f17a7ee1ba7e4d531eb" PartId="bc2d86419d2447d48575ae00dbe5268c"/>
  <Part Type="pastraipa" DocPartId="46cc09970ee14fae9dd4f7f33c88efce" PartId="a0188c558b0040b7b77de3c81b41227a"/>
  <Part Type="pastraipa" DocPartId="d5afa914c2064ed6bf78625eb6c2300d" PartId="213bf0089069400da8cd392d8655d8e6"/>
  <Part Type="pastraipa" DocPartId="454358daa9a646b49a90830e0c2e403a" PartId="e6fe51b82ecc46e895923fa628175eaf"/>
  <Part Type="pastraipa" DocPartId="11eacf4c63f0440a91e3c78a5b725da6" PartId="bee3e5bb458b4c5dbc09ea5611555bf7"/>
  <Part Type="pastraipa" DocPartId="67ddea21ca294171a017cc0a0e0dba38" PartId="e899ed71950b417eb3a9fe5f9d7d0b94"/>
  <Part Type="pastraipa" DocPartId="4dabfba7538947bc97ce891562f2098d" PartId="88fc6fc847da463b9fd57b6e16bdd103"/>
  <Part Type="pastraipa" DocPartId="19cdeee31b56476c83d2ee1d0171a53d" PartId="fc7155500b7549a7bc7a5b6ceb69c991"/>
  <Part Type="pastraipa" DocPartId="863f9f7fff364b57a4517ebe308b607b" PartId="c38a5219fe024be9bbd8eef8d9ad3f9e"/>
  <Part Type="pastraipa" DocPartId="46b2698054794cd5a8f75246f645320d" PartId="bbc4e5f916b440c09d2d61176fce359b"/>
  <Part Type="pastraipa" DocPartId="5a05cbee8c4f484c8bfc6abc9fee9e4c" PartId="0c6d6c5b77b44a8ab2147dab3076fbaf"/>
  <Part Type="pastraipa" DocPartId="f251649dcc104efcbb0ba61239c89e14" PartId="01efc90e07db4ddb840d8eae6d822423"/>
  <Part Type="pastraipa" DocPartId="35e4a01663a746cba669bd9245a277ba" PartId="06ef8dac92c0428da4b9ffe75b6b1d34"/>
  <Part Type="pastraipa" DocPartId="e8b4df52eff14675ad6c7c02c1de4feb" PartId="d02370a4e6784663a78f0df0ad2b5292">
    <Part Type="punktas" Nr="1" Abbr="1 p." DocPartId="de1a875056f94b8f999a8efc724714cd" PartId="742e854d7a7c487baf5fa1363a84b591"/>
    <Part Type="punktas" Nr="2" Abbr="2 p." DocPartId="639b80debee04d539c209898f860a927" PartId="1153f39fcc2744568eed6662e37c4e34"/>
    <Part Type="punktas" Nr="3" Abbr="3 p." DocPartId="d2cd549b18ad457b940bf06f8b9a80c3" PartId="f6f5ff8074084eafb1d08fecd0f9b295"/>
    <Part Type="punktas" Nr="4" Abbr="4 p." DocPartId="596cbb6e012d47ada12fd115b8d655a5" PartId="2e6cde9e03fc4fd9aa8b2d8681b775f5"/>
    <Part Type="punktas" Nr="5" Abbr="5 p." DocPartId="eb9e15b0770b4944a13c35013ea17628" PartId="f50b6265c8ed4ba0a3967402d781e512"/>
    <Part Type="punktas" Nr="6" Abbr="6 p." DocPartId="829bae8d71ef4a2ab7c81970c5687d82" PartId="201722f9a5d5403bb4d4da8900ce3dec"/>
  </Part>
</Parts>
</file>

<file path=customXml/itemProps1.xml><?xml version="1.0" encoding="utf-8"?>
<ds:datastoreItem xmlns:ds="http://schemas.openxmlformats.org/officeDocument/2006/customXml" ds:itemID="{682BF420-474F-4526-B735-E8724FF69702}">
  <ds:schemaRefs>
    <ds:schemaRef ds:uri="http://schemas.microsoft.com/office/2006/metadata/properties"/>
    <ds:schemaRef ds:uri="http://schemas.microsoft.com/office/infopath/2007/PartnerControls"/>
    <ds:schemaRef ds:uri="http://schemas.microsoft.com/sharepoint/v3"/>
    <ds:schemaRef ds:uri="19cf09c5-daa1-4028-a0ff-74a0be4ec5cc"/>
  </ds:schemaRefs>
</ds:datastoreItem>
</file>

<file path=customXml/itemProps2.xml><?xml version="1.0" encoding="utf-8"?>
<ds:datastoreItem xmlns:ds="http://schemas.openxmlformats.org/officeDocument/2006/customXml" ds:itemID="{8AEED0F0-1634-47AA-966B-5429AD2B8F10}">
  <ds:schemaRefs>
    <ds:schemaRef ds:uri="http://schemas.microsoft.com/sharepoint/v3/contenttype/forms"/>
  </ds:schemaRefs>
</ds:datastoreItem>
</file>

<file path=customXml/itemProps3.xml><?xml version="1.0" encoding="utf-8"?>
<ds:datastoreItem xmlns:ds="http://schemas.openxmlformats.org/officeDocument/2006/customXml" ds:itemID="{DBAF395C-B2C4-451D-9C9A-E7D401FC56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CBE9959-33B0-47EA-94E0-9FD98F78BBC9}">
  <ds:schemaRefs>
    <ds:schemaRef ds:uri="http://schemas.openxmlformats.org/officeDocument/2006/bibliography"/>
  </ds:schemaRefs>
</ds:datastoreItem>
</file>

<file path=customXml/itemProps5.xml><?xml version="1.0" encoding="utf-8"?>
<ds:datastoreItem xmlns:ds="http://schemas.openxmlformats.org/officeDocument/2006/customXml" ds:itemID="{A3FD7308-55DD-4760-88B2-181E8206E8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1249</Words>
  <Characters>9243</Characters>
  <Application>Microsoft Office Word</Application>
  <DocSecurity>4</DocSecurity>
  <Lines>181</Lines>
  <Paragraphs>92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10400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2022-04-19T05:23:00Z</dcterms:created>
  <dcterms:modified xsi:type="dcterms:W3CDTF">2022-04-19T05:23:00Z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