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fed7e96da4c4cc4a1659cbf5f6642d9"/>
        <w:lock w:val="sdtLocked"/>
        <w:richText/>
      </w:sdtPr>
      <w:sdtContent>
        <w:p>
          <w:pPr>
            <w:jc w:val="center"/>
            <w:textAlignment w:val="baseline"/>
            <w:rPr>
              <w:color w:val="000000"/>
              <w:sz w:val="27"/>
              <w:szCs w:val="27"/>
              <w:lang w:eastAsia="lt-LT"/>
            </w:rPr>
          </w:pPr>
          <w:r>
            <w:rPr>
              <w:b/>
              <w:bCs/>
              <w:color w:val="000000"/>
              <w:sz w:val="27"/>
              <w:szCs w:val="27"/>
              <w:lang w:eastAsia="lt-LT"/>
            </w:rPr>
            <w:t>TEISĖS AKTŲ PROJEKTŲ ANTIKORUPCINIO VERTINIMO PAŽYMA</w:t>
          </w:r>
        </w:p>
        <w:p>
          <w:pPr>
            <w:ind w:firstLine="67"/>
            <w:textAlignment w:val="baseline"/>
            <w:rPr>
              <w:color w:val="000000"/>
              <w:sz w:val="27"/>
              <w:szCs w:val="27"/>
              <w:lang w:eastAsia="lt-LT"/>
            </w:rPr>
          </w:pPr>
        </w:p>
        <w:p>
          <w:pPr>
            <w:ind w:firstLine="1296"/>
            <w:jc w:val="both"/>
            <w:rPr>
              <w:szCs w:val="24"/>
              <w:lang w:eastAsia="lt-LT"/>
            </w:rPr>
          </w:pPr>
          <w:r>
            <w:rPr>
              <w:color w:val="000000"/>
              <w:szCs w:val="24"/>
              <w:lang w:eastAsia="lt-LT"/>
            </w:rPr>
            <w:t xml:space="preserve">Teisės akto projekto pavadinimas: </w:t>
          </w:r>
          <w:r>
            <w:rPr>
              <w:szCs w:val="24"/>
              <w:lang w:eastAsia="lt-LT"/>
            </w:rPr>
            <w:t>Lietuvos Respublikos žemės ūkio ministro 2016 m. sausio 29 d. įsakymo Nr. 3D-40 „Dėl Daugiamečių ganyklų arba pievų atkūrimo tvarkos aprašo patvirtinimo“ pakeitimo projektas</w:t>
          </w:r>
        </w:p>
        <w:p>
          <w:pPr>
            <w:ind w:firstLine="1296"/>
            <w:jc w:val="both"/>
            <w:rPr>
              <w:szCs w:val="24"/>
              <w:lang w:eastAsia="lt-LT"/>
            </w:rPr>
          </w:pPr>
        </w:p>
        <w:sdt>
          <w:sdtPr>
            <w:alias w:val="preambule"/>
            <w:tag w:val="part_67b552bddd4e451994c07e169cffb421"/>
            <w:lock w:val="sdtLocked"/>
            <w:richText/>
          </w:sdtPr>
          <w:sdtContent>
            <w:p>
              <w:pPr>
                <w:spacing w:line="259" w:lineRule="auto"/>
                <w:ind w:firstLine="720"/>
                <w:rPr>
                  <w:i/>
                  <w:iCs/>
                  <w:szCs w:val="24"/>
                </w:rPr>
              </w:pPr>
              <w:r>
                <w:rPr>
                  <w:color w:val="000000"/>
                  <w:szCs w:val="24"/>
                </w:rPr>
                <w:t xml:space="preserve">Teisės akto projekto tiesioginis rengėjas: Lietuvos Respublikos žemės ūkio ministerijos Augalininkystės ir žaliųjų technologijų skyriaus </w:t>
              </w:r>
              <w:r>
                <w:rPr>
                  <w:szCs w:val="24"/>
                </w:rPr>
                <w:t>vyresnysis patarėjas Tadas Švilpauskas, tel. 239 1</w:t>
              </w:r>
              <w:r>
                <w:rPr>
                  <w:szCs w:val="24"/>
                  <w:lang w:val="en-US"/>
                </w:rPr>
                <w:t>170</w:t>
              </w:r>
              <w:r>
                <w:rPr>
                  <w:szCs w:val="24"/>
                </w:rPr>
                <w:t>, el. p. tadas.svilpauskas@zum.lt</w:t>
              </w:r>
            </w:p>
            <w:p>
              <w:pPr>
                <w:rPr>
                  <w:sz w:val="14"/>
                  <w:szCs w:val="14"/>
                </w:rPr>
              </w:pPr>
            </w:p>
          </w:sdtContent>
        </w:sdt>
        <w:sdt>
          <w:sdtPr>
            <w:alias w:val="pastraipa"/>
            <w:tag w:val="part_e786510479494e30afef1ce30bdc5518"/>
            <w:lock w:val="sdtLocked"/>
            <w:richText/>
          </w:sdtPr>
          <w:sdtContent>
            <w:p>
              <w:pPr>
                <w:keepLines/>
                <w:suppressAutoHyphens/>
                <w:spacing w:line="259" w:lineRule="auto"/>
                <w:ind w:firstLine="709"/>
                <w:jc w:val="both"/>
                <w:rPr>
                  <w:color w:val="000000"/>
                  <w:szCs w:val="24"/>
                  <w:lang w:eastAsia="lt-LT"/>
                </w:rPr>
              </w:pPr>
              <w:r>
                <w:rPr>
                  <w:color w:val="000000"/>
                  <w:szCs w:val="24"/>
                  <w:lang w:eastAsia="lt-LT"/>
                </w:rPr>
                <w:t>Teisės akto projekto antikorupcinis vertinimas atliktas (</w:t>
              </w:r>
              <w:r>
                <w:rPr>
                  <w:i/>
                  <w:iCs/>
                  <w:color w:val="000000"/>
                  <w:szCs w:val="24"/>
                  <w:lang w:eastAsia="lt-LT"/>
                </w:rPr>
                <w:t>pažymėti reikiamą atsakymą</w:t>
              </w:r>
              <w:r>
                <w:rPr>
                  <w:color w:val="000000"/>
                  <w:szCs w:val="24"/>
                  <w:lang w:eastAsia="lt-LT"/>
                </w:rPr>
                <w:t>):</w:t>
              </w:r>
            </w:p>
            <w:p>
              <w:pPr>
                <w:rPr>
                  <w:sz w:val="14"/>
                  <w:szCs w:val="14"/>
                </w:rPr>
              </w:pPr>
            </w:p>
            <w:p>
              <w:pPr>
                <w:ind w:firstLine="1420"/>
                <w:textAlignment w:val="baseline"/>
                <w:rPr>
                  <w:color w:val="000000"/>
                  <w:szCs w:val="24"/>
                  <w:lang w:eastAsia="lt-LT"/>
                </w:rPr>
              </w:pPr>
              <w:r>
                <w:rPr>
                  <w:sz w:val="22"/>
                  <w:szCs w:val="22"/>
                  <w:lang w:val="en-US"/>
                </w:rPr>
                <w:drawing>
                  <wp:inline distT="0" distB="0" distL="0" distR="0" wp14:anchorId="2159B89C" wp14:editId="0A0C0387">
                    <wp:extent cx="125730" cy="114300"/>
                    <wp:effectExtent l="0" t="0" r="7620" b="0"/>
                    <wp:docPr id="2" name="Paveikslėlis 2" descr="Pažymėkite žymės langelį, Wingdings šriftas, simbolio kodas 254 dešimtain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žymėkite žymės langelį, Wingdings šriftas, simbolio kodas 254 dešimtaini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4542" cy="122311"/>
                            </a:xfrm>
                            <a:prstGeom prst="rect">
                              <a:avLst/>
                            </a:prstGeom>
                            <a:noFill/>
                            <a:ln>
                              <a:noFill/>
                            </a:ln>
                          </pic:spPr>
                        </pic:pic>
                      </a:graphicData>
                    </a:graphic>
                  </wp:inline>
                </w:drawing>
              </w:r>
              <w:r>
                <w:rPr>
                  <w:rFonts w:ascii="Segoe UI" w:hAnsi="Segoe UI" w:cs="Segoe UI"/>
                  <w:color w:val="1E1E1E"/>
                  <w:sz w:val="22"/>
                  <w:szCs w:val="22"/>
                  <w:shd w:val="clear" w:color="auto" w:fill="FFFFFF"/>
                </w:rPr>
                <w:t xml:space="preserve"> </w:t>
              </w:r>
              <w:r>
                <w:rPr>
                  <w:color w:val="000000"/>
                  <w:szCs w:val="24"/>
                  <w:lang w:eastAsia="lt-LT"/>
                </w:rPr>
                <w:t>suderinus teisės akto projektą viešojo administravimo subjekte ir su pavaldžiomis įstaigomis (įstaigomis prie ministerijos ir kitomis ministrui pavestose valdymo srityse veikiančiomis įstaigomis ir įmonėmis);</w:t>
              </w:r>
            </w:p>
            <w:p>
              <w:pPr>
                <w:ind w:firstLine="1296"/>
                <w:jc w:val="both"/>
                <w:textAlignment w:val="baseline"/>
                <w:rPr>
                  <w:color w:val="000000"/>
                  <w:szCs w:val="24"/>
                  <w:lang w:eastAsia="lt-LT"/>
                </w:rPr>
              </w:pPr>
              <w:r>
                <w:rPr>
                  <w:color w:val="000000"/>
                  <w:szCs w:val="24"/>
                  <w:lang w:eastAsia="lt-LT"/>
                </w:rPr>
                <w:t>□ suderinus teisės akto projektą su suinteresuotomis institucijomis, kai jis buvo papildytas arba pakeistas.</w:t>
              </w:r>
            </w:p>
            <w:p>
              <w:pPr>
                <w:jc w:val="both"/>
                <w:textAlignment w:val="baseline"/>
                <w:rPr>
                  <w:color w:val="000000"/>
                  <w:szCs w:val="24"/>
                  <w:lang w:eastAsia="lt-LT"/>
                </w:rPr>
              </w:pPr>
              <w:r>
                <w:rPr>
                  <w:color w:val="000000"/>
                  <w:szCs w:val="24"/>
                  <w:lang w:eastAsia="lt-LT"/>
                </w:rPr>
                <w:t>Antikorupciniu požiūriu rizikingos teisės akto projekto nuostatos</w:t>
              </w:r>
              <w:r>
                <w:rPr>
                  <w:b/>
                  <w:bCs/>
                  <w:color w:val="000000"/>
                  <w:szCs w:val="24"/>
                  <w:lang w:eastAsia="lt-LT"/>
                </w:rPr>
                <w:t> </w:t>
              </w:r>
              <w:r>
                <w:rPr>
                  <w:i/>
                  <w:iCs/>
                  <w:color w:val="000000"/>
                  <w:szCs w:val="24"/>
                  <w:lang w:eastAsia="lt-LT"/>
                </w:rPr>
                <w:t>(nurodomas antikorupcinio vertinimo kriterijus (toliau – kriterijus), kurį taikant nustatytai korupcijos rizikai šalinti ar valdyti teisės akto projekte nenumatyta priemonių. Pildoma, kai, vertintojo nuomone, teisės akto projekto tiesioginio rengėjo siūlomų pataisų nepakanka korupcijos atsiradimo rizikai mažinti arba kai vertintojas nesutinka su teisės akto projekto tiesioginio rengėjo argumentais, kodėl neatsižvelgta į vertintojo pateiktas pastabas</w:t>
              </w:r>
              <w:r>
                <w:rPr>
                  <w:color w:val="000000"/>
                  <w:szCs w:val="24"/>
                  <w:lang w:eastAsia="lt-LT"/>
                </w:rPr>
                <w:t>):</w:t>
              </w:r>
            </w:p>
          </w:sdtContent>
        </w:sdt>
        <w:sdt>
          <w:sdtPr>
            <w:alias w:val="signatura"/>
            <w:tag w:val="part_16c34b0079fe41f8be05bc5d1e5e80c4"/>
            <w:lock w:val="sdtLocked"/>
            <w:richText/>
          </w:sdtPr>
          <w:sdtContent>
            <w:p>
              <w:pPr>
                <w:jc w:val="both"/>
                <w:textAlignment w:val="baseline"/>
                <w:rPr>
                  <w:color w:val="000000"/>
                  <w:sz w:val="27"/>
                  <w:szCs w:val="27"/>
                  <w:lang w:eastAsia="lt-LT"/>
                </w:rPr>
              </w:pPr>
              <w:r>
                <w:rPr>
                  <w:color w:val="000000"/>
                  <w:sz w:val="27"/>
                  <w:szCs w:val="27"/>
                  <w:lang w:eastAsia="lt-LT"/>
                </w:rPr>
                <w:t>_______________________________________________________________________________________________________</w:t>
              </w:r>
            </w:p>
            <w:p>
              <w:pPr>
                <w:jc w:val="both"/>
                <w:textAlignment w:val="baseline"/>
                <w:rPr>
                  <w:color w:val="000000"/>
                  <w:sz w:val="27"/>
                  <w:szCs w:val="27"/>
                  <w:lang w:eastAsia="lt-LT"/>
                </w:rPr>
              </w:pPr>
              <w:r>
                <w:rPr>
                  <w:color w:val="000000"/>
                  <w:sz w:val="27"/>
                  <w:szCs w:val="27"/>
                  <w:lang w:eastAsia="lt-LT"/>
                </w:rPr>
                <w:t>_______________________________________________________________________________________________________</w:t>
              </w:r>
            </w:p>
            <w:p>
              <w:pPr>
                <w:ind w:firstLine="67"/>
                <w:jc w:val="both"/>
                <w:textAlignment w:val="baseline"/>
                <w:rPr>
                  <w:color w:val="000000"/>
                  <w:sz w:val="27"/>
                  <w:szCs w:val="27"/>
                  <w:lang w:eastAsia="lt-LT"/>
                </w:rPr>
              </w:pPr>
            </w:p>
            <w:tbl>
              <w:tblPr>
                <w:tblW w:w="15446" w:type="dxa"/>
                <w:tblCellMar>
                  <w:left w:w="0" w:type="dxa"/>
                  <w:right w:w="0" w:type="dxa"/>
                </w:tblCellMar>
                <w:tblLook w:val="04A0" w:firstRow="1" w:lastRow="0" w:firstColumn="1" w:lastColumn="0" w:noHBand="0" w:noVBand="1"/>
              </w:tblPr>
              <w:tblGrid>
                <w:gridCol w:w="105"/>
                <w:gridCol w:w="602"/>
                <w:gridCol w:w="1853"/>
                <w:gridCol w:w="1540"/>
                <w:gridCol w:w="3233"/>
                <w:gridCol w:w="726"/>
                <w:gridCol w:w="1708"/>
                <w:gridCol w:w="2110"/>
                <w:gridCol w:w="2697"/>
                <w:gridCol w:w="872"/>
              </w:tblGrid>
              <w:tr>
                <w:trPr>
                  <w:trHeight w:val="23"/>
                </w:trPr>
                <w:tc>
                  <w:tcPr>
                    <w:tcW w:w="707"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lang w:eastAsia="lt-LT"/>
                      </w:rPr>
                    </w:pPr>
                    <w:r>
                      <w:rPr>
                        <w:szCs w:val="24"/>
                        <w:lang w:eastAsia="lt-LT"/>
                      </w:rPr>
                      <w:t>Eil. Nr.</w:t>
                    </w:r>
                  </w:p>
                </w:tc>
                <w:tc>
                  <w:tcPr>
                    <w:tcW w:w="3393"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lang w:eastAsia="lt-LT"/>
                      </w:rPr>
                    </w:pPr>
                    <w:r>
                      <w:rPr>
                        <w:szCs w:val="24"/>
                        <w:lang w:eastAsia="lt-LT"/>
                      </w:rPr>
                      <w:t>Kriterijus</w:t>
                    </w:r>
                  </w:p>
                </w:tc>
                <w:tc>
                  <w:tcPr>
                    <w:tcW w:w="395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lang w:eastAsia="lt-LT"/>
                      </w:rPr>
                    </w:pPr>
                    <w:r>
                      <w:rPr>
                        <w:szCs w:val="24"/>
                        <w:lang w:eastAsia="lt-LT"/>
                      </w:rPr>
                      <w:t>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w:t>
                    </w:r>
                  </w:p>
                  <w:p>
                    <w:pPr>
                      <w:jc w:val="center"/>
                      <w:textAlignment w:val="baseline"/>
                      <w:rPr>
                        <w:szCs w:val="24"/>
                        <w:lang w:eastAsia="lt-LT"/>
                      </w:rPr>
                    </w:pPr>
                    <w:r>
                      <w:rPr>
                        <w:szCs w:val="24"/>
                        <w:lang w:eastAsia="lt-LT"/>
                      </w:rPr>
                      <w:t>(</w:t>
                    </w:r>
                    <w:r>
                      <w:rPr>
                        <w:i/>
                        <w:iCs/>
                        <w:szCs w:val="24"/>
                        <w:lang w:eastAsia="lt-LT"/>
                      </w:rPr>
                      <w:t>pildo teisės akto projekto antikorupcinį vertinimą atliekantis asmuo)</w:t>
                    </w:r>
                  </w:p>
                </w:tc>
                <w:tc>
                  <w:tcPr>
                    <w:tcW w:w="381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textAlignment w:val="baseline"/>
                      <w:rPr>
                        <w:szCs w:val="24"/>
                        <w:lang w:eastAsia="lt-LT"/>
                      </w:rPr>
                    </w:pPr>
                  </w:p>
                  <w:p>
                    <w:pPr>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jc w:val="center"/>
                      <w:textAlignment w:val="baseline"/>
                      <w:rPr>
                        <w:szCs w:val="24"/>
                        <w:lang w:eastAsia="lt-LT"/>
                      </w:rPr>
                    </w:pPr>
                    <w:r>
                      <w:rPr>
                        <w:szCs w:val="24"/>
                        <w:lang w:eastAsia="lt-LT"/>
                      </w:rPr>
                      <w:t>(</w:t>
                    </w:r>
                    <w:r>
                      <w:rPr>
                        <w:i/>
                        <w:iCs/>
                        <w:szCs w:val="24"/>
                        <w:lang w:eastAsia="lt-LT"/>
                      </w:rPr>
                      <w:t>pildo teisės akto projekto tiesioginis rengėjas)</w:t>
                    </w:r>
                  </w:p>
                </w:tc>
                <w:tc>
                  <w:tcPr>
                    <w:tcW w:w="269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lang w:eastAsia="lt-LT"/>
                      </w:rPr>
                    </w:pPr>
                    <w:r>
                      <w:rPr>
                        <w:szCs w:val="24"/>
                        <w:lang w:eastAsia="lt-LT"/>
                      </w:rPr>
                      <w:t>Išvada dėl teisės akto projekto pakeitimų arba argumentų, kodėl neatsižvelgta į pastabą</w:t>
                    </w:r>
                  </w:p>
                  <w:p>
                    <w:pPr>
                      <w:jc w:val="center"/>
                      <w:textAlignment w:val="baseline"/>
                      <w:rPr>
                        <w:szCs w:val="24"/>
                        <w:lang w:eastAsia="lt-LT"/>
                      </w:rPr>
                    </w:pPr>
                    <w:r>
                      <w:rPr>
                        <w:szCs w:val="24"/>
                        <w:lang w:eastAsia="lt-LT"/>
                      </w:rPr>
                      <w:t>(</w:t>
                    </w:r>
                    <w:r>
                      <w:rPr>
                        <w:i/>
                        <w:iCs/>
                        <w:szCs w:val="24"/>
                        <w:lang w:eastAsia="lt-LT"/>
                      </w:rPr>
                      <w:t>pildo teisės akto projekto antikorupcinį vertinimą atliekantis asmuo)</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2.</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3.</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4.</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5.</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6.</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nustatytas baigtinis motyvuotų atvejų, kai priimant sprendimus taikomos išimtys, sąrašas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7.</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nustatyta sprendimų priėmimo, įforminimo ir viešinimo tvarka</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Kriterijus nėra teisės akto projekto reglamentavimo dalykas. </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8.</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nustatyti sprendimų dėl mažareikšmiškumo kriterijai ir priėmimo tvarka</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Kriterijus nėra teisės akto projekto reglamentavimo dalykas. </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9.</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ind w:left="33"/>
                      <w:textAlignment w:val="baseline"/>
                      <w:rPr>
                        <w:szCs w:val="24"/>
                        <w:lang w:eastAsia="lt-LT"/>
                      </w:rPr>
                    </w:pPr>
                    <w:r>
                      <w:rPr>
                        <w:szCs w:val="24"/>
                        <w:lang w:eastAsia="lt-LT"/>
                      </w:rPr>
                      <w:t>9.1. konkretus narių skaičius, užtikrinantis kolegialaus sprendimus priimančio subjekto veiklos objektyvumą</w:t>
                    </w:r>
                  </w:p>
                  <w:p>
                    <w:pPr>
                      <w:ind w:left="33"/>
                      <w:textAlignment w:val="baseline"/>
                      <w:rPr>
                        <w:szCs w:val="24"/>
                        <w:lang w:eastAsia="lt-LT"/>
                      </w:rPr>
                    </w:pPr>
                    <w:r>
                      <w:rPr>
                        <w:szCs w:val="24"/>
                        <w:lang w:eastAsia="lt-LT"/>
                      </w:rPr>
                      <w:t>9.2. jeigu narius skiria keli subjektai, proporcinga kiekvieno subjekto skiriamų narių dalis, užtikrinanti tinkamą atstovavimą valstybės interesams ir kolegialaus sprendimus priimančio subjekto veiklos objektyvumą ir skaidrumą</w:t>
                    </w:r>
                  </w:p>
                  <w:p>
                    <w:pPr>
                      <w:textAlignment w:val="baseline"/>
                      <w:rPr>
                        <w:szCs w:val="24"/>
                        <w:lang w:eastAsia="lt-LT"/>
                      </w:rPr>
                    </w:pPr>
                    <w:r>
                      <w:rPr>
                        <w:szCs w:val="24"/>
                        <w:lang w:eastAsia="lt-LT"/>
                      </w:rPr>
                      <w:t>9.3</w:t>
                    </w:r>
                    <w:r>
                      <w:rPr>
                        <w:spacing w:val="-4"/>
                        <w:szCs w:val="24"/>
                        <w:lang w:eastAsia="lt-LT"/>
                      </w:rPr>
                      <w:t>. narių skyrimo mechanizmas</w:t>
                    </w:r>
                  </w:p>
                  <w:p>
                    <w:pPr>
                      <w:textAlignment w:val="baseline"/>
                      <w:rPr>
                        <w:szCs w:val="24"/>
                        <w:lang w:eastAsia="lt-LT"/>
                      </w:rPr>
                    </w:pPr>
                    <w:r>
                      <w:rPr>
                        <w:szCs w:val="24"/>
                        <w:lang w:eastAsia="lt-LT"/>
                      </w:rPr>
                      <w:t>9.4. narių rotacija ir kadencijų skaičius ir trukmė</w:t>
                    </w:r>
                  </w:p>
                  <w:p>
                    <w:pPr>
                      <w:textAlignment w:val="baseline"/>
                      <w:rPr>
                        <w:szCs w:val="24"/>
                        <w:lang w:eastAsia="lt-LT"/>
                      </w:rPr>
                    </w:pPr>
                    <w:r>
                      <w:rPr>
                        <w:szCs w:val="24"/>
                        <w:lang w:eastAsia="lt-LT"/>
                      </w:rPr>
                      <w:t>9.5. veiklos pobūdis laiko atžvilgiu</w:t>
                    </w:r>
                  </w:p>
                  <w:p>
                    <w:pPr>
                      <w:textAlignment w:val="baseline"/>
                      <w:rPr>
                        <w:szCs w:val="24"/>
                        <w:lang w:eastAsia="lt-LT"/>
                      </w:rPr>
                    </w:pPr>
                    <w:r>
                      <w:rPr>
                        <w:szCs w:val="24"/>
                        <w:lang w:eastAsia="lt-LT"/>
                      </w:rPr>
                      <w:t>9.6. asmeninė narių atsakomybė</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Kriterijus nėra teisės akto projekto reglamentavimo dalykas. </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10.</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Numatytos procedūros yra </w:t>
                    </w:r>
                    <w:r>
                      <w:rPr>
                        <w:szCs w:val="24"/>
                        <w:shd w:val="clear" w:color="auto" w:fill="FFFFFF"/>
                        <w:lang w:eastAsia="lt-LT"/>
                      </w:rPr>
                      <w:t>būtinos,</w:t>
                    </w:r>
                    <w:r>
                      <w:rPr>
                        <w:szCs w:val="24"/>
                        <w:lang w:eastAsia="lt-LT"/>
                      </w:rPr>
                      <w:t> nustatyta išsami jų taikymo (viešinimo) tvarka</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11.</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nustatytas baigtinis motyvuotų atvejų, kai nustatoma procedūra netaikoma, sąrašas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12.</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projektas nustato jo nuostatoms įgyvendinti numatytų procedūrų ir sprendimų priėmimo konkrečius terminus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13.</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Kriterijus nėra teisės akto projekto reglamentavimo dalykas. </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14.</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15.</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nustatytos kontrolės (priežiūros) skaidrumo ir objektyvumo užtikrinimo priemonės (pvz.,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Kriterijus nėra teisės akto projekto reglamentavimo dalykas. </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16.</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akto projekte nustatyta subjektų, su kuriais susijęs teisės akto projekto nuostatų įgyvendinimas, atsakomybė</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17.</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abs>
                        <w:tab w:val="center" w:pos="1871"/>
                      </w:tabs>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18.</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Kartu su teisės akto projektu pateikta pakankamai jį pagrindžiančių lydimųjų dokumentų ir informacijos,  siekiant antikorupciniu aspektu įvertinti teisės akto projektą</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Kriterijų atitinka.</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70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Cs w:val="24"/>
                        <w:lang w:eastAsia="lt-LT"/>
                      </w:rPr>
                      <w:t>19.</w:t>
                    </w:r>
                  </w:p>
                </w:tc>
                <w:tc>
                  <w:tcPr>
                    <w:tcW w:w="339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Kiti svarbūs kriterijai</w:t>
                    </w:r>
                  </w:p>
                </w:tc>
                <w:tc>
                  <w:tcPr>
                    <w:tcW w:w="3959"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Nėra. </w:t>
                    </w:r>
                  </w:p>
                </w:tc>
                <w:tc>
                  <w:tcPr>
                    <w:tcW w:w="381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ind w:firstLine="62"/>
                      <w:textAlignment w:val="baseline"/>
                      <w:rPr>
                        <w:szCs w:val="24"/>
                        <w:lang w:eastAsia="lt-LT"/>
                      </w:rPr>
                    </w:pPr>
                  </w:p>
                </w:tc>
                <w:tc>
                  <w:tcPr>
                    <w:tcW w:w="2697" w:type="dxa"/>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Cs w:val="24"/>
                        <w:lang w:eastAsia="lt-LT"/>
                      </w:rPr>
                    </w:pPr>
                    <w:r>
                      <w:rPr>
                        <w:szCs w:val="24"/>
                        <w:lang w:eastAsia="lt-LT"/>
                      </w:rPr>
                      <w:t>□ tenkina</w:t>
                    </w:r>
                  </w:p>
                  <w:p>
                    <w:pPr>
                      <w:textAlignment w:val="baseline"/>
                      <w:rPr>
                        <w:szCs w:val="24"/>
                        <w:lang w:eastAsia="lt-LT"/>
                      </w:rPr>
                    </w:pPr>
                    <w:r>
                      <w:rPr>
                        <w:szCs w:val="24"/>
                        <w:lang w:eastAsia="lt-LT"/>
                      </w:rPr>
                      <w:t>□ netenkina</w:t>
                    </w:r>
                  </w:p>
                </w:tc>
                <w:tc>
                  <w:tcPr>
                    <w:tcW w:w="872" w:type="dxa"/>
                    <w:tcBorders>
                      <w:top w:val="nil"/>
                      <w:left w:val="nil"/>
                      <w:bottom w:val="nil"/>
                      <w:right w:val="nil"/>
                    </w:tcBorders>
                    <w:vAlign w:val="center"/>
                    <w:hideMark/>
                  </w:tcPr>
                  <w:p>
                    <w:pPr>
                      <w:ind w:firstLine="62"/>
                      <w:rPr>
                        <w:szCs w:val="24"/>
                        <w:lang w:eastAsia="lt-LT"/>
                      </w:rPr>
                    </w:pPr>
                  </w:p>
                </w:tc>
              </w:tr>
              <w:tr>
                <w:trPr>
                  <w:trHeight w:val="23"/>
                </w:trPr>
                <w:tc>
                  <w:tcPr>
                    <w:tcW w:w="105" w:type="dxa"/>
                    <w:tcBorders>
                      <w:top w:val="nil"/>
                      <w:left w:val="nil"/>
                      <w:bottom w:val="nil"/>
                      <w:right w:val="nil"/>
                    </w:tcBorders>
                    <w:vAlign w:val="center"/>
                    <w:hideMark/>
                  </w:tcPr>
                  <w:p>
                    <w:pPr>
                      <w:ind w:firstLine="62"/>
                      <w:rPr>
                        <w:szCs w:val="24"/>
                        <w:lang w:eastAsia="lt-LT"/>
                      </w:rPr>
                    </w:pPr>
                  </w:p>
                </w:tc>
                <w:tc>
                  <w:tcPr>
                    <w:tcW w:w="2455" w:type="dxa"/>
                    <w:gridSpan w:val="2"/>
                    <w:tcBorders>
                      <w:top w:val="nil"/>
                      <w:left w:val="nil"/>
                      <w:bottom w:val="nil"/>
                      <w:right w:val="nil"/>
                    </w:tcBorders>
                    <w:tcMar>
                      <w:top w:w="0" w:type="dxa"/>
                      <w:left w:w="108" w:type="dxa"/>
                      <w:bottom w:w="0" w:type="dxa"/>
                      <w:right w:w="108" w:type="dxa"/>
                    </w:tcMar>
                  </w:tcPr>
                  <w:p>
                    <w:pPr>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hideMark/>
                  </w:tcPr>
                  <w:p>
                    <w:pPr>
                      <w:ind w:firstLine="62"/>
                      <w:textAlignment w:val="baseline"/>
                      <w:rPr>
                        <w:szCs w:val="24"/>
                        <w:lang w:eastAsia="lt-LT"/>
                      </w:rPr>
                    </w:pPr>
                  </w:p>
                  <w:p>
                    <w:pPr>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hideMark/>
                  </w:tcPr>
                  <w:p>
                    <w:pPr>
                      <w:ind w:firstLine="62"/>
                      <w:textAlignment w:val="baseline"/>
                      <w:rPr>
                        <w:szCs w:val="24"/>
                        <w:lang w:eastAsia="lt-LT"/>
                      </w:rPr>
                    </w:pPr>
                  </w:p>
                  <w:p>
                    <w:pPr>
                      <w:rPr>
                        <w:szCs w:val="24"/>
                      </w:rPr>
                    </w:pPr>
                    <w:r>
                      <w:rPr>
                        <w:szCs w:val="24"/>
                      </w:rPr>
                      <w:t>Teisėkūros ir atstovavimo skyriaus vyresnioji patarėja Giedrė Pupšytė</w:t>
                    </w:r>
                  </w:p>
                  <w:p>
                    <w:pPr>
                      <w:spacing w:line="259" w:lineRule="auto"/>
                      <w:rPr>
                        <w:szCs w:val="24"/>
                        <w:lang w:eastAsia="lt-LT"/>
                      </w:rPr>
                    </w:pPr>
                  </w:p>
                  <w:p>
                    <w:pPr>
                      <w:rPr>
                        <w:sz w:val="14"/>
                        <w:szCs w:val="14"/>
                      </w:rPr>
                    </w:pPr>
                  </w:p>
                  <w:p>
                    <w:pPr>
                      <w:spacing w:line="259" w:lineRule="auto"/>
                      <w:rPr>
                        <w:szCs w:val="24"/>
                        <w:lang w:eastAsia="lt-LT"/>
                      </w:rPr>
                    </w:pPr>
                  </w:p>
                </w:tc>
              </w:tr>
              <w:tr>
                <w:trPr>
                  <w:trHeight w:val="23"/>
                </w:trPr>
                <w:tc>
                  <w:tcPr>
                    <w:tcW w:w="105" w:type="dxa"/>
                    <w:tcBorders>
                      <w:top w:val="nil"/>
                      <w:left w:val="nil"/>
                      <w:bottom w:val="nil"/>
                      <w:right w:val="nil"/>
                    </w:tcBorders>
                    <w:vAlign w:val="center"/>
                    <w:hideMark/>
                  </w:tcPr>
                  <w:p>
                    <w:pPr>
                      <w:ind w:firstLine="62"/>
                      <w:rPr>
                        <w:szCs w:val="24"/>
                        <w:lang w:eastAsia="lt-LT"/>
                      </w:rPr>
                    </w:pPr>
                  </w:p>
                </w:tc>
                <w:tc>
                  <w:tcPr>
                    <w:tcW w:w="2455" w:type="dxa"/>
                    <w:gridSpan w:val="2"/>
                    <w:tcBorders>
                      <w:top w:val="nil"/>
                      <w:left w:val="nil"/>
                      <w:bottom w:val="nil"/>
                      <w:right w:val="nil"/>
                    </w:tcBorders>
                    <w:tcMar>
                      <w:top w:w="0" w:type="dxa"/>
                      <w:left w:w="108" w:type="dxa"/>
                      <w:bottom w:w="0" w:type="dxa"/>
                      <w:right w:w="108" w:type="dxa"/>
                    </w:tcMar>
                  </w:tcPr>
                  <w:p>
                    <w:pPr>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hideMark/>
                  </w:tcPr>
                  <w:p>
                    <w:pPr>
                      <w:ind w:firstLine="62"/>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textAlignment w:val="baseline"/>
                      <w:rPr>
                        <w:szCs w:val="24"/>
                        <w:lang w:eastAsia="lt-LT"/>
                      </w:rPr>
                    </w:pPr>
                  </w:p>
                </w:tc>
              </w:tr>
              <w:tr>
                <w:trPr>
                  <w:trHeight w:val="23"/>
                </w:trPr>
                <w:tc>
                  <w:tcPr>
                    <w:tcW w:w="105" w:type="dxa"/>
                    <w:tcBorders>
                      <w:top w:val="nil"/>
                      <w:left w:val="nil"/>
                      <w:bottom w:val="nil"/>
                      <w:right w:val="nil"/>
                    </w:tcBorders>
                    <w:vAlign w:val="center"/>
                    <w:hideMark/>
                  </w:tcPr>
                  <w:p>
                    <w:pPr>
                      <w:ind w:firstLine="62"/>
                      <w:rPr>
                        <w:szCs w:val="24"/>
                        <w:lang w:eastAsia="lt-LT"/>
                      </w:rPr>
                    </w:pPr>
                  </w:p>
                </w:tc>
                <w:tc>
                  <w:tcPr>
                    <w:tcW w:w="2455" w:type="dxa"/>
                    <w:gridSpan w:val="2"/>
                    <w:tcBorders>
                      <w:top w:val="nil"/>
                      <w:left w:val="nil"/>
                      <w:bottom w:val="nil"/>
                      <w:right w:val="nil"/>
                    </w:tcBorders>
                    <w:tcMar>
                      <w:top w:w="0" w:type="dxa"/>
                      <w:left w:w="108" w:type="dxa"/>
                      <w:bottom w:w="0" w:type="dxa"/>
                      <w:right w:w="108" w:type="dxa"/>
                    </w:tcMar>
                  </w:tcPr>
                  <w:p>
                    <w:pPr>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hideMark/>
                  </w:tcPr>
                  <w:p>
                    <w:pPr>
                      <w:ind w:firstLine="62"/>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pPr>
                      <w:ind w:left="-11" w:firstLine="73"/>
                      <w:textAlignment w:val="baseline"/>
                      <w:rPr>
                        <w:szCs w:val="24"/>
                        <w:lang w:eastAsia="lt-LT"/>
                      </w:rPr>
                    </w:pPr>
                  </w:p>
                </w:tc>
              </w:tr>
              <w:tr>
                <w:trPr>
                  <w:trHeight w:val="555"/>
                </w:trPr>
                <w:tc>
                  <w:tcPr>
                    <w:tcW w:w="105" w:type="dxa"/>
                    <w:tcBorders>
                      <w:top w:val="nil"/>
                      <w:left w:val="nil"/>
                      <w:bottom w:val="nil"/>
                      <w:right w:val="nil"/>
                    </w:tcBorders>
                    <w:vAlign w:val="center"/>
                    <w:hideMark/>
                  </w:tcPr>
                  <w:p>
                    <w:pPr>
                      <w:ind w:firstLine="62"/>
                      <w:rPr>
                        <w:szCs w:val="24"/>
                        <w:lang w:eastAsia="lt-LT"/>
                      </w:rPr>
                    </w:pPr>
                  </w:p>
                </w:tc>
                <w:tc>
                  <w:tcPr>
                    <w:tcW w:w="2455" w:type="dxa"/>
                    <w:gridSpan w:val="2"/>
                    <w:tcBorders>
                      <w:top w:val="nil"/>
                      <w:left w:val="nil"/>
                      <w:bottom w:val="nil"/>
                      <w:right w:val="nil"/>
                    </w:tcBorders>
                    <w:tcMar>
                      <w:top w:w="0" w:type="dxa"/>
                      <w:left w:w="108" w:type="dxa"/>
                      <w:bottom w:w="0" w:type="dxa"/>
                      <w:right w:w="108" w:type="dxa"/>
                    </w:tcMar>
                  </w:tcPr>
                  <w:p>
                    <w:pPr>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hideMark/>
                  </w:tcPr>
                  <w:p>
                    <w:pPr>
                      <w:ind w:firstLine="62"/>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pPr>
                      <w:ind w:left="-11" w:firstLine="64"/>
                      <w:textAlignment w:val="baseline"/>
                      <w:rPr>
                        <w:szCs w:val="24"/>
                        <w:lang w:eastAsia="lt-LT"/>
                      </w:rPr>
                    </w:pPr>
                    <w:r>
                      <w:rPr>
                        <w:szCs w:val="24"/>
                        <w:lang w:eastAsia="lt-LT"/>
                      </w:rPr>
                      <w:t>(parašas)                                                     (data)</w:t>
                    </w:r>
                  </w:p>
                </w:tc>
              </w:tr>
            </w:tbl>
            <w:p/>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3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2DBFF2-DF7E-48C7-8EF2-5DF6BE714B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273236">
      <w:bodyDiv w:val="1"/>
      <w:marLeft w:val="0"/>
      <w:marRight w:val="0"/>
      <w:marTop w:val="0"/>
      <w:marBottom w:val="0"/>
      <w:divBdr>
        <w:top w:val="none" w:sz="0" w:space="0" w:color="auto"/>
        <w:left w:val="none" w:sz="0" w:space="0" w:color="auto"/>
        <w:bottom w:val="none" w:sz="0" w:space="0" w:color="auto"/>
        <w:right w:val="none" w:sz="0" w:space="0" w:color="auto"/>
      </w:divBdr>
    </w:div>
    <w:div w:id="622997597">
      <w:bodyDiv w:val="1"/>
      <w:marLeft w:val="0"/>
      <w:marRight w:val="0"/>
      <w:marTop w:val="0"/>
      <w:marBottom w:val="0"/>
      <w:divBdr>
        <w:top w:val="none" w:sz="0" w:space="0" w:color="auto"/>
        <w:left w:val="none" w:sz="0" w:space="0" w:color="auto"/>
        <w:bottom w:val="none" w:sz="0" w:space="0" w:color="auto"/>
        <w:right w:val="none" w:sz="0" w:space="0" w:color="auto"/>
      </w:divBdr>
    </w:div>
    <w:div w:id="1257787684">
      <w:bodyDiv w:val="1"/>
      <w:marLeft w:val="0"/>
      <w:marRight w:val="0"/>
      <w:marTop w:val="0"/>
      <w:marBottom w:val="0"/>
      <w:divBdr>
        <w:top w:val="none" w:sz="0" w:space="0" w:color="auto"/>
        <w:left w:val="none" w:sz="0" w:space="0" w:color="auto"/>
        <w:bottom w:val="none" w:sz="0" w:space="0" w:color="auto"/>
        <w:right w:val="none" w:sz="0" w:space="0" w:color="auto"/>
      </w:divBdr>
    </w:div>
    <w:div w:id="1454446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png"/>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490f6058fab427abc12c764f1ad8102" PartId="2fed7e96da4c4cc4a1659cbf5f6642d9">
    <Part Type="preambule" DocPartId="7367cdd66b6c4a21acb016ed6a67df19" PartId="67b552bddd4e451994c07e169cffb421"/>
    <Part Type="pastraipa" DocPartId="6fe3fbed838c4cefb71d9cb684b010d2" PartId="e786510479494e30afef1ce30bdc5518"/>
    <Part Type="signatura" DocPartId="c6c9411cf7484a0b87a0c759fd4d9efc" PartId="16c34b0079fe41f8be05bc5d1e5e80c4"/>
  </Part>
</Parts>
</file>

<file path=customXml/itemProps1.xml><?xml version="1.0" encoding="utf-8"?>
<ds:datastoreItem xmlns:ds="http://schemas.openxmlformats.org/officeDocument/2006/customXml" ds:itemID="{F73BBE9C-A4B7-44A1-A064-C66824D147F7}">
  <ds:schemaRefs>
    <ds:schemaRef ds:uri="http://schemas.openxmlformats.org/officeDocument/2006/bibliography"/>
  </ds:schemaRefs>
</ds:datastoreItem>
</file>

<file path=customXml/itemProps2.xml><?xml version="1.0" encoding="utf-8"?>
<ds:datastoreItem xmlns:ds="http://schemas.openxmlformats.org/officeDocument/2006/customXml" ds:itemID="{6EA765EB-5298-4B44-A7C0-E6B6419461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828</Words>
  <Characters>6122</Characters>
  <Application>Microsoft Office Word</Application>
  <DocSecurity>4</DocSecurity>
  <Lines>322</Lines>
  <Paragraphs>138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6812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2024-01-15T06:29:00Z</dcterms:created>
  <dc:creator>Giedrė Pupšytė</dc:creator>
  <lastModifiedBy>adlibuser</lastModifiedBy>
  <dcterms:modified xsi:type="dcterms:W3CDTF">2024-01-15T06:29:00Z</dcterms:modified>
  <revision>2</revision>
</coreProperties>
</file>