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4d98bb5eb5344988dffadc191585d08"/>
        <w:lock w:val="sdtLocked"/>
        <w:richText/>
      </w:sdtPr>
      <w:sdtContent>
        <w:p>
          <w:pPr>
            <w:spacing w:line="276" w:lineRule="auto"/>
            <w:jc w:val="center"/>
            <w:rPr>
              <w:rFonts w:eastAsia="Calibri"/>
              <w:b/>
              <w:color w:val="000000"/>
              <w:szCs w:val="24"/>
            </w:rPr>
          </w:pPr>
          <w:r>
            <w:rPr>
              <w:rFonts w:eastAsia="Calibri"/>
              <w:b/>
              <w:color w:val="000000"/>
              <w:szCs w:val="24"/>
            </w:rPr>
            <w:t>NUMATOMO TEISINIO REGULIAVIMO POVEIKIO VERTINIMO PAŽYMA</w:t>
          </w:r>
        </w:p>
        <w:p>
          <w:pPr>
            <w:spacing w:line="276" w:lineRule="auto"/>
            <w:jc w:val="center"/>
            <w:rPr>
              <w:rFonts w:eastAsia="Calibri"/>
              <w:b/>
              <w:color w:val="000000"/>
              <w:sz w:val="16"/>
              <w:szCs w:val="16"/>
            </w:rPr>
          </w:pPr>
        </w:p>
        <w:tbl>
          <w:tblPr>
            <w:tblW w:w="9623" w:type="dxa"/>
            <w:jc w:val="center"/>
            <w:tblLook w:val="00A0" w:firstRow="1" w:lastRow="0" w:firstColumn="1" w:lastColumn="0" w:noHBand="0" w:noVBand="0"/>
          </w:tblPr>
          <w:tblGrid>
            <w:gridCol w:w="2545"/>
            <w:gridCol w:w="7078"/>
          </w:tblGrid>
          <w:tr>
            <w:trPr>
              <w:jc w:val="center"/>
            </w:trPr>
            <w:tc>
              <w:tcPr>
                <w:tcW w:w="2545" w:type="dxa"/>
                <w:shd w:val="clear" w:color="auto" w:fill="auto"/>
                <w:hideMark/>
              </w:tcPr>
              <w:p>
                <w:pPr>
                  <w:rPr>
                    <w:sz w:val="10"/>
                    <w:szCs w:val="10"/>
                  </w:rPr>
                </w:pPr>
              </w:p>
              <w:p>
                <w:pPr>
                  <w:rPr>
                    <w:rFonts w:eastAsia="Calibri"/>
                    <w:szCs w:val="24"/>
                    <w:shd w:val="clear" w:color="auto" w:fill="DBE5F1"/>
                  </w:rPr>
                </w:pPr>
                <w:r>
                  <w:rPr>
                    <w:rFonts w:eastAsia="Calibri"/>
                    <w:b/>
                    <w:szCs w:val="24"/>
                  </w:rPr>
                  <w:t>Projekto pavadinimas</w:t>
                </w:r>
              </w:p>
            </w:tc>
            <w:tc>
              <w:tcPr>
                <w:tcW w:w="7078" w:type="dxa"/>
                <w:shd w:val="clear" w:color="auto" w:fill="auto"/>
              </w:tcPr>
              <w:p>
                <w:pPr>
                  <w:rPr>
                    <w:sz w:val="10"/>
                    <w:szCs w:val="10"/>
                  </w:rPr>
                </w:pPr>
              </w:p>
              <w:p>
                <w:pPr>
                  <w:jc w:val="both"/>
                  <w:rPr>
                    <w:rFonts w:eastAsia="Calibri"/>
                    <w:szCs w:val="24"/>
                  </w:rPr>
                </w:pPr>
                <w:r>
                  <w:rPr>
                    <w:rFonts w:eastAsia="Calibri"/>
                    <w:bCs/>
                    <w:szCs w:val="24"/>
                  </w:rPr>
                  <w:t xml:space="preserve">Lietuvos Respublikos Vyriausybės 2013 m. liepos 24 d. nutarimo Nr. 711 </w:t>
                </w:r>
                <w:r>
                  <w:rPr>
                    <w:szCs w:val="24"/>
                    <w:lang w:eastAsia="lt-LT"/>
                  </w:rPr>
                  <w:t>„</w:t>
                </w:r>
                <w:r>
                  <w:rPr>
                    <w:bCs/>
                    <w:szCs w:val="24"/>
                    <w:lang w:eastAsia="lt-LT"/>
                  </w:rPr>
                  <w:t xml:space="preserve">Dėl </w:t>
                </w:r>
                <w:r>
                  <w:rPr>
                    <w:szCs w:val="24"/>
                    <w:lang w:eastAsia="lt-LT"/>
                  </w:rPr>
                  <w:t xml:space="preserve">Vietinės rinkliavos ar kitos įmokos už komunalinių atliekų surinkimą iš atliekų turėtojų ir atliekų tvarkymą dydžio nustatymo taisyklių patvirtinimo“ </w:t>
                </w:r>
                <w:r>
                  <w:rPr>
                    <w:rFonts w:eastAsia="Calibri"/>
                    <w:szCs w:val="24"/>
                  </w:rPr>
                  <w:t xml:space="preserve">pakeitimo </w:t>
                </w:r>
                <w:r>
                  <w:rPr>
                    <w:rFonts w:eastAsia="Calibri"/>
                    <w:color w:val="000000"/>
                    <w:szCs w:val="24"/>
                  </w:rPr>
                  <w:t xml:space="preserve">projektas </w:t>
                </w:r>
              </w:p>
            </w:tc>
          </w:tr>
          <w:tr>
            <w:trPr>
              <w:jc w:val="center"/>
            </w:trPr>
            <w:tc>
              <w:tcPr>
                <w:tcW w:w="2545" w:type="dxa"/>
                <w:shd w:val="clear" w:color="auto" w:fill="auto"/>
                <w:hideMark/>
              </w:tcPr>
              <w:p>
                <w:pPr>
                  <w:rPr>
                    <w:sz w:val="10"/>
                    <w:szCs w:val="10"/>
                  </w:rPr>
                </w:pPr>
              </w:p>
              <w:p>
                <w:pPr>
                  <w:shd w:val="clear" w:color="auto" w:fill="FFFFFF"/>
                  <w:rPr>
                    <w:rFonts w:eastAsia="Calibri"/>
                    <w:szCs w:val="24"/>
                  </w:rPr>
                </w:pPr>
                <w:r>
                  <w:rPr>
                    <w:rFonts w:eastAsia="Calibri"/>
                    <w:b/>
                    <w:szCs w:val="24"/>
                  </w:rPr>
                  <w:t>Projekto rengėjas</w:t>
                </w:r>
              </w:p>
            </w:tc>
            <w:tc>
              <w:tcPr>
                <w:tcW w:w="7078" w:type="dxa"/>
                <w:shd w:val="clear" w:color="auto" w:fill="auto"/>
                <w:hideMark/>
              </w:tcPr>
              <w:p>
                <w:pPr>
                  <w:rPr>
                    <w:sz w:val="10"/>
                    <w:szCs w:val="10"/>
                  </w:rPr>
                </w:pPr>
              </w:p>
              <w:p>
                <w:pPr>
                  <w:shd w:val="clear" w:color="auto" w:fill="FFFFFF"/>
                  <w:jc w:val="both"/>
                  <w:rPr>
                    <w:rFonts w:eastAsia="Calibri"/>
                    <w:b/>
                    <w:szCs w:val="24"/>
                  </w:rPr>
                </w:pPr>
                <w:r>
                  <w:rPr>
                    <w:rFonts w:eastAsia="Calibri"/>
                    <w:szCs w:val="24"/>
                  </w:rPr>
                  <w:t>Lietuvos Respublikos aplinkos ministerija</w:t>
                </w:r>
              </w:p>
            </w:tc>
          </w:tr>
          <w:tr>
            <w:trPr>
              <w:jc w:val="center"/>
            </w:trPr>
            <w:tc>
              <w:tcPr>
                <w:tcW w:w="2545" w:type="dxa"/>
                <w:shd w:val="clear" w:color="auto" w:fill="auto"/>
                <w:hideMark/>
              </w:tcPr>
              <w:p>
                <w:pPr>
                  <w:rPr>
                    <w:sz w:val="10"/>
                    <w:szCs w:val="10"/>
                  </w:rPr>
                </w:pPr>
              </w:p>
              <w:p>
                <w:pPr>
                  <w:rPr>
                    <w:rFonts w:eastAsia="Calibri"/>
                    <w:b/>
                    <w:szCs w:val="24"/>
                  </w:rPr>
                </w:pPr>
                <w:r>
                  <w:rPr>
                    <w:rFonts w:eastAsia="Calibri"/>
                    <w:b/>
                    <w:szCs w:val="24"/>
                  </w:rPr>
                  <w:t>Projekto tikslas</w:t>
                </w:r>
              </w:p>
            </w:tc>
            <w:tc>
              <w:tcPr>
                <w:tcW w:w="7078" w:type="dxa"/>
                <w:shd w:val="clear" w:color="auto" w:fill="auto"/>
                <w:hideMark/>
              </w:tcPr>
              <w:p>
                <w:pPr>
                  <w:jc w:val="both"/>
                  <w:rPr>
                    <w:rFonts w:eastAsia="Calibri"/>
                    <w:bCs/>
                    <w:szCs w:val="24"/>
                  </w:rPr>
                </w:pPr>
                <w:r>
                  <w:t>Atsižvelgiant į</w:t>
                </w:r>
                <w:r>
                  <w:rPr>
                    <w:rFonts w:eastAsia="Calibri"/>
                    <w:bCs/>
                    <w:szCs w:val="24"/>
                  </w:rPr>
                  <w:t xml:space="preserve"> Lietuvos Respublikos atliekų tvarkymo įstatymo Nr. VIII-787 2, 11</w:t>
                </w:r>
                <w:r>
                  <w:rPr>
                    <w:rFonts w:eastAsia="Calibri"/>
                    <w:bCs/>
                    <w:szCs w:val="24"/>
                    <w:vertAlign w:val="superscript"/>
                  </w:rPr>
                  <w:t>2</w:t>
                </w:r>
                <w:r>
                  <w:rPr>
                    <w:rFonts w:eastAsia="Calibri"/>
                    <w:bCs/>
                    <w:szCs w:val="24"/>
                  </w:rPr>
                  <w:t>, 12, 28, 30, 30</w:t>
                </w:r>
                <w:r>
                  <w:rPr>
                    <w:rFonts w:eastAsia="Calibri"/>
                    <w:bCs/>
                    <w:szCs w:val="24"/>
                    <w:vertAlign w:val="superscript"/>
                  </w:rPr>
                  <w:t>1</w:t>
                </w:r>
                <w:r>
                  <w:rPr>
                    <w:rFonts w:eastAsia="Calibri"/>
                    <w:bCs/>
                    <w:szCs w:val="24"/>
                  </w:rPr>
                  <w:t>, 30</w:t>
                </w:r>
                <w:r>
                  <w:rPr>
                    <w:rFonts w:eastAsia="Calibri"/>
                    <w:bCs/>
                    <w:szCs w:val="24"/>
                    <w:vertAlign w:val="superscript"/>
                  </w:rPr>
                  <w:t>2</w:t>
                </w:r>
                <w:r>
                  <w:rPr>
                    <w:rFonts w:eastAsia="Calibri"/>
                    <w:bCs/>
                    <w:szCs w:val="24"/>
                  </w:rPr>
                  <w:t>, 35</w:t>
                </w:r>
                <w:r>
                  <w:rPr>
                    <w:rFonts w:eastAsia="Calibri"/>
                    <w:bCs/>
                    <w:szCs w:val="24"/>
                    <w:vertAlign w:val="superscript"/>
                  </w:rPr>
                  <w:t>1</w:t>
                </w:r>
                <w:r>
                  <w:rPr>
                    <w:rFonts w:eastAsia="Calibri"/>
                    <w:bCs/>
                    <w:szCs w:val="24"/>
                  </w:rPr>
                  <w:t xml:space="preserve"> straipsnių pakeitimo ir Įstatymo papildymo 25</w:t>
                </w:r>
                <w:r>
                  <w:rPr>
                    <w:rFonts w:eastAsia="Calibri"/>
                    <w:bCs/>
                    <w:szCs w:val="24"/>
                    <w:vertAlign w:val="superscript"/>
                  </w:rPr>
                  <w:t>1</w:t>
                </w:r>
                <w:r>
                  <w:rPr>
                    <w:rFonts w:eastAsia="Calibri"/>
                    <w:bCs/>
                    <w:szCs w:val="24"/>
                  </w:rPr>
                  <w:t>, 30</w:t>
                </w:r>
                <w:r>
                  <w:rPr>
                    <w:rFonts w:eastAsia="Calibri"/>
                    <w:bCs/>
                    <w:szCs w:val="24"/>
                    <w:vertAlign w:val="superscript"/>
                  </w:rPr>
                  <w:t>3</w:t>
                </w:r>
                <w:r>
                  <w:rPr>
                    <w:rFonts w:eastAsia="Calibri"/>
                    <w:bCs/>
                    <w:szCs w:val="24"/>
                  </w:rPr>
                  <w:t>, 30</w:t>
                </w:r>
                <w:r>
                  <w:rPr>
                    <w:rFonts w:eastAsia="Calibri"/>
                    <w:bCs/>
                    <w:szCs w:val="24"/>
                    <w:vertAlign w:val="superscript"/>
                  </w:rPr>
                  <w:t>4</w:t>
                </w:r>
                <w:r>
                  <w:rPr>
                    <w:rFonts w:eastAsia="Calibri"/>
                    <w:bCs/>
                    <w:szCs w:val="24"/>
                  </w:rPr>
                  <w:t>, 30</w:t>
                </w:r>
                <w:r>
                  <w:rPr>
                    <w:rFonts w:eastAsia="Calibri"/>
                    <w:bCs/>
                    <w:szCs w:val="24"/>
                    <w:vertAlign w:val="superscript"/>
                  </w:rPr>
                  <w:t>5</w:t>
                </w:r>
                <w:r>
                  <w:rPr>
                    <w:rFonts w:eastAsia="Calibri"/>
                    <w:bCs/>
                    <w:szCs w:val="24"/>
                  </w:rPr>
                  <w:t>, 30</w:t>
                </w:r>
                <w:r>
                  <w:rPr>
                    <w:rFonts w:eastAsia="Calibri"/>
                    <w:bCs/>
                    <w:szCs w:val="24"/>
                    <w:vertAlign w:val="superscript"/>
                  </w:rPr>
                  <w:t>6</w:t>
                </w:r>
                <w:r>
                  <w:rPr>
                    <w:rFonts w:eastAsia="Calibri"/>
                    <w:bCs/>
                    <w:szCs w:val="24"/>
                  </w:rPr>
                  <w:t>, 30</w:t>
                </w:r>
                <w:r>
                  <w:rPr>
                    <w:rFonts w:eastAsia="Calibri"/>
                    <w:bCs/>
                    <w:szCs w:val="24"/>
                    <w:vertAlign w:val="superscript"/>
                  </w:rPr>
                  <w:t>7</w:t>
                </w:r>
                <w:r>
                  <w:rPr>
                    <w:rFonts w:eastAsia="Calibri"/>
                    <w:bCs/>
                    <w:szCs w:val="24"/>
                  </w:rPr>
                  <w:t>, 30</w:t>
                </w:r>
                <w:r>
                  <w:rPr>
                    <w:rFonts w:eastAsia="Calibri"/>
                    <w:bCs/>
                    <w:szCs w:val="24"/>
                    <w:vertAlign w:val="superscript"/>
                  </w:rPr>
                  <w:t>8</w:t>
                </w:r>
                <w:r>
                  <w:rPr>
                    <w:rFonts w:eastAsia="Calibri"/>
                    <w:bCs/>
                    <w:szCs w:val="24"/>
                  </w:rPr>
                  <w:t>, 30</w:t>
                </w:r>
                <w:r>
                  <w:rPr>
                    <w:rFonts w:eastAsia="Calibri"/>
                    <w:bCs/>
                    <w:szCs w:val="24"/>
                    <w:vertAlign w:val="superscript"/>
                  </w:rPr>
                  <w:t>9</w:t>
                </w:r>
                <w:r>
                  <w:rPr>
                    <w:rFonts w:eastAsia="Calibri"/>
                    <w:bCs/>
                    <w:szCs w:val="24"/>
                  </w:rPr>
                  <w:t xml:space="preserve"> straipsniais, septintuoju</w:t>
                </w:r>
                <w:r>
                  <w:rPr>
                    <w:rFonts w:eastAsia="Calibri"/>
                    <w:bCs/>
                    <w:szCs w:val="24"/>
                    <w:vertAlign w:val="superscript"/>
                  </w:rPr>
                  <w:t>1</w:t>
                </w:r>
                <w:r>
                  <w:rPr>
                    <w:rFonts w:eastAsia="Calibri"/>
                    <w:bCs/>
                    <w:szCs w:val="24"/>
                  </w:rPr>
                  <w:t xml:space="preserve"> ir septintuoju</w:t>
                </w:r>
                <w:r>
                  <w:rPr>
                    <w:rFonts w:eastAsia="Calibri"/>
                    <w:bCs/>
                    <w:szCs w:val="24"/>
                    <w:vertAlign w:val="superscript"/>
                  </w:rPr>
                  <w:t>2</w:t>
                </w:r>
                <w:r>
                  <w:rPr>
                    <w:rFonts w:eastAsia="Calibri"/>
                    <w:bCs/>
                    <w:szCs w:val="24"/>
                  </w:rPr>
                  <w:t xml:space="preserve"> skirsniais įstatymo Nr. XIV-875 nuostatas ir įvertinus praktikoje kylančius neaiškumus savivaldybėms apskaičiuojant / nustatant vietinę rinkliavą ar kitą įmoką už komunalinių atliekų surinkimą iš atliekų turėtojų ir atliekų tvarkymą (toliau – įmoka), patikslinti bendruosius įmokos dydžio nustatymo reikalavimus, kuriais savivaldybės vadovaujasi tvirtindamos įmokos dydžius. </w:t>
                </w:r>
              </w:p>
            </w:tc>
          </w:tr>
        </w:tbl>
        <w:p>
          <w:pPr>
            <w:rPr>
              <w:szCs w:val="24"/>
            </w:rPr>
          </w:pPr>
        </w:p>
        <w:tbl>
          <w:tblPr>
            <w:tblW w:w="9781" w:type="dxa"/>
            <w:jc w:val="center"/>
            <w:tblLook w:val="00A0" w:firstRow="1" w:lastRow="0" w:firstColumn="1" w:lastColumn="0" w:noHBand="0" w:noVBand="0"/>
          </w:tblPr>
          <w:tblGrid>
            <w:gridCol w:w="2695"/>
            <w:gridCol w:w="7086"/>
          </w:tblGrid>
          <w:tr>
            <w:trPr>
              <w:jc w:val="center"/>
            </w:trPr>
            <w:tc>
              <w:tcPr>
                <w:tcW w:w="9781" w:type="dxa"/>
                <w:gridSpan w:val="2"/>
                <w:shd w:val="clear" w:color="auto" w:fill="FFFFFF"/>
              </w:tcPr>
              <w:p>
                <w:pPr>
                  <w:rPr>
                    <w:sz w:val="10"/>
                    <w:szCs w:val="10"/>
                  </w:rPr>
                </w:pPr>
              </w:p>
              <w:p>
                <w:pPr>
                  <w:shd w:val="clear" w:color="auto" w:fill="FFFFFF"/>
                  <w:jc w:val="center"/>
                  <w:rPr>
                    <w:rFonts w:eastAsia="Calibri"/>
                    <w:b/>
                    <w:szCs w:val="24"/>
                  </w:rPr>
                </w:pPr>
                <w:r>
                  <w:rPr>
                    <w:rFonts w:eastAsia="Calibri"/>
                    <w:b/>
                    <w:szCs w:val="24"/>
                  </w:rPr>
                  <w:t xml:space="preserve">Siūlomo projekto poveikio įvertinimas </w:t>
                </w:r>
              </w:p>
            </w:tc>
          </w:tr>
          <w:tr>
            <w:trPr>
              <w:jc w:val="center"/>
            </w:trPr>
            <w:tc>
              <w:tcPr>
                <w:tcW w:w="2695" w:type="dxa"/>
                <w:shd w:val="clear" w:color="auto" w:fill="FFFFFF"/>
              </w:tcPr>
              <w:p>
                <w:pPr>
                  <w:rPr>
                    <w:rFonts w:eastAsia="Calibri"/>
                    <w:b/>
                    <w:szCs w:val="24"/>
                  </w:rPr>
                </w:pPr>
                <w:r>
                  <w:rPr>
                    <w:rFonts w:eastAsia="Calibri"/>
                    <w:b/>
                    <w:szCs w:val="24"/>
                  </w:rPr>
                  <w:t>Poveikis atliekų tvarkymo sistemai</w:t>
                </w:r>
              </w:p>
            </w:tc>
            <w:tc>
              <w:tcPr>
                <w:tcW w:w="7086" w:type="dxa"/>
                <w:shd w:val="clear" w:color="auto" w:fill="FFFFFF"/>
              </w:tcPr>
              <w:p>
                <w:pPr>
                  <w:jc w:val="both"/>
                  <w:rPr>
                    <w:color w:val="000000"/>
                    <w:szCs w:val="24"/>
                    <w:lang w:eastAsia="lt-LT"/>
                  </w:rPr>
                </w:pPr>
                <w:r>
                  <w:rPr>
                    <w:rFonts w:eastAsia="Calibri"/>
                    <w:szCs w:val="24"/>
                  </w:rPr>
                  <w:t>Sukurta efektyvesnė komunalinių atliekų tvarkymo paslaugų apmokestinimo sistema. Patikslintos įmokos skaičiavimo taisyklės.</w:t>
                </w:r>
              </w:p>
            </w:tc>
          </w:tr>
          <w:tr>
            <w:trPr>
              <w:jc w:val="center"/>
            </w:trPr>
            <w:tc>
              <w:tcPr>
                <w:tcW w:w="2695" w:type="dxa"/>
                <w:shd w:val="clear" w:color="auto" w:fill="FFFFFF"/>
              </w:tcPr>
              <w:p>
                <w:pPr>
                  <w:rPr>
                    <w:szCs w:val="24"/>
                  </w:rPr>
                </w:pPr>
                <w:r>
                  <w:rPr>
                    <w:rFonts w:eastAsia="Calibri"/>
                    <w:b/>
                    <w:szCs w:val="24"/>
                  </w:rPr>
                  <w:t>Poveikis aplinkai ir klimato kaitai</w:t>
                </w:r>
              </w:p>
            </w:tc>
            <w:tc>
              <w:tcPr>
                <w:tcW w:w="7086" w:type="dxa"/>
                <w:shd w:val="clear" w:color="auto" w:fill="auto"/>
              </w:tcPr>
              <w:p>
                <w:pPr>
                  <w:jc w:val="both"/>
                  <w:rPr>
                    <w:szCs w:val="24"/>
                  </w:rPr>
                </w:pPr>
                <w:r>
                  <w:rPr>
                    <w:rFonts w:eastAsia="Calibri"/>
                    <w:szCs w:val="24"/>
                  </w:rPr>
                  <w:t>Nenumatomas.</w:t>
                </w:r>
              </w:p>
            </w:tc>
          </w:tr>
          <w:tr>
            <w:trPr>
              <w:jc w:val="center"/>
            </w:trPr>
            <w:tc>
              <w:tcPr>
                <w:tcW w:w="2695" w:type="dxa"/>
                <w:shd w:val="clear" w:color="auto" w:fill="FFFFFF"/>
              </w:tcPr>
              <w:p>
                <w:pPr>
                  <w:rPr>
                    <w:rFonts w:eastAsia="Calibri"/>
                    <w:b/>
                    <w:szCs w:val="24"/>
                  </w:rPr>
                </w:pPr>
                <w:r>
                  <w:rPr>
                    <w:rFonts w:eastAsia="Calibri"/>
                    <w:b/>
                    <w:szCs w:val="24"/>
                  </w:rPr>
                  <w:t>Poveikis teisinei sistemai</w:t>
                </w:r>
              </w:p>
            </w:tc>
            <w:tc>
              <w:tcPr>
                <w:tcW w:w="7086" w:type="dxa"/>
                <w:shd w:val="clear" w:color="auto" w:fill="auto"/>
              </w:tcPr>
              <w:p>
                <w:pPr>
                  <w:jc w:val="both"/>
                  <w:rPr>
                    <w:rFonts w:eastAsia="Calibri"/>
                    <w:szCs w:val="24"/>
                  </w:rPr>
                </w:pPr>
                <w:r>
                  <w:rPr>
                    <w:rFonts w:eastAsia="Calibri"/>
                    <w:szCs w:val="24"/>
                  </w:rPr>
                  <w:t>Projektas neprieštarauja Lietuvos Respublikos Konstitucijai ir įstatymams. Įvirtinus numatomą teisinį reguliavimą, neatsirastų teisės normų kolizijos ir konkurencijos. Numatomas teisinis reguliavimas neprieštarauja Europos Sąjungos teisei. Patvirtinus Projektą bus sudarytos teisinės prielaidos efektyvesnei komunalinių atliekų tvarkymo paslaugų apmokestinimo sistemai.</w:t>
                </w:r>
              </w:p>
            </w:tc>
          </w:tr>
          <w:tr>
            <w:trPr>
              <w:jc w:val="center"/>
            </w:trPr>
            <w:tc>
              <w:tcPr>
                <w:tcW w:w="2695" w:type="dxa"/>
                <w:shd w:val="clear" w:color="auto" w:fill="FFFFFF"/>
              </w:tcPr>
              <w:p>
                <w:pPr>
                  <w:rPr>
                    <w:rFonts w:eastAsia="Calibri"/>
                    <w:b/>
                    <w:szCs w:val="24"/>
                  </w:rPr>
                </w:pPr>
                <w:r>
                  <w:rPr>
                    <w:rFonts w:eastAsia="Calibri"/>
                    <w:b/>
                    <w:szCs w:val="24"/>
                  </w:rPr>
                  <w:t>Poveikis verslo sąlygoms</w:t>
                </w:r>
              </w:p>
            </w:tc>
            <w:tc>
              <w:tcPr>
                <w:tcW w:w="7086" w:type="dxa"/>
                <w:shd w:val="clear" w:color="auto" w:fill="auto"/>
              </w:tcPr>
              <w:p>
                <w:pPr>
                  <w:jc w:val="both"/>
                  <w:rPr>
                    <w:rFonts w:eastAsia="Calibri"/>
                    <w:szCs w:val="24"/>
                  </w:rPr>
                </w:pPr>
                <w:r>
                  <w:rPr>
                    <w:rFonts w:eastAsia="Calibri"/>
                    <w:szCs w:val="24"/>
                  </w:rPr>
                  <w:t>Nenumatomas.</w:t>
                </w:r>
              </w:p>
            </w:tc>
          </w:tr>
          <w:tr>
            <w:trPr>
              <w:trHeight w:val="646"/>
              <w:jc w:val="center"/>
            </w:trPr>
            <w:tc>
              <w:tcPr>
                <w:tcW w:w="2695" w:type="dxa"/>
                <w:shd w:val="clear" w:color="auto" w:fill="FFFFFF"/>
              </w:tcPr>
              <w:p>
                <w:pPr>
                  <w:rPr>
                    <w:szCs w:val="24"/>
                  </w:rPr>
                </w:pPr>
                <w:r>
                  <w:rPr>
                    <w:rFonts w:eastAsia="Calibri"/>
                    <w:b/>
                    <w:szCs w:val="24"/>
                  </w:rPr>
                  <w:t>Poveikis administracinei naštai</w:t>
                </w:r>
              </w:p>
            </w:tc>
            <w:tc>
              <w:tcPr>
                <w:tcW w:w="7086" w:type="dxa"/>
                <w:shd w:val="clear" w:color="auto" w:fill="FFFFFF"/>
              </w:tcPr>
              <w:p>
                <w:pPr>
                  <w:jc w:val="both"/>
                  <w:rPr>
                    <w:szCs w:val="24"/>
                  </w:rPr>
                </w:pPr>
                <w:r>
                  <w:rPr>
                    <w:rFonts w:eastAsia="Calibri"/>
                    <w:szCs w:val="24"/>
                  </w:rPr>
                  <w:t>Nenumatomas.</w:t>
                </w:r>
              </w:p>
            </w:tc>
          </w:tr>
          <w:tr>
            <w:trPr>
              <w:jc w:val="center"/>
            </w:trPr>
            <w:tc>
              <w:tcPr>
                <w:tcW w:w="2695" w:type="dxa"/>
                <w:shd w:val="clear" w:color="auto" w:fill="FFFFFF"/>
              </w:tcPr>
              <w:p>
                <w:pPr>
                  <w:rPr>
                    <w:rFonts w:eastAsia="Calibri"/>
                    <w:b/>
                    <w:szCs w:val="24"/>
                  </w:rPr>
                </w:pPr>
                <w:r>
                  <w:rPr>
                    <w:rFonts w:eastAsia="Calibri"/>
                    <w:b/>
                    <w:szCs w:val="24"/>
                  </w:rPr>
                  <w:t>Poveikis socialinei aplinkai</w:t>
                </w:r>
              </w:p>
            </w:tc>
            <w:tc>
              <w:tcPr>
                <w:tcW w:w="7086" w:type="dxa"/>
                <w:shd w:val="clear" w:color="auto" w:fill="FFFFFF"/>
              </w:tcPr>
              <w:p>
                <w:pPr>
                  <w:jc w:val="both"/>
                  <w:rPr>
                    <w:rFonts w:eastAsia="Calibri"/>
                    <w:szCs w:val="24"/>
                  </w:rPr>
                </w:pPr>
                <w:r>
                  <w:rPr>
                    <w:rFonts w:eastAsia="Calibri"/>
                    <w:szCs w:val="24"/>
                  </w:rPr>
                  <w:t>Komunalinių atliekų tvarkymo paslaugų apmokestinimas bus skaidresnis ir suprantamesnis gyventojams.</w:t>
                </w:r>
              </w:p>
            </w:tc>
          </w:tr>
          <w:tr>
            <w:trPr>
              <w:trHeight w:val="304"/>
              <w:jc w:val="center"/>
            </w:trPr>
            <w:tc>
              <w:tcPr>
                <w:tcW w:w="2695" w:type="dxa"/>
                <w:shd w:val="clear" w:color="auto" w:fill="FFFFFF"/>
              </w:tcPr>
              <w:p>
                <w:pPr>
                  <w:rPr>
                    <w:sz w:val="10"/>
                    <w:szCs w:val="10"/>
                  </w:rPr>
                </w:pPr>
              </w:p>
              <w:p>
                <w:pPr>
                  <w:rPr>
                    <w:rFonts w:eastAsia="Calibri"/>
                    <w:b/>
                    <w:sz w:val="6"/>
                    <w:szCs w:val="6"/>
                  </w:rPr>
                </w:pPr>
              </w:p>
            </w:tc>
            <w:tc>
              <w:tcPr>
                <w:tcW w:w="7086" w:type="dxa"/>
                <w:shd w:val="clear" w:color="auto" w:fill="FFFFFF"/>
              </w:tcPr>
              <w:p>
                <w:pPr>
                  <w:rPr>
                    <w:sz w:val="10"/>
                    <w:szCs w:val="10"/>
                  </w:rPr>
                </w:pPr>
              </w:p>
              <w:p>
                <w:pPr>
                  <w:jc w:val="both"/>
                  <w:rPr>
                    <w:rFonts w:eastAsia="Calibri"/>
                    <w:sz w:val="6"/>
                    <w:szCs w:val="6"/>
                  </w:rPr>
                </w:pPr>
              </w:p>
            </w:tc>
          </w:tr>
        </w:tbl>
        <w:p>
          <w:pPr>
            <w:rPr>
              <w:sz w:val="10"/>
              <w:szCs w:val="10"/>
            </w:rPr>
          </w:pPr>
        </w:p>
        <w:sdt>
          <w:sdtPr>
            <w:alias w:val="lentele"/>
            <w:tag w:val="part_2f64585969674d17b12c9043ac8f9c39"/>
            <w:lock w:val="sdtLocked"/>
            <w:richText/>
          </w:sdtPr>
          <w:sdtContent>
            <w:p>
              <w:pPr>
                <w:spacing w:line="276" w:lineRule="auto"/>
                <w:jc w:val="both"/>
                <w:rPr>
                  <w:b/>
                  <w:szCs w:val="24"/>
                </w:rPr>
              </w:pPr>
              <w:sdt>
                <w:sdtPr>
                  <w:alias w:val="Pavadinimas"/>
                  <w:tag w:val="title_2f64585969674d17b12c9043ac8f9c39"/>
                  <w:lock w:val="sdtLocked"/>
                  <w:richText/>
                </w:sdtPr>
                <w:sdtContent>
                  <w:r>
                    <w:rPr>
                      <w:b/>
                      <w:szCs w:val="24"/>
                    </w:rPr>
                    <w:t>Informacija apie asmenį ir instituciją, atsakingą už poveikio vertinimą</w:t>
                  </w:r>
                </w:sdtContent>
              </w:sdt>
            </w:p>
            <w:p>
              <w:pPr>
                <w:rPr>
                  <w:sz w:val="10"/>
                  <w:szCs w:val="10"/>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29"/>
                <w:gridCol w:w="6910"/>
              </w:tblGrid>
              <w:tr>
                <w:trPr>
                  <w:jc w:val="center"/>
                </w:trPr>
                <w:tc>
                  <w:tcPr>
                    <w:tcW w:w="2729" w:type="dxa"/>
                    <w:tcBorders>
                      <w:top w:val="single" w:sz="4" w:space="0" w:color="auto"/>
                      <w:left w:val="single" w:sz="4" w:space="0" w:color="auto"/>
                      <w:bottom w:val="single" w:sz="4" w:space="0" w:color="auto"/>
                      <w:right w:val="single" w:sz="4" w:space="0" w:color="auto"/>
                    </w:tcBorders>
                    <w:tcMar>
                      <w:top w:w="28" w:type="dxa"/>
                      <w:bottom w:w="28" w:type="dxa"/>
                    </w:tcMar>
                    <w:hideMark/>
                  </w:tcPr>
                  <w:p>
                    <w:pPr>
                      <w:spacing w:line="276" w:lineRule="auto"/>
                      <w:rPr>
                        <w:szCs w:val="24"/>
                      </w:rPr>
                    </w:pPr>
                    <w:r>
                      <w:rPr>
                        <w:szCs w:val="24"/>
                      </w:rPr>
                      <w:t>Vardas ir pavardė</w:t>
                    </w:r>
                  </w:p>
                </w:tc>
                <w:tc>
                  <w:tcPr>
                    <w:tcW w:w="6910" w:type="dxa"/>
                    <w:tcBorders>
                      <w:top w:val="single" w:sz="4" w:space="0" w:color="auto"/>
                      <w:left w:val="single" w:sz="4" w:space="0" w:color="auto"/>
                      <w:bottom w:val="single" w:sz="4" w:space="0" w:color="auto"/>
                      <w:right w:val="single" w:sz="4" w:space="0" w:color="auto"/>
                    </w:tcBorders>
                    <w:tcMar>
                      <w:top w:w="28" w:type="dxa"/>
                      <w:bottom w:w="28" w:type="dxa"/>
                    </w:tcMar>
                  </w:tcPr>
                  <w:p>
                    <w:pPr>
                      <w:spacing w:line="276" w:lineRule="auto"/>
                      <w:rPr>
                        <w:szCs w:val="24"/>
                      </w:rPr>
                    </w:pPr>
                    <w:r>
                      <w:rPr>
                        <w:szCs w:val="24"/>
                      </w:rPr>
                      <w:t>Jelena Podymova</w:t>
                    </w:r>
                  </w:p>
                </w:tc>
              </w:tr>
              <w:tr>
                <w:trPr>
                  <w:jc w:val="center"/>
                </w:trPr>
                <w:tc>
                  <w:tcPr>
                    <w:tcW w:w="2729" w:type="dxa"/>
                    <w:tcBorders>
                      <w:top w:val="single" w:sz="4" w:space="0" w:color="auto"/>
                      <w:left w:val="single" w:sz="4" w:space="0" w:color="auto"/>
                      <w:bottom w:val="single" w:sz="4" w:space="0" w:color="auto"/>
                      <w:right w:val="single" w:sz="4" w:space="0" w:color="auto"/>
                    </w:tcBorders>
                    <w:tcMar>
                      <w:top w:w="28" w:type="dxa"/>
                      <w:bottom w:w="28" w:type="dxa"/>
                    </w:tcMar>
                    <w:hideMark/>
                  </w:tcPr>
                  <w:p>
                    <w:pPr>
                      <w:spacing w:line="276" w:lineRule="auto"/>
                      <w:rPr>
                        <w:b/>
                        <w:szCs w:val="24"/>
                      </w:rPr>
                    </w:pPr>
                    <w:r>
                      <w:rPr>
                        <w:szCs w:val="24"/>
                      </w:rPr>
                      <w:t>Pareigos</w:t>
                    </w:r>
                  </w:p>
                </w:tc>
                <w:tc>
                  <w:tcPr>
                    <w:tcW w:w="6910" w:type="dxa"/>
                    <w:tcBorders>
                      <w:top w:val="single" w:sz="4" w:space="0" w:color="auto"/>
                      <w:left w:val="single" w:sz="4" w:space="0" w:color="auto"/>
                      <w:bottom w:val="single" w:sz="4" w:space="0" w:color="auto"/>
                      <w:right w:val="single" w:sz="4" w:space="0" w:color="auto"/>
                    </w:tcBorders>
                    <w:tcMar>
                      <w:top w:w="28" w:type="dxa"/>
                      <w:bottom w:w="28" w:type="dxa"/>
                    </w:tcMar>
                  </w:tcPr>
                  <w:p>
                    <w:pPr>
                      <w:spacing w:line="276" w:lineRule="auto"/>
                      <w:rPr>
                        <w:szCs w:val="24"/>
                      </w:rPr>
                    </w:pPr>
                    <w:r>
                      <w:rPr>
                        <w:szCs w:val="24"/>
                      </w:rPr>
                      <w:t>Patarėja</w:t>
                    </w:r>
                  </w:p>
                </w:tc>
              </w:tr>
              <w:tr>
                <w:trPr>
                  <w:jc w:val="center"/>
                </w:trPr>
                <w:tc>
                  <w:tcPr>
                    <w:tcW w:w="2729" w:type="dxa"/>
                    <w:tcBorders>
                      <w:top w:val="single" w:sz="4" w:space="0" w:color="auto"/>
                      <w:left w:val="single" w:sz="4" w:space="0" w:color="auto"/>
                      <w:bottom w:val="single" w:sz="4" w:space="0" w:color="auto"/>
                      <w:right w:val="single" w:sz="4" w:space="0" w:color="auto"/>
                    </w:tcBorders>
                    <w:tcMar>
                      <w:top w:w="28" w:type="dxa"/>
                      <w:bottom w:w="28" w:type="dxa"/>
                    </w:tcMar>
                    <w:hideMark/>
                  </w:tcPr>
                  <w:p>
                    <w:pPr>
                      <w:spacing w:line="276" w:lineRule="auto"/>
                      <w:rPr>
                        <w:b/>
                        <w:szCs w:val="24"/>
                      </w:rPr>
                    </w:pPr>
                    <w:r>
                      <w:rPr>
                        <w:szCs w:val="24"/>
                      </w:rPr>
                      <w:t>Institucija (padalinys)</w:t>
                    </w:r>
                  </w:p>
                </w:tc>
                <w:tc>
                  <w:tcPr>
                    <w:tcW w:w="6910" w:type="dxa"/>
                    <w:tcBorders>
                      <w:top w:val="single" w:sz="4" w:space="0" w:color="auto"/>
                      <w:left w:val="single" w:sz="4" w:space="0" w:color="auto"/>
                      <w:bottom w:val="single" w:sz="4" w:space="0" w:color="auto"/>
                      <w:right w:val="single" w:sz="4" w:space="0" w:color="auto"/>
                    </w:tcBorders>
                    <w:tcMar>
                      <w:top w:w="28" w:type="dxa"/>
                      <w:bottom w:w="28" w:type="dxa"/>
                    </w:tcMar>
                  </w:tcPr>
                  <w:p>
                    <w:pPr>
                      <w:spacing w:line="276" w:lineRule="auto"/>
                      <w:rPr>
                        <w:szCs w:val="24"/>
                      </w:rPr>
                    </w:pPr>
                    <w:r>
                      <w:rPr>
                        <w:szCs w:val="24"/>
                      </w:rPr>
                      <w:t>Lietuvos Respublikos aplinkos ministerijos Atliekų politikos grupė</w:t>
                    </w:r>
                  </w:p>
                </w:tc>
              </w:tr>
              <w:tr>
                <w:trPr>
                  <w:jc w:val="center"/>
                </w:trPr>
                <w:tc>
                  <w:tcPr>
                    <w:tcW w:w="2729" w:type="dxa"/>
                    <w:tcBorders>
                      <w:top w:val="single" w:sz="4" w:space="0" w:color="auto"/>
                      <w:left w:val="single" w:sz="4" w:space="0" w:color="auto"/>
                      <w:bottom w:val="single" w:sz="4" w:space="0" w:color="auto"/>
                      <w:right w:val="single" w:sz="4" w:space="0" w:color="auto"/>
                    </w:tcBorders>
                    <w:tcMar>
                      <w:top w:w="28" w:type="dxa"/>
                      <w:bottom w:w="28" w:type="dxa"/>
                    </w:tcMar>
                    <w:hideMark/>
                  </w:tcPr>
                  <w:p>
                    <w:pPr>
                      <w:spacing w:line="276" w:lineRule="auto"/>
                      <w:rPr>
                        <w:szCs w:val="24"/>
                      </w:rPr>
                    </w:pPr>
                    <w:r>
                      <w:rPr>
                        <w:szCs w:val="24"/>
                      </w:rPr>
                      <w:t>Telefono numeris ir elektroninio pašto adresas</w:t>
                    </w:r>
                  </w:p>
                </w:tc>
                <w:tc>
                  <w:tcPr>
                    <w:tcW w:w="6910" w:type="dxa"/>
                    <w:tcBorders>
                      <w:top w:val="single" w:sz="4" w:space="0" w:color="auto"/>
                      <w:left w:val="single" w:sz="4" w:space="0" w:color="auto"/>
                      <w:bottom w:val="single" w:sz="4" w:space="0" w:color="auto"/>
                      <w:right w:val="single" w:sz="4" w:space="0" w:color="auto"/>
                    </w:tcBorders>
                    <w:tcMar>
                      <w:top w:w="28" w:type="dxa"/>
                      <w:bottom w:w="28" w:type="dxa"/>
                    </w:tcMar>
                  </w:tcPr>
                  <w:p>
                    <w:pPr>
                      <w:spacing w:line="276" w:lineRule="auto"/>
                      <w:rPr>
                        <w:szCs w:val="24"/>
                      </w:rPr>
                    </w:pPr>
                    <w:r>
                      <w:rPr>
                        <w:szCs w:val="24"/>
                      </w:rPr>
                      <w:t>Tel. 8 687 27458; el. paštas: jelena.podymova@am.lt</w:t>
                    </w:r>
                  </w:p>
                </w:tc>
              </w:tr>
            </w:tbl>
            <w:p/>
          </w:sdtContent>
        </w:sdt>
        <w:sdt>
          <w:sdtPr>
            <w:alias w:val="signatura"/>
            <w:tag w:val="part_e48922873c344aca9141e1c9d6fea859"/>
            <w:lock w:val="sdtLocked"/>
            <w:richText/>
          </w:sdtPr>
          <w:sdtContent>
            <w:p>
              <w:pPr>
                <w:tabs>
                  <w:tab w:val="left" w:pos="6237"/>
                </w:tabs>
                <w:spacing w:line="276" w:lineRule="auto"/>
                <w:jc w:val="center"/>
                <w:rPr>
                  <w:szCs w:val="24"/>
                </w:rPr>
              </w:pPr>
              <w:r>
                <w:rPr>
                  <w:szCs w:val="24"/>
                  <w:lang w:eastAsia="x-none"/>
                </w:rPr>
                <w:t>____________</w:t>
              </w:r>
              <w:r>
                <w:rPr>
                  <w:szCs w:val="24"/>
                  <w:lang w:val="x-none" w:eastAsia="x-none"/>
                </w:rPr>
                <w:t>______________</w:t>
              </w:r>
            </w:p>
          </w:sdtContent>
        </w:sdt>
      </w:sdtContent>
    </w:sdt>
    <w:sectPr>
      <w:pgSz w:w="11906" w:h="16838"/>
      <w:pgMar w:top="1134" w:right="567" w:bottom="1134" w:left="1701" w:header="567" w:footer="567" w:gutter="0"/>
      <w:cols w:space="1296"/>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9F5970" w16cex:dateUtc="2022-08-11T07:33:00Z"/>
  <w16cex:commentExtensible w16cex:durableId="269F59CD" w16cex:dateUtc="2022-08-11T07:34: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A752E37" w16cid:durableId="269F5970"/>
  <w16cid:commentId w16cid:paraId="3C03D10C" w16cid:durableId="269F59CD"/>
</w16cid:commentsId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B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DDEBE9-2B6E-4CA6-B0BF-4BB863F02E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0463744">
      <w:bodyDiv w:val="1"/>
      <w:marLeft w:val="0"/>
      <w:marRight w:val="0"/>
      <w:marTop w:val="0"/>
      <w:marBottom w:val="0"/>
      <w:divBdr>
        <w:top w:val="none" w:sz="0" w:space="0" w:color="auto"/>
        <w:left w:val="none" w:sz="0" w:space="0" w:color="auto"/>
        <w:bottom w:val="none" w:sz="0" w:space="0" w:color="auto"/>
        <w:right w:val="none" w:sz="0" w:space="0" w:color="auto"/>
      </w:divBdr>
      <w:divsChild>
        <w:div w:id="16004908">
          <w:marLeft w:val="0"/>
          <w:marRight w:val="0"/>
          <w:marTop w:val="0"/>
          <w:marBottom w:val="0"/>
          <w:divBdr>
            <w:top w:val="none" w:sz="0" w:space="0" w:color="auto"/>
            <w:left w:val="none" w:sz="0" w:space="0" w:color="auto"/>
            <w:bottom w:val="none" w:sz="0" w:space="0" w:color="auto"/>
            <w:right w:val="none" w:sz="0" w:space="0" w:color="auto"/>
          </w:divBdr>
        </w:div>
        <w:div w:id="662704041">
          <w:marLeft w:val="0"/>
          <w:marRight w:val="0"/>
          <w:marTop w:val="0"/>
          <w:marBottom w:val="0"/>
          <w:divBdr>
            <w:top w:val="none" w:sz="0" w:space="0" w:color="auto"/>
            <w:left w:val="none" w:sz="0" w:space="0" w:color="auto"/>
            <w:bottom w:val="none" w:sz="0" w:space="0" w:color="auto"/>
            <w:right w:val="none" w:sz="0" w:space="0" w:color="auto"/>
          </w:divBdr>
        </w:div>
        <w:div w:id="1089885899">
          <w:marLeft w:val="0"/>
          <w:marRight w:val="0"/>
          <w:marTop w:val="0"/>
          <w:marBottom w:val="0"/>
          <w:divBdr>
            <w:top w:val="none" w:sz="0" w:space="0" w:color="auto"/>
            <w:left w:val="none" w:sz="0" w:space="0" w:color="auto"/>
            <w:bottom w:val="none" w:sz="0" w:space="0" w:color="auto"/>
            <w:right w:val="none" w:sz="0" w:space="0" w:color="auto"/>
          </w:divBdr>
        </w:div>
        <w:div w:id="1072628561">
          <w:marLeft w:val="0"/>
          <w:marRight w:val="0"/>
          <w:marTop w:val="0"/>
          <w:marBottom w:val="0"/>
          <w:divBdr>
            <w:top w:val="none" w:sz="0" w:space="0" w:color="auto"/>
            <w:left w:val="none" w:sz="0" w:space="0" w:color="auto"/>
            <w:bottom w:val="none" w:sz="0" w:space="0" w:color="auto"/>
            <w:right w:val="none" w:sz="0" w:space="0" w:color="auto"/>
          </w:divBdr>
        </w:div>
        <w:div w:id="866218852">
          <w:marLeft w:val="0"/>
          <w:marRight w:val="0"/>
          <w:marTop w:val="0"/>
          <w:marBottom w:val="0"/>
          <w:divBdr>
            <w:top w:val="none" w:sz="0" w:space="0" w:color="auto"/>
            <w:left w:val="none" w:sz="0" w:space="0" w:color="auto"/>
            <w:bottom w:val="none" w:sz="0" w:space="0" w:color="auto"/>
            <w:right w:val="none" w:sz="0" w:space="0" w:color="auto"/>
          </w:divBdr>
        </w:div>
        <w:div w:id="1528325726">
          <w:marLeft w:val="0"/>
          <w:marRight w:val="0"/>
          <w:marTop w:val="0"/>
          <w:marBottom w:val="0"/>
          <w:divBdr>
            <w:top w:val="none" w:sz="0" w:space="0" w:color="auto"/>
            <w:left w:val="none" w:sz="0" w:space="0" w:color="auto"/>
            <w:bottom w:val="none" w:sz="0" w:space="0" w:color="auto"/>
            <w:right w:val="none" w:sz="0" w:space="0" w:color="auto"/>
          </w:divBdr>
        </w:div>
        <w:div w:id="1509641474">
          <w:marLeft w:val="0"/>
          <w:marRight w:val="0"/>
          <w:marTop w:val="0"/>
          <w:marBottom w:val="0"/>
          <w:divBdr>
            <w:top w:val="none" w:sz="0" w:space="0" w:color="auto"/>
            <w:left w:val="none" w:sz="0" w:space="0" w:color="auto"/>
            <w:bottom w:val="none" w:sz="0" w:space="0" w:color="auto"/>
            <w:right w:val="none" w:sz="0" w:space="0" w:color="auto"/>
          </w:divBdr>
        </w:div>
        <w:div w:id="1748921835">
          <w:marLeft w:val="0"/>
          <w:marRight w:val="0"/>
          <w:marTop w:val="0"/>
          <w:marBottom w:val="0"/>
          <w:divBdr>
            <w:top w:val="none" w:sz="0" w:space="0" w:color="auto"/>
            <w:left w:val="none" w:sz="0" w:space="0" w:color="auto"/>
            <w:bottom w:val="none" w:sz="0" w:space="0" w:color="auto"/>
            <w:right w:val="none" w:sz="0" w:space="0" w:color="auto"/>
          </w:divBdr>
        </w:div>
        <w:div w:id="1780225358">
          <w:marLeft w:val="0"/>
          <w:marRight w:val="0"/>
          <w:marTop w:val="0"/>
          <w:marBottom w:val="0"/>
          <w:divBdr>
            <w:top w:val="none" w:sz="0" w:space="0" w:color="auto"/>
            <w:left w:val="none" w:sz="0" w:space="0" w:color="auto"/>
            <w:bottom w:val="none" w:sz="0" w:space="0" w:color="auto"/>
            <w:right w:val="none" w:sz="0" w:space="0" w:color="auto"/>
          </w:divBdr>
        </w:div>
        <w:div w:id="1669868104">
          <w:marLeft w:val="0"/>
          <w:marRight w:val="0"/>
          <w:marTop w:val="0"/>
          <w:marBottom w:val="0"/>
          <w:divBdr>
            <w:top w:val="none" w:sz="0" w:space="0" w:color="auto"/>
            <w:left w:val="none" w:sz="0" w:space="0" w:color="auto"/>
            <w:bottom w:val="none" w:sz="0" w:space="0" w:color="auto"/>
            <w:right w:val="none" w:sz="0" w:space="0" w:color="auto"/>
          </w:divBdr>
        </w:div>
        <w:div w:id="723866263">
          <w:marLeft w:val="0"/>
          <w:marRight w:val="0"/>
          <w:marTop w:val="0"/>
          <w:marBottom w:val="0"/>
          <w:divBdr>
            <w:top w:val="none" w:sz="0" w:space="0" w:color="auto"/>
            <w:left w:val="none" w:sz="0" w:space="0" w:color="auto"/>
            <w:bottom w:val="none" w:sz="0" w:space="0" w:color="auto"/>
            <w:right w:val="none" w:sz="0" w:space="0" w:color="auto"/>
          </w:divBdr>
        </w:div>
      </w:divsChild>
    </w:div>
    <w:div w:id="549540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8" Type="http://schemas.microsoft.com/office/2018/08/relationships/commentsExtensible" Target="commentsExtensible.xml"/>
  <Relationship Id="rId9" Type="http://schemas.microsoft.com/office/2016/09/relationships/commentsIds" Target="commentsId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d28d4da7c6248818cce96399dd7a576" PartId="64d98bb5eb5344988dffadc191585d08">
    <Part Type="lentele" Title="Informacija apie asmenį ir instituciją, atsakingą už poveikio vertinimą" DocPartId="4233648e8ad740eea1a84cdb9ae5a3a4" PartId="2f64585969674d17b12c9043ac8f9c39"/>
    <Part Type="signatura" DocPartId="8ab1e61740594ed18f2a461a6adfb122" PartId="e48922873c344aca9141e1c9d6fea859"/>
  </Part>
</Parts>
</file>

<file path=customXml/itemProps1.xml><?xml version="1.0" encoding="utf-8"?>
<ds:datastoreItem xmlns:ds="http://schemas.openxmlformats.org/officeDocument/2006/customXml" ds:itemID="{065637FE-5C52-4F3E-8964-A90BCB825DC4}">
  <ds:schemaRefs>
    <ds:schemaRef ds:uri="http://schemas.openxmlformats.org/officeDocument/2006/bibliography"/>
  </ds:schemaRefs>
</ds:datastoreItem>
</file>

<file path=customXml/itemProps2.xml><?xml version="1.0" encoding="utf-8"?>
<ds:datastoreItem xmlns:ds="http://schemas.openxmlformats.org/officeDocument/2006/customXml" ds:itemID="{19A7B150-CBC5-455A-BABA-0EF205DC59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255</Words>
  <Characters>1983</Characters>
  <Application>Microsoft Office Word</Application>
  <DocSecurity>4</DocSecurity>
  <Lines>60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2022-08-22T05:41:00Z</dcterms:created>
  <dc:creator>Justina Jarašienė</dc:creator>
  <lastModifiedBy>adlibuser</lastModifiedBy>
  <dcterms:modified xsi:type="dcterms:W3CDTF">2022-08-22T05:41:00Z</dcterms:modified>
  <revision>2</revision>
</coreProperties>
</file>