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c815d844485480da5922d40b3dc4959"/>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5ED0F0A8" wp14:editId="10AD3334">
                      <wp:extent cx="523875" cy="619125"/>
                      <wp:effectExtent l="0" t="0" r="9525"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AutoHyphens/>
                  <w:spacing w:line="360" w:lineRule="auto"/>
                  <w:jc w:val="both"/>
                  <w:rPr>
                    <w:rFonts w:eastAsia="Andale Sans UI" w:cs="Tahoma"/>
                    <w:szCs w:val="24"/>
                    <w:lang w:bidi="en-US"/>
                  </w:rPr>
                </w:pPr>
                <w:r>
                  <w:rPr>
                    <w:rFonts w:eastAsia="Andale Sans UI" w:cs="Tahoma"/>
                    <w:szCs w:val="24"/>
                    <w:lang w:bidi="en-US"/>
                  </w:rPr>
                  <w:t xml:space="preserve">Pagal adresatų sąrašą </w:t>
                </w: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2022-</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caps/>
                    <w:szCs w:val="24"/>
                    <w:lang w:bidi="en-US"/>
                  </w:rPr>
                  <w:t xml:space="preserve">DĖL </w:t>
                </w:r>
                <w:r>
                  <w:rPr>
                    <w:rFonts w:eastAsia="Andale Sans UI"/>
                    <w:b/>
                    <w:bCs/>
                    <w:caps/>
                    <w:szCs w:val="24"/>
                    <w:lang w:bidi="en-US"/>
                  </w:rPr>
                  <w:t xml:space="preserve">Lietuvos Respublikos VYRIAUSYBĖS </w:t>
                </w:r>
                <w:r>
                  <w:rPr>
                    <w:rFonts w:eastAsia="Andale Sans UI" w:cs="Tahoma"/>
                    <w:b/>
                    <w:bCs/>
                    <w:caps/>
                    <w:szCs w:val="24"/>
                    <w:lang w:bidi="en-US"/>
                  </w:rPr>
                  <w:t>2013 m. liepos 24 d. nutarimo Nr. 711 „Dėl Vietinės rinkliavos ar kitos įmokos už komunalinių atliekų surinkimą iš atliekų turėtojų ir atliekų tvarkymą dydžio nustatymo taisyklių patvirtinimo“ pakeitimo PROJEKTO DERINIMO</w:t>
                </w:r>
              </w:p>
            </w:tc>
          </w:tr>
        </w:tbl>
        <w:p>
          <w:pPr>
            <w:widowControl w:val="0"/>
            <w:suppressAutoHyphens/>
            <w:ind w:firstLine="567"/>
            <w:jc w:val="both"/>
            <w:rPr>
              <w:rFonts w:eastAsia="Andale Sans UI" w:cs="Tahoma"/>
              <w:szCs w:val="24"/>
              <w:lang w:bidi="en-US"/>
            </w:rPr>
          </w:pPr>
        </w:p>
      </w:sdtContent>
    </w:sdt>
    <w:sdt>
      <w:sdtPr>
        <w:alias w:val="pastraipa"/>
        <w:tag w:val="part_404749a784bc43b4b6fdb7a4c38e4675"/>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Teikiame Lietuvos Respublikos Vyriausybės nutarimo „Dėl Lietuvos Respublikos Vyriausybės 2013 m. liepos 24 d. nutarimo Nr. 711 „Dėl Vietinės rinkliavos ar kitos įmokos už komunalinių atliekų surinkimą iš atliekų turėtojų ir atliekų tvarkymą dydžio nustatymo taisyklių patvirtinimo“ (toliau – Nutarimas) pakeitimo projektą (toliau – Nutarimo projektas).</w:t>
          </w:r>
        </w:p>
      </w:sdtContent>
    </w:sdt>
    <w:sdt>
      <w:sdtPr>
        <w:alias w:val="pastraipa"/>
        <w:tag w:val="part_e18a96dce8094832a1294ae937d2a927"/>
        <w:lock w:val="sdtLocked"/>
        <w:richText/>
      </w:sdtPr>
      <w:sdtContent>
        <w:p>
          <w:pPr>
            <w:widowControl w:val="0"/>
            <w:suppressAutoHyphens/>
            <w:spacing w:line="276" w:lineRule="auto"/>
            <w:ind w:firstLine="567"/>
            <w:jc w:val="both"/>
            <w:rPr>
              <w:rFonts w:eastAsia="Calibri" w:cs="Tahoma"/>
              <w:bCs/>
              <w:szCs w:val="24"/>
              <w:lang w:bidi="en-US"/>
            </w:rPr>
          </w:pPr>
          <w:r>
            <w:rPr>
              <w:rFonts w:eastAsia="Andale Sans UI" w:cs="Tahoma"/>
              <w:szCs w:val="24"/>
              <w:lang w:bidi="en-US"/>
            </w:rPr>
            <w:t xml:space="preserve">Nutarimo projektas parengtas atsižvelgiant į </w:t>
          </w:r>
          <w:r>
            <w:rPr>
              <w:rFonts w:eastAsia="Calibri" w:cs="Tahoma"/>
              <w:bCs/>
              <w:szCs w:val="24"/>
              <w:lang w:bidi="en-US"/>
            </w:rPr>
            <w:t>Lietuvos Respublikos atliekų tvarkymo įstatymo Nr. VIII-787 2, 11</w:t>
          </w:r>
          <w:r>
            <w:rPr>
              <w:rFonts w:eastAsia="Calibri" w:cs="Tahoma"/>
              <w:bCs/>
              <w:szCs w:val="24"/>
              <w:vertAlign w:val="superscript"/>
              <w:lang w:bidi="en-US"/>
            </w:rPr>
            <w:t>2</w:t>
          </w:r>
          <w:r>
            <w:rPr>
              <w:rFonts w:eastAsia="Calibri" w:cs="Tahoma"/>
              <w:bCs/>
              <w:szCs w:val="24"/>
              <w:lang w:bidi="en-US"/>
            </w:rPr>
            <w:t>, 12, 28, 30, 30</w:t>
          </w:r>
          <w:r>
            <w:rPr>
              <w:rFonts w:eastAsia="Calibri" w:cs="Tahoma"/>
              <w:bCs/>
              <w:szCs w:val="24"/>
              <w:vertAlign w:val="superscript"/>
              <w:lang w:bidi="en-US"/>
            </w:rPr>
            <w:t>1</w:t>
          </w:r>
          <w:r>
            <w:rPr>
              <w:rFonts w:eastAsia="Calibri" w:cs="Tahoma"/>
              <w:bCs/>
              <w:szCs w:val="24"/>
              <w:lang w:bidi="en-US"/>
            </w:rPr>
            <w:t>, 30</w:t>
          </w:r>
          <w:r>
            <w:rPr>
              <w:rFonts w:eastAsia="Calibri" w:cs="Tahoma"/>
              <w:bCs/>
              <w:szCs w:val="24"/>
              <w:vertAlign w:val="superscript"/>
              <w:lang w:bidi="en-US"/>
            </w:rPr>
            <w:t>2</w:t>
          </w:r>
          <w:r>
            <w:rPr>
              <w:rFonts w:eastAsia="Calibri" w:cs="Tahoma"/>
              <w:bCs/>
              <w:szCs w:val="24"/>
              <w:lang w:bidi="en-US"/>
            </w:rPr>
            <w:t>, 35</w:t>
          </w:r>
          <w:r>
            <w:rPr>
              <w:rFonts w:eastAsia="Calibri" w:cs="Tahoma"/>
              <w:bCs/>
              <w:szCs w:val="24"/>
              <w:vertAlign w:val="superscript"/>
              <w:lang w:bidi="en-US"/>
            </w:rPr>
            <w:t>1</w:t>
          </w:r>
          <w:r>
            <w:rPr>
              <w:rFonts w:eastAsia="Calibri" w:cs="Tahoma"/>
              <w:bCs/>
              <w:szCs w:val="24"/>
              <w:lang w:bidi="en-US"/>
            </w:rPr>
            <w:t xml:space="preserve"> straipsnių pakeitimo ir Įstatymo papildymo 25</w:t>
          </w:r>
          <w:r>
            <w:rPr>
              <w:rFonts w:eastAsia="Calibri" w:cs="Tahoma"/>
              <w:bCs/>
              <w:szCs w:val="24"/>
              <w:vertAlign w:val="superscript"/>
              <w:lang w:bidi="en-US"/>
            </w:rPr>
            <w:t>1</w:t>
          </w:r>
          <w:r>
            <w:rPr>
              <w:rFonts w:eastAsia="Calibri" w:cs="Tahoma"/>
              <w:bCs/>
              <w:szCs w:val="24"/>
              <w:lang w:bidi="en-US"/>
            </w:rPr>
            <w:t>, 30</w:t>
          </w:r>
          <w:r>
            <w:rPr>
              <w:rFonts w:eastAsia="Calibri" w:cs="Tahoma"/>
              <w:bCs/>
              <w:szCs w:val="24"/>
              <w:vertAlign w:val="superscript"/>
              <w:lang w:bidi="en-US"/>
            </w:rPr>
            <w:t>3</w:t>
          </w:r>
          <w:r>
            <w:rPr>
              <w:rFonts w:eastAsia="Calibri" w:cs="Tahoma"/>
              <w:bCs/>
              <w:szCs w:val="24"/>
              <w:lang w:bidi="en-US"/>
            </w:rPr>
            <w:t>, 30</w:t>
          </w:r>
          <w:r>
            <w:rPr>
              <w:rFonts w:eastAsia="Calibri" w:cs="Tahoma"/>
              <w:bCs/>
              <w:szCs w:val="24"/>
              <w:vertAlign w:val="superscript"/>
              <w:lang w:bidi="en-US"/>
            </w:rPr>
            <w:t>4</w:t>
          </w:r>
          <w:r>
            <w:rPr>
              <w:rFonts w:eastAsia="Calibri" w:cs="Tahoma"/>
              <w:bCs/>
              <w:szCs w:val="24"/>
              <w:lang w:bidi="en-US"/>
            </w:rPr>
            <w:t>, 30</w:t>
          </w:r>
          <w:r>
            <w:rPr>
              <w:rFonts w:eastAsia="Calibri" w:cs="Tahoma"/>
              <w:bCs/>
              <w:szCs w:val="24"/>
              <w:vertAlign w:val="superscript"/>
              <w:lang w:bidi="en-US"/>
            </w:rPr>
            <w:t>5</w:t>
          </w:r>
          <w:r>
            <w:rPr>
              <w:rFonts w:eastAsia="Calibri" w:cs="Tahoma"/>
              <w:bCs/>
              <w:szCs w:val="24"/>
              <w:lang w:bidi="en-US"/>
            </w:rPr>
            <w:t>, 30</w:t>
          </w:r>
          <w:r>
            <w:rPr>
              <w:rFonts w:eastAsia="Calibri" w:cs="Tahoma"/>
              <w:bCs/>
              <w:szCs w:val="24"/>
              <w:vertAlign w:val="superscript"/>
              <w:lang w:bidi="en-US"/>
            </w:rPr>
            <w:t>6</w:t>
          </w:r>
          <w:r>
            <w:rPr>
              <w:rFonts w:eastAsia="Calibri" w:cs="Tahoma"/>
              <w:bCs/>
              <w:szCs w:val="24"/>
              <w:lang w:bidi="en-US"/>
            </w:rPr>
            <w:t>, 30</w:t>
          </w:r>
          <w:r>
            <w:rPr>
              <w:rFonts w:eastAsia="Calibri" w:cs="Tahoma"/>
              <w:bCs/>
              <w:szCs w:val="24"/>
              <w:vertAlign w:val="superscript"/>
              <w:lang w:bidi="en-US"/>
            </w:rPr>
            <w:t>7</w:t>
          </w:r>
          <w:r>
            <w:rPr>
              <w:rFonts w:eastAsia="Calibri" w:cs="Tahoma"/>
              <w:bCs/>
              <w:szCs w:val="24"/>
              <w:lang w:bidi="en-US"/>
            </w:rPr>
            <w:t>, 30</w:t>
          </w:r>
          <w:r>
            <w:rPr>
              <w:rFonts w:eastAsia="Calibri" w:cs="Tahoma"/>
              <w:bCs/>
              <w:szCs w:val="24"/>
              <w:vertAlign w:val="superscript"/>
              <w:lang w:bidi="en-US"/>
            </w:rPr>
            <w:t>8</w:t>
          </w:r>
          <w:r>
            <w:rPr>
              <w:rFonts w:eastAsia="Calibri" w:cs="Tahoma"/>
              <w:bCs/>
              <w:szCs w:val="24"/>
              <w:lang w:bidi="en-US"/>
            </w:rPr>
            <w:t>, 30</w:t>
          </w:r>
          <w:r>
            <w:rPr>
              <w:rFonts w:eastAsia="Calibri" w:cs="Tahoma"/>
              <w:bCs/>
              <w:szCs w:val="24"/>
              <w:vertAlign w:val="superscript"/>
              <w:lang w:bidi="en-US"/>
            </w:rPr>
            <w:t>9</w:t>
          </w:r>
          <w:r>
            <w:rPr>
              <w:rFonts w:eastAsia="Calibri" w:cs="Tahoma"/>
              <w:bCs/>
              <w:szCs w:val="24"/>
              <w:lang w:bidi="en-US"/>
            </w:rPr>
            <w:t xml:space="preserve"> straipsniais, septintuoju</w:t>
          </w:r>
          <w:r>
            <w:rPr>
              <w:rFonts w:eastAsia="Calibri" w:cs="Tahoma"/>
              <w:bCs/>
              <w:szCs w:val="24"/>
              <w:vertAlign w:val="superscript"/>
              <w:lang w:bidi="en-US"/>
            </w:rPr>
            <w:t>1</w:t>
          </w:r>
          <w:r>
            <w:rPr>
              <w:rFonts w:eastAsia="Calibri" w:cs="Tahoma"/>
              <w:bCs/>
              <w:szCs w:val="24"/>
              <w:lang w:bidi="en-US"/>
            </w:rPr>
            <w:t xml:space="preserve"> ir septintuoju</w:t>
          </w:r>
          <w:r>
            <w:rPr>
              <w:rFonts w:eastAsia="Calibri" w:cs="Tahoma"/>
              <w:bCs/>
              <w:szCs w:val="24"/>
              <w:vertAlign w:val="superscript"/>
              <w:lang w:bidi="en-US"/>
            </w:rPr>
            <w:t>2</w:t>
          </w:r>
          <w:r>
            <w:rPr>
              <w:rFonts w:eastAsia="Calibri" w:cs="Tahoma"/>
              <w:bCs/>
              <w:szCs w:val="24"/>
              <w:lang w:bidi="en-US"/>
            </w:rPr>
            <w:t xml:space="preserve"> skirsniais įstatymą Nr. XIV-875 (toliau – ATĮ pakeitimas), kurio tikslas – </w:t>
          </w:r>
          <w:r>
            <w:rPr>
              <w:rFonts w:eastAsia="Andale Sans UI" w:cs="Tahoma"/>
              <w:color w:val="000000"/>
              <w:szCs w:val="24"/>
              <w:lang w:bidi="en-US"/>
            </w:rPr>
            <w:t>sukurti efektyvesnę komunalinių atliekų tvarkymo paslaugų apmokestinimo sistemą detaliai reglamentuojant komunalinių atliekų tvarkymo paslaugos kainos nustatymo, paskirstymo ir atskaitomybės tvarką, skundų nagrinėjimo tvarką</w:t>
          </w:r>
          <w:r>
            <w:rPr>
              <w:rFonts w:eastAsia="Calibri" w:cs="Tahoma"/>
              <w:bCs/>
              <w:szCs w:val="24"/>
              <w:lang w:bidi="en-US"/>
            </w:rPr>
            <w:t>.</w:t>
          </w:r>
        </w:p>
      </w:sdtContent>
    </w:sdt>
    <w:sdt>
      <w:sdtPr>
        <w:alias w:val="pastraipa"/>
        <w:tag w:val="part_e1c31ff7f7d2487eb2d45712d6076b2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projekto tikslas – atsižvelgus į ATĮ pakeitimą ir įvertinus praktikoje kylančius neaiškumus savivaldybėms apskaičiuojant ir (ar) nustatant vietinę rinkliavą ar kitą įmoką už komunalinių atliekų surinkimą iš atliekų turėtojų ir atliekų tvarkymą (toliau – įmoka), patikslinti bendruosius įmokos dydžio nustatymo reikalavimus, kuriais savivaldybės vadovaujasi tvirtindamos įmokos dydžius.</w:t>
          </w:r>
        </w:p>
      </w:sdtContent>
    </w:sdt>
    <w:sdt>
      <w:sdtPr>
        <w:alias w:val="pastraipa"/>
        <w:tag w:val="part_69d50f0dcd444d24b89f0576103ea7f1"/>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Atsižvelgdama į ATĮ pakeitimą, nuo 2023 m. sausio </w:t>
          </w:r>
          <w:r>
            <w:rPr>
              <w:rFonts w:eastAsia="Andale Sans UI" w:cs="Tahoma"/>
              <w:szCs w:val="24"/>
              <w:lang w:val="en-US" w:bidi="en-US"/>
            </w:rPr>
            <w:t>1 d.</w:t>
          </w:r>
          <w:r>
            <w:rPr>
              <w:rFonts w:eastAsia="Andale Sans UI" w:cs="Tahoma"/>
              <w:szCs w:val="24"/>
              <w:lang w:bidi="en-US"/>
            </w:rPr>
            <w:t xml:space="preserve"> Valstybinė energetikos reguliavimo taryba (toliau – Taryba) pagal jos patvirtintą Komunalinių atliekų tvarkymo regioninių kainų nustatymo metodiką skaičiuos ir tvirtins regionines reguliuojamas komunalinių atliekų tvarkymo paslaugos kainas (toliau – regioninės kainos) trejų metų laikotarpiui ir praneš jas savivaldybėms. Savivaldybių tarybos įmokos dydžius tvirtins atsižvelgdamos į Tarybos nustatytas regionines kainas, vadovaudamosi Vietinės rinkliavos ar kitos įmokos už komunalinių atliekų surinkimą iš atliekų turėtojų ir atliekų tvarkymą dydžio nustatymo taisyklėmis</w:t>
          </w:r>
          <w:r>
            <w:rPr>
              <w:rFonts w:eastAsia="Andale Sans UI" w:cs="Tahoma"/>
              <w:szCs w:val="24"/>
              <w:vertAlign w:val="superscript"/>
              <w:lang w:bidi="en-US"/>
            </w:rPr>
            <w:footnoteReference w:id="1"/>
          </w:r>
          <w:r>
            <w:rPr>
              <w:rFonts w:eastAsia="Andale Sans UI" w:cs="Tahoma"/>
              <w:szCs w:val="24"/>
              <w:lang w:bidi="en-US"/>
            </w:rPr>
            <w:t xml:space="preserve"> (toliau – Taisyklės) ir savivaldybių įmokos dydžio nustatymo teisės aktais, pridėdamos savivaldybės komunalinių atliekų tvarkymo sistemos administravimo, komunalinių atliekų tvarkymo lėšų administravimo sąnaudas ir komunalinių atliekų surinkimo iš atliekų turėtojų ir vežimo paslaugų kainą.</w:t>
          </w:r>
        </w:p>
      </w:sdtContent>
    </w:sdt>
    <w:sdt>
      <w:sdtPr>
        <w:alias w:val="pastraipa"/>
        <w:tag w:val="part_b5f5c94bee64400094efdb17b54dc519"/>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Nutarimo projektas parengtas siekiant patikslinti Taisyklių nuostatas dėl įmokos dydžio nustatymo atsižvelgiant į minėtą ATĮ pakeitimą ir reaguojant į įmoką mokančių subjektų skundus dėl įmokos dydžio nustatymo ir kriterijų taikymo apskaičiuojant įmoką. </w:t>
          </w:r>
        </w:p>
      </w:sdtContent>
    </w:sdt>
    <w:sdt>
      <w:sdtPr>
        <w:alias w:val="pastraipa"/>
        <w:tag w:val="part_020af378bc8348c98e2c0df364d65ff6"/>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projekte siūloma:</w:t>
          </w:r>
        </w:p>
        <w:sdt>
          <w:sdtPr>
            <w:alias w:val="1 p."/>
            <w:tag w:val="part_50f42876602f483ca1df736007cc7168"/>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50f42876602f483ca1df736007cc7168"/>
                  <w:lock w:val="sdtLocked"/>
                  <w:richText/>
                </w:sdtPr>
                <w:sdtContent>
                  <w:r>
                    <w:rPr>
                      <w:rFonts w:eastAsia="Andale Sans UI" w:cs="Tahoma"/>
                      <w:szCs w:val="24"/>
                      <w:lang w:bidi="en-US"/>
                    </w:rPr>
                    <w:t>1</w:t>
                  </w:r>
                </w:sdtContent>
              </w:sdt>
              <w:r>
                <w:rPr>
                  <w:rFonts w:eastAsia="Andale Sans UI" w:cs="Tahoma"/>
                  <w:szCs w:val="24"/>
                  <w:lang w:bidi="en-US"/>
                </w:rPr>
                <w:t>. patikslinti nuostatas dėl su komunalinių atliekų tvarkymu susijusių sąnaudų, reikalingų įmokos dydžiui apskaičiuoti (toliau – bendrosios būtinosios sąnaudos), nustatymo numatant, kokios sąnaudos priskiriamos ir nepriskiriamos bendrosioms būtinosioms sąnaudoms;</w:t>
              </w:r>
            </w:p>
          </w:sdtContent>
        </w:sdt>
        <w:sdt>
          <w:sdtPr>
            <w:alias w:val="2 p."/>
            <w:tag w:val="part_2d940496b4cc49cea95930e90eb541b8"/>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2d940496b4cc49cea95930e90eb541b8"/>
                  <w:lock w:val="sdtLocked"/>
                  <w:richText/>
                </w:sdtPr>
                <w:sdtContent>
                  <w:r>
                    <w:rPr>
                      <w:rFonts w:eastAsia="Andale Sans UI" w:cs="Tahoma"/>
                      <w:szCs w:val="24"/>
                      <w:lang w:bidi="en-US"/>
                    </w:rPr>
                    <w:t>2</w:t>
                  </w:r>
                </w:sdtContent>
              </w:sdt>
              <w:r>
                <w:rPr>
                  <w:rFonts w:eastAsia="Andale Sans UI" w:cs="Tahoma"/>
                  <w:szCs w:val="24"/>
                  <w:lang w:bidi="en-US"/>
                </w:rPr>
                <w:t>. patikslinti nuostatas dėl bendrųjų būtinųjų sąnaudų skirstymo į pastoviąsias ir kintamąsias;</w:t>
              </w:r>
            </w:p>
          </w:sdtContent>
        </w:sdt>
        <w:sdt>
          <w:sdtPr>
            <w:alias w:val="3 p."/>
            <w:tag w:val="part_bc95e565f8e14db1bc2f22a1505bbaa6"/>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bc95e565f8e14db1bc2f22a1505bbaa6"/>
                  <w:lock w:val="sdtLocked"/>
                  <w:richText/>
                </w:sdtPr>
                <w:sdtContent>
                  <w:r>
                    <w:rPr>
                      <w:rFonts w:eastAsia="Andale Sans UI" w:cs="Tahoma"/>
                      <w:szCs w:val="24"/>
                      <w:lang w:bidi="en-US"/>
                    </w:rPr>
                    <w:t>3</w:t>
                  </w:r>
                </w:sdtContent>
              </w:sdt>
              <w:r>
                <w:rPr>
                  <w:rFonts w:eastAsia="Andale Sans UI" w:cs="Tahoma"/>
                  <w:szCs w:val="24"/>
                  <w:lang w:bidi="en-US"/>
                </w:rPr>
                <w:t>. nustatyti, kad įmokos dydis turi būti toks, kad iš nekilnojamojo turto objektų savininkų arba jų įgaliotų asmenų surinktomis lėšomis būtų apmokėtos visos bendrosios būtinosios sąnaudos, kurias sudaro regioninė kaina, apskaičiuojama vadovaujantis Tarybos patvirtinta Komunalinių atliekų tvarkymo regioninių kainų nustatymo metodika, komunalinių atliekų tvarkymo sistemos administravimo, komunalinių atliekų tvarkymo lėšų administravimo, komunalinių atliekų surinkimo iš atliekų turėtojų ir vežimo sąnaudos;</w:t>
              </w:r>
            </w:p>
          </w:sdtContent>
        </w:sdt>
        <w:sdt>
          <w:sdtPr>
            <w:alias w:val="4 p."/>
            <w:tag w:val="part_a9202d25eb9f4995b4a61d7c4adbc00d"/>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a9202d25eb9f4995b4a61d7c4adbc00d"/>
                  <w:lock w:val="sdtLocked"/>
                  <w:richText/>
                </w:sdtPr>
                <w:sdtContent>
                  <w:r>
                    <w:rPr>
                      <w:rFonts w:eastAsia="Andale Sans UI" w:cs="Tahoma"/>
                      <w:szCs w:val="24"/>
                      <w:lang w:bidi="en-US"/>
                    </w:rPr>
                    <w:t>4</w:t>
                  </w:r>
                </w:sdtContent>
              </w:sdt>
              <w:r>
                <w:rPr>
                  <w:rFonts w:eastAsia="Andale Sans UI" w:cs="Tahoma"/>
                  <w:szCs w:val="24"/>
                  <w:lang w:bidi="en-US"/>
                </w:rPr>
                <w:t>. įvertinus Vyriausybės atstovų įstaigos rekomendacijas ir atsižvelgus į tai, kad, vadovaujantis Lietuvos Respublikos atliekų tvarkymo įstatymo 30</w:t>
              </w:r>
              <w:r>
                <w:rPr>
                  <w:rFonts w:eastAsia="Andale Sans UI" w:cs="Tahoma"/>
                  <w:szCs w:val="24"/>
                  <w:vertAlign w:val="superscript"/>
                  <w:lang w:bidi="en-US"/>
                </w:rPr>
                <w:t>1</w:t>
              </w:r>
              <w:r>
                <w:rPr>
                  <w:rFonts w:eastAsia="Andale Sans UI" w:cs="Tahoma"/>
                  <w:szCs w:val="24"/>
                  <w:lang w:bidi="en-US"/>
                </w:rPr>
                <w:t> straipsnio 2 dalies nuostatomis, įmoka apmokestinamų nekilnojamojo turto objektų kategorijos turėtų būti nurodytos Nekilnojamojo turto objektų, kurių savininkas arba įgalioti asmenys privalo mokėti nustatytą rinkliavą arba sudaryti komunalinių atliekų tvarkymo paslaugos teikimo sutartį, rūšių sąraše</w:t>
              </w:r>
              <w:r>
                <w:rPr>
                  <w:rFonts w:eastAsia="Andale Sans UI" w:cs="Tahoma"/>
                  <w:szCs w:val="24"/>
                  <w:vertAlign w:val="superscript"/>
                  <w:lang w:bidi="en-US"/>
                </w:rPr>
                <w:footnoteReference w:id="2"/>
              </w:r>
              <w:r>
                <w:rPr>
                  <w:rFonts w:eastAsia="Andale Sans UI" w:cs="Tahoma"/>
                  <w:szCs w:val="24"/>
                  <w:lang w:bidi="en-US"/>
                </w:rPr>
                <w:t xml:space="preserve"> (toliau – Sąrašas), kurį įgaliota sudaryti Aplinkos ministerija (Atliekų tvarkymo įstatyme nenustatyta teisė savivaldybėms išplėsti įmoka apmokestinamų nekilnojamojo turto objektų sąrašą, t. y. įmoka apmokestinti nekilnojamojo turto objektus, kurie nepriskirtini nei vienai iš aplinkos ministro patvirtintame Sąraše nurodytų nekilnojamojo turto objektų kategorijų), panaikinti savivaldybių teisę atskirai įmoka apmokestinamų nekilnojamojo turto objektų kategorijai priskirti nekilnojamojo turto objektus, kurie nenurodyti Sąraše; </w:t>
              </w:r>
            </w:p>
          </w:sdtContent>
        </w:sdt>
        <w:sdt>
          <w:sdtPr>
            <w:alias w:val="5 p."/>
            <w:tag w:val="part_3f8747438b2c44b0bb54cd66941cea8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3f8747438b2c44b0bb54cd66941cea83"/>
                  <w:lock w:val="sdtLocked"/>
                  <w:richText/>
                </w:sdtPr>
                <w:sdtContent>
                  <w:r>
                    <w:rPr>
                      <w:rFonts w:eastAsia="Andale Sans UI" w:cs="Tahoma"/>
                      <w:szCs w:val="24"/>
                      <w:lang w:bidi="en-US"/>
                    </w:rPr>
                    <w:t>5</w:t>
                  </w:r>
                </w:sdtContent>
              </w:sdt>
              <w:r>
                <w:rPr>
                  <w:rFonts w:eastAsia="Andale Sans UI" w:cs="Tahoma"/>
                  <w:szCs w:val="24"/>
                  <w:lang w:bidi="en-US"/>
                </w:rPr>
                <w:t xml:space="preserve">. nustatyti, kad į su komunalinių atliekų tvarkymu susijusias bendrąsias būtinąsias sąnaudas negali būti įtraukti delspinigiai ir sąnaudos, kurias, </w:t>
              </w:r>
              <w:r>
                <w:rPr>
                  <w:rFonts w:eastAsia="Andale Sans UI" w:cs="Tahoma"/>
                  <w:szCs w:val="24"/>
                  <w:lang w:eastAsia="lt-LT" w:bidi="en-US"/>
                </w:rPr>
                <w:t>vadovaujantis Atliekų tvarkymo įstatymo 34</w:t>
              </w:r>
              <w:r>
                <w:rPr>
                  <w:rFonts w:eastAsia="Andale Sans UI" w:cs="Tahoma"/>
                  <w:szCs w:val="24"/>
                  <w:vertAlign w:val="superscript"/>
                  <w:lang w:eastAsia="lt-LT" w:bidi="en-US"/>
                </w:rPr>
                <w:t>2</w:t>
              </w:r>
              <w:r>
                <w:rPr>
                  <w:rFonts w:eastAsia="Andale Sans UI" w:cs="Tahoma"/>
                  <w:szCs w:val="24"/>
                  <w:lang w:eastAsia="lt-LT" w:bidi="en-US"/>
                </w:rPr>
                <w:t> straipsnio 4 dalies 1 punktu, 34</w:t>
              </w:r>
              <w:r>
                <w:rPr>
                  <w:rFonts w:eastAsia="Andale Sans UI" w:cs="Tahoma"/>
                  <w:szCs w:val="24"/>
                  <w:vertAlign w:val="superscript"/>
                  <w:lang w:eastAsia="lt-LT" w:bidi="en-US"/>
                </w:rPr>
                <w:t>3</w:t>
              </w:r>
              <w:r>
                <w:rPr>
                  <w:rFonts w:eastAsia="Andale Sans UI" w:cs="Tahoma"/>
                  <w:szCs w:val="24"/>
                  <w:lang w:eastAsia="lt-LT" w:bidi="en-US"/>
                </w:rPr>
                <w:t xml:space="preserve"> straipsnio 1 dalies 1 punktu, 34</w:t>
              </w:r>
              <w:r>
                <w:rPr>
                  <w:rFonts w:eastAsia="Andale Sans UI" w:cs="Tahoma"/>
                  <w:szCs w:val="24"/>
                  <w:vertAlign w:val="superscript"/>
                  <w:lang w:eastAsia="lt-LT" w:bidi="en-US"/>
                </w:rPr>
                <w:t>19</w:t>
              </w:r>
              <w:r>
                <w:rPr>
                  <w:rFonts w:eastAsia="Andale Sans UI" w:cs="Tahoma"/>
                  <w:szCs w:val="24"/>
                  <w:lang w:eastAsia="lt-LT" w:bidi="en-US"/>
                </w:rPr>
                <w:t> straipsnio 3 dalies 1 punktu, 34</w:t>
              </w:r>
              <w:r>
                <w:rPr>
                  <w:rFonts w:eastAsia="Andale Sans UI" w:cs="Tahoma"/>
                  <w:szCs w:val="24"/>
                  <w:vertAlign w:val="superscript"/>
                  <w:lang w:eastAsia="lt-LT" w:bidi="en-US"/>
                </w:rPr>
                <w:t>20</w:t>
              </w:r>
              <w:r>
                <w:rPr>
                  <w:rFonts w:eastAsia="Andale Sans UI" w:cs="Tahoma"/>
                  <w:szCs w:val="24"/>
                  <w:lang w:eastAsia="lt-LT" w:bidi="en-US"/>
                </w:rPr>
                <w:t> straipsnio 2 dalies 1 punktu</w:t>
              </w:r>
              <w:r>
                <w:rPr>
                  <w:rFonts w:eastAsia="Andale Sans UI" w:cs="Tahoma"/>
                  <w:szCs w:val="24"/>
                  <w:lang w:bidi="en-US"/>
                </w:rPr>
                <w:t xml:space="preserve"> ir Lietuvos Respublikos pakuočių ir pakuočių atliekų tvarkymo įstatymo 10 straipsnio 4 dalies 2 punktu, apmoka gamintojai ir importuotojai (gaminių atliekų surinkimo didelių gabaritų atliekų surinkimo aikštelėse ir šių aikštelių eksploatavimo sąnaudos; pakuočių atliekų, susidarančių komunalinių atliekų sraute, rūšiuojamojo surinkimo ir vežimo, pakuočių atliekų rūšiuojamojo surinkimo sistemos infrastruktūros įrengimo, priežiūros, atnaujinimo ir plėtros, šių veiklų administravimo sąnaudos);</w:t>
              </w:r>
            </w:p>
          </w:sdtContent>
        </w:sdt>
        <w:sdt>
          <w:sdtPr>
            <w:alias w:val="6 p."/>
            <w:tag w:val="part_44abdffd151243a1aecc9358c053780e"/>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44abdffd151243a1aecc9358c053780e"/>
                  <w:lock w:val="sdtLocked"/>
                  <w:richText/>
                </w:sdtPr>
                <w:sdtContent>
                  <w:r>
                    <w:rPr>
                      <w:rFonts w:eastAsia="Andale Sans UI" w:cs="Tahoma"/>
                      <w:szCs w:val="24"/>
                      <w:lang w:val="en-US" w:bidi="en-US"/>
                    </w:rPr>
                    <w:t>6</w:t>
                  </w:r>
                </w:sdtContent>
              </w:sdt>
              <w:r>
                <w:rPr>
                  <w:rFonts w:eastAsia="Andale Sans UI" w:cs="Tahoma"/>
                  <w:szCs w:val="24"/>
                  <w:lang w:val="en-US" w:bidi="en-US"/>
                </w:rPr>
                <w:t xml:space="preserve">. </w:t>
              </w:r>
              <w:r>
                <w:rPr>
                  <w:rFonts w:eastAsia="Andale Sans UI" w:cs="Tahoma"/>
                  <w:szCs w:val="24"/>
                  <w:lang w:bidi="en-US"/>
                </w:rPr>
                <w:t>atsižvelgus į žemės ūkio veikla užsiimančių subjektų skundus dėl įmokos skaičiavimo kriterijų taikymo (kai kurios savivaldybės minėtiems subjektams taiko tokį pat įmokos skaičiavimo kriterijų kaip gyvenamosios paskirties pastatams – pagal pastato plotą),</w:t>
              </w:r>
              <w:r>
                <w:rPr>
                  <w:rFonts w:eastAsia="Andale Sans UI" w:cs="Tahoma"/>
                  <w:szCs w:val="24"/>
                  <w:lang w:val="en-US" w:bidi="en-US"/>
                </w:rPr>
                <w:t xml:space="preserve"> </w:t>
              </w:r>
              <w:r>
                <w:rPr>
                  <w:rFonts w:eastAsia="Andale Sans UI" w:cs="Tahoma"/>
                  <w:szCs w:val="24"/>
                  <w:lang w:bidi="en-US"/>
                </w:rPr>
                <w:t xml:space="preserve">nustatyti, kad negyvenamosios paskirties pastatams, naudojamiems galvijams, gyvuliams, paukščiams auginti ir žemės ūkiui tvarkyti skirtiems pastatams įmokos dedamosios apskaičiuojamos pagal darbuotojų skaičių; </w:t>
              </w:r>
            </w:p>
          </w:sdtContent>
        </w:sdt>
        <w:sdt>
          <w:sdtPr>
            <w:alias w:val="7 p."/>
            <w:tag w:val="part_ab49748ec092407fbcfb46e7bc15639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ab49748ec092407fbcfb46e7bc156393"/>
                  <w:lock w:val="sdtLocked"/>
                  <w:richText/>
                </w:sdtPr>
                <w:sdtContent>
                  <w:r>
                    <w:rPr>
                      <w:rFonts w:eastAsia="Andale Sans UI" w:cs="Tahoma"/>
                      <w:szCs w:val="24"/>
                      <w:lang w:val="en-US" w:bidi="en-US"/>
                    </w:rPr>
                    <w:t>7</w:t>
                  </w:r>
                </w:sdtContent>
              </w:sdt>
              <w:r>
                <w:rPr>
                  <w:rFonts w:eastAsia="Andale Sans UI" w:cs="Tahoma"/>
                  <w:szCs w:val="24"/>
                  <w:lang w:val="en-US" w:bidi="en-US"/>
                </w:rPr>
                <w:t xml:space="preserve">. </w:t>
              </w:r>
              <w:r>
                <w:rPr>
                  <w:rFonts w:eastAsia="Andale Sans UI" w:cs="Tahoma"/>
                  <w:szCs w:val="24"/>
                  <w:lang w:bidi="en-US"/>
                </w:rPr>
                <w:t>įvertinus Vyriausybės atstovų įstaigos rekomendacijas, siekiant nustatyti vienodas įmokos taikymo sąlygas individualiose valdose esantiems garažams ir po daugiabučiais gyvenamaisiais namais esantiems garažams bei automobilių stovėjimo aikštelėms, patikslinti įmokos dedamųjų kriterijus, numatant, kad įmoka nebus taikoma po daugiabučiais gyvenamaisiais namais esantiems garažams ir automobilių stovėjimo aikštelėms, – kaip ji šiuo metu netaikoma individualiose valdose esantiems garažams;</w:t>
              </w:r>
            </w:p>
          </w:sdtContent>
        </w:sdt>
        <w:sdt>
          <w:sdtPr>
            <w:alias w:val="8 p."/>
            <w:tag w:val="part_6792037aa3f24c9eba6c7c40ffb1f70c"/>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6792037aa3f24c9eba6c7c40ffb1f70c"/>
                  <w:lock w:val="sdtLocked"/>
                  <w:richText/>
                </w:sdtPr>
                <w:sdtContent>
                  <w:r>
                    <w:rPr>
                      <w:rFonts w:eastAsia="Andale Sans UI" w:cs="Tahoma"/>
                      <w:szCs w:val="24"/>
                      <w:lang w:val="en-US" w:bidi="en-US"/>
                    </w:rPr>
                    <w:t>8</w:t>
                  </w:r>
                </w:sdtContent>
              </w:sdt>
              <w:r>
                <w:rPr>
                  <w:rFonts w:eastAsia="Andale Sans UI" w:cs="Tahoma"/>
                  <w:szCs w:val="24"/>
                  <w:lang w:bidi="en-US"/>
                </w:rPr>
                <w:t>. įvertinus valstybės įmonės Turto banko ir Nacionalinės žemės tarnybos prie Žemės ūkio ministerijos siūlymus, nustatyti, kad įmokos neturi mokėti valstybės ir savivaldybių institucijos ir įstaigos už jų valdomus nekilnojamojo turto objektus, kurie nėra perduoti valdyti ir disponuoti tretiesiems asmenims ir nėra naudojami pačių valstybės ir savivaldybių institucijų ir įstaigų;</w:t>
              </w:r>
            </w:p>
          </w:sdtContent>
        </w:sdt>
        <w:sdt>
          <w:sdtPr>
            <w:alias w:val="9 p."/>
            <w:tag w:val="part_3e1ec6ee7ea9451bad582041f53ef3ca"/>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3e1ec6ee7ea9451bad582041f53ef3ca"/>
                  <w:lock w:val="sdtLocked"/>
                  <w:richText/>
                </w:sdtPr>
                <w:sdtContent>
                  <w:r>
                    <w:rPr>
                      <w:rFonts w:eastAsia="Andale Sans UI" w:cs="Tahoma"/>
                      <w:szCs w:val="24"/>
                      <w:lang w:bidi="en-US"/>
                    </w:rPr>
                    <w:t>9</w:t>
                  </w:r>
                </w:sdtContent>
              </w:sdt>
              <w:r>
                <w:rPr>
                  <w:rFonts w:eastAsia="Andale Sans UI" w:cs="Tahoma"/>
                  <w:szCs w:val="24"/>
                  <w:lang w:bidi="en-US"/>
                </w:rPr>
                <w:t>. nustatyti, kad įmokos dydis gali būti perskaičiuojamas kartą per metus, jei Atliekų tvarkymo įstatymo nustatyta tvarka pakoreguota regioninė kaina ir (ar) metinis vartojimo kainų indeksas yra didesnis kaip 1,1;</w:t>
              </w:r>
            </w:p>
          </w:sdtContent>
        </w:sdt>
        <w:sdt>
          <w:sdtPr>
            <w:alias w:val="10 p."/>
            <w:tag w:val="part_ed06146ce6264f72bff117513ad52416"/>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ed06146ce6264f72bff117513ad52416"/>
                  <w:lock w:val="sdtLocked"/>
                  <w:richText/>
                </w:sdtPr>
                <w:sdtContent>
                  <w:r>
                    <w:rPr>
                      <w:rFonts w:eastAsia="Andale Sans UI" w:cs="Tahoma"/>
                      <w:szCs w:val="24"/>
                      <w:lang w:bidi="en-US"/>
                    </w:rPr>
                    <w:t>10</w:t>
                  </w:r>
                </w:sdtContent>
              </w:sdt>
              <w:r>
                <w:rPr>
                  <w:rFonts w:eastAsia="Andale Sans UI" w:cs="Tahoma"/>
                  <w:szCs w:val="24"/>
                  <w:lang w:bidi="en-US"/>
                </w:rPr>
                <w:t>. nustatyti, kad savivaldybės taryba gali taikyti įmokos lengvatas atliekų turėtojams (fiziniams asmenims), kaip nustatyta Atliekų tvarkymo įstatyme;</w:t>
              </w:r>
            </w:p>
          </w:sdtContent>
        </w:sdt>
        <w:sdt>
          <w:sdtPr>
            <w:alias w:val="11 p."/>
            <w:tag w:val="part_0328905b891343f29ba6f53ec18a5031"/>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0328905b891343f29ba6f53ec18a5031"/>
                  <w:lock w:val="sdtLocked"/>
                  <w:richText/>
                </w:sdtPr>
                <w:sdtContent>
                  <w:r>
                    <w:rPr>
                      <w:rFonts w:eastAsia="Andale Sans UI" w:cs="Tahoma"/>
                      <w:szCs w:val="24"/>
                      <w:lang w:bidi="en-US"/>
                    </w:rPr>
                    <w:t>11</w:t>
                  </w:r>
                </w:sdtContent>
              </w:sdt>
              <w:r>
                <w:rPr>
                  <w:rFonts w:eastAsia="Andale Sans UI" w:cs="Tahoma"/>
                  <w:szCs w:val="24"/>
                  <w:lang w:bidi="en-US"/>
                </w:rPr>
                <w:t>. nustatyti, kad ginčai ir skundai dėl įmokos dydžio, komunalinių atliekų tvarkymo paslaugos kokybės sprendžiami ir nagrinėjami Atliekų tvarkymo įstatyme nustatyta tvarka.</w:t>
              </w:r>
            </w:p>
            <w:p>
              <w:pPr>
                <w:widowControl w:val="0"/>
                <w:suppressAutoHyphens/>
                <w:ind w:firstLine="567"/>
                <w:jc w:val="both"/>
                <w:rPr>
                  <w:rFonts w:eastAsia="Andale Sans UI"/>
                  <w:szCs w:val="24"/>
                  <w:lang w:bidi="en-US"/>
                </w:rPr>
              </w:pPr>
              <w:r>
                <w:rPr>
                  <w:rFonts w:eastAsia="Andale Sans UI"/>
                  <w:szCs w:val="24"/>
                  <w:lang w:bidi="en-US"/>
                </w:rPr>
                <w:t xml:space="preserve">Nutarimo projektui įgyvendinti papildomų valstybės biudžeto lėšų nereikės, papildoma administracinė ar finansinė našta </w:t>
              </w:r>
              <w:r>
                <w:rPr>
                  <w:rFonts w:eastAsia="Andale Sans UI" w:cs="Tahoma"/>
                  <w:szCs w:val="24"/>
                  <w:lang w:bidi="en-US"/>
                </w:rPr>
                <w:t>ūkio subjektams, gyventojams, valstybės ir (ar) savivaldybių institucijoms ir įstaigoms</w:t>
              </w:r>
              <w:r>
                <w:rPr>
                  <w:rFonts w:eastAsia="Andale Sans UI"/>
                  <w:szCs w:val="24"/>
                  <w:lang w:bidi="en-US"/>
                </w:rPr>
                <w:t xml:space="preserve"> nesukuriama.</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Tikimasi, kad patvirtinus Taisyklių pakeitimą komunalinių atliekų tvarkymo paslaugų apmokestinimas bus skaidresnis ir suprantamesnis įmoką mokantiems subjektams, dėl to sumažės skundų dėl jos skaičiavimo.</w:t>
              </w:r>
            </w:p>
            <w:p>
              <w:pPr>
                <w:widowControl w:val="0"/>
                <w:suppressAutoHyphens/>
                <w:spacing w:line="276" w:lineRule="auto"/>
                <w:ind w:firstLine="567"/>
                <w:jc w:val="both"/>
                <w:rPr>
                  <w:rFonts w:eastAsia="Andale Sans UI"/>
                  <w:szCs w:val="24"/>
                  <w:lang w:bidi="en-US"/>
                </w:rPr>
              </w:pPr>
              <w:r>
                <w:rPr>
                  <w:rFonts w:eastAsia="Andale Sans UI" w:cs="Tahoma"/>
                  <w:szCs w:val="24"/>
                  <w:lang w:bidi="en-US"/>
                </w:rPr>
                <w:t>Nutarimo p</w:t>
              </w:r>
              <w:r>
                <w:rPr>
                  <w:rFonts w:eastAsia="Andale Sans UI" w:cs="Tahoma"/>
                  <w:color w:val="000000"/>
                  <w:szCs w:val="24"/>
                  <w:lang w:bidi="en-US"/>
                </w:rPr>
                <w:t>rojektu neperkeliami ir (ar) neįgyvendinami Europos Sąjungos teisės aktai.</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projektas nenotifikuotinas Europos Komisijai pagal Lietuvos Respublikos Vyriausybės 1999 m. gegužės 20 d. nutarimo Nr. 617 „Dėl Keitimosi informacija apie standartus, techninius reglamentus ir atitikties įvertinimo procedūras taisyklių patvirtinimo“ reikalavimus.</w:t>
              </w:r>
            </w:p>
            <w:p>
              <w:pPr>
                <w:widowControl w:val="0"/>
                <w:tabs>
                  <w:tab w:val="left" w:pos="9637"/>
                </w:tabs>
                <w:suppressAutoHyphens/>
                <w:spacing w:line="276" w:lineRule="auto"/>
                <w:ind w:firstLine="567"/>
                <w:jc w:val="both"/>
                <w:rPr>
                  <w:rFonts w:eastAsia="Andale Sans UI" w:cs="Tahoma"/>
                  <w:szCs w:val="24"/>
                  <w:lang w:bidi="en-US"/>
                </w:rPr>
              </w:pPr>
              <w:r>
                <w:rPr>
                  <w:rFonts w:eastAsia="Andale Sans UI" w:cs="Tahoma"/>
                  <w:szCs w:val="24"/>
                  <w:lang w:bidi="en-US"/>
                </w:rPr>
                <w:t>Nutarimo</w:t>
              </w:r>
              <w:r>
                <w:rPr>
                  <w:rFonts w:eastAsia="Andale Sans UI" w:cs="Tahoma"/>
                  <w:color w:val="000000"/>
                  <w:szCs w:val="24"/>
                  <w:lang w:bidi="en-US"/>
                </w:rPr>
                <w:t xml:space="preserve"> projekto </w:t>
              </w:r>
              <w:r>
                <w:rPr>
                  <w:rFonts w:eastAsia="Andale Sans UI" w:cs="Tahoma"/>
                  <w:szCs w:val="24"/>
                  <w:lang w:bidi="en-US"/>
                </w:rPr>
                <w:t>nuostatoms įgyvendinti nereikės priimti naujų, keisti ar pripažinti netekusiais galios galiojančių teisės aktų.</w:t>
              </w:r>
            </w:p>
            <w:p>
              <w:pPr>
                <w:widowControl w:val="0"/>
                <w:tabs>
                  <w:tab w:val="left" w:pos="9637"/>
                </w:tabs>
                <w:suppressAutoHyphens/>
                <w:spacing w:line="276" w:lineRule="auto"/>
                <w:ind w:right="-2" w:firstLine="567"/>
                <w:jc w:val="both"/>
                <w:rPr>
                  <w:rFonts w:eastAsia="Andale Sans UI" w:cs="Tahoma"/>
                  <w:color w:val="000000"/>
                  <w:szCs w:val="24"/>
                  <w:lang w:bidi="en-US"/>
                </w:rPr>
              </w:pPr>
              <w:r>
                <w:rPr>
                  <w:rFonts w:eastAsia="Andale Sans UI" w:cs="Tahoma"/>
                  <w:szCs w:val="24"/>
                  <w:lang w:bidi="en-US"/>
                </w:rPr>
                <w:t>Nutarimo</w:t>
              </w:r>
              <w:r>
                <w:rPr>
                  <w:rFonts w:eastAsia="Andale Sans UI" w:cs="Tahoma"/>
                  <w:color w:val="000000"/>
                  <w:szCs w:val="24"/>
                  <w:lang w:bidi="en-US"/>
                </w:rPr>
                <w:t xml:space="preserve"> projekte sąvokos </w:t>
              </w:r>
              <w:r>
                <w:rPr>
                  <w:rFonts w:eastAsia="Andale Sans UI"/>
                  <w:szCs w:val="24"/>
                  <w:lang w:bidi="en-US"/>
                </w:rPr>
                <w:t>neįtvirtinamos</w:t>
              </w:r>
              <w:r>
                <w:rPr>
                  <w:rFonts w:eastAsia="Andale Sans UI" w:cs="Tahoma"/>
                  <w:color w:val="000000"/>
                  <w:szCs w:val="24"/>
                  <w:lang w:bidi="en-US"/>
                </w:rPr>
                <w:t>.</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projektas parengtas laikantis Lietuvos Respublikos valstybinės kalbos įstatymo, Lietuvos Respublikos teisėkūros pagrindų įstatymo reikalavimų ir atitinka bendrinės lietuvių kalbos normas.</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Nutarimo </w:t>
              </w:r>
              <w:r>
                <w:rPr>
                  <w:rFonts w:eastAsia="Andale Sans UI"/>
                  <w:bCs/>
                  <w:szCs w:val="24"/>
                  <w:lang w:bidi="en-US"/>
                </w:rPr>
                <w:t>projektas neprieštarauja Vyriausybės programos nuostatoms.</w:t>
              </w:r>
            </w:p>
            <w:p>
              <w:pPr>
                <w:widowControl w:val="0"/>
                <w:suppressAutoHyphens/>
                <w:spacing w:line="276" w:lineRule="auto"/>
                <w:ind w:firstLine="571"/>
                <w:jc w:val="both"/>
                <w:rPr>
                  <w:rFonts w:eastAsia="Andale Sans UI" w:cs="Tahoma"/>
                  <w:szCs w:val="24"/>
                  <w:lang w:bidi="en-US"/>
                </w:rPr>
              </w:pPr>
              <w:r>
                <w:rPr>
                  <w:rFonts w:eastAsia="Andale Sans UI" w:cs="Tahoma"/>
                  <w:szCs w:val="24"/>
                  <w:lang w:bidi="en-US"/>
                </w:rPr>
                <w:t>Priėmus Nutarimo projektą, neigiamų pasekmių nenumatoma.</w:t>
              </w:r>
            </w:p>
            <w:p>
              <w:pPr>
                <w:spacing w:line="276" w:lineRule="auto"/>
                <w:ind w:firstLine="567"/>
                <w:jc w:val="both"/>
                <w:rPr>
                  <w:szCs w:val="24"/>
                </w:rPr>
              </w:pPr>
              <w:r>
                <w:rPr>
                  <w:szCs w:val="24"/>
                </w:rPr>
                <w:t xml:space="preserve">Nutarimo projektą parengė Aplinkos ministerijos Atliekų politikos grupės (grupės vadovė – Vilma Slavinskienė, mob. 8 698 75 027, el. p. vilma.slavinskiene@am.lt) patarėja </w:t>
              </w:r>
              <w:r>
                <w:rPr>
                  <w:rFonts w:eastAsia="Andale Sans UI"/>
                  <w:color w:val="000000"/>
                  <w:szCs w:val="24"/>
                  <w:lang w:bidi="en-US"/>
                </w:rPr>
                <w:t>Jelena Podymova (tel. </w:t>
              </w:r>
              <w:r>
                <w:rPr>
                  <w:szCs w:val="24"/>
                </w:rPr>
                <w:t>8 687 27 458, el. p. jelena.podymova@am.lt).</w:t>
              </w:r>
            </w:p>
            <w:p>
              <w:pPr>
                <w:spacing w:line="276" w:lineRule="auto"/>
                <w:ind w:firstLine="567"/>
                <w:jc w:val="both"/>
                <w:rPr>
                  <w:szCs w:val="24"/>
                </w:rPr>
              </w:pPr>
              <w:r>
                <w:rPr>
                  <w:szCs w:val="24"/>
                  <w:lang w:bidi="en-US"/>
                </w:rPr>
                <w:t>Prašome išnagrinėti Nutarimo projektą ir</w:t>
              </w:r>
              <w:r>
                <w:rPr>
                  <w:szCs w:val="24"/>
                  <w:lang w:val="en-US" w:bidi="en-US"/>
                </w:rPr>
                <w:t xml:space="preserve"> </w:t>
              </w:r>
              <w:r>
                <w:rPr>
                  <w:szCs w:val="24"/>
                </w:rPr>
                <w:t xml:space="preserve">pastabas bei pasiūlymus dėl Nutarimo projekto pateikti </w:t>
              </w:r>
              <w:r>
                <w:rPr>
                  <w:b/>
                  <w:szCs w:val="24"/>
                  <w:lang w:val="en-US"/>
                </w:rPr>
                <w:t>per 10 darbo dienų</w:t>
              </w:r>
              <w:r>
                <w:rPr>
                  <w:szCs w:val="24"/>
                </w:rPr>
                <w:t xml:space="preserve"> nuo jo paskelbimo Lietuvos Respublikos Seimo kanceliarijos teisės aktų informacinėje sistemoje (TAIS). Per nurodytą terminą negavę pastabų ir pasiūlymų, laikysime, kad pastabų ir pasiūlymų dėl Nutarimo projekto neturite. </w:t>
              </w:r>
            </w:p>
            <w:p>
              <w:pPr>
                <w:widowControl w:val="0"/>
                <w:suppressAutoHyphens/>
                <w:spacing w:line="276" w:lineRule="auto"/>
                <w:ind w:firstLine="567"/>
                <w:jc w:val="both"/>
                <w:rPr>
                  <w:szCs w:val="24"/>
                </w:rPr>
              </w:pPr>
              <w:r>
                <w:rPr>
                  <w:szCs w:val="24"/>
                </w:rPr>
                <w:t>PRIDEDAMA:</w:t>
              </w:r>
            </w:p>
          </w:sdtContent>
        </w:sdt>
        <w:sdt>
          <w:sdtPr>
            <w:alias w:val="1 p."/>
            <w:tag w:val="part_916b2f360d1f49959ae2fdd9d4eb23df"/>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916b2f360d1f49959ae2fdd9d4eb23df"/>
                  <w:lock w:val="sdtLocked"/>
                  <w:richText/>
                </w:sdtPr>
                <w:sdtContent>
                  <w:r>
                    <w:rPr>
                      <w:rFonts w:eastAsia="Andale Sans UI" w:cs="Tahoma"/>
                      <w:szCs w:val="24"/>
                      <w:lang w:bidi="en-US"/>
                    </w:rPr>
                    <w:t>1</w:t>
                  </w:r>
                </w:sdtContent>
              </w:sdt>
              <w:r>
                <w:rPr>
                  <w:rFonts w:eastAsia="Andale Sans UI" w:cs="Tahoma"/>
                  <w:szCs w:val="24"/>
                  <w:lang w:bidi="en-US"/>
                </w:rPr>
                <w:t>.</w:t>
                <w:tab/>
                <w:t>Nutarimo projektas, 5 lapai.</w:t>
              </w:r>
            </w:p>
          </w:sdtContent>
        </w:sdt>
        <w:sdt>
          <w:sdtPr>
            <w:alias w:val="2 p."/>
            <w:tag w:val="part_b7a9652e679143ddbe96d00e6c476ec3"/>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b7a9652e679143ddbe96d00e6c476ec3"/>
                  <w:lock w:val="sdtLocked"/>
                  <w:richText/>
                </w:sdtPr>
                <w:sdtContent>
                  <w:r>
                    <w:rPr>
                      <w:rFonts w:eastAsia="Andale Sans UI" w:cs="Tahoma"/>
                      <w:szCs w:val="24"/>
                      <w:lang w:bidi="en-US"/>
                    </w:rPr>
                    <w:t>2</w:t>
                  </w:r>
                </w:sdtContent>
              </w:sdt>
              <w:r>
                <w:rPr>
                  <w:rFonts w:eastAsia="Andale Sans UI" w:cs="Tahoma"/>
                  <w:szCs w:val="24"/>
                  <w:lang w:bidi="en-US"/>
                </w:rPr>
                <w:t>.</w:t>
                <w:tab/>
                <w:t>Numatomo teisinio reguliavimo poveikio vertinimo pažyma, 1 lapas.</w:t>
              </w:r>
            </w:p>
          </w:sdtContent>
        </w:sdt>
        <w:sdt>
          <w:sdtPr>
            <w:alias w:val="3 p."/>
            <w:tag w:val="part_03c2b809c8a14a53b3583f7c6804722f"/>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03c2b809c8a14a53b3583f7c6804722f"/>
                  <w:lock w:val="sdtLocked"/>
                  <w:richText/>
                </w:sdtPr>
                <w:sdtContent>
                  <w:r>
                    <w:rPr>
                      <w:rFonts w:eastAsia="Andale Sans UI" w:cs="Tahoma"/>
                      <w:szCs w:val="24"/>
                      <w:lang w:bidi="en-US"/>
                    </w:rPr>
                    <w:t>3</w:t>
                  </w:r>
                </w:sdtContent>
              </w:sdt>
              <w:r>
                <w:rPr>
                  <w:rFonts w:eastAsia="Andale Sans UI" w:cs="Tahoma"/>
                  <w:szCs w:val="24"/>
                  <w:lang w:bidi="en-US"/>
                </w:rPr>
                <w:t>.</w:t>
                <w:tab/>
              </w:r>
              <w:r>
                <w:rPr>
                  <w:rFonts w:eastAsia="Andale Sans UI" w:cs="Tahoma"/>
                  <w:color w:val="000000"/>
                  <w:szCs w:val="24"/>
                  <w:lang w:bidi="en-US"/>
                </w:rPr>
                <w:t>Antikorupcinio vertinimo </w:t>
              </w:r>
              <w:r>
                <w:rPr>
                  <w:rFonts w:eastAsia="Andale Sans UI" w:cs="Tahoma"/>
                  <w:color w:val="000000"/>
                  <w:spacing w:val="-2"/>
                  <w:szCs w:val="24"/>
                  <w:lang w:bidi="en-US"/>
                </w:rPr>
                <w:t xml:space="preserve">pažyma, </w:t>
              </w:r>
              <w:r>
                <w:rPr>
                  <w:rFonts w:eastAsia="Andale Sans UI" w:cs="Tahoma"/>
                  <w:szCs w:val="24"/>
                  <w:lang w:bidi="en-US"/>
                </w:rPr>
                <w:t>7 lapai.</w:t>
              </w:r>
            </w:p>
            <w:tbl>
              <w:tblPr>
                <w:tblW w:w="0" w:type="auto"/>
                <w:tblInd w:w="8" w:type="dxa"/>
                <w:tblLayout w:type="fixed"/>
                <w:tblCellMar>
                  <w:left w:w="0" w:type="dxa"/>
                  <w:right w:w="0" w:type="dxa"/>
                </w:tblCellMar>
                <w:tblLook w:val="0000" w:firstRow="0" w:lastRow="0" w:firstColumn="0" w:lastColumn="0" w:noHBand="0" w:noVBand="0"/>
              </w:tblPr>
              <w:tblGrid>
                <w:gridCol w:w="4817"/>
                <w:gridCol w:w="4679"/>
              </w:tblGrid>
              <w:tr>
                <w:trPr>
                  <w:trHeight w:val="297"/>
                </w:trPr>
                <w:tc>
                  <w:tcPr>
                    <w:tcW w:w="4817" w:type="dxa"/>
                    <w:vAlign w:val="bottom"/>
                  </w:tcPr>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r>
                      <w:rPr>
                        <w:rFonts w:eastAsia="Andale Sans UI" w:cs="Tahoma"/>
                        <w:szCs w:val="24"/>
                        <w:lang w:bidi="en-US"/>
                      </w:rPr>
                      <w:t>Aplinkos viceministrė</w:t>
                    </w:r>
                  </w:p>
                </w:tc>
                <w:tc>
                  <w:tcPr>
                    <w:tcW w:w="4679"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Raminta Radavičienė</w:t>
                    </w:r>
                  </w:p>
                </w:tc>
              </w:tr>
            </w:tbl>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rPr>
                  <w:rFonts w:eastAsia="Andale Sans UI" w:cs="Tahoma"/>
                  <w:color w:val="000080"/>
                  <w:szCs w:val="24"/>
                  <w:u w:val="single"/>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671" w:right="567" w:bottom="1089" w:left="1701" w:header="567" w:footer="230" w:gutter="0"/>
                  <w:cols w:space="1296"/>
                  <w:titlePg/>
                </w:sectPr>
              </w:pPr>
              <w:r>
                <w:rPr>
                  <w:rFonts w:eastAsia="Andale Sans UI" w:cs="Tahoma"/>
                  <w:szCs w:val="24"/>
                  <w:lang w:bidi="en-US"/>
                </w:rPr>
                <w:t>J. Podymova, tel. 8 687 27 458, el. p. jelena.podymova@am.lt</w:t>
              </w:r>
            </w:p>
            <w:p>
              <w:pPr>
                <w:widowControl w:val="0"/>
                <w:suppressLineNumbers/>
                <w:tabs>
                  <w:tab w:val="center" w:pos="4800"/>
                  <w:tab w:val="right" w:pos="9601"/>
                </w:tabs>
                <w:suppressAutoHyphens/>
                <w:rPr>
                  <w:rFonts w:eastAsia="Andale Sans UI" w:cs="Tahoma"/>
                  <w:szCs w:val="24"/>
                  <w:lang w:bidi="en-US"/>
                </w:rPr>
              </w:pPr>
            </w:p>
            <w:p>
              <w:pPr>
                <w:widowControl w:val="0"/>
                <w:suppressAutoHyphens/>
                <w:rPr>
                  <w:rFonts w:eastAsia="Andale Sans UI" w:cs="Tahoma"/>
                  <w:szCs w:val="24"/>
                  <w:lang w:bidi="en-US"/>
                </w:rPr>
              </w:pPr>
            </w:p>
            <w:p>
              <w:pPr>
                <w:widowControl w:val="0"/>
                <w:suppressAutoHyphens/>
                <w:jc w:val="center"/>
                <w:rPr>
                  <w:rFonts w:eastAsia="Andale Sans UI" w:cs="Tahoma"/>
                  <w:szCs w:val="24"/>
                  <w:lang w:bidi="en-US"/>
                </w:rPr>
              </w:pPr>
              <w:r>
                <w:rPr>
                  <w:rFonts w:eastAsia="Andale Sans UI" w:cs="Tahoma"/>
                  <w:szCs w:val="24"/>
                  <w:lang w:bidi="en-US"/>
                </w:rPr>
                <w:t>ADRESATŲ SĄRAŠAS</w:t>
              </w:r>
            </w:p>
            <w:p>
              <w:pPr>
                <w:widowControl w:val="0"/>
                <w:suppressAutoHyphens/>
                <w:spacing w:line="276" w:lineRule="auto"/>
                <w:ind w:firstLine="567"/>
                <w:jc w:val="both"/>
                <w:rPr>
                  <w:rFonts w:eastAsia="Andale Sans UI" w:cs="Tahoma"/>
                  <w:szCs w:val="24"/>
                  <w:lang w:bidi="en-US"/>
                </w:rPr>
              </w:pPr>
            </w:p>
          </w:sdtContent>
        </w:sdt>
        <w:sdt>
          <w:sdtPr>
            <w:alias w:val="1 p."/>
            <w:tag w:val="part_8e92647a32a2460486e821b07cff2e5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8e92647a32a2460486e821b07cff2e53"/>
                  <w:lock w:val="sdtLocked"/>
                  <w:richText/>
                </w:sdtPr>
                <w:sdtContent>
                  <w:r>
                    <w:rPr>
                      <w:rFonts w:eastAsia="Andale Sans UI" w:cs="Tahoma"/>
                      <w:szCs w:val="24"/>
                      <w:lang w:bidi="en-US"/>
                    </w:rPr>
                    <w:t>1</w:t>
                  </w:r>
                </w:sdtContent>
              </w:sdt>
              <w:r>
                <w:rPr>
                  <w:rFonts w:eastAsia="Andale Sans UI" w:cs="Tahoma"/>
                  <w:szCs w:val="24"/>
                  <w:lang w:bidi="en-US"/>
                </w:rPr>
                <w:t>. Lietuvos savivaldybių asociacijai</w:t>
              </w:r>
            </w:p>
          </w:sdtContent>
        </w:sdt>
        <w:sdt>
          <w:sdtPr>
            <w:alias w:val="2 p."/>
            <w:tag w:val="part_fe8a22d5c8234357b59ad74d11203b6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fe8a22d5c8234357b59ad74d11203b63"/>
                  <w:lock w:val="sdtLocked"/>
                  <w:richText/>
                </w:sdtPr>
                <w:sdtContent>
                  <w:r>
                    <w:rPr>
                      <w:rFonts w:eastAsia="Andale Sans UI" w:cs="Tahoma"/>
                      <w:szCs w:val="24"/>
                      <w:lang w:bidi="en-US"/>
                    </w:rPr>
                    <w:t>2</w:t>
                  </w:r>
                </w:sdtContent>
              </w:sdt>
              <w:r>
                <w:rPr>
                  <w:rFonts w:eastAsia="Andale Sans UI" w:cs="Tahoma"/>
                  <w:szCs w:val="24"/>
                  <w:lang w:bidi="en-US"/>
                </w:rPr>
                <w:t>. Valstybinei energetikos reguliavimo tarybai</w:t>
              </w:r>
            </w:p>
          </w:sdtContent>
        </w:sdt>
        <w:sdt>
          <w:sdtPr>
            <w:alias w:val="3 p."/>
            <w:tag w:val="part_57aeb07e88b44e899c301e64e8640b09"/>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57aeb07e88b44e899c301e64e8640b09"/>
                  <w:lock w:val="sdtLocked"/>
                  <w:richText/>
                </w:sdtPr>
                <w:sdtContent>
                  <w:r>
                    <w:rPr>
                      <w:rFonts w:eastAsia="Andale Sans UI" w:cs="Tahoma"/>
                      <w:szCs w:val="24"/>
                      <w:lang w:bidi="en-US"/>
                    </w:rPr>
                    <w:t>3</w:t>
                  </w:r>
                </w:sdtContent>
              </w:sdt>
              <w:r>
                <w:rPr>
                  <w:rFonts w:eastAsia="Andale Sans UI" w:cs="Tahoma"/>
                  <w:szCs w:val="24"/>
                  <w:lang w:bidi="en-US"/>
                </w:rPr>
                <w:t>. Teisingumo ministerijai</w:t>
              </w:r>
            </w:p>
          </w:sdtContent>
        </w:sdt>
        <w:sdt>
          <w:sdtPr>
            <w:alias w:val="4 p."/>
            <w:tag w:val="part_2c6724850461434e9b1035efda92885f"/>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2c6724850461434e9b1035efda92885f"/>
                  <w:lock w:val="sdtLocked"/>
                  <w:richText/>
                </w:sdtPr>
                <w:sdtContent>
                  <w:r>
                    <w:rPr>
                      <w:rFonts w:eastAsia="Andale Sans UI" w:cs="Tahoma"/>
                      <w:szCs w:val="24"/>
                      <w:lang w:bidi="en-US"/>
                    </w:rPr>
                    <w:t>4</w:t>
                  </w:r>
                </w:sdtContent>
              </w:sdt>
              <w:r>
                <w:rPr>
                  <w:rFonts w:eastAsia="Andale Sans UI" w:cs="Tahoma"/>
                  <w:szCs w:val="24"/>
                  <w:lang w:bidi="en-US"/>
                </w:rPr>
                <w:t>. Finansų ministerijai</w:t>
              </w:r>
            </w:p>
          </w:sdtContent>
        </w:sdt>
        <w:sdt>
          <w:sdtPr>
            <w:alias w:val="5 p."/>
            <w:tag w:val="part_75536f063fc04767964b09019c49fa4d"/>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75536f063fc04767964b09019c49fa4d"/>
                  <w:lock w:val="sdtLocked"/>
                  <w:richText/>
                </w:sdtPr>
                <w:sdtContent>
                  <w:r>
                    <w:rPr>
                      <w:rFonts w:eastAsia="Andale Sans UI" w:cs="Tahoma"/>
                      <w:szCs w:val="24"/>
                      <w:lang w:bidi="en-US"/>
                    </w:rPr>
                    <w:t>5</w:t>
                  </w:r>
                </w:sdtContent>
              </w:sdt>
              <w:r>
                <w:rPr>
                  <w:rFonts w:eastAsia="Andale Sans UI" w:cs="Tahoma"/>
                  <w:szCs w:val="24"/>
                  <w:lang w:bidi="en-US"/>
                </w:rPr>
                <w:t>. Ekonomikos ir inovacijų ministerijai</w:t>
              </w:r>
            </w:p>
          </w:sdtContent>
        </w:sdt>
        <w:sdt>
          <w:sdtPr>
            <w:alias w:val="6 p."/>
            <w:tag w:val="part_05d12dbc58a84a288b3a966110ef13a0"/>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05d12dbc58a84a288b3a966110ef13a0"/>
                  <w:lock w:val="sdtLocked"/>
                  <w:richText/>
                </w:sdtPr>
                <w:sdtContent>
                  <w:r>
                    <w:rPr>
                      <w:rFonts w:eastAsia="Andale Sans UI" w:cs="Tahoma"/>
                      <w:szCs w:val="24"/>
                      <w:lang w:bidi="en-US"/>
                    </w:rPr>
                    <w:t>6</w:t>
                  </w:r>
                </w:sdtContent>
              </w:sdt>
              <w:r>
                <w:rPr>
                  <w:rFonts w:eastAsia="Andale Sans UI" w:cs="Tahoma"/>
                  <w:szCs w:val="24"/>
                  <w:lang w:bidi="en-US"/>
                </w:rPr>
                <w:t>. Energetikos ministerijai</w:t>
              </w:r>
            </w:p>
          </w:sdtContent>
        </w:sdt>
        <w:sdt>
          <w:sdtPr>
            <w:alias w:val="7 p."/>
            <w:tag w:val="part_64cc5f7a031046e8b997b10bd61fcd77"/>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64cc5f7a031046e8b997b10bd61fcd77"/>
                  <w:lock w:val="sdtLocked"/>
                  <w:richText/>
                </w:sdtPr>
                <w:sdtContent>
                  <w:r>
                    <w:rPr>
                      <w:rFonts w:eastAsia="Andale Sans UI" w:cs="Tahoma"/>
                      <w:szCs w:val="24"/>
                      <w:lang w:bidi="en-US"/>
                    </w:rPr>
                    <w:t>7</w:t>
                  </w:r>
                </w:sdtContent>
              </w:sdt>
              <w:r>
                <w:rPr>
                  <w:rFonts w:eastAsia="Andale Sans UI" w:cs="Tahoma"/>
                  <w:szCs w:val="24"/>
                  <w:lang w:bidi="en-US"/>
                </w:rPr>
                <w:t>. Socialinės apsaugos ir darbo ministerijai</w:t>
              </w:r>
            </w:p>
          </w:sdtContent>
        </w:sdt>
        <w:sdt>
          <w:sdtPr>
            <w:alias w:val="8 p."/>
            <w:tag w:val="part_7b123a421bac4fd2af29fc803e5e2151"/>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7b123a421bac4fd2af29fc803e5e2151"/>
                  <w:lock w:val="sdtLocked"/>
                  <w:richText/>
                </w:sdtPr>
                <w:sdtContent>
                  <w:r>
                    <w:rPr>
                      <w:rFonts w:eastAsia="Andale Sans UI" w:cs="Tahoma"/>
                      <w:szCs w:val="24"/>
                      <w:lang w:bidi="en-US"/>
                    </w:rPr>
                    <w:t>8</w:t>
                  </w:r>
                </w:sdtContent>
              </w:sdt>
              <w:r>
                <w:rPr>
                  <w:rFonts w:eastAsia="Andale Sans UI" w:cs="Tahoma"/>
                  <w:szCs w:val="24"/>
                  <w:lang w:bidi="en-US"/>
                </w:rPr>
                <w:t>. Žemės ūkio ministerijai</w:t>
              </w:r>
            </w:p>
          </w:sdtContent>
        </w:sdt>
        <w:sdt>
          <w:sdtPr>
            <w:alias w:val="9 p."/>
            <w:tag w:val="part_590ad3669264413f87793576d4b99f3d"/>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590ad3669264413f87793576d4b99f3d"/>
                  <w:lock w:val="sdtLocked"/>
                  <w:richText/>
                </w:sdtPr>
                <w:sdtContent>
                  <w:r>
                    <w:rPr>
                      <w:rFonts w:eastAsia="Andale Sans UI" w:cs="Tahoma"/>
                      <w:szCs w:val="24"/>
                      <w:lang w:bidi="en-US"/>
                    </w:rPr>
                    <w:t>9</w:t>
                  </w:r>
                </w:sdtContent>
              </w:sdt>
              <w:r>
                <w:rPr>
                  <w:rFonts w:eastAsia="Andale Sans UI" w:cs="Tahoma"/>
                  <w:szCs w:val="24"/>
                  <w:lang w:bidi="en-US"/>
                </w:rPr>
                <w:t>. Specialiųjų tyrimų tarnybai</w:t>
              </w:r>
            </w:p>
          </w:sdtContent>
        </w:sdt>
        <w:sdt>
          <w:sdtPr>
            <w:alias w:val="10 p."/>
            <w:tag w:val="part_9abdb1082e0843dc963187497e4cec8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9abdb1082e0843dc963187497e4cec83"/>
                  <w:lock w:val="sdtLocked"/>
                  <w:richText/>
                </w:sdtPr>
                <w:sdtContent>
                  <w:r>
                    <w:rPr>
                      <w:rFonts w:eastAsia="Andale Sans UI" w:cs="Tahoma"/>
                      <w:szCs w:val="24"/>
                      <w:lang w:bidi="en-US"/>
                    </w:rPr>
                    <w:t>10</w:t>
                  </w:r>
                </w:sdtContent>
              </w:sdt>
              <w:r>
                <w:rPr>
                  <w:rFonts w:eastAsia="Andale Sans UI" w:cs="Tahoma"/>
                  <w:szCs w:val="24"/>
                  <w:lang w:bidi="en-US"/>
                </w:rPr>
                <w:t>. Konkurencijos tarybai</w:t>
              </w:r>
            </w:p>
          </w:sdtContent>
        </w:sdt>
        <w:sdt>
          <w:sdtPr>
            <w:alias w:val="11 p."/>
            <w:tag w:val="part_6afef4f879dd4c30b352ad322670974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6afef4f879dd4c30b352ad3226709743"/>
                  <w:lock w:val="sdtLocked"/>
                  <w:richText/>
                </w:sdtPr>
                <w:sdtContent>
                  <w:r>
                    <w:rPr>
                      <w:rFonts w:eastAsia="Andale Sans UI" w:cs="Tahoma"/>
                      <w:szCs w:val="24"/>
                      <w:lang w:bidi="en-US"/>
                    </w:rPr>
                    <w:t>11</w:t>
                  </w:r>
                </w:sdtContent>
              </w:sdt>
              <w:r>
                <w:rPr>
                  <w:rFonts w:eastAsia="Andale Sans UI" w:cs="Tahoma"/>
                  <w:szCs w:val="24"/>
                  <w:lang w:bidi="en-US"/>
                </w:rPr>
                <w:t>. Lietuvos savivaldybių komunalinių įmonių asociacijai</w:t>
              </w:r>
            </w:p>
          </w:sdtContent>
        </w:sdt>
        <w:sdt>
          <w:sdtPr>
            <w:alias w:val="12 p."/>
            <w:tag w:val="part_82b654019a194ef496be449773ed83fa"/>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82b654019a194ef496be449773ed83fa"/>
                  <w:lock w:val="sdtLocked"/>
                  <w:richText/>
                </w:sdtPr>
                <w:sdtContent>
                  <w:r>
                    <w:rPr>
                      <w:rFonts w:eastAsia="Andale Sans UI" w:cs="Tahoma"/>
                      <w:szCs w:val="24"/>
                      <w:lang w:bidi="en-US"/>
                    </w:rPr>
                    <w:t>12</w:t>
                  </w:r>
                </w:sdtContent>
              </w:sdt>
              <w:r>
                <w:rPr>
                  <w:rFonts w:eastAsia="Andale Sans UI" w:cs="Tahoma"/>
                  <w:szCs w:val="24"/>
                  <w:lang w:bidi="en-US"/>
                </w:rPr>
                <w:t>. Lietuvos komunalininkų ir atliekų tvarkytojų asociacijai</w:t>
              </w:r>
            </w:p>
          </w:sdtContent>
        </w:sdt>
        <w:sdt>
          <w:sdtPr>
            <w:alias w:val="13 p."/>
            <w:tag w:val="part_e259e75fc4c04f6b88d94d0f28e548fa"/>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e259e75fc4c04f6b88d94d0f28e548fa"/>
                  <w:lock w:val="sdtLocked"/>
                  <w:richText/>
                </w:sdtPr>
                <w:sdtContent>
                  <w:r>
                    <w:rPr>
                      <w:rFonts w:eastAsia="Andale Sans UI" w:cs="Tahoma"/>
                      <w:szCs w:val="24"/>
                      <w:lang w:bidi="en-US"/>
                    </w:rPr>
                    <w:t>13</w:t>
                  </w:r>
                </w:sdtContent>
              </w:sdt>
              <w:r>
                <w:rPr>
                  <w:rFonts w:eastAsia="Andale Sans UI" w:cs="Tahoma"/>
                  <w:szCs w:val="24"/>
                  <w:lang w:bidi="en-US"/>
                </w:rPr>
                <w:t>. Lietuvos regioninių atliekų tvarkymo centrų asociacijai</w:t>
              </w:r>
            </w:p>
          </w:sdtContent>
        </w:sdt>
        <w:sdt>
          <w:sdtPr>
            <w:alias w:val="14 p."/>
            <w:tag w:val="part_8445611053a443a4920ed4d7e098fcfc"/>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8445611053a443a4920ed4d7e098fcfc"/>
                  <w:lock w:val="sdtLocked"/>
                  <w:richText/>
                </w:sdtPr>
                <w:sdtContent>
                  <w:r>
                    <w:rPr>
                      <w:rFonts w:eastAsia="Andale Sans UI" w:cs="Tahoma"/>
                      <w:szCs w:val="24"/>
                      <w:lang w:bidi="en-US"/>
                    </w:rPr>
                    <w:t>14</w:t>
                  </w:r>
                </w:sdtContent>
              </w:sdt>
              <w:r>
                <w:rPr>
                  <w:rFonts w:eastAsia="Andale Sans UI" w:cs="Tahoma"/>
                  <w:szCs w:val="24"/>
                  <w:lang w:bidi="en-US"/>
                </w:rPr>
                <w:t>. Vyriausybės atstovų įstaigai</w:t>
              </w:r>
            </w:p>
          </w:sdtContent>
        </w:sdt>
        <w:sdt>
          <w:sdtPr>
            <w:alias w:val="15 p."/>
            <w:tag w:val="part_f66da23e3c3747aba1a522489102d4bb"/>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f66da23e3c3747aba1a522489102d4bb"/>
                  <w:lock w:val="sdtLocked"/>
                  <w:richText/>
                </w:sdtPr>
                <w:sdtContent>
                  <w:r>
                    <w:rPr>
                      <w:rFonts w:eastAsia="Andale Sans UI" w:cs="Tahoma"/>
                      <w:szCs w:val="24"/>
                      <w:lang w:bidi="en-US"/>
                    </w:rPr>
                    <w:t>15</w:t>
                  </w:r>
                </w:sdtContent>
              </w:sdt>
              <w:r>
                <w:rPr>
                  <w:rFonts w:eastAsia="Andale Sans UI" w:cs="Tahoma"/>
                  <w:szCs w:val="24"/>
                  <w:lang w:bidi="en-US"/>
                </w:rPr>
                <w:t>. Lietuvos pramonininkų konfederacijai</w:t>
              </w:r>
            </w:p>
          </w:sdtContent>
        </w:sdt>
        <w:sdt>
          <w:sdtPr>
            <w:alias w:val="16 p."/>
            <w:tag w:val="part_6f42100c2f724761aabc9dab52f4e88f"/>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6f42100c2f724761aabc9dab52f4e88f"/>
                  <w:lock w:val="sdtLocked"/>
                  <w:richText/>
                </w:sdtPr>
                <w:sdtContent>
                  <w:r>
                    <w:rPr>
                      <w:rFonts w:eastAsia="Andale Sans UI" w:cs="Tahoma"/>
                      <w:szCs w:val="24"/>
                      <w:lang w:bidi="en-US"/>
                    </w:rPr>
                    <w:t>16</w:t>
                  </w:r>
                </w:sdtContent>
              </w:sdt>
              <w:r>
                <w:rPr>
                  <w:rFonts w:eastAsia="Andale Sans UI" w:cs="Tahoma"/>
                  <w:szCs w:val="24"/>
                  <w:lang w:bidi="en-US"/>
                </w:rPr>
                <w:t>. Lietuvos pramonės, prekybos ir amatų rūmų asociacijai</w:t>
              </w:r>
            </w:p>
          </w:sdtContent>
        </w:sdt>
        <w:sdt>
          <w:sdtPr>
            <w:alias w:val="17 p."/>
            <w:tag w:val="part_acd831e6ca0c4012b6564facf811291b"/>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acd831e6ca0c4012b6564facf811291b"/>
                  <w:lock w:val="sdtLocked"/>
                  <w:richText/>
                </w:sdtPr>
                <w:sdtContent>
                  <w:r>
                    <w:rPr>
                      <w:rFonts w:eastAsia="Andale Sans UI" w:cs="Tahoma"/>
                      <w:szCs w:val="24"/>
                      <w:lang w:bidi="en-US"/>
                    </w:rPr>
                    <w:t>17</w:t>
                  </w:r>
                </w:sdtContent>
              </w:sdt>
              <w:r>
                <w:rPr>
                  <w:rFonts w:eastAsia="Andale Sans UI" w:cs="Tahoma"/>
                  <w:szCs w:val="24"/>
                  <w:lang w:bidi="en-US"/>
                </w:rPr>
                <w:t>. Valstybinei vartotojų teisių apsaugos tarnybai</w:t>
              </w:r>
            </w:p>
          </w:sdtContent>
        </w:sdt>
        <w:sdt>
          <w:sdtPr>
            <w:alias w:val="18 p."/>
            <w:tag w:val="part_bcdbc7ac1bf74b88af32fdc201bb41c3"/>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bcdbc7ac1bf74b88af32fdc201bb41c3"/>
                  <w:lock w:val="sdtLocked"/>
                  <w:richText/>
                </w:sdtPr>
                <w:sdtContent>
                  <w:r>
                    <w:rPr>
                      <w:rFonts w:eastAsia="Andale Sans UI" w:cs="Tahoma"/>
                      <w:szCs w:val="24"/>
                      <w:lang w:bidi="en-US"/>
                    </w:rPr>
                    <w:t>18</w:t>
                  </w:r>
                </w:sdtContent>
              </w:sdt>
              <w:r>
                <w:rPr>
                  <w:rFonts w:eastAsia="Andale Sans UI" w:cs="Tahoma"/>
                  <w:szCs w:val="24"/>
                  <w:lang w:bidi="en-US"/>
                </w:rPr>
                <w:t>. Lietuvos Respublikos žemės ūkio rūmams</w:t>
              </w:r>
            </w:p>
          </w:sdtContent>
        </w:sdt>
        <w:sdt>
          <w:sdtPr>
            <w:alias w:val="19 p."/>
            <w:tag w:val="part_1581cf81eaa249f08600de35983ec8a6"/>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1581cf81eaa249f08600de35983ec8a6"/>
                  <w:lock w:val="sdtLocked"/>
                  <w:richText/>
                </w:sdtPr>
                <w:sdtContent>
                  <w:r>
                    <w:rPr>
                      <w:rFonts w:eastAsia="Andale Sans UI" w:cs="Tahoma"/>
                      <w:szCs w:val="24"/>
                      <w:lang w:bidi="en-US"/>
                    </w:rPr>
                    <w:t>19</w:t>
                  </w:r>
                </w:sdtContent>
              </w:sdt>
              <w:r>
                <w:rPr>
                  <w:rFonts w:eastAsia="Andale Sans UI" w:cs="Tahoma"/>
                  <w:szCs w:val="24"/>
                  <w:lang w:bidi="en-US"/>
                </w:rPr>
                <w:t>. Lietuvos žemės ūkio bendrovių asociacijai</w:t>
              </w:r>
            </w:p>
          </w:sdtContent>
        </w:sdt>
        <w:sdt>
          <w:sdtPr>
            <w:alias w:val="20 p."/>
            <w:tag w:val="part_21863478d6594d81ad66c6c1c6990504"/>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21863478d6594d81ad66c6c1c6990504"/>
                  <w:lock w:val="sdtLocked"/>
                  <w:richText/>
                </w:sdtPr>
                <w:sdtContent>
                  <w:r>
                    <w:rPr>
                      <w:rFonts w:eastAsia="Andale Sans UI" w:cs="Tahoma"/>
                      <w:szCs w:val="24"/>
                      <w:lang w:bidi="en-US"/>
                    </w:rPr>
                    <w:t>20</w:t>
                  </w:r>
                </w:sdtContent>
              </w:sdt>
              <w:r>
                <w:rPr>
                  <w:rFonts w:eastAsia="Andale Sans UI" w:cs="Tahoma"/>
                  <w:szCs w:val="24"/>
                  <w:lang w:bidi="en-US"/>
                </w:rPr>
                <w:t>. Lietuvos ūkininkų sąjungai</w:t>
              </w:r>
            </w:p>
          </w:sdtContent>
        </w:sdt>
        <w:sdt>
          <w:sdtPr>
            <w:alias w:val="21 p."/>
            <w:tag w:val="part_37c973f23659412f90951b997bd6d20d"/>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37c973f23659412f90951b997bd6d20d"/>
                  <w:lock w:val="sdtLocked"/>
                  <w:richText/>
                </w:sdtPr>
                <w:sdtContent>
                  <w:r>
                    <w:rPr>
                      <w:rFonts w:eastAsia="Andale Sans UI" w:cs="Tahoma"/>
                      <w:szCs w:val="24"/>
                      <w:lang w:bidi="en-US"/>
                    </w:rPr>
                    <w:t>21</w:t>
                  </w:r>
                </w:sdtContent>
              </w:sdt>
              <w:r>
                <w:rPr>
                  <w:rFonts w:eastAsia="Andale Sans UI" w:cs="Tahoma"/>
                  <w:szCs w:val="24"/>
                  <w:lang w:bidi="en-US"/>
                </w:rPr>
                <w:t>. Aplinkos apsaugos agentūrai</w:t>
              </w:r>
            </w:p>
          </w:sdtContent>
        </w:sdt>
        <w:sdt>
          <w:sdtPr>
            <w:alias w:val="22 p."/>
            <w:tag w:val="part_6d9e4073ec5f416b94b3df64db67c5d9"/>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6d9e4073ec5f416b94b3df64db67c5d9"/>
                  <w:lock w:val="sdtLocked"/>
                  <w:richText/>
                </w:sdtPr>
                <w:sdtContent>
                  <w:r>
                    <w:rPr>
                      <w:rFonts w:eastAsia="Andale Sans UI" w:cs="Tahoma"/>
                      <w:szCs w:val="24"/>
                      <w:lang w:bidi="en-US"/>
                    </w:rPr>
                    <w:t>22</w:t>
                  </w:r>
                </w:sdtContent>
              </w:sdt>
              <w:r>
                <w:rPr>
                  <w:rFonts w:eastAsia="Andale Sans UI" w:cs="Tahoma"/>
                  <w:szCs w:val="24"/>
                  <w:lang w:bidi="en-US"/>
                </w:rPr>
                <w:t>. Aplinkos apsaugos departamentui prie Aplinkos ministerijos</w:t>
              </w:r>
            </w:p>
            <w:p>
              <w:pPr>
                <w:widowControl w:val="0"/>
                <w:suppressAutoHyphens/>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D443F1C" w16cid:durableId="26A782A7"/>
  <w16cid:commentId w16cid:paraId="36EED869" w16cid:durableId="26A783E9"/>
  <w16cid:commentId w16cid:paraId="3874FD57" w16cid:durableId="26A781DB"/>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jc w:val="both"/>
        <w:rPr>
          <w:rFonts w:eastAsia="Andale Sans UI"/>
          <w:sz w:val="20"/>
          <w:lang w:val="en-US"/>
        </w:rPr>
      </w:pPr>
      <w:r>
        <w:rPr>
          <w:rFonts w:eastAsia="Andale Sans UI" w:cs="Tahoma"/>
          <w:sz w:val="20"/>
          <w:vertAlign w:val="superscript"/>
        </w:rPr>
        <w:footnoteRef/>
      </w:r>
      <w:r>
        <w:rPr>
          <w:rFonts w:eastAsia="Andale Sans UI" w:cs="Tahoma"/>
          <w:sz w:val="20"/>
        </w:rPr>
        <w:t xml:space="preserve"> </w:t>
      </w:r>
      <w:r>
        <w:rPr>
          <w:rFonts w:eastAsia="Andale Sans UI"/>
          <w:sz w:val="20"/>
        </w:rPr>
        <w:t>Patvirtintos Lietuvos Respublikos Vyriausybės 2013 m. liepos 24 d. nutarimu Nr. 711 „Dėl Vietinės rinkliavos ar kitos įmokos už komunalinių atliekų surinkimą iš atliekų turėtojų ir atliekų tvarkymą dydžio nustatymo taisyklių patvirtinimo“.</w:t>
      </w:r>
    </w:p>
  </w:footnote>
  <w:footnote w:id="2">
    <w:p>
      <w:pPr>
        <w:jc w:val="both"/>
        <w:rPr>
          <w:rFonts w:eastAsia="Andale Sans UI"/>
          <w:sz w:val="20"/>
        </w:rPr>
      </w:pPr>
      <w:r>
        <w:rPr>
          <w:rFonts w:eastAsia="Andale Sans UI" w:cs="Tahoma"/>
          <w:sz w:val="20"/>
          <w:vertAlign w:val="superscript"/>
        </w:rPr>
        <w:footnoteRef/>
      </w:r>
      <w:r>
        <w:rPr>
          <w:rFonts w:eastAsia="Andale Sans UI" w:cs="Tahoma"/>
          <w:sz w:val="20"/>
        </w:rPr>
        <w:t xml:space="preserve"> </w:t>
      </w:r>
      <w:r>
        <w:rPr>
          <w:rFonts w:eastAsia="Andale Sans UI"/>
          <w:sz w:val="20"/>
        </w:rPr>
        <w:t>Patvirtintas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6849"/>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0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684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170419">
      <w:bodyDiv w:val="1"/>
      <w:marLeft w:val="0"/>
      <w:marRight w:val="0"/>
      <w:marTop w:val="0"/>
      <w:marBottom w:val="0"/>
      <w:divBdr>
        <w:top w:val="none" w:sz="0" w:space="0" w:color="auto"/>
        <w:left w:val="none" w:sz="0" w:space="0" w:color="auto"/>
        <w:bottom w:val="none" w:sz="0" w:space="0" w:color="auto"/>
        <w:right w:val="none" w:sz="0" w:space="0" w:color="auto"/>
      </w:divBdr>
    </w:div>
    <w:div w:id="471334936">
      <w:bodyDiv w:val="1"/>
      <w:marLeft w:val="0"/>
      <w:marRight w:val="0"/>
      <w:marTop w:val="0"/>
      <w:marBottom w:val="0"/>
      <w:divBdr>
        <w:top w:val="none" w:sz="0" w:space="0" w:color="auto"/>
        <w:left w:val="none" w:sz="0" w:space="0" w:color="auto"/>
        <w:bottom w:val="none" w:sz="0" w:space="0" w:color="auto"/>
        <w:right w:val="none" w:sz="0" w:space="0" w:color="auto"/>
      </w:divBdr>
    </w:div>
    <w:div w:id="1056125817">
      <w:bodyDiv w:val="1"/>
      <w:marLeft w:val="0"/>
      <w:marRight w:val="0"/>
      <w:marTop w:val="0"/>
      <w:marBottom w:val="0"/>
      <w:divBdr>
        <w:top w:val="none" w:sz="0" w:space="0" w:color="auto"/>
        <w:left w:val="none" w:sz="0" w:space="0" w:color="auto"/>
        <w:bottom w:val="none" w:sz="0" w:space="0" w:color="auto"/>
        <w:right w:val="none" w:sz="0" w:space="0" w:color="auto"/>
      </w:divBdr>
    </w:div>
    <w:div w:id="165657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1"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Jelena Podymova</DisplayName>
        <AccountId>3804</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26bc0c1f51174833b07e835bf32dbbb5" PartId="1c815d844485480da5922d40b3dc4959"/>
  <Part Type="pastraipa" DocPartId="613018cf515b42abbe740f24a0cf694a" PartId="404749a784bc43b4b6fdb7a4c38e4675"/>
  <Part Type="pastraipa" DocPartId="00e57e0e0256432b98101aa54e7a0c1d" PartId="e18a96dce8094832a1294ae937d2a927"/>
  <Part Type="pastraipa" DocPartId="4631274e69df4fb8a65838c10d1712e9" PartId="e1c31ff7f7d2487eb2d45712d6076b28"/>
  <Part Type="pastraipa" DocPartId="ddb372ffb4d3437a8a740f5a43aec925" PartId="69d50f0dcd444d24b89f0576103ea7f1"/>
  <Part Type="pastraipa" DocPartId="9df42ee07b234fabbf16e6b65fc7d0f2" PartId="b5f5c94bee64400094efdb17b54dc519"/>
  <Part Type="pastraipa" DocPartId="a7d0061600614ffeb12304dd19ce4ff9" PartId="020af378bc8348c98e2c0df364d65ff6">
    <Part Type="punktas" Nr="1" Abbr="1 p." DocPartId="4f4f97acc81e4cb18705999fb8248aee" PartId="50f42876602f483ca1df736007cc7168"/>
    <Part Type="punktas" Nr="2" Abbr="2 p." DocPartId="ee2655958b284ee0b3b4ab2a43c9fff6" PartId="2d940496b4cc49cea95930e90eb541b8"/>
    <Part Type="punktas" Nr="3" Abbr="3 p." DocPartId="c816cc1e16264f5188f116bb9b1fd31b" PartId="bc95e565f8e14db1bc2f22a1505bbaa6"/>
    <Part Type="punktas" Nr="4" Abbr="4 p." DocPartId="5314f0131cd94cf0ba4d9e50f7e48293" PartId="a9202d25eb9f4995b4a61d7c4adbc00d"/>
    <Part Type="punktas" Nr="5" Abbr="5 p." DocPartId="a06debd5dc9e4602b9eaf0811a016130" PartId="3f8747438b2c44b0bb54cd66941cea83"/>
    <Part Type="punktas" Nr="6" Abbr="6 p." DocPartId="255b217b0c8940588b37e62690bca1cf" PartId="44abdffd151243a1aecc9358c053780e"/>
    <Part Type="punktas" Nr="7" Abbr="7 p." DocPartId="e17bccd942e84d6682ea1681054270e4" PartId="ab49748ec092407fbcfb46e7bc156393"/>
    <Part Type="punktas" Nr="8" Abbr="8 p." DocPartId="ffe3c82d4860462ba4fc9b97665cf7a6" PartId="6792037aa3f24c9eba6c7c40ffb1f70c"/>
    <Part Type="punktas" Nr="9" Abbr="9 p." DocPartId="7c57cc8fc73b493bb0cfaad081107416" PartId="3e1ec6ee7ea9451bad582041f53ef3ca"/>
    <Part Type="punktas" Nr="10" Abbr="10 p." DocPartId="a5bae30c4c474feab084704e5ca08d53" PartId="ed06146ce6264f72bff117513ad52416"/>
    <Part Type="punktas" Nr="11" Abbr="11 p." DocPartId="de5a174da8a04647adb387cda7d2e447" PartId="0328905b891343f29ba6f53ec18a5031"/>
    <Part Type="punktas" Nr="1" Abbr="1 p." Notes="Numeris ne iš eilės. Trūksta dalių? [DocDalys]" DocPartId="f8a3eb87190f4c3bb34f30fa3df7285a" PartId="916b2f360d1f49959ae2fdd9d4eb23df"/>
    <Part Type="punktas" Nr="2" Abbr="2 p." DocPartId="65891b59460249ee8a5be711456d9a1b" PartId="b7a9652e679143ddbe96d00e6c476ec3"/>
    <Part Type="punktas" Nr="3" Abbr="3 p." DocPartId="951fbbdbf55b475f9007f3bca445b74a" PartId="03c2b809c8a14a53b3583f7c6804722f"/>
    <Part Type="punktas" Nr="1" Abbr="1 p." Notes="Numeris ne iš eilės. Trūksta dalių? [DocDalys]" DocPartId="901ec0e9cb94484085e657182b167fa0" PartId="8e92647a32a2460486e821b07cff2e53"/>
    <Part Type="punktas" Nr="2" Abbr="2 p." DocPartId="c3ed2efe95cd4f16a5c679b574b95f4c" PartId="fe8a22d5c8234357b59ad74d11203b63"/>
    <Part Type="punktas" Nr="3" Abbr="3 p." DocPartId="ec64dd83a4194574a2e676d045b39b55" PartId="57aeb07e88b44e899c301e64e8640b09"/>
    <Part Type="punktas" Nr="4" Abbr="4 p." DocPartId="e818bb975b91465e9aff808643151d01" PartId="2c6724850461434e9b1035efda92885f"/>
    <Part Type="punktas" Nr="5" Abbr="5 p." DocPartId="3c9c2483ee9f41c6bb4e8af35e988f32" PartId="75536f063fc04767964b09019c49fa4d"/>
    <Part Type="punktas" Nr="6" Abbr="6 p." DocPartId="1f1008d6b3d84894850b9a280c2c1478" PartId="05d12dbc58a84a288b3a966110ef13a0"/>
    <Part Type="punktas" Nr="7" Abbr="7 p." DocPartId="acd46bdb9dac4164a3dfdb27a84a2568" PartId="64cc5f7a031046e8b997b10bd61fcd77"/>
    <Part Type="punktas" Nr="8" Abbr="8 p." DocPartId="31fe852721544d41b792579673a274f3" PartId="7b123a421bac4fd2af29fc803e5e2151"/>
    <Part Type="punktas" Nr="9" Abbr="9 p." DocPartId="8db63e28cd984ecd8e9544086a47e381" PartId="590ad3669264413f87793576d4b99f3d"/>
    <Part Type="punktas" Nr="10" Abbr="10 p." DocPartId="cd2cbfcac4e4418782a41b59c3ffc344" PartId="9abdb1082e0843dc963187497e4cec83"/>
    <Part Type="punktas" Nr="11" Abbr="11 p." DocPartId="cdb0eac300d146e8b50dc35d9920376f" PartId="6afef4f879dd4c30b352ad3226709743"/>
    <Part Type="punktas" Nr="12" Abbr="12 p." DocPartId="ce8ec67a03774c98aec8123a193e9680" PartId="82b654019a194ef496be449773ed83fa"/>
    <Part Type="punktas" Nr="13" Abbr="13 p." DocPartId="f08a03155e72497295301d5f1439c969" PartId="e259e75fc4c04f6b88d94d0f28e548fa"/>
    <Part Type="punktas" Nr="14" Abbr="14 p." DocPartId="ccfbaa227ebf4b21af9b85129516dec6" PartId="8445611053a443a4920ed4d7e098fcfc"/>
    <Part Type="punktas" Nr="15" Abbr="15 p." DocPartId="7e48e3ee24474abead4466867a0d2aa1" PartId="f66da23e3c3747aba1a522489102d4bb"/>
    <Part Type="punktas" Nr="16" Abbr="16 p." DocPartId="42a1059f50af47a79118e17d669361b9" PartId="6f42100c2f724761aabc9dab52f4e88f"/>
    <Part Type="punktas" Nr="17" Abbr="17 p." DocPartId="9697fd94f83b4b6790e898ce9d333475" PartId="acd831e6ca0c4012b6564facf811291b"/>
    <Part Type="punktas" Nr="18" Abbr="18 p." DocPartId="a426bdc371694899a3daf50d6f20700c" PartId="bcdbc7ac1bf74b88af32fdc201bb41c3"/>
    <Part Type="punktas" Nr="19" Abbr="19 p." DocPartId="72fb22d70fd84ecda4d1c460a9b56bad" PartId="1581cf81eaa249f08600de35983ec8a6"/>
    <Part Type="punktas" Nr="20" Abbr="20 p." DocPartId="cee08935dc73469fbc9cb4fe8da86b6b" PartId="21863478d6594d81ad66c6c1c6990504"/>
    <Part Type="punktas" Nr="21" Abbr="21 p." DocPartId="103345fabf9b497d9ec6198c7e403c99" PartId="37c973f23659412f90951b997bd6d20d"/>
    <Part Type="punktas" Nr="22" Abbr="22 p." DocPartId="b2736d2bf24842c6951251ee807bb685" PartId="6d9e4073ec5f416b94b3df64db67c5d9"/>
  </Part>
</Parts>
</file>

<file path=customXml/itemProps1.xml><?xml version="1.0" encoding="utf-8"?>
<ds:datastoreItem xmlns:ds="http://schemas.openxmlformats.org/officeDocument/2006/customXml" ds:itemID="{7390D989-4E20-4615-A0E1-BCF263FE139C}">
  <ds:schemaRefs>
    <ds:schemaRef ds:uri="http://schemas.microsoft.com/sharepoint/v3"/>
    <ds:schemaRef ds:uri="http://purl.org/dc/terms/"/>
    <ds:schemaRef ds:uri="http://www.w3.org/XML/1998/namespac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19cf09c5-daa1-4028-a0ff-74a0be4ec5cc"/>
    <ds:schemaRef ds:uri="f5aad5d0-9c26-490e-8743-a6c7ceabd501"/>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E5F21A01-64B3-4550-BB96-2E537852B3C5}">
  <ds:schemaRefs>
    <ds:schemaRef ds:uri="http://schemas.microsoft.com/sharepoint/v3/contenttype/forms"/>
  </ds:schemaRefs>
</ds:datastoreItem>
</file>

<file path=customXml/itemProps3.xml><?xml version="1.0" encoding="utf-8"?>
<ds:datastoreItem xmlns:ds="http://schemas.openxmlformats.org/officeDocument/2006/customXml" ds:itemID="{CE0FCF00-C350-4B11-BF9A-A3988D2DC0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CB74D2-8ED7-4680-B7E5-80928D5481B5}">
  <ds:schemaRefs>
    <ds:schemaRef ds:uri="http://schemas.openxmlformats.org/officeDocument/2006/bibliography"/>
  </ds:schemaRefs>
</ds:datastoreItem>
</file>

<file path=customXml/itemProps5.xml><?xml version="1.0" encoding="utf-8"?>
<ds:datastoreItem xmlns:ds="http://schemas.openxmlformats.org/officeDocument/2006/customXml" ds:itemID="{326BE58E-7F92-431D-97DD-AC433A33E5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1285</Words>
  <Characters>9368</Characters>
  <Application>Microsoft Office Word</Application>
  <DocSecurity>4</DocSecurity>
  <Lines>170</Lines>
  <Paragraphs>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10578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2022-08-22T05:41:00Z</dcterms:created>
  <dcterms:modified xsi:type="dcterms:W3CDTF">2022-08-22T05:41:00Z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