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lentele"/>
        <w:tag w:val="part_c3a196c378054ea28ec29cfe13275c8d"/>
        <w:lock w:val="sdtLocked"/>
        <w:richText/>
      </w:sdtPr>
      <w:sdtContent>
        <w:tbl>
          <w:tblPr>
            <w:tblW w:w="9638" w:type="dxa"/>
            <w:tblInd w:w="55" w:type="dxa"/>
            <w:tblLayout w:type="fixed"/>
            <w:tblCellMar>
              <w:top w:w="55" w:type="dxa"/>
              <w:left w:w="55" w:type="dxa"/>
              <w:bottom w:w="55" w:type="dxa"/>
              <w:right w:w="55" w:type="dxa"/>
            </w:tblCellMar>
            <w:tblLook w:val="0000" w:firstRow="0" w:lastRow="0" w:firstColumn="0" w:lastColumn="0" w:noHBand="0" w:noVBand="0"/>
          </w:tblPr>
          <w:tblGrid>
            <w:gridCol w:w="4817"/>
            <w:gridCol w:w="282"/>
            <w:gridCol w:w="1841"/>
            <w:gridCol w:w="10"/>
            <w:gridCol w:w="555"/>
            <w:gridCol w:w="2133"/>
          </w:tblGrid>
          <w:tr>
            <w:tc>
              <w:tcPr>
                <w:tcW w:w="9638" w:type="dxa"/>
                <w:gridSpan w:val="6"/>
                <w:tcBorders>
                  <w:bottom w:val="single" w:sz="4" w:space="0" w:color="000000"/>
                </w:tcBorders>
              </w:tcPr>
              <w:tbl>
                <w:tblPr>
                  <w:tblW w:w="0" w:type="auto"/>
                  <w:tblLayout w:type="fixed"/>
                  <w:tblLook w:val="06A0" w:firstRow="1" w:lastRow="0" w:firstColumn="1" w:lastColumn="0" w:noHBand="1" w:noVBand="1"/>
                </w:tblPr>
                <w:tblGrid>
                  <w:gridCol w:w="3210"/>
                  <w:gridCol w:w="3210"/>
                  <w:gridCol w:w="3210"/>
                </w:tblGrid>
                <w:tr>
                  <w:trPr>
                    <w:trHeight w:val="300"/>
                  </w:trPr>
                  <w:tc>
                    <w:tcPr>
                      <w:tcW w:w="3210" w:type="dxa"/>
                    </w:tcPr>
                    <w:p>
                      <w:pPr>
                        <w:suppressLineNumbers/>
                        <w:tabs>
                          <w:tab w:val="center" w:pos="4800"/>
                          <w:tab w:val="right" w:pos="9601"/>
                        </w:tabs>
                        <w:ind w:left="-115"/>
                        <w:rPr>
                          <w:rFonts w:eastAsia="Andale Sans UI" w:cs="Tahoma"/>
                          <w:szCs w:val="24"/>
                          <w:lang w:bidi="en-US"/>
                        </w:rPr>
                      </w:pPr>
                    </w:p>
                  </w:tc>
                  <w:tc>
                    <w:tcPr>
                      <w:tcW w:w="3210" w:type="dxa"/>
                    </w:tcPr>
                    <w:p>
                      <w:pPr>
                        <w:suppressLineNumbers/>
                        <w:tabs>
                          <w:tab w:val="center" w:pos="4800"/>
                          <w:tab w:val="right" w:pos="9601"/>
                        </w:tabs>
                        <w:jc w:val="center"/>
                        <w:rPr>
                          <w:rFonts w:eastAsia="Andale Sans UI" w:cs="Tahoma"/>
                          <w:szCs w:val="24"/>
                          <w:lang w:bidi="en-US"/>
                        </w:rPr>
                      </w:pPr>
                    </w:p>
                  </w:tc>
                  <w:tc>
                    <w:tcPr>
                      <w:tcW w:w="3210" w:type="dxa"/>
                    </w:tcPr>
                    <w:p>
                      <w:pPr>
                        <w:suppressLineNumbers/>
                        <w:tabs>
                          <w:tab w:val="center" w:pos="4800"/>
                          <w:tab w:val="right" w:pos="9601"/>
                        </w:tabs>
                        <w:ind w:right="-115"/>
                        <w:jc w:val="right"/>
                        <w:rPr>
                          <w:rFonts w:eastAsia="Andale Sans UI" w:cs="Tahoma"/>
                          <w:szCs w:val="24"/>
                          <w:lang w:bidi="en-US"/>
                        </w:rPr>
                      </w:pPr>
                    </w:p>
                  </w:tc>
                </w:tr>
              </w:tbl>
              <w:p>
                <w:pPr>
                  <w:suppressLineNumbers/>
                  <w:tabs>
                    <w:tab w:val="center" w:pos="4800"/>
                    <w:tab w:val="right" w:pos="9601"/>
                  </w:tabs>
                  <w:jc w:val="both"/>
                  <w:rPr>
                    <w:rFonts w:eastAsia="Andale Sans UI" w:cs="Tahoma"/>
                    <w:szCs w:val="24"/>
                    <w:lang w:bidi="en-US"/>
                  </w:rPr>
                </w:pPr>
              </w:p>
              <w:p>
                <w:pPr>
                  <w:rPr>
                    <w:szCs w:val="24"/>
                  </w:rPr>
                </w:pPr>
              </w:p>
              <w:p>
                <w:pPr>
                  <w:keepNext/>
                  <w:widowControl w:val="0"/>
                  <w:suppressAutoHyphens/>
                  <w:jc w:val="center"/>
                  <w:rPr>
                    <w:rFonts w:eastAsia="Andale Sans UI" w:cs="Tahoma"/>
                    <w:b/>
                    <w:bCs/>
                    <w:caps/>
                    <w:sz w:val="28"/>
                    <w:szCs w:val="28"/>
                    <w:lang w:bidi="en-US"/>
                  </w:rPr>
                </w:pPr>
                <w:r>
                  <w:rPr>
                    <w:rFonts w:eastAsia="Andale Sans UI" w:cs="Tahoma"/>
                    <w:b/>
                    <w:bCs/>
                    <w:caps/>
                    <w:sz w:val="28"/>
                    <w:szCs w:val="32"/>
                    <w:lang w:val="en-US"/>
                  </w:rPr>
                  <w:drawing>
                    <wp:inline distT="0" distB="0" distL="0" distR="0" wp14:anchorId="5C292AC1" wp14:editId="325A26AD">
                      <wp:extent cx="523875" cy="619125"/>
                      <wp:effectExtent l="0" t="0" r="0" b="0"/>
                      <wp:docPr id="1"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23875" cy="619125"/>
                              </a:xfrm>
                              <a:prstGeom prst="rect">
                                <a:avLst/>
                              </a:prstGeom>
                              <a:solidFill>
                                <a:srgbClr val="FFFFFF">
                                  <a:alpha val="0"/>
                                </a:srgbClr>
                              </a:solidFill>
                              <a:ln>
                                <a:noFill/>
                              </a:ln>
                            </pic:spPr>
                          </pic:pic>
                        </a:graphicData>
                      </a:graphic>
                    </wp:inline>
                  </w:drawing>
                </w:r>
              </w:p>
              <w:p>
                <w:pPr>
                  <w:rPr>
                    <w:szCs w:val="24"/>
                  </w:rPr>
                </w:pPr>
              </w:p>
              <w:p>
                <w:pPr>
                  <w:suppressLineNumbers/>
                  <w:jc w:val="center"/>
                  <w:rPr>
                    <w:rFonts w:eastAsia="Andale Sans UI" w:cs="Tahoma"/>
                    <w:b/>
                    <w:bCs/>
                    <w:spacing w:val="20"/>
                    <w:sz w:val="28"/>
                    <w:szCs w:val="28"/>
                    <w:lang w:bidi="en-US"/>
                  </w:rPr>
                </w:pPr>
                <w:r>
                  <w:rPr>
                    <w:rFonts w:eastAsia="Andale Sans UI" w:cs="Tahoma"/>
                    <w:b/>
                    <w:bCs/>
                    <w:spacing w:val="20"/>
                    <w:sz w:val="28"/>
                    <w:szCs w:val="28"/>
                    <w:lang w:bidi="en-US"/>
                  </w:rPr>
                  <w:t>LIETUVOS RESPUBLIKOS APLINKOS MINISTERIJA</w:t>
                </w:r>
              </w:p>
              <w:p>
                <w:pPr>
                  <w:rPr>
                    <w:sz w:val="10"/>
                    <w:szCs w:val="10"/>
                  </w:rPr>
                </w:pPr>
              </w:p>
              <w:p>
                <w:pPr>
                  <w:suppressLineNumbers/>
                  <w:jc w:val="center"/>
                  <w:rPr>
                    <w:rFonts w:ascii="Arial" w:eastAsia="Andale Sans UI" w:hAnsi="Arial" w:cs="Tahoma"/>
                    <w:b/>
                    <w:bCs/>
                    <w:spacing w:val="12"/>
                    <w:sz w:val="14"/>
                    <w:szCs w:val="14"/>
                    <w:lang w:bidi="en-US"/>
                  </w:rPr>
                </w:pPr>
                <w:r>
                  <w:rPr>
                    <w:rFonts w:ascii="Arial" w:eastAsia="Andale Sans UI" w:hAnsi="Arial" w:cs="Tahoma"/>
                    <w:b/>
                    <w:bCs/>
                    <w:spacing w:val="12"/>
                    <w:sz w:val="14"/>
                    <w:szCs w:val="14"/>
                    <w:lang w:bidi="en-US"/>
                  </w:rPr>
                  <w:t>Biudžetinė įstaiga, A. Jakšto g. 4, LT-01105 Vilnius,</w:t>
                </w:r>
              </w:p>
              <w:p>
                <w:pPr>
                  <w:suppressLineNumbers/>
                  <w:jc w:val="center"/>
                  <w:rPr>
                    <w:rFonts w:ascii="Arial" w:eastAsia="Andale Sans UI" w:hAnsi="Arial" w:cs="Tahoma"/>
                    <w:b/>
                    <w:bCs/>
                    <w:spacing w:val="12"/>
                    <w:sz w:val="14"/>
                    <w:szCs w:val="14"/>
                    <w:lang w:bidi="en-US"/>
                  </w:rPr>
                </w:pPr>
                <w:r>
                  <w:rPr>
                    <w:rFonts w:ascii="Arial" w:eastAsia="Andale Sans UI" w:hAnsi="Arial" w:cs="Tahoma"/>
                    <w:b/>
                    <w:bCs/>
                    <w:spacing w:val="12"/>
                    <w:sz w:val="14"/>
                    <w:szCs w:val="14"/>
                    <w:lang w:bidi="en-US"/>
                  </w:rPr>
                  <w:t>tel. 8 626 22 252, el. p. info@am.lt, https://am.lrv.lt.</w:t>
                </w:r>
              </w:p>
              <w:p>
                <w:pPr>
                  <w:suppressLineNumbers/>
                  <w:jc w:val="center"/>
                  <w:rPr>
                    <w:rFonts w:ascii="Arial" w:eastAsia="Andale Sans UI" w:hAnsi="Arial" w:cs="Tahoma"/>
                    <w:b/>
                    <w:bCs/>
                    <w:spacing w:val="12"/>
                    <w:sz w:val="14"/>
                    <w:szCs w:val="14"/>
                    <w:lang w:bidi="en-US"/>
                  </w:rPr>
                </w:pPr>
                <w:r>
                  <w:rPr>
                    <w:rFonts w:ascii="Arial" w:eastAsia="Andale Sans UI" w:hAnsi="Arial" w:cs="Tahoma"/>
                    <w:b/>
                    <w:bCs/>
                    <w:spacing w:val="12"/>
                    <w:sz w:val="14"/>
                    <w:szCs w:val="14"/>
                    <w:lang w:bidi="en-US"/>
                  </w:rPr>
                  <w:t>Duomenys kaupiami ir saugomi Juridinių asmenų registre, kodas 188602370</w:t>
                </w:r>
              </w:p>
            </w:tc>
          </w:tr>
          <w:tr>
            <w:tc>
              <w:tcPr>
                <w:tcW w:w="9638" w:type="dxa"/>
                <w:gridSpan w:val="6"/>
                <w:tcMar>
                  <w:top w:w="0" w:type="dxa"/>
                  <w:left w:w="0" w:type="dxa"/>
                  <w:bottom w:w="0" w:type="dxa"/>
                  <w:right w:w="0" w:type="dxa"/>
                </w:tcMar>
              </w:tcPr>
              <w:p>
                <w:pPr>
                  <w:suppressLineNumbers/>
                  <w:jc w:val="both"/>
                  <w:rPr>
                    <w:rFonts w:eastAsia="Andale Sans UI" w:cs="Tahoma"/>
                    <w:szCs w:val="24"/>
                    <w:lang w:bidi="en-US"/>
                  </w:rPr>
                </w:pPr>
              </w:p>
            </w:tc>
          </w:tr>
          <w:tr>
            <w:trPr>
              <w:cantSplit/>
              <w:trHeight w:val="340"/>
            </w:trPr>
            <w:tc>
              <w:tcPr>
                <w:tcW w:w="4817" w:type="dxa"/>
                <w:vMerge w:val="restart"/>
                <w:tcMar>
                  <w:top w:w="0" w:type="dxa"/>
                  <w:left w:w="0" w:type="dxa"/>
                  <w:bottom w:w="0" w:type="dxa"/>
                  <w:right w:w="0" w:type="dxa"/>
                </w:tcMar>
              </w:tcPr>
              <w:p>
                <w:pPr>
                  <w:suppressLineNumbers/>
                  <w:jc w:val="both"/>
                  <w:rPr>
                    <w:rFonts w:eastAsia="Andale Sans UI" w:cs="Tahoma"/>
                    <w:spacing w:val="10"/>
                    <w:szCs w:val="24"/>
                    <w:lang w:bidi="en-US"/>
                  </w:rPr>
                </w:pPr>
                <w:r>
                  <w:rPr>
                    <w:rFonts w:eastAsia="Andale Sans UI"/>
                    <w:szCs w:val="24"/>
                    <w:lang w:bidi="en-US"/>
                  </w:rPr>
                  <w:t>Pagal adresatų sąrašą</w:t>
                </w:r>
                <w:r>
                  <w:rPr>
                    <w:rFonts w:eastAsia="Andale Sans UI" w:cs="Tahoma"/>
                    <w:spacing w:val="10"/>
                    <w:szCs w:val="24"/>
                    <w:lang w:bidi="en-US"/>
                  </w:rPr>
                  <w:t xml:space="preserve"> </w:t>
                </w:r>
              </w:p>
            </w:tc>
            <w:tc>
              <w:tcPr>
                <w:tcW w:w="282" w:type="dxa"/>
                <w:tcMar>
                  <w:top w:w="0" w:type="dxa"/>
                  <w:left w:w="0" w:type="dxa"/>
                  <w:bottom w:w="0" w:type="dxa"/>
                  <w:right w:w="0" w:type="dxa"/>
                </w:tcMar>
              </w:tcPr>
              <w:p>
                <w:pPr>
                  <w:ind w:right="67"/>
                  <w:jc w:val="right"/>
                  <w:rPr>
                    <w:rFonts w:eastAsia="Andale Sans UI" w:cs="Tahoma"/>
                    <w:spacing w:val="10"/>
                    <w:szCs w:val="24"/>
                    <w:lang w:bidi="en-US"/>
                  </w:rPr>
                </w:pPr>
              </w:p>
            </w:tc>
            <w:tc>
              <w:tcPr>
                <w:tcW w:w="1841" w:type="dxa"/>
                <w:tcMar>
                  <w:top w:w="0" w:type="dxa"/>
                  <w:left w:w="0" w:type="dxa"/>
                  <w:bottom w:w="0" w:type="dxa"/>
                  <w:right w:w="0" w:type="dxa"/>
                </w:tcMar>
              </w:tcPr>
              <w:p>
                <w:pPr>
                  <w:suppressLineNumbers/>
                  <w:ind w:right="67"/>
                  <w:jc w:val="both"/>
                  <w:rPr>
                    <w:rFonts w:eastAsia="Andale Sans UI" w:cs="Tahoma"/>
                    <w:szCs w:val="24"/>
                    <w:lang w:bidi="en-US"/>
                  </w:rPr>
                </w:pPr>
                <w:r>
                  <w:rPr>
                    <w:rFonts w:eastAsia="Andale Sans UI" w:cs="Tahoma"/>
                    <w:szCs w:val="24"/>
                    <w:lang w:bidi="en-US"/>
                  </w:rPr>
                  <w:t>2023-</w:t>
                </w:r>
              </w:p>
            </w:tc>
            <w:tc>
              <w:tcPr>
                <w:tcW w:w="565" w:type="dxa"/>
                <w:gridSpan w:val="2"/>
              </w:tcPr>
              <w:p>
                <w:pPr>
                  <w:ind w:right="67"/>
                  <w:jc w:val="right"/>
                  <w:rPr>
                    <w:rFonts w:eastAsia="Andale Sans UI" w:cs="Tahoma"/>
                    <w:spacing w:val="10"/>
                    <w:szCs w:val="24"/>
                    <w:lang w:bidi="en-US"/>
                  </w:rPr>
                </w:pPr>
                <w:r>
                  <w:rPr>
                    <w:rFonts w:eastAsia="Andale Sans UI" w:cs="Tahoma"/>
                    <w:spacing w:val="10"/>
                    <w:szCs w:val="24"/>
                    <w:lang w:bidi="en-US"/>
                  </w:rPr>
                  <w:t>Nr.</w:t>
                </w:r>
              </w:p>
            </w:tc>
            <w:tc>
              <w:tcPr>
                <w:tcW w:w="2133" w:type="dxa"/>
              </w:tcPr>
              <w:p>
                <w:pPr>
                  <w:suppressLineNumbers/>
                  <w:ind w:right="67"/>
                  <w:jc w:val="both"/>
                  <w:rPr>
                    <w:rFonts w:eastAsia="Andale Sans UI" w:cs="Tahoma"/>
                    <w:szCs w:val="24"/>
                    <w:lang w:bidi="en-US"/>
                  </w:rPr>
                </w:pPr>
              </w:p>
            </w:tc>
          </w:tr>
          <w:tr>
            <w:trPr>
              <w:gridAfter w:val="2"/>
              <w:wAfter w:w="2688" w:type="dxa"/>
              <w:cantSplit/>
              <w:trHeight w:val="340"/>
            </w:trPr>
            <w:tc>
              <w:tcPr>
                <w:tcW w:w="4817" w:type="dxa"/>
                <w:vMerge/>
                <w:tcMar>
                  <w:top w:w="0" w:type="dxa"/>
                  <w:left w:w="0" w:type="dxa"/>
                  <w:bottom w:w="0" w:type="dxa"/>
                  <w:right w:w="0" w:type="dxa"/>
                </w:tcMar>
              </w:tcPr>
              <w:p/>
            </w:tc>
            <w:tc>
              <w:tcPr>
                <w:tcW w:w="2133" w:type="dxa"/>
                <w:gridSpan w:val="3"/>
              </w:tcPr>
              <w:p>
                <w:pPr>
                  <w:suppressLineNumbers/>
                  <w:ind w:right="67"/>
                  <w:jc w:val="both"/>
                  <w:rPr>
                    <w:rFonts w:eastAsia="Andale Sans UI" w:cs="Tahoma"/>
                    <w:szCs w:val="24"/>
                    <w:lang w:bidi="en-US"/>
                  </w:rPr>
                </w:pPr>
              </w:p>
            </w:tc>
          </w:tr>
          <w:tr>
            <w:trPr>
              <w:cantSplit/>
            </w:trPr>
            <w:tc>
              <w:tcPr>
                <w:tcW w:w="4817" w:type="dxa"/>
                <w:vMerge/>
                <w:tcMar>
                  <w:top w:w="0" w:type="dxa"/>
                  <w:left w:w="0" w:type="dxa"/>
                  <w:bottom w:w="0" w:type="dxa"/>
                  <w:right w:w="0" w:type="dxa"/>
                </w:tcMar>
              </w:tcPr>
              <w:p/>
            </w:tc>
            <w:tc>
              <w:tcPr>
                <w:tcW w:w="4821" w:type="dxa"/>
                <w:gridSpan w:val="5"/>
                <w:tcMar>
                  <w:top w:w="0" w:type="dxa"/>
                  <w:left w:w="0" w:type="dxa"/>
                  <w:bottom w:w="0" w:type="dxa"/>
                  <w:right w:w="0" w:type="dxa"/>
                </w:tcMar>
              </w:tcPr>
              <w:p>
                <w:pPr>
                  <w:tabs>
                    <w:tab w:val="left" w:pos="2869"/>
                  </w:tabs>
                  <w:ind w:right="67"/>
                  <w:jc w:val="both"/>
                  <w:rPr>
                    <w:rFonts w:eastAsia="Andale Sans UI" w:cs="Tahoma"/>
                    <w:spacing w:val="10"/>
                    <w:szCs w:val="24"/>
                    <w:lang w:bidi="en-US"/>
                  </w:rPr>
                </w:pPr>
              </w:p>
            </w:tc>
          </w:tr>
          <w:tr>
            <w:trPr>
              <w:trHeight w:val="340"/>
            </w:trPr>
            <w:tc>
              <w:tcPr>
                <w:tcW w:w="9638" w:type="dxa"/>
                <w:gridSpan w:val="6"/>
                <w:tcMar>
                  <w:top w:w="0" w:type="dxa"/>
                  <w:left w:w="0" w:type="dxa"/>
                  <w:bottom w:w="0" w:type="dxa"/>
                  <w:right w:w="0" w:type="dxa"/>
                </w:tcMar>
              </w:tcPr>
              <w:p>
                <w:pPr>
                  <w:suppressLineNumbers/>
                  <w:spacing w:line="276" w:lineRule="auto"/>
                  <w:jc w:val="both"/>
                  <w:rPr>
                    <w:rFonts w:eastAsia="Andale Sans UI" w:cs="Tahoma"/>
                    <w:b/>
                    <w:bCs/>
                    <w:szCs w:val="24"/>
                    <w:lang w:bidi="en-US"/>
                  </w:rPr>
                </w:pPr>
                <w:r>
                  <w:rPr>
                    <w:rFonts w:eastAsia="Andale Sans UI" w:cs="Tahoma"/>
                    <w:b/>
                    <w:bCs/>
                    <w:caps/>
                    <w:szCs w:val="24"/>
                    <w:lang w:bidi="en-US"/>
                  </w:rPr>
                  <w:t xml:space="preserve">DĖL </w:t>
                </w:r>
                <w:r>
                  <w:rPr>
                    <w:rFonts w:eastAsia="Andale Sans UI" w:cs="Tahoma"/>
                    <w:b/>
                    <w:szCs w:val="24"/>
                    <w:lang w:eastAsia="lt-LT" w:bidi="en-US"/>
                  </w:rPr>
                  <w:t xml:space="preserve">APLINKOS MINISTRO ĮSAKYMO PROJEKTO </w:t>
                </w:r>
              </w:p>
            </w:tc>
          </w:tr>
        </w:tbl>
        <w:p>
          <w:pPr>
            <w:spacing w:line="276" w:lineRule="auto"/>
            <w:jc w:val="both"/>
            <w:rPr>
              <w:rFonts w:eastAsia="Andale Sans UI" w:cs="Tahoma"/>
              <w:szCs w:val="24"/>
              <w:lang w:bidi="en-US"/>
            </w:rPr>
          </w:pPr>
        </w:p>
      </w:sdtContent>
    </w:sdt>
    <w:sdt>
      <w:sdtPr>
        <w:alias w:val="pastraipa"/>
        <w:tag w:val="part_4492793526b946a89e88130becfff087"/>
        <w:lock w:val="sdtLocked"/>
        <w:richText/>
      </w:sdtPr>
      <w:sdtContent>
        <w:p>
          <w:pPr>
            <w:shd w:val="clear" w:color="auto" w:fill="FFFFFF"/>
            <w:spacing w:line="23" w:lineRule="atLeast"/>
            <w:ind w:firstLine="567"/>
            <w:jc w:val="both"/>
            <w:textAlignment w:val="center"/>
            <w:rPr>
              <w:rFonts w:eastAsia="Andale Sans UI"/>
              <w:szCs w:val="24"/>
              <w:lang w:bidi="en-US"/>
            </w:rPr>
          </w:pPr>
          <w:r>
            <w:rPr>
              <w:rFonts w:eastAsia="Andale Sans UI"/>
              <w:szCs w:val="24"/>
              <w:lang w:bidi="en-US"/>
            </w:rPr>
            <w:t xml:space="preserve">Aplinkos ministerija teikia išvadoms gauti Lietuvos Respublikos aplinkos ministro įsakymo „Dėl </w:t>
          </w:r>
          <w:r>
            <w:rPr>
              <w:rFonts w:eastAsia="Andale Sans UI"/>
              <w:szCs w:val="24"/>
              <w:lang w:eastAsia="lt-LT" w:bidi="en-US"/>
            </w:rPr>
            <w:t>Lietuvos Respublikos aplinkos ministro 2012 m. spalio 23 d. įsakymo Nr. D1-857 „Dėl Minimalių komunalinių atliekų tvarkymo paslaugos kokybės reikalavimų patvirtinimo“</w:t>
          </w:r>
          <w:r>
            <w:rPr>
              <w:rFonts w:eastAsia="Andale Sans UI"/>
              <w:szCs w:val="24"/>
              <w:lang w:bidi="en-US"/>
            </w:rPr>
            <w:t xml:space="preserve"> pakeitimo“ projektą (toliau – Įsakymo projektas).</w:t>
          </w:r>
        </w:p>
        <w:sdt>
          <w:sdtPr>
            <w:alias w:val="skirsnis"/>
            <w:tag w:val="part_b6ae82a3e92d4859b9c350176f5aa557"/>
            <w:lock w:val="sdtLocked"/>
            <w:richText/>
          </w:sdtPr>
          <w:sdtContent>
            <w:p>
              <w:pPr>
                <w:shd w:val="clear" w:color="auto" w:fill="FFFFFF"/>
                <w:spacing w:line="23" w:lineRule="atLeast"/>
                <w:ind w:firstLine="567"/>
                <w:jc w:val="both"/>
                <w:textAlignment w:val="center"/>
                <w:rPr>
                  <w:rFonts w:eastAsia="Andale Sans UI" w:cs="Tahoma"/>
                  <w:szCs w:val="24"/>
                  <w:lang w:bidi="en-US"/>
                </w:rPr>
              </w:pPr>
              <w:sdt>
                <w:sdtPr>
                  <w:alias w:val="Pavadinimas"/>
                  <w:tag w:val="title_b6ae82a3e92d4859b9c350176f5aa557"/>
                  <w:lock w:val="sdtLocked"/>
                  <w:richText/>
                </w:sdtPr>
                <w:sdtContent>
                  <w:r>
                    <w:rPr>
                      <w:rFonts w:eastAsia="Andale Sans UI"/>
                      <w:b/>
                      <w:bCs/>
                      <w:szCs w:val="24"/>
                      <w:lang w:bidi="en-US"/>
                    </w:rPr>
                    <w:t xml:space="preserve">Įsakymo projektu </w:t>
                  </w:r>
                  <w:r>
                    <w:rPr>
                      <w:rFonts w:eastAsia="Andale Sans UI" w:cs="Tahoma"/>
                      <w:b/>
                      <w:bCs/>
                      <w:szCs w:val="24"/>
                      <w:lang w:bidi="en-US"/>
                    </w:rPr>
                    <w:t>sprendžiamos problemos ir Įsakymo projektą rengti paskatinusios priežastys</w:t>
                  </w:r>
                </w:sdtContent>
              </w:sdt>
            </w:p>
            <w:p>
              <w:pPr>
                <w:widowControl w:val="0"/>
                <w:tabs>
                  <w:tab w:val="left" w:pos="851"/>
                </w:tabs>
                <w:suppressAutoHyphens/>
                <w:spacing w:line="23" w:lineRule="atLeast"/>
                <w:ind w:firstLine="567"/>
                <w:jc w:val="both"/>
                <w:rPr>
                  <w:rFonts w:eastAsia="Andale Sans UI" w:cs="Tahoma"/>
                  <w:szCs w:val="24"/>
                  <w:lang w:bidi="en-US"/>
                </w:rPr>
              </w:pPr>
              <w:r>
                <w:rPr>
                  <w:rFonts w:eastAsia="Andale Sans UI"/>
                  <w:szCs w:val="24"/>
                  <w:lang w:bidi="en-US"/>
                </w:rPr>
                <w:t>-</w:t>
                <w:tab/>
              </w:r>
              <w:r>
                <w:rPr>
                  <w:rFonts w:eastAsia="Andale Sans UI" w:cs="Tahoma"/>
                  <w:szCs w:val="24"/>
                  <w:lang w:bidi="en-US"/>
                </w:rPr>
                <w:t xml:space="preserve">Aplinkos ministerija sulaukia nemažai skundų dėl komunalinių atliekų surinkimo priemonių (pvz., nepritaikytos žmonėms su negalia) ir netinkamo komunalinių atliekų surinkimo konteinerių aikštelių (toliau – aikštelės) įrengimo (pvz., nesilaikoma nustatytų minimalių ar maksimalių atstumų iki pastatų, vaikų žaidimų aikštelių, atliekų turėtojai ir savivaldybių atstovai skirtingai interpretuoja atstumų matavimą, priėjimas prie aikštelių nepritaikytas žmonėms su negalia), dėl reguliariai perpildytų atliekų surinkimo priemonių,  atliekų konteinerių plovimo ir dezinfekavimo.</w:t>
              </w:r>
            </w:p>
            <w:p>
              <w:pPr>
                <w:widowControl w:val="0"/>
                <w:tabs>
                  <w:tab w:val="left" w:pos="851"/>
                </w:tabs>
                <w:suppressAutoHyphens/>
                <w:spacing w:line="23" w:lineRule="atLeast"/>
                <w:ind w:firstLine="567"/>
                <w:jc w:val="both"/>
                <w:rPr>
                  <w:rFonts w:eastAsia="Andale Sans UI"/>
                  <w:szCs w:val="24"/>
                  <w:lang w:bidi="en-US"/>
                </w:rPr>
              </w:pPr>
              <w:r>
                <w:rPr>
                  <w:rFonts w:eastAsia="Andale Sans UI"/>
                  <w:szCs w:val="24"/>
                  <w:lang w:bidi="en-US"/>
                </w:rPr>
                <w:t>-</w:t>
                <w:tab/>
                <w:t>Dėl esamų pastatų, inžinierinių statinių (susisiekimo komunikacijų, inžinerinių tinklų, hidrotechnikos statinių, kitų inžinerinių statinių) išsidėstymo savivaldybėms neretai kyla problemų įrengiant aikšteles ir išlaikant nustatytus atstumus iki pastatų.</w:t>
              </w:r>
            </w:p>
            <w:p>
              <w:pPr>
                <w:widowControl w:val="0"/>
                <w:tabs>
                  <w:tab w:val="left" w:pos="851"/>
                </w:tabs>
                <w:suppressAutoHyphens/>
                <w:spacing w:line="23" w:lineRule="atLeast"/>
                <w:ind w:firstLine="567"/>
                <w:jc w:val="both"/>
                <w:rPr>
                  <w:rFonts w:eastAsia="Andale Sans UI"/>
                  <w:szCs w:val="24"/>
                  <w:lang w:bidi="en-US"/>
                </w:rPr>
              </w:pPr>
              <w:r>
                <w:rPr>
                  <w:rFonts w:eastAsia="Andale Sans UI"/>
                  <w:szCs w:val="24"/>
                  <w:lang w:bidi="en-US"/>
                </w:rPr>
                <w:t>-</w:t>
                <w:tab/>
                <w:t>Kai kuriose savivaldybėse aktualūs klausimai – kas turėtų sutvarkyti prie komunalinių atliekų konteinerių neleistinai paliktas ir (ar) išbarstytas atliekas, užtikrinti komunalinių atliekų surinkimo konteinerių aikštelių, kuriose atsiranda neleistinai paliktų atliekų, stebėseną ir imtis veiksmų, kad tokie atvejai nesikartotų.</w:t>
              </w:r>
            </w:p>
            <w:p>
              <w:pPr>
                <w:widowControl w:val="0"/>
                <w:tabs>
                  <w:tab w:val="left" w:pos="851"/>
                </w:tabs>
                <w:suppressAutoHyphens/>
                <w:spacing w:line="23" w:lineRule="atLeast"/>
                <w:ind w:firstLine="567"/>
                <w:jc w:val="both"/>
                <w:rPr>
                  <w:rFonts w:eastAsia="Andale Sans UI"/>
                  <w:szCs w:val="24"/>
                  <w:lang w:bidi="en-US"/>
                </w:rPr>
              </w:pPr>
              <w:r>
                <w:rPr>
                  <w:rFonts w:eastAsia="Andale Sans UI"/>
                  <w:szCs w:val="24"/>
                  <w:lang w:bidi="en-US"/>
                </w:rPr>
                <w:t>-</w:t>
                <w:tab/>
                <w:t>Atsižvelgiant į naujai patvirtintus Pakuočių atliekų, susidarančių komunalinių atliekų sraute, rūšiuojamojo surinkimo ir vežimo paslaugos teikimo būtinuosius reikalavimus ir pakuočių atliekų tvarkymo organizavimo ir finansavimo sutarties būtinąsias sąlygas</w:t>
              </w:r>
              <w:r>
                <w:rPr>
                  <w:rFonts w:eastAsia="Andale Sans UI"/>
                  <w:szCs w:val="24"/>
                  <w:vertAlign w:val="superscript"/>
                  <w:lang w:bidi="en-US"/>
                </w:rPr>
                <w:footnoteReference w:id="2"/>
              </w:r>
              <w:r>
                <w:rPr>
                  <w:rFonts w:eastAsia="Andale Sans UI"/>
                  <w:szCs w:val="24"/>
                  <w:lang w:bidi="en-US"/>
                </w:rPr>
                <w:t xml:space="preserve"> (toliau – Būtinieji reikalavimai), reikia  patikslinti į Minimalius komunalinių atliekų tvarkymo paslaugos kokybės reikalavimus</w:t>
              </w:r>
              <w:r>
                <w:rPr>
                  <w:rFonts w:eastAsia="Andale Sans UI"/>
                  <w:szCs w:val="24"/>
                  <w:vertAlign w:val="superscript"/>
                  <w:lang w:bidi="en-US"/>
                </w:rPr>
                <w:footnoteReference w:id="3"/>
              </w:r>
              <w:r>
                <w:rPr>
                  <w:rFonts w:eastAsia="Andale Sans UI"/>
                  <w:szCs w:val="24"/>
                  <w:lang w:bidi="en-US"/>
                </w:rPr>
                <w:t xml:space="preserve"> (toliau – Kokybės reikalavimai) įtrauktus specialiuosius kokybės reikalavimus antrinių žaliavų ir pakuočių atliekų surinkimui ir vežimui. </w:t>
              </w:r>
            </w:p>
            <w:p>
              <w:pPr>
                <w:widowControl w:val="0"/>
                <w:tabs>
                  <w:tab w:val="left" w:pos="851"/>
                </w:tabs>
                <w:suppressAutoHyphens/>
                <w:spacing w:line="23" w:lineRule="atLeast"/>
                <w:ind w:firstLine="567"/>
                <w:jc w:val="both"/>
                <w:rPr>
                  <w:rFonts w:eastAsia="Andale Sans UI"/>
                  <w:szCs w:val="24"/>
                  <w:lang w:bidi="en-US"/>
                </w:rPr>
              </w:pPr>
              <w:r>
                <w:rPr>
                  <w:rFonts w:eastAsia="Andale Sans UI"/>
                  <w:szCs w:val="24"/>
                  <w:lang w:bidi="en-US"/>
                </w:rPr>
                <w:t>-</w:t>
                <w:tab/>
                <w:t>Atsižvelgiant į Valstybiniame atliekų prevencijos ir tvarkymo 2021</w:t>
              </w:r>
              <w:r>
                <w:rPr>
                  <w:rFonts w:eastAsia="Andale Sans UI"/>
                  <w:b/>
                  <w:bCs/>
                  <w:szCs w:val="24"/>
                  <w:lang w:eastAsia="lt-LT" w:bidi="en-US"/>
                </w:rPr>
                <w:t>–</w:t>
              </w:r>
              <w:r>
                <w:rPr>
                  <w:rFonts w:eastAsia="Andale Sans UI"/>
                  <w:szCs w:val="24"/>
                  <w:lang w:bidi="en-US"/>
                </w:rPr>
                <w:t>2027 metų plane</w:t>
              </w:r>
              <w:r>
                <w:rPr>
                  <w:rFonts w:eastAsia="Andale Sans UI"/>
                  <w:szCs w:val="24"/>
                  <w:vertAlign w:val="superscript"/>
                  <w:lang w:bidi="en-US"/>
                </w:rPr>
                <w:footnoteReference w:id="4"/>
              </w:r>
              <w:r>
                <w:rPr>
                  <w:rFonts w:eastAsia="Andale Sans UI"/>
                  <w:szCs w:val="24"/>
                  <w:lang w:bidi="en-US"/>
                </w:rPr>
                <w:t xml:space="preserve"> (toliau – Planas) savivaldybėms nustatytas užduotis</w:t>
              </w:r>
              <w:r>
                <w:rPr>
                  <w:rFonts w:eastAsia="Andale Sans UI"/>
                  <w:szCs w:val="24"/>
                  <w:vertAlign w:val="superscript"/>
                  <w:lang w:bidi="en-US"/>
                </w:rPr>
                <w:footnoteReference w:id="5"/>
              </w:r>
              <w:r>
                <w:rPr>
                  <w:rFonts w:eastAsia="Andale Sans UI"/>
                  <w:szCs w:val="24"/>
                  <w:lang w:bidi="en-US"/>
                </w:rPr>
                <w:t xml:space="preserve">, reikia patikslinti didelių gabaritų atliekų </w:t>
              </w:r>
              <w:r>
                <w:rPr>
                  <w:szCs w:val="24"/>
                  <w:lang w:eastAsia="lt-LT" w:bidi="en-US"/>
                </w:rPr>
                <w:t xml:space="preserve">(toliau – DGA) </w:t>
              </w:r>
              <w:r>
                <w:rPr>
                  <w:rFonts w:eastAsia="Andale Sans UI"/>
                  <w:szCs w:val="24"/>
                  <w:lang w:bidi="en-US"/>
                </w:rPr>
                <w:t>surinkimo apvažiuojant paslaugos teikimo dažnumą.</w:t>
              </w:r>
            </w:p>
            <w:p>
              <w:pPr>
                <w:widowControl w:val="0"/>
                <w:tabs>
                  <w:tab w:val="left" w:pos="851"/>
                </w:tabs>
                <w:suppressAutoHyphens/>
                <w:spacing w:line="23" w:lineRule="atLeast"/>
                <w:ind w:firstLine="567"/>
                <w:jc w:val="both"/>
                <w:rPr>
                  <w:rFonts w:eastAsia="Andale Sans UI"/>
                  <w:szCs w:val="24"/>
                  <w:lang w:bidi="en-US"/>
                </w:rPr>
              </w:pPr>
              <w:r>
                <w:rPr>
                  <w:rFonts w:eastAsia="Andale Sans UI"/>
                  <w:szCs w:val="24"/>
                  <w:lang w:bidi="en-US"/>
                </w:rPr>
                <w:t>-</w:t>
                <w:tab/>
                <w:t>Atsižvelgiant į tai, kad Kelių eismo taisyklėse</w:t>
              </w:r>
              <w:r>
                <w:rPr>
                  <w:rFonts w:eastAsia="Andale Sans UI" w:cs="Tahoma"/>
                  <w:szCs w:val="24"/>
                  <w:vertAlign w:val="superscript"/>
                  <w:lang w:bidi="en-US"/>
                </w:rPr>
                <w:footnoteReference w:id="6"/>
              </w:r>
              <w:r>
                <w:rPr>
                  <w:rFonts w:eastAsia="Andale Sans UI"/>
                  <w:szCs w:val="24"/>
                  <w:lang w:bidi="en-US"/>
                </w:rPr>
                <w:t xml:space="preserve"> (toliau – KET) nėra kelio ženklo, kuris galėtų nurodyti judėjimo kryptį į didelių gabaritų atliekų surinkimo aikštelę </w:t>
              </w:r>
              <w:r>
                <w:rPr>
                  <w:szCs w:val="24"/>
                  <w:lang w:eastAsia="lt-LT" w:bidi="en-US"/>
                </w:rPr>
                <w:t>(toliau – DGASA)</w:t>
              </w:r>
              <w:r>
                <w:rPr>
                  <w:rFonts w:eastAsia="Andale Sans UI"/>
                  <w:szCs w:val="24"/>
                  <w:lang w:bidi="en-US"/>
                </w:rPr>
                <w:t>, ir į tai, kad Susisiekimo ministerija nepritarė siūlymui inicijuoti naujo paslaugų kelio ženklo</w:t>
              </w:r>
              <w:r>
                <w:rPr>
                  <w:rFonts w:eastAsia="Andale Sans UI" w:cs="Tahoma"/>
                  <w:szCs w:val="24"/>
                  <w:lang w:bidi="en-US"/>
                </w:rPr>
                <w:t xml:space="preserve"> </w:t>
              </w:r>
              <w:r>
                <w:rPr>
                  <w:rFonts w:eastAsia="Andale Sans UI"/>
                  <w:szCs w:val="24"/>
                  <w:lang w:bidi="en-US"/>
                </w:rPr>
                <w:t>„Atliekų surinkimo aikštelė“ įteisinimą ir pasiūlė įvertinti galimybę naudoti informacinius stendus visuomenei informuoti apie atliekų surinkimo objektus arba, jei būtina, įrengti KET nustatytą kelio ženklą Nr. 736 „Pramoninė zona“, negali būti vykdomas</w:t>
              </w:r>
              <w:r>
                <w:rPr>
                  <w:szCs w:val="24"/>
                  <w:lang w:eastAsia="lt-LT" w:bidi="en-US"/>
                </w:rPr>
                <w:t xml:space="preserve"> </w:t>
              </w:r>
              <w:r>
                <w:rPr>
                  <w:rFonts w:eastAsia="Andale Sans UI"/>
                  <w:szCs w:val="24"/>
                  <w:lang w:bidi="en-US"/>
                </w:rPr>
                <w:t xml:space="preserve">Kokybės reikalavimų </w:t>
              </w:r>
              <w:r>
                <w:rPr>
                  <w:szCs w:val="24"/>
                  <w:lang w:eastAsia="lt-LT" w:bidi="en-US"/>
                </w:rPr>
                <w:t>37.5 papunkčio įpareigojimas pakeliui į DGASA įrengti kelio ženklų nuorodas apie DGASA</w:t>
              </w:r>
              <w:r>
                <w:rPr>
                  <w:rFonts w:eastAsia="Andale Sans UI"/>
                  <w:szCs w:val="24"/>
                  <w:lang w:bidi="en-US"/>
                </w:rPr>
                <w:t>.</w:t>
              </w:r>
            </w:p>
            <w:p>
              <w:pPr>
                <w:widowControl w:val="0"/>
                <w:tabs>
                  <w:tab w:val="left" w:pos="851"/>
                </w:tabs>
                <w:suppressAutoHyphens/>
                <w:spacing w:line="23" w:lineRule="atLeast"/>
                <w:ind w:firstLine="567"/>
                <w:jc w:val="both"/>
                <w:rPr>
                  <w:rFonts w:eastAsia="Andale Sans UI"/>
                  <w:szCs w:val="24"/>
                  <w:lang w:bidi="en-US"/>
                </w:rPr>
              </w:pPr>
              <w:r>
                <w:rPr>
                  <w:rFonts w:eastAsia="Andale Sans UI"/>
                  <w:szCs w:val="24"/>
                  <w:lang w:bidi="en-US"/>
                </w:rPr>
                <w:t>-</w:t>
                <w:tab/>
                <w:t>Patvirtinus Planą</w:t>
              </w:r>
              <w:r>
                <w:rPr>
                  <w:rFonts w:eastAsia="Andale Sans UI"/>
                  <w:szCs w:val="24"/>
                  <w:vertAlign w:val="superscript"/>
                  <w:lang w:bidi="en-US"/>
                </w:rPr>
                <w:footnoteReference w:id="7"/>
              </w:r>
              <w:r>
                <w:rPr>
                  <w:rFonts w:eastAsia="Andale Sans UI"/>
                  <w:szCs w:val="24"/>
                  <w:lang w:bidi="en-US"/>
                </w:rPr>
                <w:t>, galiojančiame teisiniame reguliavime nebeliko reikalavimų atiduoti žaliąsias atliekas į DGASA ir (ar) žaliųjų atliekų kompostavimo aikšteles. Atsižvelgiant į Plane savivaldybėms nustatytas užduotis</w:t>
              </w:r>
              <w:r>
                <w:rPr>
                  <w:rFonts w:eastAsia="Andale Sans UI"/>
                  <w:szCs w:val="24"/>
                  <w:vertAlign w:val="superscript"/>
                  <w:lang w:bidi="en-US"/>
                </w:rPr>
                <w:footnoteReference w:id="8"/>
              </w:r>
              <w:r>
                <w:rPr>
                  <w:rFonts w:eastAsia="Andale Sans UI"/>
                  <w:szCs w:val="24"/>
                  <w:lang w:bidi="en-US"/>
                </w:rPr>
                <w:t xml:space="preserve"> dėl biologinių atliekų atskiro surinkimo ir kompostavimo jų susidarymo vietose, reikia tikslinti į Kokybės reikalavimus įtrauktus specialiuosius kokybės reikalavimus biologinių atliekų surinkimui ir vežimui.</w:t>
              </w:r>
            </w:p>
            <w:p>
              <w:pPr>
                <w:widowControl w:val="0"/>
                <w:tabs>
                  <w:tab w:val="left" w:pos="851"/>
                </w:tabs>
                <w:suppressAutoHyphens/>
                <w:spacing w:line="23" w:lineRule="atLeast"/>
                <w:ind w:firstLine="567"/>
                <w:jc w:val="both"/>
                <w:rPr>
                  <w:rFonts w:eastAsia="Andale Sans UI"/>
                  <w:szCs w:val="24"/>
                  <w:lang w:bidi="en-US"/>
                </w:rPr>
              </w:pPr>
              <w:r>
                <w:rPr>
                  <w:rFonts w:eastAsia="Andale Sans UI"/>
                  <w:szCs w:val="24"/>
                  <w:lang w:bidi="en-US"/>
                </w:rPr>
                <w:t>-</w:t>
                <w:tab/>
                <w:t>Kokybės reikalavimų nuostatos dėl atliekų turėtojų informavimo apie įvairius atliekų rūšiavimo ir paslaugos teikimo aspektus tikslinamos ir papildomos įgyvendinant Plano 2.2.2 priemonę „Pakeisti Minimalius komunalinių atliekų tvarkymo paslaugos kokybės reikalavimus, nustatant, kad savivaldybės nuolat šviestų gyventojus, teikdamos jiems susistemintą informaciją apie visų atliekų rūšiavimą, buityje susidarančių atliekų surinkimo paslaugas“.</w:t>
              </w:r>
            </w:p>
            <w:p>
              <w:pPr>
                <w:widowControl w:val="0"/>
                <w:tabs>
                  <w:tab w:val="left" w:pos="851"/>
                </w:tabs>
                <w:suppressAutoHyphens/>
                <w:spacing w:line="23" w:lineRule="atLeast"/>
                <w:ind w:firstLine="567"/>
                <w:jc w:val="both"/>
                <w:rPr>
                  <w:rFonts w:eastAsia="Andale Sans UI"/>
                  <w:szCs w:val="24"/>
                  <w:lang w:bidi="en-US"/>
                </w:rPr>
              </w:pPr>
              <w:r>
                <w:rPr>
                  <w:rFonts w:eastAsia="Andale Sans UI"/>
                  <w:szCs w:val="24"/>
                  <w:lang w:bidi="en-US"/>
                </w:rPr>
                <w:t>-</w:t>
                <w:tab/>
                <w:t xml:space="preserve">Kokybės reikalavimuose nustatyta, kad asmenys, pažeidę Kokybės reikalavimus, atsako įstatymų nustatyta tvarka, tačiau galiojančiuose įstatymuose tokia atsakomybė neįtvirtinta. </w:t>
              </w:r>
            </w:p>
            <w:p>
              <w:pPr>
                <w:widowControl w:val="0"/>
                <w:tabs>
                  <w:tab w:val="left" w:pos="851"/>
                </w:tabs>
                <w:suppressAutoHyphens/>
                <w:spacing w:line="23" w:lineRule="atLeast"/>
                <w:ind w:firstLine="567"/>
                <w:jc w:val="both"/>
                <w:rPr>
                  <w:rFonts w:eastAsia="Andale Sans UI"/>
                  <w:szCs w:val="24"/>
                  <w:lang w:bidi="en-US"/>
                </w:rPr>
              </w:pPr>
              <w:r>
                <w:rPr>
                  <w:rFonts w:eastAsia="Andale Sans UI"/>
                  <w:szCs w:val="24"/>
                  <w:lang w:bidi="en-US"/>
                </w:rPr>
                <w:t>-</w:t>
                <w:tab/>
                <w:t>Patvirtinus Planą</w:t>
              </w:r>
              <w:r>
                <w:rPr>
                  <w:rFonts w:eastAsia="Andale Sans UI"/>
                  <w:szCs w:val="24"/>
                  <w:vertAlign w:val="superscript"/>
                  <w:lang w:bidi="en-US"/>
                </w:rPr>
                <w:footnoteReference w:id="9"/>
              </w:r>
              <w:r>
                <w:rPr>
                  <w:rFonts w:eastAsia="Andale Sans UI"/>
                  <w:szCs w:val="24"/>
                  <w:lang w:bidi="en-US"/>
                </w:rPr>
                <w:t>, pasikeitė įsakymo projekto tvirtinimo teisinis pagrindas.</w:t>
              </w:r>
            </w:p>
            <w:p>
              <w:pPr>
                <w:widowControl w:val="0"/>
                <w:tabs>
                  <w:tab w:val="left" w:pos="851"/>
                </w:tabs>
                <w:suppressAutoHyphens/>
                <w:spacing w:line="23" w:lineRule="atLeast"/>
                <w:ind w:firstLine="567"/>
                <w:jc w:val="both"/>
                <w:rPr>
                  <w:rFonts w:eastAsia="Andale Sans UI"/>
                  <w:szCs w:val="24"/>
                  <w:lang w:bidi="en-US"/>
                </w:rPr>
              </w:pPr>
              <w:r>
                <w:rPr>
                  <w:rFonts w:eastAsia="Andale Sans UI"/>
                  <w:szCs w:val="24"/>
                  <w:lang w:bidi="en-US"/>
                </w:rPr>
                <w:t>-</w:t>
                <w:tab/>
                <w:t>Kai kurios Įsakymo projekte vartojamos sąvokos neatitinka kituose galiojančiuose teisės aktuose nustatytų sąvokų.</w:t>
              </w:r>
            </w:p>
            <w:p>
              <w:pPr>
                <w:widowControl w:val="0"/>
                <w:shd w:val="clear" w:color="auto" w:fill="FFFFFF"/>
                <w:suppressAutoHyphens/>
                <w:spacing w:line="23" w:lineRule="atLeast"/>
                <w:ind w:firstLine="567"/>
                <w:jc w:val="both"/>
                <w:textAlignment w:val="center"/>
                <w:rPr>
                  <w:rFonts w:eastAsia="Andale Sans UI"/>
                  <w:bCs/>
                  <w:szCs w:val="24"/>
                  <w:lang w:bidi="en-US"/>
                </w:rPr>
              </w:pPr>
              <w:r>
                <w:rPr>
                  <w:rFonts w:eastAsia="Andale Sans UI"/>
                  <w:b/>
                  <w:bCs/>
                  <w:szCs w:val="24"/>
                  <w:lang w:bidi="en-US"/>
                </w:rPr>
                <w:t>Įsakymo projekto tikslas</w:t>
              </w:r>
              <w:r>
                <w:rPr>
                  <w:rFonts w:eastAsia="Andale Sans UI"/>
                  <w:bCs/>
                  <w:szCs w:val="24"/>
                  <w:lang w:bidi="en-US"/>
                </w:rPr>
                <w:t xml:space="preserve"> – patikslinti Kokybės reikalavimus, kad atliekų turėtojams būtų teikiama kokybiškesnė ir atliekų turėtojų poreikius, aplinkosaugos, techninius-ekonominius ir visuomenės sveikatos saugos reikalavimus</w:t>
              </w:r>
              <w:r>
                <w:rPr>
                  <w:rFonts w:eastAsia="Andale Sans UI"/>
                  <w:bCs/>
                  <w:szCs w:val="24"/>
                  <w:vertAlign w:val="superscript"/>
                  <w:lang w:bidi="en-US"/>
                </w:rPr>
                <w:footnoteReference w:id="10"/>
              </w:r>
              <w:r>
                <w:rPr>
                  <w:rFonts w:eastAsia="Andale Sans UI"/>
                  <w:bCs/>
                  <w:szCs w:val="24"/>
                  <w:lang w:bidi="en-US"/>
                </w:rPr>
                <w:t xml:space="preserve"> atitinkanti paslauga. </w:t>
              </w:r>
            </w:p>
          </w:sdtContent>
        </w:sdt>
        <w:sdt>
          <w:sdtPr>
            <w:alias w:val="skirsnis"/>
            <w:tag w:val="part_ff2b8078ed5d4044b008e45998c7430f"/>
            <w:lock w:val="sdtLocked"/>
            <w:richText/>
          </w:sdtPr>
          <w:sdtContent>
            <w:p>
              <w:pPr>
                <w:widowControl w:val="0"/>
                <w:shd w:val="clear" w:color="auto" w:fill="FFFFFF"/>
                <w:suppressAutoHyphens/>
                <w:spacing w:line="23" w:lineRule="atLeast"/>
                <w:ind w:firstLine="567"/>
                <w:jc w:val="both"/>
                <w:textAlignment w:val="center"/>
                <w:rPr>
                  <w:rFonts w:eastAsia="Andale Sans UI"/>
                  <w:b/>
                  <w:szCs w:val="24"/>
                  <w:lang w:bidi="en-US"/>
                </w:rPr>
              </w:pPr>
              <w:sdt>
                <w:sdtPr>
                  <w:alias w:val="Pavadinimas"/>
                  <w:tag w:val="title_ff2b8078ed5d4044b008e45998c7430f"/>
                  <w:lock w:val="sdtLocked"/>
                  <w:richText/>
                </w:sdtPr>
                <w:sdtContent>
                  <w:r>
                    <w:rPr>
                      <w:rFonts w:eastAsia="Andale Sans UI"/>
                      <w:b/>
                      <w:szCs w:val="24"/>
                      <w:lang w:bidi="en-US"/>
                    </w:rPr>
                    <w:t>Problemų sprendimo priemonės</w:t>
                  </w:r>
                </w:sdtContent>
              </w:sdt>
            </w:p>
            <w:p>
              <w:pPr>
                <w:widowControl w:val="0"/>
                <w:shd w:val="clear" w:color="auto" w:fill="FFFFFF"/>
                <w:suppressAutoHyphens/>
                <w:spacing w:line="23" w:lineRule="atLeast"/>
                <w:ind w:firstLine="567"/>
                <w:jc w:val="both"/>
                <w:textAlignment w:val="center"/>
                <w:rPr>
                  <w:rFonts w:eastAsia="Andale Sans UI"/>
                  <w:bCs/>
                  <w:szCs w:val="24"/>
                  <w:lang w:bidi="en-US"/>
                </w:rPr>
              </w:pPr>
              <w:r>
                <w:rPr>
                  <w:rFonts w:eastAsia="Andale Sans UI"/>
                  <w:bCs/>
                  <w:szCs w:val="24"/>
                  <w:lang w:bidi="en-US"/>
                </w:rPr>
                <w:t>Įsakymo projektu siūloma:</w:t>
              </w:r>
            </w:p>
            <w:sdt>
              <w:sdtPr>
                <w:alias w:val="1 p."/>
                <w:tag w:val="part_a96a433948fb4cdd8a1aab6cca8ce2c1"/>
                <w:lock w:val="sdtLocked"/>
                <w:richText/>
              </w:sdtPr>
              <w:sdtContent>
                <w:p>
                  <w:pPr>
                    <w:widowControl w:val="0"/>
                    <w:shd w:val="clear" w:color="auto" w:fill="FFFFFF"/>
                    <w:tabs>
                      <w:tab w:val="left" w:pos="851"/>
                    </w:tabs>
                    <w:suppressAutoHyphens/>
                    <w:spacing w:line="23" w:lineRule="atLeast"/>
                    <w:ind w:firstLine="567"/>
                    <w:jc w:val="both"/>
                    <w:textAlignment w:val="center"/>
                    <w:rPr>
                      <w:rFonts w:eastAsia="Andale Sans UI"/>
                      <w:bCs/>
                      <w:szCs w:val="24"/>
                      <w:lang w:bidi="en-US"/>
                    </w:rPr>
                  </w:pPr>
                  <w:sdt>
                    <w:sdtPr>
                      <w:alias w:val="Numeris"/>
                      <w:tag w:val="nr_a96a433948fb4cdd8a1aab6cca8ce2c1"/>
                      <w:lock w:val="sdtLocked"/>
                      <w:richText/>
                    </w:sdtPr>
                    <w:sdtContent>
                      <w:r>
                        <w:rPr>
                          <w:rFonts w:eastAsia="Andale Sans UI"/>
                          <w:bCs/>
                          <w:szCs w:val="24"/>
                          <w:lang w:bidi="en-US"/>
                        </w:rPr>
                        <w:t>1</w:t>
                      </w:r>
                    </w:sdtContent>
                  </w:sdt>
                  <w:r>
                    <w:rPr>
                      <w:rFonts w:eastAsia="Andale Sans UI"/>
                      <w:bCs/>
                      <w:szCs w:val="24"/>
                      <w:lang w:bidi="en-US"/>
                    </w:rPr>
                    <w:t>.</w:t>
                    <w:tab/>
                    <w:t>Patikslinti Įsakymo tvirtinimo teisinį pagrindą ir Kokybės reikalavimų paskirtį.</w:t>
                  </w:r>
                </w:p>
              </w:sdtContent>
            </w:sdt>
            <w:sdt>
              <w:sdtPr>
                <w:alias w:val="2 p."/>
                <w:tag w:val="part_886472b0b2384269be7ae7ec99e19f9a"/>
                <w:lock w:val="sdtLocked"/>
                <w:richText/>
              </w:sdtPr>
              <w:sdtContent>
                <w:p>
                  <w:pPr>
                    <w:widowControl w:val="0"/>
                    <w:shd w:val="clear" w:color="auto" w:fill="FFFFFF"/>
                    <w:tabs>
                      <w:tab w:val="left" w:pos="851"/>
                    </w:tabs>
                    <w:suppressAutoHyphens/>
                    <w:spacing w:line="23" w:lineRule="atLeast"/>
                    <w:ind w:firstLine="567"/>
                    <w:jc w:val="both"/>
                    <w:textAlignment w:val="center"/>
                    <w:rPr>
                      <w:rFonts w:eastAsia="Andale Sans UI"/>
                      <w:szCs w:val="24"/>
                      <w:lang w:bidi="en-US"/>
                    </w:rPr>
                  </w:pPr>
                  <w:sdt>
                    <w:sdtPr>
                      <w:alias w:val="Numeris"/>
                      <w:tag w:val="nr_886472b0b2384269be7ae7ec99e19f9a"/>
                      <w:lock w:val="sdtLocked"/>
                      <w:richText/>
                    </w:sdtPr>
                    <w:sdtContent>
                      <w:r>
                        <w:rPr>
                          <w:rFonts w:eastAsia="Andale Sans UI"/>
                          <w:szCs w:val="24"/>
                          <w:lang w:bidi="en-US"/>
                        </w:rPr>
                        <w:t>2</w:t>
                      </w:r>
                    </w:sdtContent>
                  </w:sdt>
                  <w:r>
                    <w:rPr>
                      <w:rFonts w:eastAsia="Andale Sans UI"/>
                      <w:szCs w:val="24"/>
                      <w:lang w:bidi="en-US"/>
                    </w:rPr>
                    <w:t>.</w:t>
                    <w:tab/>
                  </w:r>
                  <w:r>
                    <w:rPr>
                      <w:rFonts w:eastAsia="Andale Sans UI"/>
                      <w:bCs/>
                      <w:szCs w:val="24"/>
                      <w:lang w:bidi="en-US"/>
                    </w:rPr>
                    <w:t xml:space="preserve">Papildyti </w:t>
                  </w:r>
                  <w:r>
                    <w:rPr>
                      <w:rFonts w:eastAsia="Andale Sans UI"/>
                      <w:szCs w:val="24"/>
                      <w:lang w:eastAsia="lt-LT" w:bidi="en-US"/>
                    </w:rPr>
                    <w:t>Kokybės reikalavimų 9 punktą</w:t>
                  </w:r>
                  <w:r>
                    <w:rPr>
                      <w:rFonts w:eastAsia="Andale Sans UI"/>
                      <w:bCs/>
                      <w:szCs w:val="24"/>
                      <w:lang w:bidi="en-US"/>
                    </w:rPr>
                    <w:t xml:space="preserve"> nustatant, kad </w:t>
                  </w:r>
                  <w:r>
                    <w:rPr>
                      <w:rFonts w:eastAsia="Andale Sans UI"/>
                      <w:szCs w:val="24"/>
                      <w:lang w:eastAsia="lt-LT" w:bidi="en-US"/>
                    </w:rPr>
                    <w:t>komunalinių</w:t>
                  </w:r>
                  <w:r>
                    <w:rPr>
                      <w:rFonts w:eastAsia="Andale Sans UI"/>
                      <w:szCs w:val="24"/>
                      <w:lang w:bidi="en-US"/>
                    </w:rPr>
                    <w:t xml:space="preserve"> atliekų surinkimo konteineriai, kitos priemonės ir (ar) įrenginiai </w:t>
                  </w:r>
                  <w:r>
                    <w:rPr>
                      <w:rFonts w:eastAsia="Calibri"/>
                      <w:szCs w:val="24"/>
                      <w:lang w:bidi="en-US"/>
                    </w:rPr>
                    <w:t xml:space="preserve">pagal paskirtį atitinkamoms atliekoms surinkti </w:t>
                  </w:r>
                  <w:r>
                    <w:rPr>
                      <w:rFonts w:eastAsia="Andale Sans UI"/>
                      <w:szCs w:val="24"/>
                      <w:lang w:bidi="en-US"/>
                    </w:rPr>
                    <w:t>turi būti pritaikyti žmonėms su negalia</w:t>
                  </w:r>
                  <w:r>
                    <w:rPr>
                      <w:rFonts w:eastAsia="Andale Sans UI"/>
                      <w:bCs/>
                      <w:szCs w:val="24"/>
                      <w:lang w:bidi="en-US"/>
                    </w:rPr>
                    <w:t xml:space="preserve">. </w:t>
                  </w:r>
                  <w:r>
                    <w:rPr>
                      <w:rFonts w:eastAsia="Andale Sans UI"/>
                      <w:szCs w:val="24"/>
                      <w:lang w:eastAsia="lt-LT" w:bidi="en-US"/>
                    </w:rPr>
                    <w:t>Papildyti Kokybės reikalavimus</w:t>
                  </w:r>
                  <w:r>
                    <w:rPr>
                      <w:rFonts w:eastAsia="Andale Sans UI"/>
                      <w:bCs/>
                      <w:szCs w:val="24"/>
                      <w:lang w:bidi="en-US"/>
                    </w:rPr>
                    <w:t xml:space="preserve"> paskatino gyventojų nusiskundimai, kad komunalinių atliekų surinkimo konteineriai nepritaikyti </w:t>
                  </w:r>
                  <w:r>
                    <w:rPr>
                      <w:rFonts w:eastAsia="Andale Sans UI"/>
                      <w:szCs w:val="24"/>
                      <w:lang w:bidi="en-US"/>
                    </w:rPr>
                    <w:t>žmonėms su negalia</w:t>
                  </w:r>
                  <w:r>
                    <w:rPr>
                      <w:rFonts w:eastAsia="Andale Sans UI"/>
                      <w:bCs/>
                      <w:szCs w:val="24"/>
                      <w:lang w:bidi="en-US"/>
                    </w:rPr>
                    <w:t>.</w:t>
                  </w:r>
                </w:p>
              </w:sdtContent>
            </w:sdt>
            <w:sdt>
              <w:sdtPr>
                <w:alias w:val="3 p."/>
                <w:tag w:val="part_b07a18b52d004e5da22fd4bbfd0ecaa3"/>
                <w:lock w:val="sdtLocked"/>
                <w:richText/>
              </w:sdtPr>
              <w:sdtContent>
                <w:p>
                  <w:pPr>
                    <w:widowControl w:val="0"/>
                    <w:shd w:val="clear" w:color="auto" w:fill="FFFFFF"/>
                    <w:tabs>
                      <w:tab w:val="left" w:pos="851"/>
                    </w:tabs>
                    <w:suppressAutoHyphens/>
                    <w:spacing w:line="23" w:lineRule="atLeast"/>
                    <w:ind w:firstLine="567"/>
                    <w:jc w:val="both"/>
                    <w:textAlignment w:val="center"/>
                    <w:rPr>
                      <w:rFonts w:eastAsia="Andale Sans UI"/>
                      <w:szCs w:val="24"/>
                      <w:lang w:bidi="en-US"/>
                    </w:rPr>
                  </w:pPr>
                  <w:sdt>
                    <w:sdtPr>
                      <w:alias w:val="Numeris"/>
                      <w:tag w:val="nr_b07a18b52d004e5da22fd4bbfd0ecaa3"/>
                      <w:lock w:val="sdtLocked"/>
                      <w:richText/>
                    </w:sdtPr>
                    <w:sdtContent>
                      <w:r>
                        <w:rPr>
                          <w:rFonts w:eastAsia="Andale Sans UI"/>
                          <w:szCs w:val="24"/>
                          <w:lang w:bidi="en-US"/>
                        </w:rPr>
                        <w:t>3</w:t>
                      </w:r>
                    </w:sdtContent>
                  </w:sdt>
                  <w:r>
                    <w:rPr>
                      <w:rFonts w:eastAsia="Andale Sans UI"/>
                      <w:szCs w:val="24"/>
                      <w:lang w:bidi="en-US"/>
                    </w:rPr>
                    <w:t>.</w:t>
                    <w:tab/>
                  </w:r>
                  <w:r>
                    <w:rPr>
                      <w:rFonts w:eastAsia="Andale Sans UI"/>
                      <w:bCs/>
                      <w:szCs w:val="24"/>
                      <w:lang w:bidi="en-US"/>
                    </w:rPr>
                    <w:t xml:space="preserve">Papildyti </w:t>
                  </w:r>
                  <w:r>
                    <w:rPr>
                      <w:rFonts w:eastAsia="Andale Sans UI"/>
                      <w:szCs w:val="24"/>
                      <w:lang w:eastAsia="lt-LT" w:bidi="en-US"/>
                    </w:rPr>
                    <w:t>Kokybės reikalavimų</w:t>
                  </w:r>
                  <w:r>
                    <w:rPr>
                      <w:rFonts w:eastAsia="Andale Sans UI"/>
                      <w:bCs/>
                      <w:szCs w:val="24"/>
                      <w:lang w:bidi="en-US"/>
                    </w:rPr>
                    <w:t xml:space="preserve"> 9</w:t>
                  </w:r>
                  <w:r>
                    <w:rPr>
                      <w:rFonts w:eastAsia="Andale Sans UI"/>
                      <w:bCs/>
                      <w:szCs w:val="24"/>
                      <w:vertAlign w:val="superscript"/>
                      <w:lang w:bidi="en-US"/>
                    </w:rPr>
                    <w:t>1</w:t>
                  </w:r>
                  <w:r>
                    <w:rPr>
                      <w:rFonts w:eastAsia="Andale Sans UI"/>
                      <w:bCs/>
                      <w:szCs w:val="24"/>
                      <w:lang w:bidi="en-US"/>
                    </w:rPr>
                    <w:t>.3 </w:t>
                  </w:r>
                  <w:r>
                    <w:rPr>
                      <w:rFonts w:eastAsia="Andale Sans UI"/>
                      <w:szCs w:val="24"/>
                      <w:lang w:eastAsia="lt-LT" w:bidi="en-US"/>
                    </w:rPr>
                    <w:t>papunktį</w:t>
                  </w:r>
                  <w:r>
                    <w:rPr>
                      <w:rFonts w:eastAsia="Andale Sans UI"/>
                      <w:bCs/>
                      <w:szCs w:val="24"/>
                      <w:lang w:bidi="en-US"/>
                    </w:rPr>
                    <w:t xml:space="preserve"> nustatant, kad </w:t>
                  </w:r>
                  <w:r>
                    <w:rPr>
                      <w:rFonts w:eastAsia="Andale Sans UI"/>
                      <w:color w:val="000000"/>
                      <w:szCs w:val="24"/>
                      <w:lang w:bidi="en-US"/>
                    </w:rPr>
                    <w:t xml:space="preserve">priėjimas prie </w:t>
                  </w:r>
                  <w:r>
                    <w:rPr>
                      <w:rFonts w:eastAsia="Andale Sans UI"/>
                      <w:szCs w:val="24"/>
                      <w:lang w:eastAsia="lt-LT" w:bidi="en-US"/>
                    </w:rPr>
                    <w:t xml:space="preserve">komunalinių atliekų konteinerių </w:t>
                  </w:r>
                  <w:r>
                    <w:rPr>
                      <w:rFonts w:eastAsia="Andale Sans UI"/>
                      <w:color w:val="000000"/>
                      <w:szCs w:val="24"/>
                      <w:lang w:bidi="en-US"/>
                    </w:rPr>
                    <w:t>aikštelės turi būti pritaikytas žmonėms su negalia</w:t>
                  </w:r>
                  <w:r>
                    <w:rPr>
                      <w:rFonts w:eastAsia="Calibri"/>
                      <w:szCs w:val="24"/>
                      <w:lang w:bidi="en-US"/>
                    </w:rPr>
                    <w:t xml:space="preserve"> pagal statybos techninio reglamento STR 2.03.01:2019 „Statinių prieinamumas“</w:t>
                  </w:r>
                  <w:r>
                    <w:rPr>
                      <w:rFonts w:eastAsia="Calibri"/>
                      <w:szCs w:val="24"/>
                      <w:vertAlign w:val="superscript"/>
                      <w:lang w:bidi="en-US"/>
                    </w:rPr>
                    <w:footnoteReference w:id="11"/>
                  </w:r>
                  <w:r>
                    <w:rPr>
                      <w:rFonts w:eastAsia="Calibri"/>
                      <w:szCs w:val="24"/>
                      <w:lang w:bidi="en-US"/>
                    </w:rPr>
                    <w:t xml:space="preserve"> </w:t>
                  </w:r>
                  <w:r>
                    <w:rPr>
                      <w:rFonts w:eastAsia="Andale Sans UI"/>
                      <w:color w:val="000000"/>
                      <w:szCs w:val="24"/>
                      <w:lang w:bidi="en-US"/>
                    </w:rPr>
                    <w:t>reikalavimus.</w:t>
                  </w:r>
                </w:p>
              </w:sdtContent>
            </w:sdt>
            <w:sdt>
              <w:sdtPr>
                <w:alias w:val="4 p."/>
                <w:tag w:val="part_8eedfe7768534e5898913d812d1e5eca"/>
                <w:lock w:val="sdtLocked"/>
                <w:richText/>
              </w:sdtPr>
              <w:sdtContent>
                <w:p>
                  <w:pPr>
                    <w:widowControl w:val="0"/>
                    <w:shd w:val="clear" w:color="auto" w:fill="FFFFFF"/>
                    <w:tabs>
                      <w:tab w:val="left" w:pos="851"/>
                    </w:tabs>
                    <w:suppressAutoHyphens/>
                    <w:spacing w:line="23" w:lineRule="atLeast"/>
                    <w:ind w:firstLine="567"/>
                    <w:jc w:val="both"/>
                    <w:textAlignment w:val="center"/>
                    <w:rPr>
                      <w:rFonts w:eastAsia="Andale Sans UI"/>
                      <w:szCs w:val="24"/>
                      <w:lang w:bidi="en-US"/>
                    </w:rPr>
                  </w:pPr>
                  <w:sdt>
                    <w:sdtPr>
                      <w:alias w:val="Numeris"/>
                      <w:tag w:val="nr_8eedfe7768534e5898913d812d1e5eca"/>
                      <w:lock w:val="sdtLocked"/>
                      <w:richText/>
                    </w:sdtPr>
                    <w:sdtContent>
                      <w:r>
                        <w:rPr>
                          <w:rFonts w:eastAsia="Andale Sans UI"/>
                          <w:szCs w:val="24"/>
                          <w:lang w:bidi="en-US"/>
                        </w:rPr>
                        <w:t>4</w:t>
                      </w:r>
                    </w:sdtContent>
                  </w:sdt>
                  <w:r>
                    <w:rPr>
                      <w:rFonts w:eastAsia="Andale Sans UI"/>
                      <w:szCs w:val="24"/>
                      <w:lang w:bidi="en-US"/>
                    </w:rPr>
                    <w:t>.</w:t>
                    <w:tab/>
                  </w:r>
                  <w:r>
                    <w:rPr>
                      <w:rFonts w:eastAsia="Andale Sans UI"/>
                      <w:bCs/>
                      <w:szCs w:val="24"/>
                      <w:lang w:bidi="en-US"/>
                    </w:rPr>
                    <w:t xml:space="preserve">Papildyti Kokybės reikalavimų </w:t>
                  </w:r>
                  <w:r>
                    <w:rPr>
                      <w:rFonts w:eastAsia="Andale Sans UI"/>
                      <w:szCs w:val="24"/>
                      <w:lang w:eastAsia="lt-LT" w:bidi="en-US"/>
                    </w:rPr>
                    <w:t>9</w:t>
                  </w:r>
                  <w:r>
                    <w:rPr>
                      <w:rFonts w:eastAsia="Andale Sans UI"/>
                      <w:szCs w:val="24"/>
                      <w:vertAlign w:val="superscript"/>
                      <w:lang w:eastAsia="lt-LT" w:bidi="en-US"/>
                    </w:rPr>
                    <w:t>1</w:t>
                  </w:r>
                  <w:r>
                    <w:rPr>
                      <w:rFonts w:eastAsia="Andale Sans UI"/>
                      <w:szCs w:val="24"/>
                      <w:lang w:eastAsia="lt-LT" w:bidi="en-US"/>
                    </w:rPr>
                    <w:t xml:space="preserve">.6 papunktį nustatant, kad </w:t>
                  </w:r>
                  <w:r>
                    <w:rPr>
                      <w:rFonts w:eastAsia="Andale Sans UI"/>
                      <w:bCs/>
                      <w:szCs w:val="24"/>
                      <w:lang w:bidi="en-US"/>
                    </w:rPr>
                    <w:t>atstumas nuo komunalinių atliekų konteinerių aikštelių būtų taikomas ne tik iki pastato langų ir (ar) durų, bet ir iki pastatų vėdinimo sistemų angų, kad komunalinių atliekų konteinerių aikštelė turi būti projektuojama ir įrengiama ne arčiau kaip 20 m (arba jei dėl objektyvių priežasčių nėra tokios galimybės, – ne arčiau kaip 10 m) nuo pastato sienos, kurioje yra langai ir (ar) durys, ir (ar) vėdinimo sistemos anga (-os); nuo pastato sienos, kurioje nėra langų ir (ar) durų, ir (ar) vėdinimo sistemos angos (-ų), – ne arčiau kaip 5 m. Šios aikštelės įrengimo atstumas gali būti mažinamas, bet ji neturi būti arčiau kaip 5 m nuo pastato sienos, kurioje yra langai ir (ar) durys, ir (ar) vėdinimo sistemos anga (-os), tik gavus visų nekilnojamojo turto objekto savininkų ar jų įgaliotų asmenų, kuriems, įrengus komunalinių atliekų konteinerių aikštelę, ši bus arčiau kaip 10 m nuo pastato sienos, kurioje yra langai ir (ar) durys, ir (ar) vėdinimo sistemos anga (-os), sutikimą.</w:t>
                  </w:r>
                </w:p>
              </w:sdtContent>
            </w:sdt>
            <w:sdt>
              <w:sdtPr>
                <w:alias w:val="5 p."/>
                <w:tag w:val="part_71282e3f36644d8082a6e924f905334b"/>
                <w:lock w:val="sdtLocked"/>
                <w:richText/>
              </w:sdtPr>
              <w:sdtContent>
                <w:p>
                  <w:pPr>
                    <w:widowControl w:val="0"/>
                    <w:shd w:val="clear" w:color="auto" w:fill="FFFFFF"/>
                    <w:tabs>
                      <w:tab w:val="left" w:pos="851"/>
                    </w:tabs>
                    <w:suppressAutoHyphens/>
                    <w:spacing w:line="23" w:lineRule="atLeast"/>
                    <w:ind w:firstLine="567"/>
                    <w:jc w:val="both"/>
                    <w:textAlignment w:val="center"/>
                    <w:rPr>
                      <w:rFonts w:eastAsia="Andale Sans UI"/>
                      <w:szCs w:val="24"/>
                      <w:lang w:bidi="en-US"/>
                    </w:rPr>
                  </w:pPr>
                  <w:sdt>
                    <w:sdtPr>
                      <w:alias w:val="Numeris"/>
                      <w:tag w:val="nr_71282e3f36644d8082a6e924f905334b"/>
                      <w:lock w:val="sdtLocked"/>
                      <w:richText/>
                    </w:sdtPr>
                    <w:sdtContent>
                      <w:r>
                        <w:rPr>
                          <w:rFonts w:eastAsia="Andale Sans UI"/>
                          <w:szCs w:val="24"/>
                          <w:lang w:bidi="en-US"/>
                        </w:rPr>
                        <w:t>5</w:t>
                      </w:r>
                    </w:sdtContent>
                  </w:sdt>
                  <w:r>
                    <w:rPr>
                      <w:rFonts w:eastAsia="Andale Sans UI"/>
                      <w:szCs w:val="24"/>
                      <w:lang w:bidi="en-US"/>
                    </w:rPr>
                    <w:t>.</w:t>
                    <w:tab/>
                  </w:r>
                  <w:r>
                    <w:rPr>
                      <w:rFonts w:eastAsia="Andale Sans UI"/>
                      <w:bCs/>
                      <w:szCs w:val="24"/>
                      <w:lang w:bidi="en-US"/>
                    </w:rPr>
                    <w:t xml:space="preserve">Papildyti </w:t>
                  </w:r>
                  <w:r>
                    <w:rPr>
                      <w:rFonts w:eastAsia="Andale Sans UI"/>
                      <w:szCs w:val="24"/>
                      <w:lang w:eastAsia="lt-LT" w:bidi="en-US"/>
                    </w:rPr>
                    <w:t>Kokybės reikalavimus</w:t>
                  </w:r>
                  <w:r>
                    <w:rPr>
                      <w:rFonts w:eastAsia="Andale Sans UI"/>
                      <w:bCs/>
                      <w:szCs w:val="24"/>
                      <w:lang w:bidi="en-US"/>
                    </w:rPr>
                    <w:t xml:space="preserve"> 9</w:t>
                  </w:r>
                  <w:r>
                    <w:rPr>
                      <w:rFonts w:eastAsia="Andale Sans UI"/>
                      <w:bCs/>
                      <w:szCs w:val="24"/>
                      <w:vertAlign w:val="superscript"/>
                      <w:lang w:bidi="en-US"/>
                    </w:rPr>
                    <w:t>1</w:t>
                  </w:r>
                  <w:r>
                    <w:rPr>
                      <w:rFonts w:eastAsia="Andale Sans UI"/>
                      <w:bCs/>
                      <w:szCs w:val="24"/>
                      <w:lang w:bidi="en-US"/>
                    </w:rPr>
                    <w:t>.7 </w:t>
                  </w:r>
                  <w:r>
                    <w:rPr>
                      <w:rFonts w:eastAsia="Andale Sans UI"/>
                      <w:szCs w:val="24"/>
                      <w:lang w:eastAsia="lt-LT" w:bidi="en-US"/>
                    </w:rPr>
                    <w:t>papunkčiu</w:t>
                  </w:r>
                  <w:r>
                    <w:rPr>
                      <w:rFonts w:eastAsia="Andale Sans UI"/>
                      <w:bCs/>
                      <w:szCs w:val="24"/>
                      <w:lang w:bidi="en-US"/>
                    </w:rPr>
                    <w:t xml:space="preserve"> nustatant, kad </w:t>
                  </w:r>
                  <w:r>
                    <w:rPr>
                      <w:rFonts w:eastAsia="Andale Sans UI"/>
                      <w:szCs w:val="24"/>
                      <w:lang w:eastAsia="lt-LT" w:bidi="en-US"/>
                    </w:rPr>
                    <w:t xml:space="preserve">komunalinių atliekų konteinerių aikštelė šalia vaikų žaidimo aikštelės turi būti projektuojama atsižvelgiant į statybos techninį reglamentą </w:t>
                  </w:r>
                  <w:r>
                    <w:rPr>
                      <w:rFonts w:eastAsia="Andale Sans UI"/>
                      <w:color w:val="000000"/>
                      <w:szCs w:val="24"/>
                      <w:shd w:val="clear" w:color="auto" w:fill="FFFFFF"/>
                      <w:lang w:bidi="en-US"/>
                    </w:rPr>
                    <w:t>STR 2.02.01:2004 „Gyvenamieji pastatai“</w:t>
                  </w:r>
                  <w:r>
                    <w:rPr>
                      <w:rFonts w:eastAsia="Andale Sans UI"/>
                      <w:color w:val="000000"/>
                      <w:szCs w:val="24"/>
                      <w:shd w:val="clear" w:color="auto" w:fill="FFFFFF"/>
                      <w:vertAlign w:val="superscript"/>
                      <w:lang w:bidi="en-US"/>
                    </w:rPr>
                    <w:footnoteReference w:id="12"/>
                  </w:r>
                  <w:r>
                    <w:rPr>
                      <w:rFonts w:eastAsia="Andale Sans UI"/>
                      <w:color w:val="000000"/>
                      <w:szCs w:val="24"/>
                      <w:shd w:val="clear" w:color="auto" w:fill="FFFFFF"/>
                      <w:lang w:bidi="en-US"/>
                    </w:rPr>
                    <w:t xml:space="preserve"> ir į Lietuvos higienos normą HN 131:2015 „Vaikų žaidimų aikštelės ir patalpos. Bendrieji sveikatos saugos reikalavimai“</w:t>
                  </w:r>
                  <w:r>
                    <w:rPr>
                      <w:rFonts w:eastAsia="Andale Sans UI"/>
                      <w:color w:val="000000"/>
                      <w:szCs w:val="24"/>
                      <w:shd w:val="clear" w:color="auto" w:fill="FFFFFF"/>
                      <w:vertAlign w:val="superscript"/>
                      <w:lang w:bidi="en-US"/>
                    </w:rPr>
                    <w:footnoteReference w:id="13"/>
                  </w:r>
                  <w:r>
                    <w:rPr>
                      <w:rFonts w:eastAsia="Andale Sans UI"/>
                      <w:color w:val="000000"/>
                      <w:szCs w:val="24"/>
                      <w:lang w:bidi="en-US"/>
                    </w:rPr>
                    <w:t>.</w:t>
                  </w:r>
                </w:p>
              </w:sdtContent>
            </w:sdt>
            <w:sdt>
              <w:sdtPr>
                <w:alias w:val="6 p."/>
                <w:tag w:val="part_221fe6ef9a8f44918145eecfb679afe8"/>
                <w:lock w:val="sdtLocked"/>
                <w:richText/>
              </w:sdtPr>
              <w:sdtContent>
                <w:p>
                  <w:pPr>
                    <w:widowControl w:val="0"/>
                    <w:shd w:val="clear" w:color="auto" w:fill="FFFFFF"/>
                    <w:tabs>
                      <w:tab w:val="left" w:pos="851"/>
                    </w:tabs>
                    <w:suppressAutoHyphens/>
                    <w:spacing w:line="23" w:lineRule="atLeast"/>
                    <w:ind w:firstLine="567"/>
                    <w:jc w:val="both"/>
                    <w:textAlignment w:val="center"/>
                    <w:rPr>
                      <w:rFonts w:eastAsia="Andale Sans UI"/>
                      <w:szCs w:val="24"/>
                      <w:lang w:bidi="en-US"/>
                    </w:rPr>
                  </w:pPr>
                  <w:sdt>
                    <w:sdtPr>
                      <w:alias w:val="Numeris"/>
                      <w:tag w:val="nr_221fe6ef9a8f44918145eecfb679afe8"/>
                      <w:lock w:val="sdtLocked"/>
                      <w:richText/>
                    </w:sdtPr>
                    <w:sdtContent>
                      <w:r>
                        <w:rPr>
                          <w:rFonts w:eastAsia="Andale Sans UI"/>
                          <w:szCs w:val="24"/>
                          <w:lang w:bidi="en-US"/>
                        </w:rPr>
                        <w:t>6</w:t>
                      </w:r>
                    </w:sdtContent>
                  </w:sdt>
                  <w:r>
                    <w:rPr>
                      <w:rFonts w:eastAsia="Andale Sans UI"/>
                      <w:szCs w:val="24"/>
                      <w:lang w:bidi="en-US"/>
                    </w:rPr>
                    <w:t>.</w:t>
                    <w:tab/>
                  </w:r>
                  <w:r>
                    <w:rPr>
                      <w:rFonts w:eastAsia="Andale Sans UI"/>
                      <w:bCs/>
                      <w:szCs w:val="24"/>
                      <w:lang w:bidi="en-US"/>
                    </w:rPr>
                    <w:t xml:space="preserve">Papildyti </w:t>
                  </w:r>
                  <w:r>
                    <w:rPr>
                      <w:rFonts w:eastAsia="Andale Sans UI"/>
                      <w:szCs w:val="24"/>
                      <w:lang w:eastAsia="lt-LT" w:bidi="en-US"/>
                    </w:rPr>
                    <w:t>Kokybės reikalavimus</w:t>
                  </w:r>
                  <w:r>
                    <w:rPr>
                      <w:rFonts w:eastAsia="Andale Sans UI"/>
                      <w:bCs/>
                      <w:szCs w:val="24"/>
                      <w:lang w:bidi="en-US"/>
                    </w:rPr>
                    <w:t xml:space="preserve"> 9</w:t>
                  </w:r>
                  <w:r>
                    <w:rPr>
                      <w:rFonts w:eastAsia="Andale Sans UI"/>
                      <w:bCs/>
                      <w:szCs w:val="24"/>
                      <w:vertAlign w:val="superscript"/>
                      <w:lang w:bidi="en-US"/>
                    </w:rPr>
                    <w:t>2</w:t>
                  </w:r>
                  <w:r>
                    <w:rPr>
                      <w:rFonts w:eastAsia="Andale Sans UI"/>
                      <w:bCs/>
                      <w:szCs w:val="24"/>
                      <w:lang w:bidi="en-US"/>
                    </w:rPr>
                    <w:t> </w:t>
                  </w:r>
                  <w:r>
                    <w:rPr>
                      <w:rFonts w:eastAsia="Andale Sans UI"/>
                      <w:szCs w:val="24"/>
                      <w:lang w:eastAsia="lt-LT" w:bidi="en-US"/>
                    </w:rPr>
                    <w:t>punktu</w:t>
                  </w:r>
                  <w:r>
                    <w:rPr>
                      <w:rFonts w:eastAsia="Andale Sans UI"/>
                      <w:bCs/>
                      <w:szCs w:val="24"/>
                      <w:lang w:bidi="en-US"/>
                    </w:rPr>
                    <w:t xml:space="preserve"> nustatant, kaip turėtų būti matuojami </w:t>
                  </w:r>
                  <w:r>
                    <w:rPr>
                      <w:rFonts w:eastAsia="Andale Sans UI"/>
                      <w:szCs w:val="24"/>
                      <w:lang w:eastAsia="lt-LT" w:bidi="en-US"/>
                    </w:rPr>
                    <w:t>9</w:t>
                  </w:r>
                  <w:r>
                    <w:rPr>
                      <w:rFonts w:eastAsia="Andale Sans UI"/>
                      <w:szCs w:val="24"/>
                      <w:vertAlign w:val="superscript"/>
                      <w:lang w:eastAsia="lt-LT" w:bidi="en-US"/>
                    </w:rPr>
                    <w:t>1</w:t>
                  </w:r>
                  <w:r>
                    <w:rPr>
                      <w:rFonts w:eastAsia="Andale Sans UI"/>
                      <w:szCs w:val="24"/>
                      <w:lang w:eastAsia="lt-LT" w:bidi="en-US"/>
                    </w:rPr>
                    <w:t xml:space="preserve">.6 papunktyje nurodyti atstumai. </w:t>
                  </w:r>
                  <w:r>
                    <w:rPr>
                      <w:rFonts w:eastAsia="Andale Sans UI"/>
                      <w:szCs w:val="24"/>
                      <w:lang w:bidi="en-US"/>
                    </w:rPr>
                    <w:t>Papildyti Kokybės reikalavimus priedu „Atstumų iki komunalinių atliekų konteinerių aikštelės matavimo schemos pavyzdys“.</w:t>
                  </w:r>
                </w:p>
              </w:sdtContent>
            </w:sdt>
            <w:sdt>
              <w:sdtPr>
                <w:alias w:val="7 p."/>
                <w:tag w:val="part_03481f03e137436f831ac4017536b91a"/>
                <w:lock w:val="sdtLocked"/>
                <w:richText/>
              </w:sdtPr>
              <w:sdtContent>
                <w:p>
                  <w:pPr>
                    <w:widowControl w:val="0"/>
                    <w:shd w:val="clear" w:color="auto" w:fill="FFFFFF"/>
                    <w:tabs>
                      <w:tab w:val="left" w:pos="851"/>
                    </w:tabs>
                    <w:suppressAutoHyphens/>
                    <w:spacing w:line="23" w:lineRule="atLeast"/>
                    <w:ind w:firstLine="567"/>
                    <w:jc w:val="both"/>
                    <w:textAlignment w:val="center"/>
                    <w:rPr>
                      <w:rFonts w:eastAsia="Andale Sans UI"/>
                      <w:szCs w:val="24"/>
                      <w:lang w:bidi="en-US"/>
                    </w:rPr>
                  </w:pPr>
                  <w:sdt>
                    <w:sdtPr>
                      <w:alias w:val="Numeris"/>
                      <w:tag w:val="nr_03481f03e137436f831ac4017536b91a"/>
                      <w:lock w:val="sdtLocked"/>
                      <w:richText/>
                    </w:sdtPr>
                    <w:sdtContent>
                      <w:r>
                        <w:rPr>
                          <w:rFonts w:eastAsia="Andale Sans UI"/>
                          <w:szCs w:val="24"/>
                          <w:lang w:bidi="en-US"/>
                        </w:rPr>
                        <w:t>7</w:t>
                      </w:r>
                    </w:sdtContent>
                  </w:sdt>
                  <w:r>
                    <w:rPr>
                      <w:rFonts w:eastAsia="Andale Sans UI"/>
                      <w:szCs w:val="24"/>
                      <w:lang w:bidi="en-US"/>
                    </w:rPr>
                    <w:t>.</w:t>
                    <w:tab/>
                    <w:t>Įsakymo projekte numatyti, kad a</w:t>
                  </w:r>
                  <w:r>
                    <w:rPr>
                      <w:szCs w:val="24"/>
                      <w:lang w:eastAsia="lt-LT" w:bidi="en-US"/>
                    </w:rPr>
                    <w:t xml:space="preserve">tliekų surinkimo priemonių ir </w:t>
                  </w:r>
                  <w:r>
                    <w:rPr>
                      <w:rFonts w:eastAsia="Andale Sans UI"/>
                      <w:szCs w:val="24"/>
                      <w:lang w:bidi="en-US"/>
                    </w:rPr>
                    <w:t xml:space="preserve">komunalinių atliekų konteinerių aikštelių reikalavimai būtų taikomi įsigaliojus šiam įsakymui </w:t>
                  </w:r>
                  <w:r>
                    <w:rPr>
                      <w:rFonts w:eastAsia="Calibri"/>
                      <w:szCs w:val="24"/>
                      <w:lang w:bidi="en-US"/>
                    </w:rPr>
                    <w:t>naujai projektuojamoms komunalinių atliekų konteinerių aikštelėms</w:t>
                  </w:r>
                  <w:r>
                    <w:rPr>
                      <w:rFonts w:eastAsia="Andale Sans UI"/>
                      <w:szCs w:val="24"/>
                      <w:lang w:bidi="en-US"/>
                    </w:rPr>
                    <w:t>.</w:t>
                  </w:r>
                </w:p>
              </w:sdtContent>
            </w:sdt>
            <w:sdt>
              <w:sdtPr>
                <w:alias w:val="8 p."/>
                <w:tag w:val="part_92ca3ce7c7c54e76965962ff9295175a"/>
                <w:lock w:val="sdtLocked"/>
                <w:richText/>
              </w:sdtPr>
              <w:sdtContent>
                <w:p>
                  <w:pPr>
                    <w:widowControl w:val="0"/>
                    <w:shd w:val="clear" w:color="auto" w:fill="FFFFFF"/>
                    <w:tabs>
                      <w:tab w:val="left" w:pos="851"/>
                    </w:tabs>
                    <w:suppressAutoHyphens/>
                    <w:spacing w:line="23" w:lineRule="atLeast"/>
                    <w:ind w:firstLine="567"/>
                    <w:jc w:val="both"/>
                    <w:textAlignment w:val="center"/>
                    <w:rPr>
                      <w:rFonts w:eastAsia="Andale Sans UI"/>
                      <w:szCs w:val="24"/>
                      <w:lang w:bidi="en-US"/>
                    </w:rPr>
                  </w:pPr>
                  <w:sdt>
                    <w:sdtPr>
                      <w:alias w:val="Numeris"/>
                      <w:tag w:val="nr_92ca3ce7c7c54e76965962ff9295175a"/>
                      <w:lock w:val="sdtLocked"/>
                      <w:richText/>
                    </w:sdtPr>
                    <w:sdtContent>
                      <w:r>
                        <w:rPr>
                          <w:rFonts w:eastAsia="Andale Sans UI"/>
                          <w:szCs w:val="24"/>
                          <w:lang w:bidi="en-US"/>
                        </w:rPr>
                        <w:t>8</w:t>
                      </w:r>
                    </w:sdtContent>
                  </w:sdt>
                  <w:r>
                    <w:rPr>
                      <w:rFonts w:eastAsia="Andale Sans UI"/>
                      <w:szCs w:val="24"/>
                      <w:lang w:bidi="en-US"/>
                    </w:rPr>
                    <w:t>.</w:t>
                    <w:tab/>
                    <w:t>Atsižvelgus arba iš dalies atsižvelgus į Šiaulių miesto savivaldybės gyventojų asociacijos „Visuomeninės iniciatyvos“, asociacijos „Lieporių bendruomenės centras“, VšĮ „Šiaurės Lietuvos kolegija“ (toliau kartu vadinamos – NVO) pateiktus pasiūlymus:</w:t>
                  </w:r>
                </w:p>
                <w:sdt>
                  <w:sdtPr>
                    <w:alias w:val="8.1 pp."/>
                    <w:tag w:val="part_99bd3b6494974d138193275b66c55571"/>
                    <w:lock w:val="sdtLocked"/>
                    <w:richText/>
                  </w:sdtPr>
                  <w:sdtContent>
                    <w:p>
                      <w:pPr>
                        <w:widowControl w:val="0"/>
                        <w:shd w:val="clear" w:color="auto" w:fill="FFFFFF"/>
                        <w:tabs>
                          <w:tab w:val="left" w:pos="993"/>
                        </w:tabs>
                        <w:suppressAutoHyphens/>
                        <w:spacing w:line="23" w:lineRule="atLeast"/>
                        <w:ind w:firstLine="567"/>
                        <w:jc w:val="both"/>
                        <w:textAlignment w:val="center"/>
                        <w:rPr>
                          <w:rFonts w:eastAsia="Andale Sans UI"/>
                          <w:szCs w:val="24"/>
                          <w:lang w:bidi="en-US"/>
                        </w:rPr>
                      </w:pPr>
                      <w:sdt>
                        <w:sdtPr>
                          <w:alias w:val="Numeris"/>
                          <w:tag w:val="nr_99bd3b6494974d138193275b66c55571"/>
                          <w:lock w:val="sdtLocked"/>
                          <w:richText/>
                        </w:sdtPr>
                        <w:sdtContent>
                          <w:r>
                            <w:rPr>
                              <w:rFonts w:eastAsia="Andale Sans UI"/>
                              <w:szCs w:val="24"/>
                              <w:lang w:bidi="en-US"/>
                            </w:rPr>
                            <w:t>8.1</w:t>
                          </w:r>
                        </w:sdtContent>
                      </w:sdt>
                      <w:r>
                        <w:rPr>
                          <w:rFonts w:eastAsia="Andale Sans UI"/>
                          <w:szCs w:val="24"/>
                          <w:lang w:bidi="en-US"/>
                        </w:rPr>
                        <w:t>.</w:t>
                        <w:tab/>
                        <w:t xml:space="preserve">  patikslinti Kokybės reikalavimų</w:t>
                      </w:r>
                      <w:r>
                        <w:rPr>
                          <w:rFonts w:eastAsia="Andale Sans UI"/>
                          <w:bCs/>
                          <w:szCs w:val="24"/>
                          <w:lang w:bidi="en-US"/>
                        </w:rPr>
                        <w:t xml:space="preserve"> </w:t>
                      </w:r>
                      <w:r>
                        <w:rPr>
                          <w:rFonts w:eastAsia="Andale Sans UI"/>
                          <w:szCs w:val="24"/>
                          <w:lang w:bidi="en-US"/>
                        </w:rPr>
                        <w:t xml:space="preserve">12 punktą numatant, kad ant atliekų surinkimo priemonių turi būti nurodyta </w:t>
                      </w:r>
                      <w:r>
                        <w:rPr>
                          <w:color w:val="000000"/>
                          <w:szCs w:val="24"/>
                          <w:lang w:bidi="en-US"/>
                        </w:rPr>
                        <w:t xml:space="preserve">prievolė uždaryti atliekų surinkimo priemonės liuką (jeigu jis yra). </w:t>
                      </w:r>
                      <w:r>
                        <w:rPr>
                          <w:szCs w:val="24"/>
                          <w:lang w:bidi="en-US"/>
                        </w:rPr>
                        <w:t>Už šį reikalavimo įgyvendinimą atsakinga savivaldybė ir (ar) administratorius ir (ar) atliekų tvarkytojas;</w:t>
                      </w:r>
                    </w:p>
                  </w:sdtContent>
                </w:sdt>
                <w:sdt>
                  <w:sdtPr>
                    <w:alias w:val="8.2 pp."/>
                    <w:tag w:val="part_f407974a0d4a4f4c9472ea7e25b0d6e1"/>
                    <w:lock w:val="sdtLocked"/>
                    <w:richText/>
                  </w:sdtPr>
                  <w:sdtContent>
                    <w:p>
                      <w:pPr>
                        <w:widowControl w:val="0"/>
                        <w:shd w:val="clear" w:color="auto" w:fill="FFFFFF"/>
                        <w:tabs>
                          <w:tab w:val="left" w:pos="993"/>
                        </w:tabs>
                        <w:suppressAutoHyphens/>
                        <w:spacing w:line="23" w:lineRule="atLeast"/>
                        <w:ind w:firstLine="567"/>
                        <w:jc w:val="both"/>
                        <w:textAlignment w:val="center"/>
                        <w:rPr>
                          <w:rFonts w:eastAsia="Andale Sans UI"/>
                          <w:szCs w:val="24"/>
                          <w:lang w:bidi="en-US"/>
                        </w:rPr>
                      </w:pPr>
                      <w:sdt>
                        <w:sdtPr>
                          <w:alias w:val="Numeris"/>
                          <w:tag w:val="nr_f407974a0d4a4f4c9472ea7e25b0d6e1"/>
                          <w:lock w:val="sdtLocked"/>
                          <w:richText/>
                        </w:sdtPr>
                        <w:sdtContent>
                          <w:r>
                            <w:rPr>
                              <w:rFonts w:eastAsia="Andale Sans UI"/>
                              <w:szCs w:val="24"/>
                              <w:lang w:bidi="en-US"/>
                            </w:rPr>
                            <w:t>8.2</w:t>
                          </w:r>
                        </w:sdtContent>
                      </w:sdt>
                      <w:r>
                        <w:rPr>
                          <w:rFonts w:eastAsia="Andale Sans UI"/>
                          <w:szCs w:val="24"/>
                          <w:lang w:bidi="en-US"/>
                        </w:rPr>
                        <w:t>.</w:t>
                        <w:tab/>
                        <w:t xml:space="preserve">patikslinti Kokybės reikalavimų 15.1 papunktį numatant, kad atliekų tvarkytojas, vykdydamas atliekų surinkimą ir vežimą iš atliekų surinkimo priemonių, privalo surinkti ne tik visas atliekas, leistinas šalinti konkrečioje atliekų surinkimo priemonėje, bet ir šalia šių atliekų surinkimo priemonių (komunalinių atliekų konteinerių aikštelės ribose) paliktas (išbarstytas) atliekas (toliau – neleistinai paliktos atliekos); papildant NVO siūlymą, Kokybės reikalavimų 15.1 papunktyje numatyti, kad turi būti surinktos ir 5 m spinduliu aplink atliekų surinkimo priemones ir (ar) komunalinių atliekų konteinerių aikšteles paliktos (išbarstytos) atliekos, pripažinti netekusiu galios Kokybės reikalavimų 16.1 papunktį, pagal kurį atliekų tvarkytojas neprivalėjo surinkti </w:t>
                      </w:r>
                      <w:r>
                        <w:rPr>
                          <w:rFonts w:eastAsia="Andale Sans UI" w:cs="Tahoma"/>
                          <w:color w:val="000000"/>
                          <w:szCs w:val="24"/>
                          <w:lang w:bidi="en-US"/>
                        </w:rPr>
                        <w:t>prie atliekų surinkimo priemonių paliktas mišrias komunalines ir kitas atliekas</w:t>
                      </w:r>
                      <w:r>
                        <w:rPr>
                          <w:rFonts w:eastAsia="Andale Sans UI"/>
                          <w:szCs w:val="24"/>
                          <w:lang w:bidi="en-US"/>
                        </w:rPr>
                        <w:t>;</w:t>
                      </w:r>
                    </w:p>
                  </w:sdtContent>
                </w:sdt>
                <w:sdt>
                  <w:sdtPr>
                    <w:alias w:val="8.3 pp."/>
                    <w:tag w:val="part_f60de099b0264c9cbdd003900b98d6af"/>
                    <w:lock w:val="sdtLocked"/>
                    <w:richText/>
                  </w:sdtPr>
                  <w:sdtContent>
                    <w:p>
                      <w:pPr>
                        <w:widowControl w:val="0"/>
                        <w:shd w:val="clear" w:color="auto" w:fill="FFFFFF"/>
                        <w:tabs>
                          <w:tab w:val="left" w:pos="993"/>
                        </w:tabs>
                        <w:suppressAutoHyphens/>
                        <w:spacing w:line="23" w:lineRule="atLeast"/>
                        <w:ind w:firstLine="567"/>
                        <w:jc w:val="both"/>
                        <w:textAlignment w:val="center"/>
                        <w:rPr>
                          <w:rFonts w:eastAsia="Andale Sans UI"/>
                          <w:szCs w:val="24"/>
                          <w:lang w:bidi="en-US"/>
                        </w:rPr>
                      </w:pPr>
                      <w:sdt>
                        <w:sdtPr>
                          <w:alias w:val="Numeris"/>
                          <w:tag w:val="nr_f60de099b0264c9cbdd003900b98d6af"/>
                          <w:lock w:val="sdtLocked"/>
                          <w:richText/>
                        </w:sdtPr>
                        <w:sdtContent>
                          <w:r>
                            <w:rPr>
                              <w:rFonts w:eastAsia="Andale Sans UI"/>
                              <w:szCs w:val="24"/>
                              <w:lang w:bidi="en-US"/>
                            </w:rPr>
                            <w:t>8.3</w:t>
                          </w:r>
                        </w:sdtContent>
                      </w:sdt>
                      <w:r>
                        <w:rPr>
                          <w:rFonts w:eastAsia="Andale Sans UI"/>
                          <w:szCs w:val="24"/>
                          <w:lang w:bidi="en-US"/>
                        </w:rPr>
                        <w:t>.</w:t>
                        <w:tab/>
                        <w:t>patikslinti Kokybės reikalavimų 17 punktą, numatant, kad savivaldybė ir (ar) komunalinių atliekų tvarkymo sistemos administratoriaus (toliau – administratorius), siekdami užkirsti kelią atvejų, kai atliekų tvarkytojas negali surinkti atliekų iš jų surinkimo priemonių dėl Kokybės reikalavimų 16 punkte nurodytų priežasčių arba surenka neleistinai paliktas atliekas, pasikartojimui, nedelsdami turi imtis priemonių, numatytų savivaldybės atliekų tvarkymo taisyklėse;</w:t>
                      </w:r>
                    </w:p>
                  </w:sdtContent>
                </w:sdt>
                <w:sdt>
                  <w:sdtPr>
                    <w:alias w:val="8.4 pp."/>
                    <w:tag w:val="part_670e62070aa94e2aa35094e184881148"/>
                    <w:lock w:val="sdtLocked"/>
                    <w:richText/>
                  </w:sdtPr>
                  <w:sdtContent>
                    <w:p>
                      <w:pPr>
                        <w:widowControl w:val="0"/>
                        <w:shd w:val="clear" w:color="auto" w:fill="FFFFFF"/>
                        <w:tabs>
                          <w:tab w:val="left" w:pos="993"/>
                        </w:tabs>
                        <w:suppressAutoHyphens/>
                        <w:spacing w:line="23" w:lineRule="atLeast"/>
                        <w:ind w:firstLine="567"/>
                        <w:jc w:val="both"/>
                        <w:textAlignment w:val="center"/>
                        <w:rPr>
                          <w:rFonts w:eastAsia="Andale Sans UI"/>
                          <w:szCs w:val="24"/>
                          <w:lang w:bidi="en-US"/>
                        </w:rPr>
                      </w:pPr>
                      <w:sdt>
                        <w:sdtPr>
                          <w:alias w:val="Numeris"/>
                          <w:tag w:val="nr_670e62070aa94e2aa35094e184881148"/>
                          <w:lock w:val="sdtLocked"/>
                          <w:richText/>
                        </w:sdtPr>
                        <w:sdtContent>
                          <w:r>
                            <w:rPr>
                              <w:rFonts w:eastAsia="Andale Sans UI"/>
                              <w:szCs w:val="24"/>
                              <w:lang w:bidi="en-US"/>
                            </w:rPr>
                            <w:t>8.4</w:t>
                          </w:r>
                        </w:sdtContent>
                      </w:sdt>
                      <w:r>
                        <w:rPr>
                          <w:rFonts w:eastAsia="Andale Sans UI"/>
                          <w:szCs w:val="24"/>
                          <w:lang w:bidi="en-US"/>
                        </w:rPr>
                        <w:t>.</w:t>
                        <w:tab/>
                        <w:t>patikslinti Kokybės reikalavimų 19 punktą, numatant, kad, esant reguliariai perpildytoms atliekų surinkimo priemonėms ne dėl atliekų tvarkytojo kaltės, atliekų tvarkytojas privalo siūlyti atliekų turėtojui ar jo atstovui tikslinti savivaldybės ar administratoriaus ir atliekų turėtojo sudarytą Paslaugos teikimo sutartį (toliau – Sutartis), jei ji sudaryta, arba spręsti klausimą savivaldybės ar administratoriaus nustatyta tvarka;</w:t>
                      </w:r>
                    </w:p>
                  </w:sdtContent>
                </w:sdt>
                <w:sdt>
                  <w:sdtPr>
                    <w:alias w:val="8.5 pp."/>
                    <w:tag w:val="part_4832d27689f142cfbe4763859e67ed54"/>
                    <w:lock w:val="sdtLocked"/>
                    <w:richText/>
                  </w:sdtPr>
                  <w:sdtContent>
                    <w:p>
                      <w:pPr>
                        <w:widowControl w:val="0"/>
                        <w:shd w:val="clear" w:color="auto" w:fill="FFFFFF"/>
                        <w:tabs>
                          <w:tab w:val="left" w:pos="993"/>
                        </w:tabs>
                        <w:suppressAutoHyphens/>
                        <w:spacing w:line="23" w:lineRule="atLeast"/>
                        <w:ind w:firstLine="567"/>
                        <w:jc w:val="both"/>
                        <w:textAlignment w:val="center"/>
                        <w:rPr>
                          <w:rFonts w:eastAsia="Andale Sans UI"/>
                          <w:szCs w:val="24"/>
                          <w:lang w:bidi="en-US"/>
                        </w:rPr>
                      </w:pPr>
                      <w:sdt>
                        <w:sdtPr>
                          <w:alias w:val="Numeris"/>
                          <w:tag w:val="nr_4832d27689f142cfbe4763859e67ed54"/>
                          <w:lock w:val="sdtLocked"/>
                          <w:richText/>
                        </w:sdtPr>
                        <w:sdtContent>
                          <w:r>
                            <w:rPr>
                              <w:rFonts w:eastAsia="Andale Sans UI"/>
                              <w:szCs w:val="24"/>
                              <w:lang w:bidi="en-US"/>
                            </w:rPr>
                            <w:t>8.5</w:t>
                          </w:r>
                        </w:sdtContent>
                      </w:sdt>
                      <w:r>
                        <w:rPr>
                          <w:rFonts w:eastAsia="Andale Sans UI"/>
                          <w:szCs w:val="24"/>
                          <w:lang w:bidi="en-US"/>
                        </w:rPr>
                        <w:t>.</w:t>
                        <w:tab/>
                      </w:r>
                      <w:r>
                        <w:rPr>
                          <w:color w:val="000000"/>
                          <w:szCs w:val="24"/>
                          <w:lang w:bidi="en-US"/>
                        </w:rPr>
                        <w:t xml:space="preserve"> patikslinti </w:t>
                      </w:r>
                      <w:r>
                        <w:rPr>
                          <w:rFonts w:eastAsia="Andale Sans UI"/>
                          <w:szCs w:val="24"/>
                          <w:lang w:bidi="en-US"/>
                        </w:rPr>
                        <w:t>Kokybės reikalavimų</w:t>
                      </w:r>
                      <w:r>
                        <w:rPr>
                          <w:rFonts w:eastAsia="Andale Sans UI"/>
                          <w:bCs/>
                          <w:szCs w:val="24"/>
                          <w:lang w:bidi="en-US"/>
                        </w:rPr>
                        <w:t xml:space="preserve"> </w:t>
                      </w:r>
                      <w:r>
                        <w:rPr>
                          <w:rFonts w:eastAsia="Andale Sans UI"/>
                          <w:szCs w:val="24"/>
                          <w:lang w:bidi="en-US"/>
                        </w:rPr>
                        <w:t>46 punktą numatant, kad informacija apie Paslaugą ir buityje susidarančių atliekų surinkimo ir vežimo būdus gali būti skelbiama stenduose šalia konteinerių aikštelių.</w:t>
                      </w:r>
                    </w:p>
                  </w:sdtContent>
                </w:sdt>
              </w:sdtContent>
            </w:sdt>
            <w:sdt>
              <w:sdtPr>
                <w:alias w:val="9 p."/>
                <w:tag w:val="part_00a68646874e4771b259455ca09e2b3b"/>
                <w:lock w:val="sdtLocked"/>
                <w:richText/>
              </w:sdtPr>
              <w:sdtContent>
                <w:p>
                  <w:pPr>
                    <w:widowControl w:val="0"/>
                    <w:shd w:val="clear" w:color="auto" w:fill="FFFFFF"/>
                    <w:tabs>
                      <w:tab w:val="left" w:pos="851"/>
                      <w:tab w:val="left" w:pos="993"/>
                    </w:tabs>
                    <w:suppressAutoHyphens/>
                    <w:spacing w:line="23" w:lineRule="atLeast"/>
                    <w:ind w:firstLine="567"/>
                    <w:jc w:val="both"/>
                    <w:textAlignment w:val="center"/>
                    <w:rPr>
                      <w:rFonts w:eastAsia="Andale Sans UI"/>
                      <w:szCs w:val="24"/>
                      <w:lang w:bidi="en-US"/>
                    </w:rPr>
                  </w:pPr>
                  <w:sdt>
                    <w:sdtPr>
                      <w:alias w:val="Numeris"/>
                      <w:tag w:val="nr_00a68646874e4771b259455ca09e2b3b"/>
                      <w:lock w:val="sdtLocked"/>
                      <w:richText/>
                    </w:sdtPr>
                    <w:sdtContent>
                      <w:r>
                        <w:rPr>
                          <w:rFonts w:eastAsia="Andale Sans UI"/>
                          <w:szCs w:val="24"/>
                          <w:lang w:bidi="en-US"/>
                        </w:rPr>
                        <w:t>9</w:t>
                      </w:r>
                    </w:sdtContent>
                  </w:sdt>
                  <w:r>
                    <w:rPr>
                      <w:rFonts w:eastAsia="Andale Sans UI"/>
                      <w:szCs w:val="24"/>
                      <w:lang w:bidi="en-US"/>
                    </w:rPr>
                    <w:t>.</w:t>
                    <w:tab/>
                    <w:t>Patikslinti Kokybės reikalavimų 15.3 papunktį numatant, kad atliekų tvarkytojas privalo surinkti surinkimo ir vežimo metu išsibarsčiusias atliekas, panaikinant galimybę atliekų tvarkytojo ir savivaldybės ar administratoriaus sudarytoje sutartyje nustatyti kitaip.</w:t>
                  </w:r>
                </w:p>
              </w:sdtContent>
            </w:sdt>
            <w:sdt>
              <w:sdtPr>
                <w:alias w:val="10 p."/>
                <w:tag w:val="part_965fe6aa8afd45acae0fc216f213fac9"/>
                <w:lock w:val="sdtLocked"/>
                <w:richText/>
              </w:sdtPr>
              <w:sdtContent>
                <w:p>
                  <w:pPr>
                    <w:widowControl w:val="0"/>
                    <w:shd w:val="clear" w:color="auto" w:fill="FFFFFF"/>
                    <w:tabs>
                      <w:tab w:val="left" w:pos="851"/>
                      <w:tab w:val="left" w:pos="993"/>
                    </w:tabs>
                    <w:suppressAutoHyphens/>
                    <w:spacing w:line="23" w:lineRule="atLeast"/>
                    <w:ind w:firstLine="567"/>
                    <w:jc w:val="both"/>
                    <w:textAlignment w:val="center"/>
                    <w:rPr>
                      <w:rFonts w:eastAsia="Andale Sans UI"/>
                      <w:szCs w:val="24"/>
                      <w:lang w:bidi="en-US"/>
                    </w:rPr>
                  </w:pPr>
                  <w:sdt>
                    <w:sdtPr>
                      <w:alias w:val="Numeris"/>
                      <w:tag w:val="nr_965fe6aa8afd45acae0fc216f213fac9"/>
                      <w:lock w:val="sdtLocked"/>
                      <w:richText/>
                    </w:sdtPr>
                    <w:sdtContent>
                      <w:r>
                        <w:rPr>
                          <w:rFonts w:eastAsia="Andale Sans UI"/>
                          <w:szCs w:val="24"/>
                          <w:lang w:bidi="en-US"/>
                        </w:rPr>
                        <w:t>10</w:t>
                      </w:r>
                    </w:sdtContent>
                  </w:sdt>
                  <w:r>
                    <w:rPr>
                      <w:rFonts w:eastAsia="Andale Sans UI"/>
                      <w:szCs w:val="24"/>
                      <w:lang w:bidi="en-US"/>
                    </w:rPr>
                    <w:t>.</w:t>
                    <w:tab/>
                    <w:t xml:space="preserve">Patikslinti Kokybės reikalavimų 23 punktą ir papildyti Kokybės reikalavimus </w:t>
                  </w:r>
                  <w:r>
                    <w:rPr>
                      <w:rFonts w:eastAsia="Andale Sans UI" w:cs="Tahoma"/>
                      <w:color w:val="000000"/>
                      <w:szCs w:val="24"/>
                      <w:lang w:bidi="en-US"/>
                    </w:rPr>
                    <w:t>41</w:t>
                  </w:r>
                  <w:r>
                    <w:rPr>
                      <w:rFonts w:eastAsia="Andale Sans UI" w:cs="Tahoma"/>
                      <w:color w:val="000000"/>
                      <w:szCs w:val="24"/>
                      <w:vertAlign w:val="superscript"/>
                      <w:lang w:bidi="en-US"/>
                    </w:rPr>
                    <w:t>1</w:t>
                  </w:r>
                  <w:r>
                    <w:rPr>
                      <w:rFonts w:eastAsia="Andale Sans UI" w:cs="Tahoma"/>
                      <w:color w:val="000000"/>
                      <w:szCs w:val="24"/>
                      <w:lang w:bidi="en-US"/>
                    </w:rPr>
                    <w:t xml:space="preserve"> punktu, numatant, kad atliekų tvarkytojas turi reguliariai plauti ir (ar) dezinfekuoti kolektyvinius mišrių komunalinių atliekų surinkimo konteinerius ir kolektyvinius biologinių atliekų surinkimo konteinerius vadovaudamasis savivaldybės tarybos patvirtintomis sanitarijos ir higienos taisyklėmis ir (ar) savivaldybės atliekų tvarkymo taisyklėse nustatyta tvarka. </w:t>
                  </w:r>
                  <w:r>
                    <w:rPr>
                      <w:color w:val="000000"/>
                      <w:szCs w:val="24"/>
                      <w:lang w:bidi="en-US"/>
                    </w:rPr>
                    <w:t>Dezinfekavimui naudojami biocidai turi atitikti 2012 m. gegužės 22 d.</w:t>
                  </w:r>
                  <w:r>
                    <w:rPr>
                      <w:szCs w:val="24"/>
                      <w:lang w:bidi="en-US"/>
                    </w:rPr>
                    <w:t xml:space="preserve"> </w:t>
                  </w:r>
                  <w:r>
                    <w:rPr>
                      <w:color w:val="000000"/>
                      <w:szCs w:val="24"/>
                      <w:lang w:bidi="en-US"/>
                    </w:rPr>
                    <w:t xml:space="preserve">Europos Parlamento ir Tarybos Reglamento </w:t>
                  </w:r>
                  <w:fldSimple w:instr="HYPERLINK http://eur-lex.europa.eu/legal-content/LIT/TXT/?uri=CELEX:32012R0528&amp;locale=lt \t _blank">
                    <w:r>
                      <w:rPr>
                        <w:color w:val="0000FF" w:themeColor="hyperlink"/>
                        <w:szCs w:val="24"/>
                        <w:lang w:bidi="en-US"/>
                        <w:u w:val="single"/>
                      </w:rPr>
                      <w:t>(ES) Nr. 528/2012</w:t>
                    </w:r>
                  </w:fldSimple>
                  <w:r>
                    <w:rPr>
                      <w:color w:val="000000"/>
                      <w:szCs w:val="24"/>
                      <w:lang w:bidi="en-US"/>
                    </w:rPr>
                    <w:t xml:space="preserve"> dėl biocidinių produktų tiekimo rinkai ir jų naudojimo nustatytus reikalavimus. Individualių mišrių komunalinių atliekų surinkimo konteinerių plovimo tvarka nustatoma Sutartyje ar savivaldybės atliekų tvarkymo taisyklėse.</w:t>
                  </w:r>
                </w:p>
              </w:sdtContent>
            </w:sdt>
            <w:sdt>
              <w:sdtPr>
                <w:alias w:val="11 p."/>
                <w:tag w:val="part_7dc93933d06845b0a45a5e9dedc8ae51"/>
                <w:lock w:val="sdtLocked"/>
                <w:richText/>
              </w:sdtPr>
              <w:sdtContent>
                <w:p>
                  <w:pPr>
                    <w:widowControl w:val="0"/>
                    <w:shd w:val="clear" w:color="auto" w:fill="FFFFFF"/>
                    <w:tabs>
                      <w:tab w:val="left" w:pos="851"/>
                      <w:tab w:val="left" w:pos="993"/>
                    </w:tabs>
                    <w:suppressAutoHyphens/>
                    <w:spacing w:line="23" w:lineRule="atLeast"/>
                    <w:ind w:firstLine="567"/>
                    <w:jc w:val="both"/>
                    <w:textAlignment w:val="center"/>
                    <w:rPr>
                      <w:rFonts w:eastAsia="Andale Sans UI"/>
                      <w:szCs w:val="24"/>
                      <w:lang w:bidi="en-US"/>
                    </w:rPr>
                  </w:pPr>
                  <w:sdt>
                    <w:sdtPr>
                      <w:alias w:val="Numeris"/>
                      <w:tag w:val="nr_7dc93933d06845b0a45a5e9dedc8ae51"/>
                      <w:lock w:val="sdtLocked"/>
                      <w:richText/>
                    </w:sdtPr>
                    <w:sdtContent>
                      <w:r>
                        <w:rPr>
                          <w:rFonts w:eastAsia="Andale Sans UI"/>
                          <w:szCs w:val="24"/>
                          <w:lang w:bidi="en-US"/>
                        </w:rPr>
                        <w:t>11</w:t>
                      </w:r>
                    </w:sdtContent>
                  </w:sdt>
                  <w:r>
                    <w:rPr>
                      <w:rFonts w:eastAsia="Andale Sans UI"/>
                      <w:szCs w:val="24"/>
                      <w:lang w:bidi="en-US"/>
                    </w:rPr>
                    <w:t>.</w:t>
                    <w:tab/>
                    <w:t xml:space="preserve">Patikslinti Kokybės reikalavimų </w:t>
                  </w:r>
                  <w:r>
                    <w:rPr>
                      <w:szCs w:val="24"/>
                      <w:lang w:bidi="en-US"/>
                    </w:rPr>
                    <w:t>V skyriaus „</w:t>
                  </w:r>
                  <w:r>
                    <w:rPr>
                      <w:rFonts w:eastAsia="Andale Sans UI"/>
                      <w:szCs w:val="24"/>
                      <w:lang w:bidi="en-US"/>
                    </w:rPr>
                    <w:t xml:space="preserve">Specialieji kokybės reikalavimai antrinių žaliavų ir pakuočių atliekų surinkimui ir vežimui“ </w:t>
                  </w:r>
                  <w:r>
                    <w:rPr>
                      <w:szCs w:val="24"/>
                      <w:lang w:bidi="en-US"/>
                    </w:rPr>
                    <w:t>nuostatas</w:t>
                  </w:r>
                  <w:r>
                    <w:rPr>
                      <w:rFonts w:eastAsia="Andale Sans UI"/>
                      <w:szCs w:val="24"/>
                      <w:lang w:bidi="en-US"/>
                    </w:rPr>
                    <w:t>, numatant, kad reikalavimai antrinių žaliavų ir pakuočių atliekų surinkimui skirtiems konteineriams, jų įrengimui, atnaujinimui ir priežiūrai, antrinių žaliavų ir pakuočių atliekų surinkimui iš konteinerių nustatyti Būtinuosiuose reikalavimuose.</w:t>
                  </w:r>
                </w:p>
              </w:sdtContent>
            </w:sdt>
            <w:sdt>
              <w:sdtPr>
                <w:alias w:val="12 p."/>
                <w:tag w:val="part_fd9ce2f520dc49fcb5e4ddfcd9928d7f"/>
                <w:lock w:val="sdtLocked"/>
                <w:richText/>
              </w:sdtPr>
              <w:sdtContent>
                <w:p>
                  <w:pPr>
                    <w:widowControl w:val="0"/>
                    <w:shd w:val="clear" w:color="auto" w:fill="FFFFFF"/>
                    <w:tabs>
                      <w:tab w:val="left" w:pos="851"/>
                      <w:tab w:val="left" w:pos="993"/>
                    </w:tabs>
                    <w:suppressAutoHyphens/>
                    <w:spacing w:line="23" w:lineRule="atLeast"/>
                    <w:ind w:firstLine="567"/>
                    <w:jc w:val="both"/>
                    <w:textAlignment w:val="center"/>
                    <w:rPr>
                      <w:rFonts w:eastAsia="Andale Sans UI"/>
                      <w:szCs w:val="24"/>
                      <w:lang w:bidi="en-US"/>
                    </w:rPr>
                  </w:pPr>
                  <w:sdt>
                    <w:sdtPr>
                      <w:alias w:val="Numeris"/>
                      <w:tag w:val="nr_fd9ce2f520dc49fcb5e4ddfcd9928d7f"/>
                      <w:lock w:val="sdtLocked"/>
                      <w:richText/>
                    </w:sdtPr>
                    <w:sdtContent>
                      <w:r>
                        <w:rPr>
                          <w:rFonts w:eastAsia="Andale Sans UI"/>
                          <w:szCs w:val="24"/>
                          <w:lang w:bidi="en-US"/>
                        </w:rPr>
                        <w:t>12</w:t>
                      </w:r>
                    </w:sdtContent>
                  </w:sdt>
                  <w:r>
                    <w:rPr>
                      <w:rFonts w:eastAsia="Andale Sans UI"/>
                      <w:szCs w:val="24"/>
                      <w:lang w:bidi="en-US"/>
                    </w:rPr>
                    <w:t>.</w:t>
                    <w:tab/>
                  </w:r>
                  <w:r>
                    <w:rPr>
                      <w:szCs w:val="24"/>
                      <w:lang w:bidi="en-US"/>
                    </w:rPr>
                    <w:t xml:space="preserve">Atsižvelgiant į tai, kad pagal patikslintą Atliekų tvarkymo įstatymo 2 straipsnio 39 dalyje vartojamą sąvoką „komunalinės atliekos“ statybinės atliekos nepriskiriamos komunalinėms atliekoms, tikslinamos Kokybės reikalavimų 6.4 papunkčio ir 34–36 punktų nuostatos numatant reikalavimus buityje susidarančių statybinių atliekų, </w:t>
                  </w:r>
                  <w:r>
                    <w:rPr>
                      <w:bCs/>
                      <w:color w:val="000000"/>
                      <w:szCs w:val="24"/>
                      <w:lang w:bidi="en-US"/>
                    </w:rPr>
                    <w:t>susidariusių gyventojui atliekant darbus statybos ūkio būdu,</w:t>
                  </w:r>
                  <w:r>
                    <w:rPr>
                      <w:szCs w:val="24"/>
                      <w:lang w:bidi="en-US"/>
                    </w:rPr>
                    <w:t xml:space="preserve"> tvarkymui. Be to, atsižvelgiant į Plano </w:t>
                  </w:r>
                  <w:r>
                    <w:rPr>
                      <w:color w:val="000000"/>
                      <w:szCs w:val="24"/>
                      <w:lang w:bidi="en-US"/>
                    </w:rPr>
                    <w:t>261.7.4 papunkčio nuostatas, patikslinti Kokybės reikalavimų 36.2 papunktį numatant, kad ne rečiau kaip 4 kartus per metus DGA surenkamos apvažiuojant (t. y. vykdant apvažiuojamąjį surinkimą).</w:t>
                  </w:r>
                </w:p>
              </w:sdtContent>
            </w:sdt>
            <w:sdt>
              <w:sdtPr>
                <w:alias w:val="13 p."/>
                <w:tag w:val="part_45640107030b4c4b84b8bde287af5d08"/>
                <w:lock w:val="sdtLocked"/>
                <w:richText/>
              </w:sdtPr>
              <w:sdtContent>
                <w:p>
                  <w:pPr>
                    <w:widowControl w:val="0"/>
                    <w:shd w:val="clear" w:color="auto" w:fill="FFFFFF"/>
                    <w:tabs>
                      <w:tab w:val="left" w:pos="851"/>
                      <w:tab w:val="left" w:pos="993"/>
                    </w:tabs>
                    <w:suppressAutoHyphens/>
                    <w:spacing w:line="23" w:lineRule="atLeast"/>
                    <w:ind w:firstLine="567"/>
                    <w:jc w:val="both"/>
                    <w:textAlignment w:val="center"/>
                    <w:rPr>
                      <w:rFonts w:eastAsia="Andale Sans UI"/>
                      <w:szCs w:val="24"/>
                      <w:lang w:bidi="en-US"/>
                    </w:rPr>
                  </w:pPr>
                  <w:sdt>
                    <w:sdtPr>
                      <w:alias w:val="Numeris"/>
                      <w:tag w:val="nr_45640107030b4c4b84b8bde287af5d08"/>
                      <w:lock w:val="sdtLocked"/>
                      <w:richText/>
                    </w:sdtPr>
                    <w:sdtContent>
                      <w:r>
                        <w:rPr>
                          <w:rFonts w:eastAsia="Andale Sans UI"/>
                          <w:szCs w:val="24"/>
                          <w:lang w:bidi="en-US"/>
                        </w:rPr>
                        <w:t>13</w:t>
                      </w:r>
                    </w:sdtContent>
                  </w:sdt>
                  <w:r>
                    <w:rPr>
                      <w:rFonts w:eastAsia="Andale Sans UI"/>
                      <w:szCs w:val="24"/>
                      <w:lang w:bidi="en-US"/>
                    </w:rPr>
                    <w:t>.</w:t>
                    <w:tab/>
                    <w:t xml:space="preserve">Atsižvelgiant į tai, kad KET nėra kelio ženklo, kuris galėtų nurodyti judėjimo kryptį į DGASA ir neplanuojama tokį kelio ženklą įteisinti, pripažinti </w:t>
                  </w:r>
                  <w:r>
                    <w:rPr>
                      <w:szCs w:val="24"/>
                      <w:lang w:eastAsia="lt-LT" w:bidi="en-US"/>
                    </w:rPr>
                    <w:t xml:space="preserve">netekusiu galios </w:t>
                  </w:r>
                  <w:r>
                    <w:rPr>
                      <w:rFonts w:eastAsia="Andale Sans UI"/>
                      <w:szCs w:val="24"/>
                      <w:lang w:bidi="en-US"/>
                    </w:rPr>
                    <w:t xml:space="preserve">Kokybės reikalavimų </w:t>
                  </w:r>
                  <w:r>
                    <w:rPr>
                      <w:szCs w:val="24"/>
                      <w:lang w:eastAsia="lt-LT" w:bidi="en-US"/>
                    </w:rPr>
                    <w:t>37.5 papunktį, t. y. reikalavimą pakeliui į DGASA įrengti kelio ženklų nuorodas apie DGASA.</w:t>
                  </w:r>
                </w:p>
              </w:sdtContent>
            </w:sdt>
            <w:sdt>
              <w:sdtPr>
                <w:alias w:val="14 p."/>
                <w:tag w:val="part_0364ad0f01884b0fb288af9678e44477"/>
                <w:lock w:val="sdtLocked"/>
                <w:richText/>
              </w:sdtPr>
              <w:sdtContent>
                <w:p>
                  <w:pPr>
                    <w:widowControl w:val="0"/>
                    <w:shd w:val="clear" w:color="auto" w:fill="FFFFFF"/>
                    <w:tabs>
                      <w:tab w:val="left" w:pos="851"/>
                      <w:tab w:val="left" w:pos="993"/>
                    </w:tabs>
                    <w:suppressAutoHyphens/>
                    <w:spacing w:line="23" w:lineRule="atLeast"/>
                    <w:ind w:firstLine="567"/>
                    <w:jc w:val="both"/>
                    <w:textAlignment w:val="center"/>
                    <w:rPr>
                      <w:rFonts w:eastAsia="Andale Sans UI"/>
                      <w:szCs w:val="24"/>
                      <w:lang w:bidi="en-US"/>
                    </w:rPr>
                  </w:pPr>
                  <w:sdt>
                    <w:sdtPr>
                      <w:alias w:val="Numeris"/>
                      <w:tag w:val="nr_0364ad0f01884b0fb288af9678e44477"/>
                      <w:lock w:val="sdtLocked"/>
                      <w:richText/>
                    </w:sdtPr>
                    <w:sdtContent>
                      <w:r>
                        <w:rPr>
                          <w:rFonts w:eastAsia="Andale Sans UI"/>
                          <w:szCs w:val="24"/>
                          <w:lang w:bidi="en-US"/>
                        </w:rPr>
                        <w:t>14</w:t>
                      </w:r>
                    </w:sdtContent>
                  </w:sdt>
                  <w:r>
                    <w:rPr>
                      <w:rFonts w:eastAsia="Andale Sans UI"/>
                      <w:szCs w:val="24"/>
                      <w:lang w:bidi="en-US"/>
                    </w:rPr>
                    <w:t>.</w:t>
                    <w:tab/>
                    <w:t>Siekiant palaikyti savivaldybėse egzistuojančią žaliųjų atliekų surinkimo praktiką, patikslinti Kokybės reikalavimų 39 punktą, numatant, kad žaliosios atliekos surenkamos ne tik DGASA, bet ir žaliųjų atliekų kompostavimo aikštelėse.</w:t>
                  </w:r>
                </w:p>
              </w:sdtContent>
            </w:sdt>
            <w:sdt>
              <w:sdtPr>
                <w:alias w:val="15 p."/>
                <w:tag w:val="part_83b4259f6a55455a968e5cf1de07f3c1"/>
                <w:lock w:val="sdtLocked"/>
                <w:richText/>
              </w:sdtPr>
              <w:sdtContent>
                <w:p>
                  <w:pPr>
                    <w:widowControl w:val="0"/>
                    <w:shd w:val="clear" w:color="auto" w:fill="FFFFFF"/>
                    <w:tabs>
                      <w:tab w:val="left" w:pos="851"/>
                      <w:tab w:val="left" w:pos="993"/>
                    </w:tabs>
                    <w:suppressAutoHyphens/>
                    <w:spacing w:line="23" w:lineRule="atLeast"/>
                    <w:ind w:firstLine="567"/>
                    <w:jc w:val="both"/>
                    <w:textAlignment w:val="center"/>
                    <w:rPr>
                      <w:rFonts w:eastAsia="Andale Sans UI"/>
                      <w:szCs w:val="24"/>
                      <w:lang w:bidi="en-US"/>
                    </w:rPr>
                  </w:pPr>
                  <w:sdt>
                    <w:sdtPr>
                      <w:alias w:val="Numeris"/>
                      <w:tag w:val="nr_83b4259f6a55455a968e5cf1de07f3c1"/>
                      <w:lock w:val="sdtLocked"/>
                      <w:richText/>
                    </w:sdtPr>
                    <w:sdtContent>
                      <w:r>
                        <w:rPr>
                          <w:rFonts w:eastAsia="Andale Sans UI"/>
                          <w:szCs w:val="24"/>
                          <w:lang w:bidi="en-US"/>
                        </w:rPr>
                        <w:t>15</w:t>
                      </w:r>
                    </w:sdtContent>
                  </w:sdt>
                  <w:r>
                    <w:rPr>
                      <w:rFonts w:eastAsia="Andale Sans UI"/>
                      <w:szCs w:val="24"/>
                      <w:lang w:bidi="en-US"/>
                    </w:rPr>
                    <w:t>.</w:t>
                    <w:tab/>
                    <w:t>Atsižvelgiant į Plano 261.2 papunktyje savivaldybėms nustatytą užduotį patikslinti Kokybės reikalavimų VII skyriaus „Specialieji kokybės reikalavimai biologinių atliekų surinkimui ir vežimui“ nuostatas, numatant biologinių atliekų rūšiavimo, surinkimo, konteinerių pastatymo vietų, konteinerių plovimo ir dezinfekavimo reikalavimus ir reikalavimus teritorijoms, kuriose šių atliekų surinkimas bus privalomas nuo 2024 m. sausio 1 d.</w:t>
                  </w:r>
                </w:p>
              </w:sdtContent>
            </w:sdt>
            <w:sdt>
              <w:sdtPr>
                <w:alias w:val="16 p."/>
                <w:tag w:val="part_5cc022cee35a4c31aa6bf8db900f6b1b"/>
                <w:lock w:val="sdtLocked"/>
                <w:richText/>
              </w:sdtPr>
              <w:sdtContent>
                <w:p>
                  <w:pPr>
                    <w:widowControl w:val="0"/>
                    <w:shd w:val="clear" w:color="auto" w:fill="FFFFFF"/>
                    <w:tabs>
                      <w:tab w:val="left" w:pos="851"/>
                      <w:tab w:val="left" w:pos="993"/>
                    </w:tabs>
                    <w:suppressAutoHyphens/>
                    <w:spacing w:line="23" w:lineRule="atLeast"/>
                    <w:ind w:firstLine="567"/>
                    <w:jc w:val="both"/>
                    <w:textAlignment w:val="center"/>
                    <w:rPr>
                      <w:rFonts w:eastAsia="Andale Sans UI"/>
                      <w:szCs w:val="24"/>
                      <w:lang w:bidi="en-US"/>
                    </w:rPr>
                  </w:pPr>
                  <w:sdt>
                    <w:sdtPr>
                      <w:alias w:val="Numeris"/>
                      <w:tag w:val="nr_5cc022cee35a4c31aa6bf8db900f6b1b"/>
                      <w:lock w:val="sdtLocked"/>
                      <w:richText/>
                    </w:sdtPr>
                    <w:sdtContent>
                      <w:r>
                        <w:rPr>
                          <w:rFonts w:eastAsia="Andale Sans UI"/>
                          <w:szCs w:val="24"/>
                          <w:lang w:bidi="en-US"/>
                        </w:rPr>
                        <w:t>16</w:t>
                      </w:r>
                    </w:sdtContent>
                  </w:sdt>
                  <w:r>
                    <w:rPr>
                      <w:rFonts w:eastAsia="Andale Sans UI"/>
                      <w:szCs w:val="24"/>
                      <w:lang w:bidi="en-US"/>
                    </w:rPr>
                    <w:t>.</w:t>
                    <w:tab/>
                    <w:t xml:space="preserve">Įgyvendinant Plano įgyvendinimo priemonių plano 2.2.2 priemonę, pakeisti Kokybės reikalavimų 45 ir 46 punktų nuostatas, įpareigojant savivaldybes nuolat </w:t>
                  </w:r>
                  <w:r>
                    <w:rPr>
                      <w:szCs w:val="24"/>
                      <w:lang w:bidi="en-US"/>
                    </w:rPr>
                    <w:t>teikti gyventojams informaciją apie atskirų atliekų srautų teisingą rūšiavimą, apipavidalinant piktogramomis, nurodant pakuočių, tekstilės, biologinių, baldų, medienos, statybinių, elektros ir elektroninės įrangos, baterijų ir akumuliatorių, eksploatuoti netinkamų transporto priemonių, padangų, alyvos, buityje susidarančių medicininių ir pavojingųjų atliekų atskirą surinkimą, nurodant konkrečioje savivaldybėje esančias surinkimo vietas ir galimybes, atliekų tvarkytojus, jų kontaktinę informaciją ir atliekų priėmimo sąlygas.</w:t>
                  </w:r>
                </w:p>
              </w:sdtContent>
            </w:sdt>
            <w:sdt>
              <w:sdtPr>
                <w:alias w:val="17 p."/>
                <w:tag w:val="part_bfbd3c569f314d69a7d165a854d4a1da"/>
                <w:lock w:val="sdtLocked"/>
                <w:richText/>
              </w:sdtPr>
              <w:sdtContent>
                <w:p>
                  <w:pPr>
                    <w:widowControl w:val="0"/>
                    <w:shd w:val="clear" w:color="auto" w:fill="FFFFFF"/>
                    <w:tabs>
                      <w:tab w:val="left" w:pos="851"/>
                      <w:tab w:val="left" w:pos="993"/>
                    </w:tabs>
                    <w:suppressAutoHyphens/>
                    <w:spacing w:line="23" w:lineRule="atLeast"/>
                    <w:ind w:firstLine="567"/>
                    <w:jc w:val="both"/>
                    <w:textAlignment w:val="center"/>
                    <w:rPr>
                      <w:rFonts w:eastAsia="Andale Sans UI"/>
                      <w:szCs w:val="24"/>
                      <w:lang w:bidi="en-US"/>
                    </w:rPr>
                  </w:pPr>
                  <w:sdt>
                    <w:sdtPr>
                      <w:alias w:val="Numeris"/>
                      <w:tag w:val="nr_bfbd3c569f314d69a7d165a854d4a1da"/>
                      <w:lock w:val="sdtLocked"/>
                      <w:richText/>
                    </w:sdtPr>
                    <w:sdtContent>
                      <w:r>
                        <w:rPr>
                          <w:rFonts w:eastAsia="Andale Sans UI"/>
                          <w:szCs w:val="24"/>
                          <w:lang w:bidi="en-US"/>
                        </w:rPr>
                        <w:t>17</w:t>
                      </w:r>
                    </w:sdtContent>
                  </w:sdt>
                  <w:r>
                    <w:rPr>
                      <w:rFonts w:eastAsia="Andale Sans UI"/>
                      <w:szCs w:val="24"/>
                      <w:lang w:bidi="en-US"/>
                    </w:rPr>
                    <w:t>.</w:t>
                    <w:tab/>
                  </w:r>
                  <w:r>
                    <w:rPr>
                      <w:szCs w:val="24"/>
                      <w:lang w:bidi="en-US"/>
                    </w:rPr>
                    <w:t>Papildyti Kokybės reikalavimus nuostatomis, įpareigojančiomis savivaldybes išvardinti atliekų turėtojams atliekų rūšiavimo privalumus, nurodant ir atsakomybę neteisingai išrūšiavus atliekas, galimybę gyventojams pastebėjus pažeidimus apie juos pranešti. Šią informaciją savivaldybės įpareigojamos teikti kiekvienam atliekų turėtojui savivaldybei patogiu būdu.</w:t>
                  </w:r>
                </w:p>
              </w:sdtContent>
            </w:sdt>
            <w:sdt>
              <w:sdtPr>
                <w:alias w:val="18 p."/>
                <w:tag w:val="part_42514f797b0b4ecba454ae7ec4e697a6"/>
                <w:lock w:val="sdtLocked"/>
                <w:richText/>
              </w:sdtPr>
              <w:sdtContent>
                <w:p>
                  <w:pPr>
                    <w:widowControl w:val="0"/>
                    <w:shd w:val="clear" w:color="auto" w:fill="FFFFFF"/>
                    <w:tabs>
                      <w:tab w:val="left" w:pos="851"/>
                      <w:tab w:val="left" w:pos="993"/>
                    </w:tabs>
                    <w:suppressAutoHyphens/>
                    <w:spacing w:line="23" w:lineRule="atLeast"/>
                    <w:ind w:firstLine="567"/>
                    <w:jc w:val="both"/>
                    <w:textAlignment w:val="center"/>
                    <w:rPr>
                      <w:rFonts w:eastAsia="Andale Sans UI"/>
                      <w:szCs w:val="24"/>
                      <w:lang w:bidi="en-US"/>
                    </w:rPr>
                  </w:pPr>
                  <w:sdt>
                    <w:sdtPr>
                      <w:alias w:val="Numeris"/>
                      <w:tag w:val="nr_42514f797b0b4ecba454ae7ec4e697a6"/>
                      <w:lock w:val="sdtLocked"/>
                      <w:richText/>
                    </w:sdtPr>
                    <w:sdtContent>
                      <w:r>
                        <w:rPr>
                          <w:rFonts w:eastAsia="Andale Sans UI"/>
                          <w:szCs w:val="24"/>
                          <w:lang w:bidi="en-US"/>
                        </w:rPr>
                        <w:t>18</w:t>
                      </w:r>
                    </w:sdtContent>
                  </w:sdt>
                  <w:r>
                    <w:rPr>
                      <w:rFonts w:eastAsia="Andale Sans UI"/>
                      <w:szCs w:val="24"/>
                      <w:lang w:bidi="en-US"/>
                    </w:rPr>
                    <w:t>.</w:t>
                    <w:tab/>
                    <w:t xml:space="preserve">Patikslinti Kokybės reikalavimuose vartojamas sąvokas, kad jos atitiktų kituose galiojančiuose teisės aktuose nustatytas sąvokas. </w:t>
                  </w:r>
                </w:p>
              </w:sdtContent>
            </w:sdt>
            <w:sdt>
              <w:sdtPr>
                <w:alias w:val="19 p."/>
                <w:tag w:val="part_17f30a586e6f4e6da6278862a5f8bbc1"/>
                <w:lock w:val="sdtLocked"/>
                <w:richText/>
              </w:sdtPr>
              <w:sdtContent>
                <w:p>
                  <w:pPr>
                    <w:widowControl w:val="0"/>
                    <w:shd w:val="clear" w:color="auto" w:fill="FFFFFF"/>
                    <w:tabs>
                      <w:tab w:val="left" w:pos="851"/>
                      <w:tab w:val="left" w:pos="993"/>
                    </w:tabs>
                    <w:suppressAutoHyphens/>
                    <w:spacing w:line="23" w:lineRule="atLeast"/>
                    <w:ind w:firstLine="567"/>
                    <w:jc w:val="both"/>
                    <w:textAlignment w:val="center"/>
                    <w:rPr>
                      <w:rFonts w:eastAsia="Andale Sans UI"/>
                      <w:szCs w:val="24"/>
                      <w:lang w:bidi="en-US"/>
                    </w:rPr>
                  </w:pPr>
                  <w:sdt>
                    <w:sdtPr>
                      <w:alias w:val="Numeris"/>
                      <w:tag w:val="nr_17f30a586e6f4e6da6278862a5f8bbc1"/>
                      <w:lock w:val="sdtLocked"/>
                      <w:richText/>
                    </w:sdtPr>
                    <w:sdtContent>
                      <w:r>
                        <w:rPr>
                          <w:rFonts w:eastAsia="Andale Sans UI"/>
                          <w:szCs w:val="24"/>
                          <w:lang w:bidi="en-US"/>
                        </w:rPr>
                        <w:t>19</w:t>
                      </w:r>
                    </w:sdtContent>
                  </w:sdt>
                  <w:r>
                    <w:rPr>
                      <w:rFonts w:eastAsia="Andale Sans UI"/>
                      <w:szCs w:val="24"/>
                      <w:lang w:bidi="en-US"/>
                    </w:rPr>
                    <w:t>.</w:t>
                    <w:tab/>
                    <w:t>Atlikti techninio pobūdžio Kokybės reikalavimų nuostatų patikslinimus.</w:t>
                  </w:r>
                </w:p>
              </w:sdtContent>
            </w:sdt>
          </w:sdtContent>
        </w:sdt>
        <w:sdt>
          <w:sdtPr>
            <w:alias w:val="skirsnis"/>
            <w:tag w:val="part_8ec3543acbf64b05ba5f5b1fc01de2f3"/>
            <w:lock w:val="sdtLocked"/>
            <w:richText/>
          </w:sdtPr>
          <w:sdtContent>
            <w:p>
              <w:pPr>
                <w:spacing w:line="23" w:lineRule="atLeast"/>
                <w:ind w:left="567"/>
                <w:jc w:val="both"/>
                <w:rPr>
                  <w:rFonts w:eastAsia="Andale Sans UI"/>
                  <w:b/>
                  <w:bCs/>
                  <w:iCs/>
                  <w:szCs w:val="24"/>
                  <w:lang w:bidi="en-US"/>
                </w:rPr>
              </w:pPr>
              <w:sdt>
                <w:sdtPr>
                  <w:alias w:val="Pavadinimas"/>
                  <w:tag w:val="title_8ec3543acbf64b05ba5f5b1fc01de2f3"/>
                  <w:lock w:val="sdtLocked"/>
                  <w:richText/>
                </w:sdtPr>
                <w:sdtContent>
                  <w:r>
                    <w:rPr>
                      <w:rFonts w:eastAsia="Andale Sans UI"/>
                      <w:b/>
                      <w:bCs/>
                      <w:iCs/>
                      <w:szCs w:val="24"/>
                      <w:lang w:bidi="en-US"/>
                    </w:rPr>
                    <w:t>Įgyvendinimo kaštai</w:t>
                  </w:r>
                </w:sdtContent>
              </w:sdt>
            </w:p>
            <w:p>
              <w:pPr>
                <w:shd w:val="clear" w:color="auto" w:fill="FFFFFF"/>
                <w:spacing w:line="23" w:lineRule="atLeast"/>
                <w:ind w:firstLine="567"/>
                <w:jc w:val="both"/>
                <w:textAlignment w:val="center"/>
                <w:rPr>
                  <w:rFonts w:eastAsia="Andale Sans UI" w:cs="Tahoma"/>
                  <w:szCs w:val="24"/>
                  <w:lang w:bidi="en-US"/>
                </w:rPr>
              </w:pPr>
              <w:r>
                <w:rPr>
                  <w:rFonts w:eastAsia="Andale Sans UI" w:cs="Tahoma"/>
                  <w:szCs w:val="24"/>
                  <w:lang w:bidi="en-US"/>
                </w:rPr>
                <w:t xml:space="preserve">Patvirtinus Kokybės reikalavimų pakeitimą, atsirastų papildoma administracinė našta savivaldybėms: savivaldybės turės atitinkamai patikslinti savivaldybių tarybų tvirtinamas atliekų tvarkymo taisykles; įrengiant komunalinių atliekų surinkimo konteinerių aikšteles Kokybės reikalavimų </w:t>
              </w:r>
              <w:r>
                <w:rPr>
                  <w:szCs w:val="24"/>
                  <w:lang w:bidi="en-US"/>
                </w:rPr>
                <w:t>9</w:t>
              </w:r>
              <w:r>
                <w:rPr>
                  <w:szCs w:val="24"/>
                  <w:vertAlign w:val="superscript"/>
                  <w:lang w:bidi="en-US"/>
                </w:rPr>
                <w:t>1</w:t>
              </w:r>
              <w:r>
                <w:rPr>
                  <w:szCs w:val="24"/>
                  <w:lang w:bidi="en-US"/>
                </w:rPr>
                <w:t>.6.3 papunktyje nurodytu atstumu,</w:t>
              </w:r>
              <w:r>
                <w:rPr>
                  <w:b/>
                  <w:bCs/>
                  <w:szCs w:val="24"/>
                  <w:lang w:bidi="en-US"/>
                </w:rPr>
                <w:t xml:space="preserve"> </w:t>
              </w:r>
              <w:r>
                <w:rPr>
                  <w:rFonts w:eastAsia="Andale Sans UI" w:cs="Tahoma"/>
                  <w:szCs w:val="24"/>
                  <w:lang w:bidi="en-US"/>
                </w:rPr>
                <w:t>savivaldybei reikės gauti visų nekilnojamojo turto objekto savininkų ar jų įgaliotų asmenų sutikimą; savivaldybės turės atnaujinti atliekų turėtojams teikiamą informaciją apie komunalinių atliekų tvarkymą.</w:t>
              </w:r>
            </w:p>
            <w:p>
              <w:pPr>
                <w:shd w:val="clear" w:color="auto" w:fill="FFFFFF"/>
                <w:spacing w:line="23" w:lineRule="atLeast"/>
                <w:ind w:firstLine="567"/>
                <w:jc w:val="both"/>
                <w:textAlignment w:val="center"/>
                <w:rPr>
                  <w:rFonts w:eastAsia="Andale Sans UI"/>
                  <w:iCs/>
                  <w:szCs w:val="24"/>
                  <w:lang w:bidi="en-US"/>
                </w:rPr>
              </w:pPr>
              <w:r>
                <w:rPr>
                  <w:rFonts w:eastAsia="Andale Sans UI" w:cs="Tahoma"/>
                  <w:szCs w:val="24"/>
                  <w:lang w:bidi="en-US"/>
                </w:rPr>
                <w:t>Patvirtinus pakeistus Kokybės reikalavimus, savivaldybėms (kurios nevykdė atitinkamų priemonių) atsiras papildoma finansinė našta įgyvendinant priemones, susijusias su k</w:t>
              </w:r>
              <w:r>
                <w:rPr>
                  <w:rFonts w:eastAsia="Andale Sans UI"/>
                  <w:iCs/>
                  <w:szCs w:val="24"/>
                  <w:lang w:bidi="en-US"/>
                </w:rPr>
                <w:t xml:space="preserve">omunalinių atliekų konteinerių aikštelių, kuriose prie komunalinių atliekų surinkimo konteinerių dažnai paliekamos įvairios atliekos, stebėsenos užtikrinimu, atliekų surinkimo priemonių ir atliekų surinkimo konteinerių aikštelių pritaikymu žmonėms su negalia, atskiru </w:t>
              </w:r>
              <w:r>
                <w:rPr>
                  <w:color w:val="000000"/>
                  <w:szCs w:val="24"/>
                  <w:lang w:bidi="en-US"/>
                </w:rPr>
                <w:t xml:space="preserve">biologinių atliekų surinkimu urbanizuotose teritorijose, kuriose gyvena  daugiau kaip 2000 gyventojų, arba kompostavimo šių atliekų susidarymo vietose galimybės sudarymu, kolektyvinių biologinių atliekų surinkimo konteinerių pastatymu šalia mišrių komunalinių atliekų surinkimo konteinerių</w:t>
              </w:r>
              <w:r>
                <w:rPr>
                  <w:rFonts w:eastAsia="Andale Sans UI" w:cs="Tahoma"/>
                  <w:szCs w:val="24"/>
                  <w:lang w:bidi="en-US"/>
                </w:rPr>
                <w:t xml:space="preserve"> </w:t>
              </w:r>
              <w:r>
                <w:rPr>
                  <w:color w:val="000000"/>
                  <w:szCs w:val="24"/>
                  <w:lang w:bidi="en-US"/>
                </w:rPr>
                <w:t>ir (ar) antrinių žaliavų ir pakuočių atliekų surinkimo konteinerių,</w:t>
              </w:r>
              <w:r>
                <w:rPr>
                  <w:rFonts w:eastAsia="Andale Sans UI" w:cs="Tahoma"/>
                  <w:szCs w:val="24"/>
                  <w:lang w:bidi="en-US"/>
                </w:rPr>
                <w:t xml:space="preserve"> </w:t>
              </w:r>
              <w:r>
                <w:rPr>
                  <w:color w:val="000000"/>
                  <w:szCs w:val="24"/>
                  <w:lang w:bidi="en-US"/>
                </w:rPr>
                <w:t>biologinių atliekų kompostavimo priemonių pastatymu bendruomenių daržuose, informacijos apie komunalinių atliekų tvarkymą teikimu atliekų turėtojams. P</w:t>
              </w:r>
              <w:r>
                <w:rPr>
                  <w:rFonts w:eastAsia="Andale Sans UI"/>
                  <w:iCs/>
                  <w:szCs w:val="24"/>
                  <w:lang w:bidi="en-US"/>
                </w:rPr>
                <w:t>atikslinti reikalavimai Paslaugos kokybei didins savivaldybės patiriamas Paslaugos teikimo sąnaudas dėl papildomos pareigos atliekų tvarkytojams surinkti neleistinai paliktas atliekas ne tik komunalinių atliekų konteinerių aikštelės ribose, bet ir 5 m spinduliu aplink atliekų surinkimo priemones ir (ar) komunalinių atliekų konteinerių aikšteles, dėl dažnesnio (4 kartus per metus vietoje 2) DGA surinkimo apvažiuojant atliekų turėtojus, dėl reguliaraus kolektyvinių biologinių atliekų surinkimo konteinerių plovimo ir dezinfekavimo.</w:t>
              </w:r>
            </w:p>
          </w:sdtContent>
        </w:sdt>
        <w:sdt>
          <w:sdtPr>
            <w:alias w:val="skirsnis"/>
            <w:tag w:val="part_f0fa1884c9324a0b85be7cea2962e3eb"/>
            <w:lock w:val="sdtLocked"/>
            <w:richText/>
          </w:sdtPr>
          <w:sdtContent>
            <w:p>
              <w:pPr>
                <w:keepNext/>
                <w:shd w:val="clear" w:color="auto" w:fill="FFFFFF"/>
                <w:spacing w:line="23" w:lineRule="atLeast"/>
                <w:ind w:firstLine="567"/>
                <w:jc w:val="both"/>
                <w:textAlignment w:val="center"/>
                <w:rPr>
                  <w:rFonts w:eastAsia="Andale Sans UI"/>
                  <w:b/>
                  <w:bCs/>
                  <w:iCs/>
                  <w:szCs w:val="24"/>
                  <w:lang w:bidi="en-US"/>
                </w:rPr>
              </w:pPr>
              <w:sdt>
                <w:sdtPr>
                  <w:alias w:val="Pavadinimas"/>
                  <w:tag w:val="title_f0fa1884c9324a0b85be7cea2962e3eb"/>
                  <w:lock w:val="sdtLocked"/>
                  <w:richText/>
                </w:sdtPr>
                <w:sdtContent>
                  <w:r>
                    <w:rPr>
                      <w:rFonts w:eastAsia="Andale Sans UI"/>
                      <w:b/>
                      <w:bCs/>
                      <w:iCs/>
                      <w:szCs w:val="24"/>
                      <w:lang w:bidi="en-US"/>
                    </w:rPr>
                    <w:t>Nauda</w:t>
                  </w:r>
                </w:sdtContent>
              </w:sdt>
            </w:p>
            <w:p>
              <w:pPr>
                <w:keepNext/>
                <w:shd w:val="clear" w:color="auto" w:fill="FFFFFF"/>
                <w:spacing w:line="23" w:lineRule="atLeast"/>
                <w:ind w:firstLine="567"/>
                <w:jc w:val="both"/>
                <w:textAlignment w:val="center"/>
                <w:rPr>
                  <w:rFonts w:eastAsia="Andale Sans UI"/>
                  <w:iCs/>
                  <w:szCs w:val="24"/>
                  <w:lang w:bidi="en-US"/>
                </w:rPr>
              </w:pPr>
              <w:r>
                <w:rPr>
                  <w:rFonts w:eastAsia="Andale Sans UI"/>
                  <w:iCs/>
                  <w:szCs w:val="24"/>
                  <w:lang w:bidi="en-US"/>
                </w:rPr>
                <w:t>Tikimasi, kad, p</w:t>
              </w:r>
              <w:r>
                <w:rPr>
                  <w:rFonts w:eastAsia="Andale Sans UI" w:cs="Tahoma"/>
                  <w:szCs w:val="24"/>
                  <w:lang w:bidi="en-US"/>
                </w:rPr>
                <w:t xml:space="preserve">atvirtinus Kokybės reikalavimų pakeitimą, atliekų turėtojams bus teikiama kokybiškesnė ir atliekų turėtojų poreikius, aplinkosaugos, techninius-ekonominius ir visuomenės sveikatos saugos reikalavimus atitinkanti Paslauga. Komunalinių atliekų surinkimo konteineriai ir </w:t>
              </w:r>
              <w:r>
                <w:rPr>
                  <w:rFonts w:eastAsia="Andale Sans UI"/>
                  <w:color w:val="000000"/>
                  <w:szCs w:val="24"/>
                  <w:lang w:bidi="en-US"/>
                </w:rPr>
                <w:t xml:space="preserve">priėjimas prie </w:t>
              </w:r>
              <w:r>
                <w:rPr>
                  <w:rFonts w:eastAsia="Andale Sans UI"/>
                  <w:szCs w:val="24"/>
                  <w:lang w:eastAsia="lt-LT" w:bidi="en-US"/>
                </w:rPr>
                <w:t xml:space="preserve">komunalinių atliekų konteinerių </w:t>
              </w:r>
              <w:r>
                <w:rPr>
                  <w:rFonts w:eastAsia="Andale Sans UI"/>
                  <w:color w:val="000000"/>
                  <w:szCs w:val="24"/>
                  <w:lang w:bidi="en-US"/>
                </w:rPr>
                <w:t xml:space="preserve">aikštelės privalės būti pritaikyti žmonėms su negalia. Sumažės gyventojų skundų dėl per arti jų būsto statomų </w:t>
              </w:r>
              <w:r>
                <w:rPr>
                  <w:rFonts w:eastAsia="Andale Sans UI"/>
                  <w:szCs w:val="24"/>
                  <w:lang w:eastAsia="lt-LT" w:bidi="en-US"/>
                </w:rPr>
                <w:t xml:space="preserve">komunalinių atliekų konteinerių </w:t>
              </w:r>
              <w:r>
                <w:rPr>
                  <w:rFonts w:eastAsia="Andale Sans UI"/>
                  <w:color w:val="000000"/>
                  <w:szCs w:val="24"/>
                  <w:lang w:bidi="en-US"/>
                </w:rPr>
                <w:t>aikštelių, reguliariai perpildytų atliekų surinkimo priemonių, neleistinai paliktų atliekų, atliekų konteinerių plovimo ir dezinfekavimo. Gyventojai turės galimybę dažniau pasinaudoti DGA surinkimo apvažiuojant paslauga. Užtikrinus gyventojams galimybę kompostuoti biologines atliekas jų susidarymo vietoje, sumažės mišrių komunalinių atliekų kiekis, turės sumažėti rinkliavos ar kitos įmokos už komunalinių atliekų surinkimą iš atliekų turėtojų ir atliekų tvarkymą dydis. Savivaldybės privalės užtikrinti, kad informacija apie visus svarbius komunalinių atliekų tvarkymo paslaugos aspektus pasiektų kiekvieną komunalinių atliekų turėtoją.</w:t>
              </w:r>
            </w:p>
            <w:p>
              <w:pPr>
                <w:shd w:val="clear" w:color="auto" w:fill="FFFFFF"/>
                <w:spacing w:line="23" w:lineRule="atLeast"/>
                <w:ind w:firstLine="567"/>
                <w:jc w:val="both"/>
                <w:textAlignment w:val="center"/>
                <w:rPr>
                  <w:rFonts w:eastAsia="Andale Sans UI" w:cs="Tahoma"/>
                  <w:szCs w:val="24"/>
                  <w:lang w:bidi="en-US"/>
                </w:rPr>
              </w:pPr>
              <w:r>
                <w:rPr>
                  <w:rFonts w:eastAsia="Andale Sans UI" w:cs="Tahoma"/>
                  <w:szCs w:val="24"/>
                  <w:lang w:bidi="en-US"/>
                </w:rPr>
                <w:t>Įsakymo projektas neprieštarauja Aštuonioliktosios Lietuvos Respublikos Vyriausybės programai, kuriai pritarta Lietuvos Respublikos Seimo 2020 m. gruodžio 11 d. nutarimu Nr. XIV</w:t>
                <w:noBreakHyphen/>
                <w:t>72 „Dėl Aštuonioliktosios Lietuvos Respublikos Vyriausybės programos“.</w:t>
              </w:r>
            </w:p>
            <w:p>
              <w:pPr>
                <w:shd w:val="clear" w:color="auto" w:fill="FFFFFF"/>
                <w:spacing w:line="23" w:lineRule="atLeast"/>
                <w:ind w:firstLine="567"/>
                <w:jc w:val="both"/>
                <w:textAlignment w:val="center"/>
                <w:rPr>
                  <w:rFonts w:eastAsia="Andale Sans UI" w:cs="Tahoma"/>
                  <w:szCs w:val="24"/>
                  <w:lang w:bidi="en-US"/>
                </w:rPr>
              </w:pPr>
              <w:r>
                <w:rPr>
                  <w:rFonts w:eastAsia="Andale Sans UI" w:cs="Tahoma"/>
                  <w:szCs w:val="24"/>
                  <w:lang w:bidi="en-US"/>
                </w:rPr>
                <w:t>Įsakymo projektu neperkeliamos ir neįgyvendinamos Europos Sąjungos teisės aktų nuostatos.</w:t>
              </w:r>
            </w:p>
            <w:p>
              <w:pPr>
                <w:shd w:val="clear" w:color="auto" w:fill="FFFFFF"/>
                <w:spacing w:line="23" w:lineRule="atLeast"/>
                <w:ind w:firstLine="567"/>
                <w:jc w:val="both"/>
                <w:textAlignment w:val="center"/>
                <w:rPr>
                  <w:rFonts w:eastAsia="Andale Sans UI" w:cs="Tahoma"/>
                  <w:szCs w:val="24"/>
                  <w:lang w:bidi="en-US"/>
                </w:rPr>
              </w:pPr>
              <w:r>
                <w:rPr>
                  <w:rFonts w:eastAsia="Andale Sans UI" w:cs="Tahoma"/>
                  <w:szCs w:val="24"/>
                  <w:lang w:bidi="en-US"/>
                </w:rPr>
                <w:t>Įsakymo projektas nenotifikuotinas Europos Komisijai pagal Informacijos apie techninius reglamentus ir atitikties įvertinimo procedūras teikimo taisykles, patvirtintas Lietuvos Respublikos Vyriausybės 1999 m. gegužės 20 d. nutarimu Nr. 617 „Dėl Informacijos apie techninius reglamentus ir atitikties įvertinimo procedūras teikimo taisyklių patvirtinimo“.</w:t>
              </w:r>
            </w:p>
            <w:p>
              <w:pPr>
                <w:shd w:val="clear" w:color="auto" w:fill="FFFFFF"/>
                <w:spacing w:line="23" w:lineRule="atLeast"/>
                <w:ind w:firstLine="567"/>
                <w:jc w:val="both"/>
                <w:textAlignment w:val="center"/>
                <w:rPr>
                  <w:rFonts w:eastAsia="Andale Sans UI" w:cs="Tahoma"/>
                  <w:szCs w:val="24"/>
                  <w:lang w:bidi="en-US"/>
                </w:rPr>
              </w:pPr>
              <w:r>
                <w:rPr>
                  <w:rFonts w:ascii="Times" w:eastAsia="Andale Sans UI" w:hAnsi="Times" w:cs="Tahoma"/>
                  <w:szCs w:val="24"/>
                  <w:lang w:bidi="en-US"/>
                </w:rPr>
                <w:t>Vadovaujantis Numatomo teisinio reguliavimo poveikio vertinimo metodikos, patvirtintos Lietuvos Respublikos Vyriausybės 2003 m. vasario 26 d. nutarimu Nr. 276 „Dėl Numatomo teisinio reguliavimo poveikio vertinimo metodikos patvirtinimo“, 4 punktu, Įsakymo projekto numatomo teisinio reguliavimo poveikio vertinimas neatliekamas.</w:t>
              </w:r>
            </w:p>
            <w:p>
              <w:pPr>
                <w:shd w:val="clear" w:color="auto" w:fill="FFFFFF"/>
                <w:spacing w:line="23" w:lineRule="atLeast"/>
                <w:ind w:firstLine="567"/>
                <w:jc w:val="both"/>
                <w:textAlignment w:val="center"/>
                <w:rPr>
                  <w:rFonts w:eastAsia="Andale Sans UI" w:cs="Tahoma"/>
                  <w:szCs w:val="24"/>
                  <w:lang w:bidi="en-US"/>
                </w:rPr>
              </w:pPr>
              <w:r>
                <w:rPr>
                  <w:rFonts w:eastAsia="Andale Sans UI" w:cs="Tahoma"/>
                  <w:szCs w:val="24"/>
                  <w:lang w:bidi="en-US"/>
                </w:rPr>
                <w:t>Įsakymo projektui įtraukti į teisės sistemą kitų teisės aktų priimti nereikės</w:t>
              </w:r>
              <w:r>
                <w:rPr>
                  <w:rFonts w:eastAsia="Andale Sans UI" w:cs="Tahoma"/>
                  <w:i/>
                  <w:iCs/>
                  <w:szCs w:val="24"/>
                  <w:lang w:bidi="en-US"/>
                </w:rPr>
                <w:t>.</w:t>
              </w:r>
              <w:r>
                <w:rPr>
                  <w:rFonts w:eastAsia="Andale Sans UI" w:cs="Tahoma"/>
                  <w:szCs w:val="24"/>
                  <w:lang w:bidi="en-US"/>
                </w:rPr>
                <w:t xml:space="preserve"> </w:t>
              </w:r>
            </w:p>
            <w:p>
              <w:pPr>
                <w:shd w:val="clear" w:color="auto" w:fill="FFFFFF"/>
                <w:spacing w:line="23" w:lineRule="atLeast"/>
                <w:ind w:firstLine="567"/>
                <w:jc w:val="both"/>
                <w:textAlignment w:val="center"/>
                <w:rPr>
                  <w:rFonts w:eastAsia="Andale Sans UI" w:cs="Tahoma"/>
                  <w:bCs/>
                  <w:szCs w:val="24"/>
                  <w:lang w:eastAsia="lt-LT" w:bidi="en-US"/>
                </w:rPr>
              </w:pPr>
              <w:r>
                <w:rPr>
                  <w:rFonts w:ascii="Times" w:eastAsia="Andale Sans UI" w:hAnsi="Times" w:cs="Tahoma"/>
                  <w:szCs w:val="24"/>
                  <w:lang w:bidi="en-US"/>
                </w:rPr>
                <w:t xml:space="preserve">Įsakymo projekte naujų sąvokų, vertintinų Lietuvos Respublikos terminų banko įstatymo </w:t>
              </w:r>
              <w:r>
                <w:rPr>
                  <w:rFonts w:eastAsia="Andale Sans UI" w:cs="Tahoma"/>
                  <w:color w:val="000000"/>
                  <w:szCs w:val="24"/>
                  <w:lang w:bidi="en-US"/>
                </w:rPr>
                <w:t>ir jo įgyvendinamųjų teisės aktų nustatyta tvarka</w:t>
              </w:r>
              <w:r>
                <w:rPr>
                  <w:rFonts w:ascii="Times" w:eastAsia="Andale Sans UI" w:hAnsi="Times" w:cs="Tahoma"/>
                  <w:szCs w:val="24"/>
                  <w:lang w:bidi="en-US"/>
                </w:rPr>
                <w:t>, nėra</w:t>
              </w:r>
              <w:r>
                <w:rPr>
                  <w:rFonts w:eastAsia="Andale Sans UI" w:cs="Tahoma"/>
                  <w:color w:val="000000"/>
                  <w:szCs w:val="24"/>
                  <w:lang w:bidi="en-US"/>
                </w:rPr>
                <w:t>.</w:t>
              </w:r>
            </w:p>
            <w:p>
              <w:pPr>
                <w:shd w:val="clear" w:color="auto" w:fill="FFFFFF"/>
                <w:spacing w:line="23" w:lineRule="atLeast"/>
                <w:ind w:firstLine="567"/>
                <w:jc w:val="both"/>
                <w:textAlignment w:val="center"/>
                <w:rPr>
                  <w:rFonts w:eastAsia="Andale Sans UI" w:cs="Tahoma"/>
                  <w:bCs/>
                  <w:szCs w:val="24"/>
                  <w:lang w:eastAsia="lt-LT" w:bidi="en-US"/>
                </w:rPr>
              </w:pPr>
              <w:r>
                <w:rPr>
                  <w:rFonts w:eastAsia="Andale Sans UI" w:cs="Tahoma"/>
                  <w:bCs/>
                  <w:szCs w:val="24"/>
                  <w:shd w:val="clear" w:color="auto" w:fill="FFFFFF"/>
                  <w:lang w:bidi="en-US"/>
                </w:rPr>
                <w:t>Konsultacijų su visuomene nebuvo ir jos neplanuojamos</w:t>
              </w:r>
              <w:r>
                <w:rPr>
                  <w:rFonts w:eastAsia="Andale Sans UI" w:cs="Tahoma"/>
                  <w:i/>
                  <w:iCs/>
                  <w:szCs w:val="24"/>
                  <w:lang w:bidi="en-US"/>
                </w:rPr>
                <w:t>.</w:t>
              </w:r>
            </w:p>
            <w:p>
              <w:pPr>
                <w:shd w:val="clear" w:color="auto" w:fill="FFFFFF"/>
                <w:spacing w:line="23" w:lineRule="atLeast"/>
                <w:ind w:firstLine="567"/>
                <w:jc w:val="both"/>
                <w:textAlignment w:val="center"/>
                <w:rPr>
                  <w:rFonts w:eastAsia="Andale Sans UI" w:cs="Tahoma"/>
                  <w:szCs w:val="24"/>
                  <w:lang w:eastAsia="lt-LT" w:bidi="en-US"/>
                </w:rPr>
              </w:pPr>
              <w:r>
                <w:rPr>
                  <w:rFonts w:eastAsia="Andale Sans UI" w:cs="Tahoma"/>
                  <w:szCs w:val="24"/>
                  <w:lang w:bidi="en-US"/>
                </w:rPr>
                <w:t>Įsakymo p</w:t>
              </w:r>
              <w:r>
                <w:rPr>
                  <w:rFonts w:eastAsia="Andale Sans UI" w:cs="Tahoma"/>
                  <w:color w:val="000000"/>
                  <w:szCs w:val="24"/>
                  <w:lang w:bidi="en-US"/>
                </w:rPr>
                <w:t>rojekte nereglamentuojamas asmens duomenų naudojimas</w:t>
              </w:r>
              <w:r>
                <w:rPr>
                  <w:rFonts w:eastAsia="Andale Sans UI" w:cs="Tahoma"/>
                  <w:szCs w:val="24"/>
                  <w:lang w:eastAsia="lt-LT" w:bidi="en-US"/>
                </w:rPr>
                <w:t>.</w:t>
              </w:r>
            </w:p>
            <w:p>
              <w:pPr>
                <w:spacing w:line="23" w:lineRule="atLeast"/>
                <w:ind w:firstLine="567"/>
                <w:jc w:val="both"/>
                <w:rPr>
                  <w:rFonts w:eastAsia="Andale Sans UI" w:cs="Tahoma"/>
                  <w:szCs w:val="24"/>
                  <w:lang w:bidi="en-US"/>
                </w:rPr>
              </w:pPr>
              <w:r>
                <w:rPr>
                  <w:rFonts w:eastAsia="Andale Sans UI" w:cs="Tahoma"/>
                  <w:szCs w:val="24"/>
                  <w:lang w:bidi="en-US"/>
                </w:rPr>
                <w:t>Įsakymo projektas skelbiamas Lietuvos Respublikos Seimo kanceliarijos teisės aktų informacinėje sistemoje (TAIS).</w:t>
              </w:r>
            </w:p>
            <w:p>
              <w:pPr>
                <w:spacing w:line="23" w:lineRule="atLeast"/>
                <w:ind w:firstLine="567"/>
                <w:jc w:val="both"/>
                <w:rPr>
                  <w:rFonts w:eastAsia="Andale Sans UI"/>
                  <w:szCs w:val="24"/>
                  <w:lang w:bidi="en-US"/>
                </w:rPr>
              </w:pPr>
              <w:r>
                <w:rPr>
                  <w:rFonts w:eastAsia="Andale Sans UI" w:cs="Tahoma"/>
                  <w:color w:val="000000"/>
                  <w:szCs w:val="24"/>
                  <w:lang w:bidi="en-US"/>
                </w:rPr>
                <w:t xml:space="preserve">Išvadą dėl Įsakymo projekto prašome pateikti per 10 darbo dienų nuo jo paskelbimo TAIS. </w:t>
              </w:r>
              <w:r>
                <w:rPr>
                  <w:rFonts w:eastAsia="Andale Sans UI"/>
                  <w:szCs w:val="24"/>
                  <w:lang w:bidi="en-US"/>
                </w:rPr>
                <w:t xml:space="preserve">Per nurodytą terminą negavę pastabų ir pasiūlymų, laikysime, kad Įsakymo projektui pritariate. </w:t>
              </w:r>
            </w:p>
            <w:p>
              <w:pPr>
                <w:spacing w:line="23" w:lineRule="atLeast"/>
                <w:ind w:firstLine="567"/>
                <w:jc w:val="both"/>
                <w:rPr>
                  <w:rFonts w:eastAsia="Andale Sans UI" w:cs="Tahoma"/>
                  <w:szCs w:val="24"/>
                  <w:lang w:bidi="en-US"/>
                </w:rPr>
              </w:pPr>
              <w:r>
                <w:rPr>
                  <w:rFonts w:eastAsia="Andale Sans UI" w:cs="Tahoma"/>
                  <w:szCs w:val="24"/>
                  <w:lang w:bidi="en-US"/>
                </w:rPr>
                <w:t>Įsakymo projektą parengė Aplinkos ministerijos Atliekų politikos grupės (vadovė – Vilma Slavinskienė, mob. 8 </w:t>
              </w:r>
              <w:r>
                <w:rPr>
                  <w:rFonts w:eastAsia="Andale Sans UI"/>
                  <w:color w:val="000000"/>
                  <w:szCs w:val="24"/>
                  <w:lang w:bidi="en-US"/>
                </w:rPr>
                <w:t>698 75 027</w:t>
              </w:r>
              <w:r>
                <w:rPr>
                  <w:rFonts w:eastAsia="Andale Sans UI" w:cs="Tahoma"/>
                  <w:szCs w:val="24"/>
                  <w:lang w:bidi="en-US"/>
                </w:rPr>
                <w:t xml:space="preserve">, el. p. </w:t>
              </w:r>
              <w:r>
                <w:rPr>
                  <w:rFonts w:eastAsia="Andale Sans UI" w:cs="Tahoma"/>
                  <w:color w:val="000080"/>
                  <w:szCs w:val="24"/>
                  <w:u w:val="single"/>
                  <w:lang w:bidi="en-US"/>
                </w:rPr>
                <w:t>vilma.slavinskiene@am.lt</w:t>
              </w:r>
              <w:r>
                <w:rPr>
                  <w:rFonts w:eastAsia="Andale Sans UI" w:cs="Tahoma"/>
                  <w:szCs w:val="24"/>
                  <w:lang w:bidi="en-US"/>
                </w:rPr>
                <w:t>) patarėja Jelena Podymova (mob. 8 </w:t>
              </w:r>
              <w:r>
                <w:rPr>
                  <w:rFonts w:eastAsia="Andale Sans UI"/>
                  <w:szCs w:val="24"/>
                  <w:lang w:bidi="en-US"/>
                </w:rPr>
                <w:t>687 27 458</w:t>
              </w:r>
              <w:r>
                <w:rPr>
                  <w:rFonts w:eastAsia="Andale Sans UI" w:cs="Tahoma"/>
                  <w:szCs w:val="24"/>
                  <w:lang w:bidi="en-US"/>
                </w:rPr>
                <w:t xml:space="preserve">, el. p. </w:t>
              </w:r>
              <w:r>
                <w:rPr>
                  <w:rFonts w:eastAsia="Andale Sans UI" w:cs="Tahoma"/>
                  <w:color w:val="000080"/>
                  <w:szCs w:val="24"/>
                  <w:u w:val="single"/>
                  <w:lang w:bidi="en-US"/>
                </w:rPr>
                <w:t>jelena.podymova@am.lt</w:t>
              </w:r>
              <w:r>
                <w:rPr>
                  <w:rFonts w:eastAsia="Andale Sans UI" w:cs="Tahoma"/>
                  <w:color w:val="000080"/>
                  <w:szCs w:val="24"/>
                  <w:u w:val="single"/>
                  <w:lang w:bidi="en-US"/>
                </w:rPr>
                <w:t>)</w:t>
              </w:r>
              <w:r>
                <w:rPr>
                  <w:rFonts w:eastAsia="Andale Sans UI" w:cs="Tahoma"/>
                  <w:szCs w:val="24"/>
                  <w:lang w:bidi="en-US"/>
                </w:rPr>
                <w:t xml:space="preserve">, vyresnioji patarėja Neringa Paškauskaitė, mob. 8 696 62 217, el. p. </w:t>
              </w:r>
              <w:r>
                <w:rPr>
                  <w:rFonts w:eastAsia="Andale Sans UI" w:cs="Tahoma"/>
                  <w:color w:val="000080"/>
                  <w:szCs w:val="24"/>
                  <w:u w:val="single"/>
                  <w:lang w:bidi="en-US"/>
                </w:rPr>
                <w:t>neringa.paskauskaite@am.lt</w:t>
              </w:r>
              <w:r>
                <w:rPr>
                  <w:rFonts w:eastAsia="Andale Sans UI" w:cs="Tahoma"/>
                  <w:szCs w:val="24"/>
                  <w:lang w:bidi="en-US"/>
                </w:rPr>
                <w:t xml:space="preserve">, vyriausiosios specialistės </w:t>
              </w:r>
              <w:r>
                <w:rPr>
                  <w:rFonts w:eastAsia="Andale Sans UI"/>
                  <w:szCs w:val="24"/>
                  <w:lang w:bidi="en-US"/>
                </w:rPr>
                <w:t xml:space="preserve">Aistė Krinickaitė (mob. 8 695 49 899, el. p. </w:t>
              </w:r>
              <w:r>
                <w:rPr>
                  <w:rFonts w:eastAsia="Andale Sans UI"/>
                  <w:color w:val="000080"/>
                  <w:szCs w:val="24"/>
                  <w:u w:val="single"/>
                  <w:lang w:bidi="en-US"/>
                </w:rPr>
                <w:t>aiste.krinickaite@am.lt</w:t>
              </w:r>
              <w:r>
                <w:rPr>
                  <w:rFonts w:eastAsia="Andale Sans UI"/>
                  <w:color w:val="000080"/>
                  <w:szCs w:val="24"/>
                  <w:u w:val="single"/>
                  <w:lang w:bidi="en-US"/>
                </w:rPr>
                <w:t>)</w:t>
              </w:r>
              <w:r>
                <w:rPr>
                  <w:rFonts w:eastAsia="Andale Sans UI"/>
                  <w:szCs w:val="24"/>
                  <w:lang w:bidi="en-US"/>
                </w:rPr>
                <w:t xml:space="preserve">, Eglė Ginčienė (mob. 8 616 04 980, el. p. </w:t>
              </w:r>
              <w:r>
                <w:rPr>
                  <w:rFonts w:eastAsia="Andale Sans UI"/>
                  <w:color w:val="000080"/>
                  <w:szCs w:val="24"/>
                  <w:u w:val="single"/>
                  <w:lang w:bidi="en-US"/>
                </w:rPr>
                <w:t>egle.ginciene@am.lt</w:t>
              </w:r>
              <w:r>
                <w:rPr>
                  <w:rFonts w:eastAsia="Andale Sans UI"/>
                  <w:color w:val="000080"/>
                  <w:szCs w:val="24"/>
                  <w:u w:val="single"/>
                  <w:lang w:bidi="en-US"/>
                </w:rPr>
                <w:t>)</w:t>
              </w:r>
              <w:r>
                <w:rPr>
                  <w:rFonts w:eastAsia="Andale Sans UI"/>
                  <w:szCs w:val="24"/>
                  <w:lang w:bidi="en-US"/>
                </w:rPr>
                <w:t>, Virginija Vingrienė (mob. 8 695 30 436, el. p. </w:t>
              </w:r>
              <w:r>
                <w:rPr>
                  <w:rFonts w:eastAsia="Andale Sans UI"/>
                  <w:color w:val="000080"/>
                  <w:szCs w:val="24"/>
                  <w:u w:val="single"/>
                  <w:lang w:bidi="en-US"/>
                </w:rPr>
                <w:t>virginija.vingriene@am.lt</w:t>
              </w:r>
              <w:r>
                <w:rPr>
                  <w:rFonts w:eastAsia="Andale Sans UI"/>
                  <w:color w:val="000080"/>
                  <w:szCs w:val="24"/>
                  <w:u w:val="single"/>
                  <w:lang w:bidi="en-US"/>
                </w:rPr>
                <w:t>)</w:t>
              </w:r>
              <w:r>
                <w:rPr>
                  <w:rFonts w:eastAsia="Andale Sans UI"/>
                  <w:szCs w:val="24"/>
                  <w:lang w:bidi="en-US"/>
                </w:rPr>
                <w:t>.</w:t>
              </w:r>
            </w:p>
            <w:p>
              <w:pPr>
                <w:spacing w:line="23" w:lineRule="atLeast"/>
                <w:ind w:firstLine="567"/>
                <w:jc w:val="both"/>
                <w:rPr>
                  <w:rFonts w:eastAsia="Andale Sans UI" w:cs="Tahoma"/>
                  <w:szCs w:val="24"/>
                  <w:lang w:bidi="en-US"/>
                </w:rPr>
              </w:pPr>
              <w:r>
                <w:rPr>
                  <w:rFonts w:eastAsia="Andale Sans UI" w:cs="Tahoma"/>
                  <w:szCs w:val="24"/>
                  <w:lang w:bidi="en-US"/>
                </w:rPr>
                <w:t>PRIDEDAMA:</w:t>
              </w:r>
            </w:p>
            <w:sdt>
              <w:sdtPr>
                <w:alias w:val="1 p."/>
                <w:tag w:val="part_aebe2a1ffdf94a7e81e12d8cdeea2079"/>
                <w:lock w:val="sdtLocked"/>
                <w:richText/>
              </w:sdtPr>
              <w:sdtContent>
                <w:p>
                  <w:pPr>
                    <w:spacing w:line="23" w:lineRule="atLeast"/>
                    <w:ind w:firstLine="567"/>
                    <w:jc w:val="both"/>
                    <w:rPr>
                      <w:rFonts w:eastAsia="Andale Sans UI" w:cs="Tahoma"/>
                      <w:szCs w:val="24"/>
                      <w:lang w:bidi="en-US"/>
                    </w:rPr>
                  </w:pPr>
                  <w:sdt>
                    <w:sdtPr>
                      <w:alias w:val="Numeris"/>
                      <w:tag w:val="nr_aebe2a1ffdf94a7e81e12d8cdeea2079"/>
                      <w:lock w:val="sdtLocked"/>
                      <w:richText/>
                    </w:sdtPr>
                    <w:sdtContent>
                      <w:r>
                        <w:rPr>
                          <w:color w:val="000000"/>
                          <w:szCs w:val="24"/>
                          <w:lang w:eastAsia="lt-LT" w:bidi="en-US"/>
                        </w:rPr>
                        <w:t>1</w:t>
                      </w:r>
                    </w:sdtContent>
                  </w:sdt>
                  <w:r>
                    <w:rPr>
                      <w:color w:val="000000"/>
                      <w:szCs w:val="24"/>
                      <w:lang w:eastAsia="lt-LT" w:bidi="en-US"/>
                    </w:rPr>
                    <w:t>. Įsakymo projektas, 9 lapai.</w:t>
                  </w:r>
                </w:p>
              </w:sdtContent>
            </w:sdt>
            <w:sdt>
              <w:sdtPr>
                <w:alias w:val="2 p."/>
                <w:tag w:val="part_40b8c6978e5249c385eb420a72afa4ae"/>
                <w:lock w:val="sdtLocked"/>
                <w:richText/>
              </w:sdtPr>
              <w:sdtContent>
                <w:p>
                  <w:pPr>
                    <w:spacing w:line="23" w:lineRule="atLeast"/>
                    <w:ind w:firstLine="567"/>
                    <w:jc w:val="both"/>
                    <w:rPr>
                      <w:rFonts w:eastAsia="Andale Sans UI" w:cs="Tahoma"/>
                      <w:szCs w:val="24"/>
                      <w:lang w:bidi="en-US"/>
                    </w:rPr>
                  </w:pPr>
                  <w:sdt>
                    <w:sdtPr>
                      <w:alias w:val="Numeris"/>
                      <w:tag w:val="nr_40b8c6978e5249c385eb420a72afa4ae"/>
                      <w:lock w:val="sdtLocked"/>
                      <w:richText/>
                    </w:sdtPr>
                    <w:sdtContent>
                      <w:r>
                        <w:rPr>
                          <w:color w:val="000000"/>
                          <w:szCs w:val="24"/>
                          <w:lang w:eastAsia="lt-LT" w:bidi="en-US"/>
                        </w:rPr>
                        <w:t>2</w:t>
                      </w:r>
                    </w:sdtContent>
                  </w:sdt>
                  <w:r>
                    <w:rPr>
                      <w:color w:val="000000"/>
                      <w:szCs w:val="24"/>
                      <w:lang w:eastAsia="lt-LT" w:bidi="en-US"/>
                    </w:rPr>
                    <w:t>. Įsakymo projekto lyginamasis variantas, 10 lapų.</w:t>
                  </w:r>
                </w:p>
              </w:sdtContent>
            </w:sdt>
            <w:sdt>
              <w:sdtPr>
                <w:alias w:val="3 p."/>
                <w:tag w:val="part_247a20390b9941e2be53aa5ecbb3f19d"/>
                <w:lock w:val="sdtLocked"/>
                <w:richText/>
              </w:sdtPr>
              <w:sdtContent>
                <w:p>
                  <w:pPr>
                    <w:spacing w:line="23" w:lineRule="atLeast"/>
                    <w:ind w:firstLine="567"/>
                    <w:jc w:val="both"/>
                    <w:rPr>
                      <w:color w:val="000000"/>
                      <w:szCs w:val="24"/>
                      <w:lang w:eastAsia="lt-LT" w:bidi="en-US"/>
                    </w:rPr>
                  </w:pPr>
                  <w:sdt>
                    <w:sdtPr>
                      <w:alias w:val="Numeris"/>
                      <w:tag w:val="nr_247a20390b9941e2be53aa5ecbb3f19d"/>
                      <w:lock w:val="sdtLocked"/>
                      <w:richText/>
                    </w:sdtPr>
                    <w:sdtContent>
                      <w:r>
                        <w:rPr>
                          <w:color w:val="000000"/>
                          <w:szCs w:val="24"/>
                          <w:lang w:eastAsia="lt-LT" w:bidi="en-US"/>
                        </w:rPr>
                        <w:t>3</w:t>
                      </w:r>
                    </w:sdtContent>
                  </w:sdt>
                  <w:r>
                    <w:rPr>
                      <w:color w:val="000000"/>
                      <w:szCs w:val="24"/>
                      <w:lang w:eastAsia="lt-LT" w:bidi="en-US"/>
                    </w:rPr>
                    <w:t xml:space="preserve">. Antikorupcinio vertinimo pažyma, </w:t>
                  </w:r>
                  <w:r>
                    <w:rPr>
                      <w:color w:val="000000"/>
                      <w:szCs w:val="24"/>
                      <w:lang w:val="en-US" w:eastAsia="lt-LT" w:bidi="en-US"/>
                    </w:rPr>
                    <w:t>8</w:t>
                  </w:r>
                  <w:r>
                    <w:rPr>
                      <w:color w:val="000000"/>
                      <w:szCs w:val="24"/>
                      <w:lang w:eastAsia="lt-LT" w:bidi="en-US"/>
                    </w:rPr>
                    <w:t xml:space="preserve"> lapai.</w:t>
                  </w:r>
                </w:p>
                <w:p>
                  <w:pPr>
                    <w:jc w:val="both"/>
                    <w:rPr>
                      <w:color w:val="000000"/>
                      <w:szCs w:val="24"/>
                      <w:lang w:eastAsia="lt-LT" w:bidi="en-US"/>
                    </w:rPr>
                  </w:pPr>
                </w:p>
                <w:tbl>
                  <w:tblPr>
                    <w:tblW w:w="9643" w:type="dxa"/>
                    <w:tblInd w:w="8" w:type="dxa"/>
                    <w:tblLayout w:type="fixed"/>
                    <w:tblCellMar>
                      <w:left w:w="0" w:type="dxa"/>
                      <w:right w:w="0" w:type="dxa"/>
                    </w:tblCellMar>
                    <w:tblLook w:val="0000" w:firstRow="0" w:lastRow="0" w:firstColumn="0" w:lastColumn="0" w:noHBand="0" w:noVBand="0"/>
                  </w:tblPr>
                  <w:tblGrid>
                    <w:gridCol w:w="4817"/>
                    <w:gridCol w:w="4826"/>
                  </w:tblGrid>
                  <w:tr>
                    <w:trPr>
                      <w:trHeight w:val="340"/>
                    </w:trPr>
                    <w:tc>
                      <w:tcPr>
                        <w:tcW w:w="4817" w:type="dxa"/>
                        <w:vAlign w:val="bottom"/>
                      </w:tcPr>
                      <w:p>
                        <w:pPr>
                          <w:suppressLineNumbers/>
                          <w:spacing w:line="276" w:lineRule="auto"/>
                          <w:jc w:val="both"/>
                          <w:rPr>
                            <w:rFonts w:eastAsia="Andale Sans UI" w:cs="Tahoma"/>
                            <w:szCs w:val="24"/>
                            <w:lang w:bidi="en-US"/>
                          </w:rPr>
                        </w:pPr>
                      </w:p>
                    </w:tc>
                    <w:tc>
                      <w:tcPr>
                        <w:tcW w:w="4826" w:type="dxa"/>
                        <w:vAlign w:val="bottom"/>
                      </w:tcPr>
                      <w:p>
                        <w:pPr>
                          <w:spacing w:line="276" w:lineRule="auto"/>
                          <w:ind w:right="34"/>
                          <w:jc w:val="right"/>
                          <w:rPr>
                            <w:rFonts w:eastAsia="Andale Sans UI" w:cs="Tahoma"/>
                            <w:szCs w:val="24"/>
                            <w:lang w:bidi="en-US"/>
                          </w:rPr>
                        </w:pPr>
                      </w:p>
                    </w:tc>
                  </w:tr>
                </w:tbl>
                <w:p>
                  <w:pPr>
                    <w:jc w:val="both"/>
                    <w:rPr>
                      <w:rFonts w:eastAsia="Andale Sans UI" w:cs="Tahoma"/>
                      <w:szCs w:val="24"/>
                      <w:lang w:bidi="en-US"/>
                    </w:rPr>
                  </w:pPr>
                </w:p>
                <w:tbl>
                  <w:tblPr>
                    <w:tblW w:w="9643" w:type="dxa"/>
                    <w:tblInd w:w="8" w:type="dxa"/>
                    <w:tblLayout w:type="fixed"/>
                    <w:tblCellMar>
                      <w:left w:w="0" w:type="dxa"/>
                      <w:right w:w="0" w:type="dxa"/>
                    </w:tblCellMar>
                    <w:tblLook w:val="0000" w:firstRow="0" w:lastRow="0" w:firstColumn="0" w:lastColumn="0" w:noHBand="0" w:noVBand="0"/>
                  </w:tblPr>
                  <w:tblGrid>
                    <w:gridCol w:w="4817"/>
                    <w:gridCol w:w="4826"/>
                  </w:tblGrid>
                  <w:tr>
                    <w:trPr>
                      <w:trHeight w:val="340"/>
                    </w:trPr>
                    <w:tc>
                      <w:tcPr>
                        <w:tcW w:w="4817" w:type="dxa"/>
                        <w:vAlign w:val="bottom"/>
                      </w:tcPr>
                      <w:p>
                        <w:pPr>
                          <w:suppressLineNumbers/>
                          <w:spacing w:line="276" w:lineRule="auto"/>
                          <w:jc w:val="both"/>
                          <w:rPr>
                            <w:rFonts w:eastAsia="Andale Sans UI" w:cs="Tahoma"/>
                            <w:szCs w:val="24"/>
                            <w:lang w:bidi="en-US"/>
                          </w:rPr>
                        </w:pPr>
                        <w:r>
                          <w:rPr>
                            <w:rFonts w:eastAsia="Andale Sans UI"/>
                            <w:szCs w:val="24"/>
                            <w:lang w:bidi="en-US"/>
                          </w:rPr>
                          <w:t>Aplinkos viceministrė</w:t>
                        </w:r>
                      </w:p>
                    </w:tc>
                    <w:tc>
                      <w:tcPr>
                        <w:tcW w:w="4826" w:type="dxa"/>
                        <w:vAlign w:val="bottom"/>
                      </w:tcPr>
                      <w:p>
                        <w:pPr>
                          <w:spacing w:line="276" w:lineRule="auto"/>
                          <w:ind w:right="34"/>
                          <w:jc w:val="right"/>
                          <w:rPr>
                            <w:rFonts w:eastAsia="Andale Sans UI" w:cs="Tahoma"/>
                            <w:szCs w:val="24"/>
                            <w:lang w:bidi="en-US"/>
                          </w:rPr>
                        </w:pPr>
                        <w:r>
                          <w:rPr>
                            <w:rFonts w:eastAsia="Andale Sans UI" w:cs="Tahoma"/>
                            <w:szCs w:val="24"/>
                            <w:lang w:bidi="en-US"/>
                          </w:rPr>
                          <w:t>Raminta Radavičienė</w:t>
                        </w:r>
                      </w:p>
                    </w:tc>
                  </w:tr>
                </w:tbl>
                <w:p>
                  <w:pPr>
                    <w:jc w:val="both"/>
                    <w:rPr>
                      <w:rFonts w:eastAsia="Andale Sans UI" w:cs="Tahoma"/>
                      <w:szCs w:val="24"/>
                      <w:lang w:bidi="en-US"/>
                    </w:rPr>
                  </w:pPr>
                </w:p>
                <w:p>
                  <w:pPr>
                    <w:jc w:val="both"/>
                    <w:rPr>
                      <w:rFonts w:eastAsia="Andale Sans UI" w:cs="Tahoma"/>
                      <w:szCs w:val="24"/>
                      <w:lang w:bidi="en-US"/>
                    </w:rPr>
                  </w:pPr>
                </w:p>
                <w:p>
                  <w:pPr>
                    <w:jc w:val="both"/>
                    <w:rPr>
                      <w:rFonts w:eastAsia="Andale Sans UI" w:cs="Tahoma"/>
                      <w:szCs w:val="24"/>
                      <w:lang w:bidi="en-US"/>
                    </w:rPr>
                  </w:pPr>
                </w:p>
                <w:p>
                  <w:pPr>
                    <w:jc w:val="both"/>
                    <w:rPr>
                      <w:rFonts w:eastAsia="Andale Sans UI" w:cs="Tahoma"/>
                      <w:szCs w:val="24"/>
                      <w:lang w:bidi="en-US"/>
                    </w:rPr>
                  </w:pPr>
                </w:p>
                <w:p>
                  <w:pPr>
                    <w:jc w:val="both"/>
                    <w:rPr>
                      <w:rFonts w:eastAsia="Andale Sans UI" w:cs="Tahoma"/>
                      <w:szCs w:val="24"/>
                      <w:lang w:bidi="en-US"/>
                    </w:rPr>
                  </w:pPr>
                </w:p>
                <w:p>
                  <w:pPr>
                    <w:jc w:val="both"/>
                    <w:rPr>
                      <w:rFonts w:eastAsia="Andale Sans UI" w:cs="Tahoma"/>
                      <w:szCs w:val="24"/>
                      <w:lang w:bidi="en-US"/>
                    </w:rPr>
                  </w:pPr>
                </w:p>
                <w:p>
                  <w:pPr>
                    <w:jc w:val="both"/>
                    <w:rPr>
                      <w:rFonts w:eastAsia="Andale Sans UI" w:cs="Tahoma"/>
                      <w:szCs w:val="24"/>
                      <w:lang w:bidi="en-US"/>
                    </w:rPr>
                  </w:pPr>
                </w:p>
                <w:p>
                  <w:pPr>
                    <w:jc w:val="both"/>
                    <w:rPr>
                      <w:rFonts w:eastAsia="Andale Sans UI" w:cs="Tahoma"/>
                      <w:szCs w:val="24"/>
                      <w:lang w:bidi="en-US"/>
                    </w:rPr>
                  </w:pPr>
                </w:p>
                <w:p>
                  <w:pPr>
                    <w:jc w:val="both"/>
                    <w:rPr>
                      <w:rFonts w:eastAsia="Andale Sans UI" w:cs="Tahoma"/>
                      <w:szCs w:val="24"/>
                      <w:lang w:bidi="en-US"/>
                    </w:rPr>
                  </w:pPr>
                </w:p>
                <w:p>
                  <w:pPr>
                    <w:jc w:val="both"/>
                    <w:rPr>
                      <w:rFonts w:eastAsia="Andale Sans UI" w:cs="Tahoma"/>
                      <w:szCs w:val="24"/>
                      <w:lang w:bidi="en-US"/>
                    </w:rPr>
                  </w:pPr>
                </w:p>
                <w:p>
                  <w:pPr>
                    <w:jc w:val="both"/>
                    <w:rPr>
                      <w:rFonts w:eastAsia="Andale Sans UI" w:cs="Tahoma"/>
                      <w:szCs w:val="24"/>
                      <w:lang w:bidi="en-US"/>
                    </w:rPr>
                  </w:pPr>
                </w:p>
                <w:p>
                  <w:pPr>
                    <w:jc w:val="both"/>
                    <w:rPr>
                      <w:rFonts w:eastAsia="Andale Sans UI" w:cs="Tahoma"/>
                      <w:szCs w:val="24"/>
                      <w:lang w:bidi="en-US"/>
                    </w:rPr>
                  </w:pPr>
                </w:p>
                <w:p>
                  <w:pPr>
                    <w:jc w:val="both"/>
                    <w:rPr>
                      <w:rFonts w:eastAsia="Andale Sans UI" w:cs="Tahoma"/>
                      <w:szCs w:val="24"/>
                      <w:lang w:bidi="en-US"/>
                    </w:rPr>
                  </w:pPr>
                </w:p>
                <w:p>
                  <w:pPr>
                    <w:jc w:val="both"/>
                    <w:rPr>
                      <w:rFonts w:eastAsia="Andale Sans UI" w:cs="Tahoma"/>
                      <w:szCs w:val="24"/>
                      <w:lang w:bidi="en-US"/>
                    </w:rPr>
                  </w:pPr>
                </w:p>
                <w:p>
                  <w:pPr>
                    <w:jc w:val="both"/>
                    <w:rPr>
                      <w:rFonts w:eastAsia="Andale Sans UI" w:cs="Tahoma"/>
                      <w:szCs w:val="24"/>
                      <w:lang w:bidi="en-US"/>
                    </w:rPr>
                  </w:pPr>
                </w:p>
                <w:p>
                  <w:pPr>
                    <w:jc w:val="both"/>
                    <w:rPr>
                      <w:rFonts w:eastAsia="Andale Sans UI" w:cs="Tahoma"/>
                      <w:szCs w:val="24"/>
                      <w:lang w:bidi="en-US"/>
                    </w:rPr>
                  </w:pPr>
                </w:p>
                <w:p>
                  <w:pPr>
                    <w:jc w:val="both"/>
                    <w:rPr>
                      <w:rFonts w:eastAsia="Andale Sans UI" w:cs="Tahoma"/>
                      <w:szCs w:val="24"/>
                      <w:lang w:bidi="en-US"/>
                    </w:rPr>
                  </w:pPr>
                </w:p>
                <w:p>
                  <w:pPr>
                    <w:jc w:val="both"/>
                    <w:rPr>
                      <w:rFonts w:eastAsia="Andale Sans UI" w:cs="Tahoma"/>
                      <w:szCs w:val="24"/>
                      <w:lang w:bidi="en-US"/>
                    </w:rPr>
                  </w:pPr>
                </w:p>
                <w:p>
                  <w:pPr>
                    <w:jc w:val="both"/>
                    <w:rPr>
                      <w:rFonts w:eastAsia="Andale Sans UI" w:cs="Tahoma"/>
                      <w:szCs w:val="24"/>
                      <w:lang w:bidi="en-US"/>
                    </w:rPr>
                  </w:pPr>
                </w:p>
                <w:p>
                  <w:pPr>
                    <w:jc w:val="both"/>
                    <w:rPr>
                      <w:rFonts w:eastAsia="Andale Sans UI" w:cs="Tahoma"/>
                      <w:szCs w:val="24"/>
                      <w:lang w:bidi="en-US"/>
                    </w:rPr>
                  </w:pPr>
                </w:p>
                <w:tbl>
                  <w:tblPr>
                    <w:tblW w:w="9643" w:type="dxa"/>
                    <w:tblInd w:w="8" w:type="dxa"/>
                    <w:tblLayout w:type="fixed"/>
                    <w:tblCellMar>
                      <w:left w:w="0" w:type="dxa"/>
                      <w:right w:w="0" w:type="dxa"/>
                    </w:tblCellMar>
                    <w:tblLook w:val="0000" w:firstRow="0" w:lastRow="0" w:firstColumn="0" w:lastColumn="0" w:noHBand="0" w:noVBand="0"/>
                  </w:tblPr>
                  <w:tblGrid>
                    <w:gridCol w:w="9643"/>
                  </w:tblGrid>
                  <w:tr>
                    <w:trPr>
                      <w:cantSplit/>
                      <w:trHeight w:val="340"/>
                    </w:trPr>
                    <w:tc>
                      <w:tcPr>
                        <w:tcW w:w="9643" w:type="dxa"/>
                      </w:tcPr>
                      <w:p>
                        <w:pPr>
                          <w:keepLines/>
                          <w:suppressLineNumbers/>
                          <w:jc w:val="both"/>
                          <w:rPr>
                            <w:rFonts w:eastAsia="Andale Sans UI" w:cs="Tahoma"/>
                            <w:sz w:val="18"/>
                            <w:szCs w:val="18"/>
                            <w:lang w:bidi="en-US"/>
                          </w:rPr>
                        </w:pPr>
                        <w:r>
                          <w:rPr>
                            <w:rFonts w:eastAsia="Andale Sans UI"/>
                            <w:szCs w:val="24"/>
                            <w:lang w:bidi="en-US"/>
                          </w:rPr>
                          <w:t>J. Podymova, mob. 8 687 27 458, el. p. jelena.podymova@am.lt</w:t>
                        </w:r>
                      </w:p>
                    </w:tc>
                  </w:tr>
                </w:tbl>
                <w:p>
                  <w:pPr>
                    <w:jc w:val="both"/>
                    <w:rPr>
                      <w:rFonts w:eastAsia="Andale Sans UI" w:cs="Tahoma"/>
                      <w:szCs w:val="24"/>
                      <w:lang w:bidi="en-US"/>
                    </w:rPr>
                    <w:sectPr>
                      <w:headerReference w:type="even" r:id="rId17"/>
                      <w:headerReference w:type="default" r:id="rId18"/>
                      <w:footerReference w:type="even" r:id="rId19"/>
                      <w:footerReference w:type="default" r:id="rId20"/>
                      <w:headerReference w:type="first" r:id="rId21"/>
                      <w:footerReference w:type="first" r:id="rId22"/>
                      <w:footnotePr>
                        <w:pos w:val="beneathText"/>
                        <w:numRestart w:val="eachPage"/>
                      </w:footnotePr>
                      <w:endnotePr>
                        <w:numFmt w:val="decimal"/>
                      </w:endnotePr>
                      <w:pgSz w:w="11905" w:h="16837"/>
                      <w:pgMar w:top="1134" w:right="567" w:bottom="1134" w:left="1701" w:header="567" w:footer="232" w:gutter="0"/>
                      <w:cols w:space="1296"/>
                      <w:titlePg/>
                    </w:sectPr>
                  </w:pPr>
                </w:p>
                <w:p>
                  <w:pPr>
                    <w:suppressLineNumbers/>
                    <w:tabs>
                      <w:tab w:val="center" w:pos="4800"/>
                      <w:tab w:val="right" w:pos="9601"/>
                    </w:tabs>
                    <w:jc w:val="both"/>
                    <w:rPr>
                      <w:rFonts w:eastAsia="Andale Sans UI" w:cs="Tahoma"/>
                      <w:szCs w:val="24"/>
                      <w:lang w:bidi="en-US"/>
                    </w:rPr>
                  </w:pPr>
                </w:p>
              </w:sdtContent>
            </w:sdt>
          </w:sdtContent>
        </w:sdt>
        <w:sdt>
          <w:sdtPr>
            <w:alias w:val="skirsnis"/>
            <w:tag w:val="part_e6258f07d0294dbcaedc3352e631bd2d"/>
            <w:lock w:val="sdtLocked"/>
            <w:richText/>
          </w:sdtPr>
          <w:sdtContent>
            <w:p>
              <w:pPr>
                <w:widowControl w:val="0"/>
                <w:suppressAutoHyphens/>
                <w:jc w:val="center"/>
                <w:rPr>
                  <w:rFonts w:eastAsia="Andale Sans UI"/>
                  <w:b/>
                  <w:szCs w:val="24"/>
                  <w:lang w:bidi="en-US"/>
                </w:rPr>
              </w:pPr>
              <w:sdt>
                <w:sdtPr>
                  <w:alias w:val="Pavadinimas"/>
                  <w:tag w:val="title_e6258f07d0294dbcaedc3352e631bd2d"/>
                  <w:lock w:val="sdtLocked"/>
                  <w:richText/>
                </w:sdtPr>
                <w:sdtContent>
                  <w:r>
                    <w:rPr>
                      <w:rFonts w:eastAsia="Andale Sans UI"/>
                      <w:b/>
                      <w:szCs w:val="24"/>
                      <w:lang w:bidi="en-US"/>
                    </w:rPr>
                    <w:t>ADRESATŲ SĄRAŠAS</w:t>
                  </w:r>
                </w:sdtContent>
              </w:sdt>
            </w:p>
            <w:p>
              <w:pPr>
                <w:widowControl w:val="0"/>
                <w:suppressAutoHyphens/>
                <w:jc w:val="both"/>
                <w:rPr>
                  <w:rFonts w:eastAsia="Andale Sans UI"/>
                  <w:b/>
                  <w:szCs w:val="24"/>
                  <w:lang w:bidi="en-US"/>
                </w:rPr>
              </w:pPr>
            </w:p>
            <w:p>
              <w:pPr>
                <w:jc w:val="both"/>
                <w:rPr>
                  <w:rFonts w:eastAsia="Andale Sans UI"/>
                  <w:szCs w:val="24"/>
                  <w:lang w:bidi="en-US"/>
                </w:rPr>
              </w:pPr>
              <w:r>
                <w:rPr>
                  <w:rFonts w:eastAsia="Andale Sans UI"/>
                  <w:szCs w:val="24"/>
                  <w:lang w:bidi="en-US"/>
                </w:rPr>
                <w:t>Lietuvos savivaldybių asociacijai</w:t>
              </w:r>
            </w:p>
            <w:p>
              <w:pPr>
                <w:jc w:val="both"/>
                <w:rPr>
                  <w:rFonts w:eastAsia="Andale Sans UI"/>
                  <w:szCs w:val="24"/>
                  <w:lang w:bidi="en-US"/>
                </w:rPr>
              </w:pPr>
              <w:r>
                <w:rPr>
                  <w:rFonts w:eastAsia="Andale Sans UI"/>
                  <w:szCs w:val="24"/>
                  <w:lang w:bidi="en-US"/>
                </w:rPr>
                <w:t>Lietuvos regioninių atliekų tvarkymo centrų asociacijai</w:t>
              </w:r>
            </w:p>
            <w:p>
              <w:pPr>
                <w:jc w:val="both"/>
                <w:rPr>
                  <w:rFonts w:eastAsia="Andale Sans UI"/>
                  <w:szCs w:val="24"/>
                  <w:lang w:bidi="en-US"/>
                </w:rPr>
              </w:pPr>
              <w:r>
                <w:rPr>
                  <w:rFonts w:eastAsia="Andale Sans UI"/>
                  <w:szCs w:val="24"/>
                  <w:lang w:bidi="en-US"/>
                </w:rPr>
                <w:t>Lietuvos komunalininkų ir atliekų tvarkytojų asociacijai</w:t>
              </w:r>
            </w:p>
            <w:p>
              <w:pPr>
                <w:jc w:val="both"/>
                <w:rPr>
                  <w:rFonts w:eastAsia="Andale Sans UI"/>
                  <w:szCs w:val="24"/>
                  <w:lang w:bidi="en-US"/>
                </w:rPr>
              </w:pPr>
              <w:r>
                <w:rPr>
                  <w:rFonts w:eastAsia="Andale Sans UI"/>
                  <w:szCs w:val="24"/>
                  <w:lang w:bidi="en-US"/>
                </w:rPr>
                <w:t>Lietuvos savivaldybių komunalinių įmonių asociacijai</w:t>
              </w:r>
            </w:p>
            <w:p>
              <w:pPr>
                <w:jc w:val="both"/>
                <w:rPr>
                  <w:rFonts w:eastAsia="Andale Sans UI"/>
                  <w:szCs w:val="24"/>
                  <w:lang w:bidi="en-US"/>
                </w:rPr>
              </w:pPr>
              <w:r>
                <w:rPr>
                  <w:rFonts w:eastAsia="Andale Sans UI"/>
                  <w:szCs w:val="24"/>
                  <w:lang w:bidi="en-US"/>
                </w:rPr>
                <w:t>Vyriausybės atstovų įstaigai</w:t>
              </w:r>
            </w:p>
            <w:p>
              <w:pPr>
                <w:widowControl w:val="0"/>
                <w:suppressAutoHyphens/>
                <w:jc w:val="both"/>
                <w:rPr>
                  <w:rFonts w:eastAsia="Andale Sans UI"/>
                  <w:color w:val="000000"/>
                  <w:szCs w:val="24"/>
                  <w:lang w:bidi="en-US"/>
                </w:rPr>
              </w:pPr>
              <w:r>
                <w:rPr>
                  <w:rFonts w:eastAsia="Andale Sans UI"/>
                  <w:color w:val="000000"/>
                  <w:szCs w:val="24"/>
                  <w:lang w:bidi="en-US"/>
                </w:rPr>
                <w:t>Ekonomikos ir inovacijų ministerijai</w:t>
              </w:r>
            </w:p>
            <w:p>
              <w:pPr>
                <w:widowControl w:val="0"/>
                <w:suppressAutoHyphens/>
                <w:jc w:val="both"/>
                <w:rPr>
                  <w:rFonts w:eastAsia="Andale Sans UI"/>
                  <w:szCs w:val="24"/>
                  <w:lang w:bidi="en-US"/>
                </w:rPr>
              </w:pPr>
              <w:r>
                <w:rPr>
                  <w:rFonts w:eastAsia="Andale Sans UI"/>
                  <w:szCs w:val="24"/>
                  <w:lang w:bidi="en-US"/>
                </w:rPr>
                <w:t>Vidaus reikalų ministerijai</w:t>
              </w:r>
            </w:p>
            <w:p>
              <w:pPr>
                <w:jc w:val="both"/>
                <w:rPr>
                  <w:rFonts w:eastAsia="Andale Sans UI"/>
                  <w:szCs w:val="24"/>
                  <w:lang w:bidi="en-US"/>
                </w:rPr>
              </w:pPr>
              <w:r>
                <w:rPr>
                  <w:rFonts w:eastAsia="Andale Sans UI"/>
                  <w:color w:val="000000"/>
                  <w:szCs w:val="24"/>
                  <w:lang w:bidi="en-US"/>
                </w:rPr>
                <w:t>Socialinės apsaugos ir darbo ministerijai</w:t>
              </w:r>
            </w:p>
            <w:p>
              <w:pPr>
                <w:widowControl w:val="0"/>
                <w:suppressAutoHyphens/>
                <w:jc w:val="both"/>
                <w:rPr>
                  <w:rFonts w:eastAsia="Andale Sans UI"/>
                  <w:szCs w:val="24"/>
                  <w:lang w:bidi="en-US"/>
                </w:rPr>
              </w:pPr>
              <w:r>
                <w:rPr>
                  <w:rFonts w:eastAsia="Andale Sans UI"/>
                  <w:szCs w:val="24"/>
                  <w:lang w:bidi="en-US"/>
                </w:rPr>
                <w:t>Sveikatos apsaugos ministerijai</w:t>
              </w:r>
            </w:p>
            <w:p>
              <w:pPr>
                <w:widowControl w:val="0"/>
                <w:suppressAutoHyphens/>
                <w:jc w:val="both"/>
                <w:rPr>
                  <w:rFonts w:eastAsia="Andale Sans UI"/>
                  <w:szCs w:val="24"/>
                  <w:lang w:bidi="en-US"/>
                </w:rPr>
              </w:pPr>
              <w:r>
                <w:rPr>
                  <w:rFonts w:eastAsia="Andale Sans UI"/>
                  <w:szCs w:val="24"/>
                  <w:lang w:bidi="en-US"/>
                </w:rPr>
                <w:t>Teisingumo ministerijai</w:t>
              </w:r>
            </w:p>
            <w:p>
              <w:pPr>
                <w:widowControl w:val="0"/>
                <w:suppressAutoHyphens/>
                <w:jc w:val="both"/>
                <w:rPr>
                  <w:rFonts w:eastAsia="Andale Sans UI"/>
                  <w:szCs w:val="24"/>
                  <w:lang w:bidi="en-US"/>
                </w:rPr>
              </w:pPr>
              <w:r>
                <w:rPr>
                  <w:rFonts w:eastAsia="Andale Sans UI"/>
                  <w:szCs w:val="24"/>
                  <w:lang w:bidi="en-US"/>
                </w:rPr>
                <w:t>Žemės ūkio ministerijai</w:t>
              </w:r>
            </w:p>
            <w:p>
              <w:pPr>
                <w:widowControl w:val="0"/>
                <w:suppressAutoHyphens/>
                <w:jc w:val="both"/>
                <w:rPr>
                  <w:rFonts w:eastAsia="Andale Sans UI"/>
                  <w:szCs w:val="24"/>
                  <w:lang w:bidi="en-US"/>
                </w:rPr>
              </w:pPr>
              <w:r>
                <w:rPr>
                  <w:rFonts w:eastAsia="Andale Sans UI"/>
                  <w:szCs w:val="24"/>
                  <w:lang w:bidi="en-US"/>
                </w:rPr>
                <w:t>Nacionaliniam visuomenės sveikatos centrui prie Sveikatos apsaugos ministerijos</w:t>
              </w:r>
            </w:p>
            <w:p>
              <w:pPr>
                <w:widowControl w:val="0"/>
                <w:suppressAutoHyphens/>
                <w:jc w:val="both"/>
                <w:rPr>
                  <w:rFonts w:eastAsia="Andale Sans UI"/>
                  <w:szCs w:val="24"/>
                  <w:lang w:bidi="en-US"/>
                </w:rPr>
              </w:pPr>
              <w:r>
                <w:rPr>
                  <w:rFonts w:eastAsia="Andale Sans UI"/>
                  <w:szCs w:val="24"/>
                  <w:lang w:bidi="en-US"/>
                </w:rPr>
                <w:t>Valstybinei vartotojų teisių apsaugos tarnybai</w:t>
              </w:r>
            </w:p>
            <w:p>
              <w:pPr>
                <w:widowControl w:val="0"/>
                <w:suppressAutoHyphens/>
                <w:jc w:val="both"/>
                <w:rPr>
                  <w:rFonts w:eastAsia="Andale Sans UI"/>
                  <w:szCs w:val="24"/>
                  <w:lang w:bidi="en-US"/>
                </w:rPr>
              </w:pPr>
              <w:r>
                <w:rPr>
                  <w:rFonts w:eastAsia="Andale Sans UI"/>
                  <w:szCs w:val="24"/>
                  <w:lang w:bidi="en-US"/>
                </w:rPr>
                <w:t>Valstybinei maisto ir veterinarijos tarnybai</w:t>
              </w:r>
            </w:p>
            <w:p>
              <w:pPr>
                <w:widowControl w:val="0"/>
                <w:suppressAutoHyphens/>
                <w:jc w:val="both"/>
                <w:rPr>
                  <w:rFonts w:eastAsia="Andale Sans UI"/>
                  <w:szCs w:val="24"/>
                  <w:lang w:bidi="en-US"/>
                </w:rPr>
              </w:pPr>
              <w:r>
                <w:rPr>
                  <w:rFonts w:eastAsia="Andale Sans UI"/>
                  <w:szCs w:val="24"/>
                  <w:lang w:bidi="en-US"/>
                </w:rPr>
                <w:t>Valstybinei teritorijų planavimo ir statybos inspekcijai prie Aplinkos ministerijos</w:t>
              </w:r>
            </w:p>
            <w:p>
              <w:pPr>
                <w:widowControl w:val="0"/>
                <w:suppressAutoHyphens/>
                <w:jc w:val="both"/>
                <w:rPr>
                  <w:rFonts w:eastAsia="Andale Sans UI"/>
                  <w:color w:val="000000"/>
                  <w:szCs w:val="24"/>
                  <w:lang w:bidi="en-US"/>
                </w:rPr>
              </w:pPr>
              <w:r>
                <w:rPr>
                  <w:rFonts w:eastAsia="Andale Sans UI"/>
                  <w:color w:val="000000"/>
                  <w:szCs w:val="24"/>
                  <w:lang w:bidi="en-US"/>
                </w:rPr>
                <w:t>Lietuvos prekybos, pramonės ir amatų rūmų asociacijai</w:t>
              </w:r>
            </w:p>
            <w:p>
              <w:pPr>
                <w:widowControl w:val="0"/>
                <w:suppressAutoHyphens/>
                <w:jc w:val="both"/>
                <w:rPr>
                  <w:rFonts w:eastAsia="Andale Sans UI"/>
                  <w:color w:val="000000"/>
                  <w:szCs w:val="24"/>
                  <w:lang w:bidi="en-US"/>
                </w:rPr>
              </w:pPr>
              <w:r>
                <w:rPr>
                  <w:rFonts w:eastAsia="Andale Sans UI"/>
                  <w:color w:val="000000"/>
                  <w:szCs w:val="24"/>
                  <w:lang w:bidi="en-US"/>
                </w:rPr>
                <w:t>Lietuvos verslo konfederacijai</w:t>
              </w:r>
            </w:p>
            <w:p>
              <w:pPr>
                <w:widowControl w:val="0"/>
                <w:suppressAutoHyphens/>
                <w:jc w:val="both"/>
                <w:rPr>
                  <w:rFonts w:eastAsia="Andale Sans UI"/>
                  <w:color w:val="000000"/>
                  <w:szCs w:val="24"/>
                  <w:lang w:bidi="en-US"/>
                </w:rPr>
              </w:pPr>
              <w:r>
                <w:rPr>
                  <w:rFonts w:eastAsia="Andale Sans UI"/>
                  <w:color w:val="000000"/>
                  <w:szCs w:val="24"/>
                  <w:lang w:bidi="en-US"/>
                </w:rPr>
                <w:t>Lietuvos pramonininkų konfederacijai</w:t>
              </w:r>
            </w:p>
            <w:p>
              <w:pPr>
                <w:widowControl w:val="0"/>
                <w:suppressAutoHyphens/>
                <w:jc w:val="both"/>
                <w:rPr>
                  <w:rFonts w:eastAsia="Andale Sans UI"/>
                  <w:szCs w:val="24"/>
                  <w:lang w:bidi="en-US"/>
                </w:rPr>
              </w:pPr>
              <w:r>
                <w:rPr>
                  <w:rFonts w:eastAsia="Andale Sans UI"/>
                  <w:szCs w:val="24"/>
                  <w:lang w:bidi="en-US"/>
                </w:rPr>
                <w:t>Atliekų tvarkytojų ir turėtojų asociacijai</w:t>
              </w:r>
            </w:p>
            <w:p>
              <w:pPr>
                <w:widowControl w:val="0"/>
                <w:tabs>
                  <w:tab w:val="left" w:pos="765"/>
                </w:tabs>
                <w:suppressAutoHyphens/>
                <w:jc w:val="both"/>
                <w:rPr>
                  <w:rFonts w:eastAsia="Andale Sans UI"/>
                  <w:color w:val="000000"/>
                  <w:szCs w:val="24"/>
                  <w:lang w:bidi="en-US"/>
                </w:rPr>
              </w:pPr>
              <w:r>
                <w:rPr>
                  <w:rFonts w:eastAsia="Andale Sans UI"/>
                  <w:color w:val="000000"/>
                  <w:szCs w:val="24"/>
                  <w:lang w:bidi="en-US"/>
                </w:rPr>
                <w:t>VšĮ „Žaliasis taškas“</w:t>
              </w:r>
            </w:p>
            <w:p>
              <w:pPr>
                <w:widowControl w:val="0"/>
                <w:tabs>
                  <w:tab w:val="left" w:pos="765"/>
                </w:tabs>
                <w:suppressAutoHyphens/>
                <w:jc w:val="both"/>
                <w:rPr>
                  <w:rFonts w:eastAsia="Andale Sans UI"/>
                  <w:color w:val="000000"/>
                  <w:szCs w:val="24"/>
                  <w:lang w:bidi="en-US"/>
                </w:rPr>
              </w:pPr>
              <w:r>
                <w:rPr>
                  <w:rFonts w:eastAsia="Andale Sans UI"/>
                  <w:color w:val="000000"/>
                  <w:szCs w:val="24"/>
                  <w:lang w:bidi="en-US"/>
                </w:rPr>
                <w:t>Gamintojų ir importuotojų asociacija „Gamtos ateitis“</w:t>
              </w:r>
            </w:p>
            <w:p>
              <w:pPr>
                <w:widowControl w:val="0"/>
                <w:tabs>
                  <w:tab w:val="left" w:pos="765"/>
                </w:tabs>
                <w:suppressAutoHyphens/>
                <w:jc w:val="both"/>
                <w:rPr>
                  <w:rFonts w:eastAsia="Andale Sans UI"/>
                  <w:color w:val="000000"/>
                  <w:szCs w:val="24"/>
                  <w:lang w:bidi="en-US"/>
                </w:rPr>
              </w:pPr>
              <w:r>
                <w:rPr>
                  <w:rFonts w:eastAsia="Andale Sans UI"/>
                  <w:color w:val="000000"/>
                  <w:szCs w:val="24"/>
                  <w:lang w:bidi="en-US"/>
                </w:rPr>
                <w:t>Aplinkosaugos koalicijai</w:t>
              </w:r>
            </w:p>
            <w:p>
              <w:pPr>
                <w:widowControl w:val="0"/>
                <w:tabs>
                  <w:tab w:val="left" w:pos="765"/>
                </w:tabs>
                <w:suppressAutoHyphens/>
                <w:jc w:val="both"/>
                <w:rPr>
                  <w:rFonts w:eastAsia="Andale Sans UI"/>
                  <w:color w:val="000000"/>
                  <w:szCs w:val="24"/>
                  <w:lang w:bidi="en-US"/>
                </w:rPr>
              </w:pPr>
              <w:r>
                <w:rPr>
                  <w:rFonts w:eastAsia="Andale Sans UI"/>
                  <w:color w:val="000000"/>
                  <w:szCs w:val="24"/>
                  <w:lang w:bidi="en-US"/>
                </w:rPr>
                <w:t>VšĮ „Žiedinė ekonomika“</w:t>
              </w:r>
            </w:p>
            <w:p>
              <w:pPr>
                <w:widowControl w:val="0"/>
                <w:tabs>
                  <w:tab w:val="left" w:pos="765"/>
                </w:tabs>
                <w:suppressAutoHyphens/>
                <w:jc w:val="both"/>
                <w:rPr>
                  <w:rFonts w:eastAsia="Andale Sans UI"/>
                  <w:szCs w:val="24"/>
                  <w:lang w:bidi="en-US"/>
                </w:rPr>
              </w:pPr>
              <w:r>
                <w:rPr>
                  <w:rFonts w:eastAsia="Andale Sans UI"/>
                  <w:szCs w:val="24"/>
                  <w:lang w:bidi="en-US"/>
                </w:rPr>
                <w:t>Antrinių žaliavų ir atliekų surinkėjų, perdirbėjų asociacijai</w:t>
              </w:r>
            </w:p>
            <w:p>
              <w:pPr>
                <w:widowControl w:val="0"/>
                <w:tabs>
                  <w:tab w:val="left" w:pos="765"/>
                </w:tabs>
                <w:suppressAutoHyphens/>
                <w:jc w:val="both"/>
                <w:rPr>
                  <w:rFonts w:eastAsia="Andale Sans UI"/>
                  <w:szCs w:val="24"/>
                  <w:lang w:bidi="en-US"/>
                </w:rPr>
              </w:pPr>
              <w:r>
                <w:rPr>
                  <w:rFonts w:eastAsia="Andale Sans UI"/>
                  <w:szCs w:val="24"/>
                  <w:lang w:bidi="en-US"/>
                </w:rPr>
                <w:t>Šiaulių miesto savivaldybės gyventojų asociacijai „Visuomeninės iniciatyvos“</w:t>
              </w:r>
            </w:p>
            <w:p>
              <w:pPr>
                <w:widowControl w:val="0"/>
                <w:tabs>
                  <w:tab w:val="left" w:pos="765"/>
                </w:tabs>
                <w:suppressAutoHyphens/>
                <w:jc w:val="both"/>
                <w:rPr>
                  <w:rFonts w:eastAsia="Andale Sans UI"/>
                  <w:szCs w:val="24"/>
                  <w:lang w:bidi="en-US"/>
                </w:rPr>
              </w:pPr>
              <w:r>
                <w:rPr>
                  <w:rFonts w:eastAsia="Andale Sans UI"/>
                  <w:szCs w:val="24"/>
                  <w:lang w:bidi="en-US"/>
                </w:rPr>
                <w:t>Asociacijai „Lieporių bendruomenės centras“</w:t>
              </w:r>
            </w:p>
            <w:p>
              <w:pPr>
                <w:widowControl w:val="0"/>
                <w:tabs>
                  <w:tab w:val="left" w:pos="765"/>
                </w:tabs>
                <w:suppressAutoHyphens/>
                <w:jc w:val="both"/>
                <w:rPr>
                  <w:rFonts w:eastAsia="Andale Sans UI"/>
                  <w:szCs w:val="24"/>
                  <w:lang w:bidi="en-US"/>
                </w:rPr>
              </w:pPr>
              <w:r>
                <w:rPr>
                  <w:rFonts w:eastAsia="Andale Sans UI"/>
                  <w:szCs w:val="24"/>
                  <w:lang w:bidi="en-US"/>
                </w:rPr>
                <w:t>VšĮ „Šiaurės Lietuvos kolegija“</w:t>
              </w:r>
            </w:p>
            <w:p>
              <w:pPr>
                <w:widowControl w:val="0"/>
                <w:tabs>
                  <w:tab w:val="left" w:pos="765"/>
                </w:tabs>
                <w:suppressAutoHyphens/>
                <w:jc w:val="both"/>
                <w:rPr>
                  <w:rFonts w:eastAsia="Andale Sans UI"/>
                  <w:szCs w:val="24"/>
                  <w:lang w:bidi="en-US"/>
                </w:rPr>
              </w:pPr>
              <w:r>
                <w:rPr>
                  <w:rFonts w:eastAsia="Andale Sans UI"/>
                  <w:szCs w:val="24"/>
                  <w:lang w:bidi="en-US"/>
                </w:rPr>
                <w:t>Lietuvos pensininkų sąjungai „Bočiai“</w:t>
              </w:r>
            </w:p>
            <w:p>
              <w:pPr>
                <w:widowControl w:val="0"/>
                <w:tabs>
                  <w:tab w:val="left" w:pos="765"/>
                </w:tabs>
                <w:suppressAutoHyphens/>
                <w:jc w:val="both"/>
                <w:rPr>
                  <w:rFonts w:eastAsia="Andale Sans UI"/>
                  <w:color w:val="000000"/>
                  <w:szCs w:val="24"/>
                  <w:lang w:bidi="en-US"/>
                </w:rPr>
              </w:pPr>
              <w:r>
                <w:rPr>
                  <w:rFonts w:eastAsia="Andale Sans UI"/>
                  <w:color w:val="000000"/>
                  <w:szCs w:val="24"/>
                  <w:lang w:bidi="en-US"/>
                </w:rPr>
                <w:t>Neįgaliųjų reikalų departamentui prie Socialinės apsaugos ir darbo ministerijos</w:t>
              </w:r>
            </w:p>
            <w:p>
              <w:pPr>
                <w:widowControl w:val="0"/>
                <w:tabs>
                  <w:tab w:val="left" w:pos="765"/>
                </w:tabs>
                <w:suppressAutoHyphens/>
                <w:jc w:val="both"/>
                <w:rPr>
                  <w:rFonts w:eastAsia="Andale Sans UI"/>
                  <w:color w:val="000000"/>
                  <w:szCs w:val="24"/>
                  <w:lang w:bidi="en-US"/>
                </w:rPr>
              </w:pPr>
              <w:r>
                <w:rPr>
                  <w:rFonts w:eastAsia="Andale Sans UI"/>
                  <w:color w:val="000000"/>
                  <w:szCs w:val="24"/>
                  <w:lang w:bidi="en-US"/>
                </w:rPr>
                <w:t>Lietuvos žmonių su negalia sąjungai</w:t>
              </w:r>
            </w:p>
            <w:p>
              <w:pPr>
                <w:widowControl w:val="0"/>
                <w:tabs>
                  <w:tab w:val="left" w:pos="765"/>
                </w:tabs>
                <w:suppressAutoHyphens/>
                <w:jc w:val="both"/>
                <w:rPr>
                  <w:rFonts w:eastAsia="Andale Sans UI"/>
                  <w:color w:val="000000"/>
                  <w:szCs w:val="24"/>
                  <w:lang w:bidi="en-US"/>
                </w:rPr>
              </w:pPr>
              <w:r>
                <w:rPr>
                  <w:rFonts w:eastAsia="Andale Sans UI"/>
                  <w:color w:val="000000"/>
                  <w:szCs w:val="24"/>
                  <w:lang w:bidi="en-US"/>
                </w:rPr>
                <w:t>Lietuvos negalios organizacijų forumui</w:t>
              </w:r>
            </w:p>
            <w:p>
              <w:pPr>
                <w:widowControl w:val="0"/>
                <w:tabs>
                  <w:tab w:val="left" w:pos="765"/>
                </w:tabs>
                <w:suppressAutoHyphens/>
                <w:jc w:val="both"/>
                <w:rPr>
                  <w:rFonts w:eastAsia="Andale Sans UI"/>
                  <w:color w:val="000000"/>
                  <w:szCs w:val="24"/>
                  <w:lang w:bidi="en-US"/>
                </w:rPr>
              </w:pPr>
              <w:r>
                <w:rPr>
                  <w:rFonts w:eastAsia="Andale Sans UI"/>
                  <w:color w:val="000000"/>
                  <w:szCs w:val="24"/>
                  <w:lang w:bidi="en-US"/>
                </w:rPr>
                <w:t>Lietuvos paraplegikų asociacijai</w:t>
              </w:r>
            </w:p>
            <w:p>
              <w:pPr>
                <w:widowControl w:val="0"/>
                <w:tabs>
                  <w:tab w:val="left" w:pos="765"/>
                </w:tabs>
                <w:suppressAutoHyphens/>
                <w:jc w:val="both"/>
                <w:rPr>
                  <w:rFonts w:eastAsia="Andale Sans UI"/>
                  <w:color w:val="000000"/>
                  <w:szCs w:val="24"/>
                  <w:lang w:bidi="en-US"/>
                </w:rPr>
              </w:pPr>
              <w:r>
                <w:rPr>
                  <w:rFonts w:eastAsia="Andale Sans UI"/>
                  <w:color w:val="000000"/>
                  <w:szCs w:val="24"/>
                  <w:lang w:bidi="en-US"/>
                </w:rPr>
                <w:t>Lietuvos aklųjų ir silpnaregių sąjungai</w:t>
              </w:r>
            </w:p>
            <w:p>
              <w:pPr>
                <w:widowControl w:val="0"/>
                <w:tabs>
                  <w:tab w:val="left" w:pos="765"/>
                </w:tabs>
                <w:suppressAutoHyphens/>
                <w:jc w:val="both"/>
                <w:rPr>
                  <w:rFonts w:eastAsia="Andale Sans UI"/>
                  <w:color w:val="000000"/>
                  <w:szCs w:val="24"/>
                  <w:lang w:bidi="en-US"/>
                </w:rPr>
              </w:pPr>
              <w:r>
                <w:rPr>
                  <w:rFonts w:eastAsia="Andale Sans UI"/>
                  <w:color w:val="000000"/>
                  <w:szCs w:val="24"/>
                  <w:lang w:bidi="en-US"/>
                </w:rPr>
                <w:t>Lietuvos Respublikos žemės ūkio rūmams</w:t>
              </w:r>
            </w:p>
            <w:p>
              <w:pPr>
                <w:widowControl w:val="0"/>
                <w:tabs>
                  <w:tab w:val="left" w:pos="765"/>
                </w:tabs>
                <w:suppressAutoHyphens/>
                <w:jc w:val="both"/>
                <w:rPr>
                  <w:rFonts w:eastAsia="Andale Sans UI"/>
                  <w:color w:val="000000"/>
                  <w:szCs w:val="24"/>
                  <w:lang w:bidi="en-US"/>
                </w:rPr>
              </w:pPr>
              <w:r>
                <w:rPr>
                  <w:rFonts w:eastAsia="Andale Sans UI"/>
                  <w:color w:val="000000"/>
                  <w:szCs w:val="24"/>
                  <w:lang w:bidi="en-US"/>
                </w:rPr>
                <w:t>Higienos institutui</w:t>
              </w:r>
            </w:p>
            <w:p>
              <w:pPr>
                <w:widowControl w:val="0"/>
                <w:tabs>
                  <w:tab w:val="left" w:pos="765"/>
                </w:tabs>
                <w:suppressAutoHyphens/>
                <w:jc w:val="both"/>
                <w:rPr>
                  <w:rFonts w:eastAsia="Andale Sans UI"/>
                  <w:color w:val="000000"/>
                  <w:szCs w:val="24"/>
                  <w:lang w:bidi="en-US"/>
                </w:rPr>
              </w:pPr>
              <w:r>
                <w:rPr>
                  <w:rFonts w:eastAsia="Andale Sans UI"/>
                  <w:color w:val="000000"/>
                  <w:szCs w:val="24"/>
                  <w:lang w:bidi="en-US"/>
                </w:rPr>
                <w:t>Priešgaisrinės apsaugos ir gelbėjimo departamentui prie Vidaus reikalų ministerijos</w:t>
              </w:r>
            </w:p>
          </w:sdtContent>
        </w:sdt>
        <w:sdt>
          <w:sdtPr>
            <w:alias w:val="signatura"/>
            <w:tag w:val="part_d2df130211c2409886b0349ca5a35946"/>
            <w:lock w:val="sdtLocked"/>
            <w:richText/>
          </w:sdtPr>
          <w:sdtContent>
            <w:p>
              <w:pPr>
                <w:widowControl w:val="0"/>
                <w:tabs>
                  <w:tab w:val="left" w:pos="765"/>
                </w:tabs>
                <w:suppressAutoHyphens/>
                <w:jc w:val="both"/>
                <w:rPr>
                  <w:rFonts w:eastAsia="Andale Sans UI"/>
                  <w:szCs w:val="24"/>
                  <w:lang w:bidi="en-US"/>
                </w:rPr>
              </w:pPr>
              <w:r>
                <w:rPr>
                  <w:rFonts w:eastAsia="Andale Sans UI"/>
                  <w:szCs w:val="24"/>
                  <w:lang w:bidi="en-US"/>
                </w:rPr>
                <w:t>Specialiųjų tyrimų tarnybai</w:t>
              </w:r>
            </w:p>
            <w:p>
              <w:pPr>
                <w:widowControl w:val="0"/>
                <w:suppressAutoHyphens/>
                <w:jc w:val="both"/>
                <w:rPr>
                  <w:rFonts w:eastAsia="Andale Sans UI"/>
                  <w:color w:val="000000"/>
                  <w:szCs w:val="24"/>
                  <w:lang w:bidi="en-US"/>
                </w:rPr>
              </w:pPr>
              <w:r>
                <w:rPr>
                  <w:rFonts w:eastAsia="Andale Sans UI"/>
                  <w:color w:val="000000"/>
                  <w:szCs w:val="24"/>
                  <w:lang w:bidi="en-US"/>
                </w:rPr>
                <w:t>Aplinkos apsaugos agentūrai</w:t>
              </w:r>
            </w:p>
            <w:p>
              <w:pPr>
                <w:widowControl w:val="0"/>
                <w:suppressAutoHyphens/>
                <w:jc w:val="both"/>
                <w:rPr>
                  <w:rFonts w:eastAsia="Andale Sans UI"/>
                  <w:color w:val="000000"/>
                  <w:szCs w:val="24"/>
                  <w:lang w:bidi="en-US"/>
                </w:rPr>
              </w:pPr>
              <w:r>
                <w:rPr>
                  <w:rFonts w:eastAsia="Andale Sans UI"/>
                  <w:color w:val="000000"/>
                  <w:szCs w:val="24"/>
                  <w:lang w:bidi="en-US"/>
                </w:rPr>
                <w:t>Aplinkos apsaugos departamentui prie Aplinkos ministerijos</w:t>
              </w:r>
            </w:p>
            <w:p>
              <w:pPr>
                <w:widowControl w:val="0"/>
                <w:suppressAutoHyphens/>
                <w:jc w:val="both"/>
                <w:rPr>
                  <w:rFonts w:eastAsia="Andale Sans UI"/>
                  <w:color w:val="000000"/>
                  <w:szCs w:val="24"/>
                  <w:lang w:bidi="en-US"/>
                </w:rPr>
              </w:pPr>
              <w:r>
                <w:rPr>
                  <w:rFonts w:eastAsia="Andale Sans UI"/>
                  <w:color w:val="000000"/>
                  <w:szCs w:val="24"/>
                  <w:lang w:bidi="en-US"/>
                </w:rPr>
                <w:t>Aplinkos projektų valdymo agentūrai</w:t>
              </w:r>
            </w:p>
            <w:p>
              <w:pPr>
                <w:jc w:val="both"/>
                <w:rPr>
                  <w:rFonts w:eastAsia="Andale Sans UI" w:cs="Tahoma"/>
                  <w:szCs w:val="24"/>
                  <w:lang w:bidi="en-US"/>
                </w:rPr>
              </w:pPr>
            </w:p>
          </w:sdtContent>
        </w:sdt>
      </w:sdtContent>
    </w:sdt>
    <w:sectPr>
      <w:footnotePr>
        <w:pos w:val="beneathText"/>
        <w:numRestart w:val="eachPage"/>
      </w:footnotePr>
      <w:endnotePr>
        <w:numFmt w:val="decimal"/>
      </w:endnotePr>
      <w:pgSz w:w="11905" w:h="16837"/>
      <w:pgMar w:top="1134" w:right="567" w:bottom="1134" w:left="1701" w:header="567" w:footer="232" w:gutter="0"/>
      <w:cols w:space="1296"/>
      <w:titlePg/>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jc w:val="both"/>
        <w:rPr>
          <w:rFonts w:eastAsia="Andale Sans UI" w:cs="Tahoma"/>
          <w:szCs w:val="24"/>
          <w:lang w:bidi="en-US"/>
        </w:rPr>
      </w:pPr>
      <w:r>
        <w:rPr>
          <w:rFonts w:eastAsia="Andale Sans UI" w:cs="Tahoma"/>
          <w:szCs w:val="24"/>
          <w:lang w:bidi="en-US"/>
        </w:rPr>
        <w:separator/>
      </w:r>
    </w:p>
  </w:endnote>
  <w:endnote w:type="continuationSeparator" w:id="0">
    <w:p>
      <w:pPr>
        <w:jc w:val="both"/>
        <w:rPr>
          <w:rFonts w:eastAsia="Andale Sans UI" w:cs="Tahoma"/>
          <w:szCs w:val="24"/>
          <w:lang w:bidi="en-US"/>
        </w:rPr>
      </w:pPr>
      <w:r>
        <w:rPr>
          <w:rFonts w:eastAsia="Andale Sans UI" w:cs="Tahoma"/>
          <w:szCs w:val="24"/>
          <w:lang w:bidi="en-US"/>
        </w:rPr>
        <w:continuationSeparator/>
      </w:r>
    </w:p>
  </w:endnote>
  <w:endnote w:type="continuationNotice" w:id="1">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Andale Sans UI">
    <w:altName w:val="Times New Roman"/>
    <w:charset w:val="BA"/>
    <w:family w:val="swiss"/>
    <w:pitch w:val="variable"/>
  </w:font>
  <w:font w:name="Tahoma">
    <w:panose1 w:val="020B0604030504040204"/>
    <w:charset w:val="BA"/>
    <w:family w:val="swiss"/>
    <w:pitch w:val="variable"/>
    <w:sig w:usb0="E1002EFF" w:usb1="C000605B" w:usb2="00000029" w:usb3="00000000" w:csb0="000101FF" w:csb1="00000000"/>
  </w:font>
  <w:font w:name="Arial">
    <w:panose1 w:val="020B0604020202020204"/>
    <w:charset w:val="BA"/>
    <w:family w:val="swiss"/>
    <w:pitch w:val="variable"/>
    <w:sig w:usb0="E0002AFF" w:usb1="C0007843" w:usb2="00000009" w:usb3="00000000" w:csb0="000001FF" w:csb1="00000000"/>
  </w:font>
  <w:font w:name="Calibri">
    <w:panose1 w:val="020F0502020204030204"/>
    <w:charset w:val="BA"/>
    <w:family w:val="swiss"/>
    <w:pitch w:val="variable"/>
    <w:sig w:usb0="E4002EFF" w:usb1="C000247B" w:usb2="00000009" w:usb3="00000000" w:csb0="000001FF" w:csb1="00000000"/>
  </w:font>
  <w:font w:name="Times">
    <w:panose1 w:val="02020603050405020304"/>
    <w:charset w:val="BA"/>
    <w:family w:val="roman"/>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suppressLineNumbers/>
      <w:tabs>
        <w:tab w:val="center" w:pos="4800"/>
        <w:tab w:val="right" w:pos="9601"/>
      </w:tabs>
      <w:jc w:val="both"/>
      <w:rPr>
        <w:rFonts w:eastAsia="Andale Sans UI" w:cs="Tahoma"/>
        <w:szCs w:val="24"/>
        <w:lang w:bidi="en-US"/>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suppressLineNumbers/>
      <w:tabs>
        <w:tab w:val="center" w:pos="4800"/>
        <w:tab w:val="right" w:pos="9601"/>
      </w:tabs>
      <w:jc w:val="center"/>
      <w:rPr>
        <w:rFonts w:eastAsia="Andale Sans UI" w:cs="Tahoma"/>
        <w:szCs w:val="24"/>
        <w:lang w:bidi="en-US"/>
      </w:rPr>
    </w:pPr>
  </w:p>
  <w:p>
    <w:pPr>
      <w:suppressLineNumbers/>
      <w:tabs>
        <w:tab w:val="center" w:pos="4800"/>
        <w:tab w:val="right" w:pos="9601"/>
      </w:tabs>
      <w:jc w:val="right"/>
      <w:rPr>
        <w:rFonts w:ascii="Arial" w:eastAsia="Andale Sans UI" w:hAnsi="Arial" w:cs="Tahoma"/>
        <w:sz w:val="10"/>
        <w:szCs w:val="24"/>
        <w:lang w:val="en-US" w:bidi="en-US"/>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suppressLineNumbers/>
      <w:tabs>
        <w:tab w:val="center" w:pos="4800"/>
        <w:tab w:val="right" w:pos="9601"/>
      </w:tabs>
      <w:jc w:val="right"/>
      <w:rPr>
        <w:rFonts w:eastAsia="Andale Sans UI" w:cs="Tahoma"/>
        <w:szCs w:val="24"/>
        <w:lang w:bidi="en-US"/>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jc w:val="both"/>
        <w:rPr>
          <w:rFonts w:eastAsia="Andale Sans UI" w:cs="Tahoma"/>
          <w:szCs w:val="24"/>
          <w:lang w:bidi="en-US"/>
        </w:rPr>
      </w:pPr>
      <w:r>
        <w:rPr>
          <w:rFonts w:eastAsia="Andale Sans UI" w:cs="Tahoma"/>
          <w:szCs w:val="24"/>
          <w:lang w:bidi="en-US"/>
        </w:rPr>
        <w:separator/>
      </w:r>
    </w:p>
  </w:footnote>
  <w:footnote w:type="continuationSeparator" w:id="0">
    <w:p>
      <w:pPr>
        <w:jc w:val="both"/>
        <w:rPr>
          <w:rFonts w:eastAsia="Andale Sans UI" w:cs="Tahoma"/>
          <w:szCs w:val="24"/>
          <w:lang w:bidi="en-US"/>
        </w:rPr>
      </w:pPr>
      <w:r>
        <w:rPr>
          <w:rFonts w:eastAsia="Andale Sans UI" w:cs="Tahoma"/>
          <w:szCs w:val="24"/>
          <w:lang w:bidi="en-US"/>
        </w:rPr>
        <w:continuationSeparator/>
      </w:r>
    </w:p>
  </w:footnote>
  <w:footnote w:type="continuationNotice" w:id="1">
    <w:p/>
  </w:footnote>
  <w:footnote w:id="2">
    <w:p>
      <w:pPr>
        <w:jc w:val="both"/>
        <w:rPr>
          <w:rFonts w:eastAsia="Andale Sans UI" w:cs="Tahoma"/>
          <w:sz w:val="20"/>
          <w:lang w:bidi="en-US"/>
        </w:rPr>
      </w:pPr>
      <w:r>
        <w:rPr>
          <w:rFonts w:eastAsia="Andale Sans UI" w:cs="Tahoma"/>
          <w:sz w:val="20"/>
          <w:vertAlign w:val="superscript"/>
          <w:lang w:bidi="en-US"/>
        </w:rPr>
        <w:footnoteRef/>
      </w:r>
      <w:r>
        <w:rPr>
          <w:rFonts w:eastAsia="Andale Sans UI" w:cs="Tahoma"/>
          <w:sz w:val="20"/>
          <w:lang w:bidi="en-US"/>
        </w:rPr>
        <w:t xml:space="preserve"> Patvirtinti Lietuvos Respublikos aplinkos ministro 2022 m. balandžio 29 d. įsakymu Nr. D1-123 „Dėl Pakuočių atliekų, susidarančių komunalinių atliekų sraute, rūšiuojamojo surinkimo ir vežimo paslaugos teikimo būtinųjų reikalavimų ir pakuočių atliekų tvarkymo organizavimo ir finansavimo sutarties būtinųjų sąlygų patvirtinimo“.</w:t>
      </w:r>
    </w:p>
  </w:footnote>
  <w:footnote w:id="3">
    <w:p>
      <w:pPr>
        <w:jc w:val="both"/>
        <w:rPr>
          <w:rFonts w:eastAsia="Andale Sans UI" w:cs="Tahoma"/>
          <w:sz w:val="20"/>
          <w:lang w:bidi="en-US"/>
        </w:rPr>
      </w:pPr>
      <w:r>
        <w:rPr>
          <w:rFonts w:eastAsia="Andale Sans UI" w:cs="Tahoma"/>
          <w:sz w:val="20"/>
          <w:vertAlign w:val="superscript"/>
          <w:lang w:bidi="en-US"/>
        </w:rPr>
        <w:footnoteRef/>
      </w:r>
      <w:r>
        <w:rPr>
          <w:rFonts w:eastAsia="Andale Sans UI" w:cs="Tahoma"/>
          <w:sz w:val="20"/>
          <w:lang w:bidi="en-US"/>
        </w:rPr>
        <w:t xml:space="preserve"> Patvirtinti Lietuvos Respublikos aplinkos ministro 2012 m. spalio 23 d. įsakymu Nr. D1-857 „Dėl Minimalių komunalinių atliekų tvarkymo paslaugos kokybės reikalavimų patvirtinimo“.</w:t>
      </w:r>
    </w:p>
  </w:footnote>
  <w:footnote w:id="4">
    <w:p>
      <w:pPr>
        <w:jc w:val="both"/>
        <w:rPr>
          <w:rFonts w:eastAsia="Andale Sans UI" w:cs="Tahoma"/>
          <w:sz w:val="20"/>
          <w:lang w:bidi="en-US"/>
        </w:rPr>
      </w:pPr>
      <w:r>
        <w:rPr>
          <w:rFonts w:eastAsia="Andale Sans UI" w:cs="Tahoma"/>
          <w:sz w:val="20"/>
          <w:vertAlign w:val="superscript"/>
          <w:lang w:bidi="en-US"/>
        </w:rPr>
        <w:footnoteRef/>
      </w:r>
      <w:r>
        <w:rPr>
          <w:rFonts w:eastAsia="Andale Sans UI" w:cs="Tahoma"/>
          <w:sz w:val="20"/>
          <w:lang w:bidi="en-US"/>
        </w:rPr>
        <w:t xml:space="preserve"> Patvirtintas Lietuvos Respublikos Vyriausybės 2002 m. balandžio 12 d. nutarimu Nr. 519 „Dėl Valstybinio atliekų prevencijos ir tvarkymo 2021–2027 metų plano patvirtinimo“ (toliau – Planas).</w:t>
      </w:r>
    </w:p>
  </w:footnote>
  <w:footnote w:id="5">
    <w:p>
      <w:pPr>
        <w:jc w:val="both"/>
        <w:rPr>
          <w:rFonts w:eastAsia="Andale Sans UI" w:cs="Tahoma"/>
          <w:sz w:val="20"/>
          <w:lang w:bidi="en-US"/>
        </w:rPr>
      </w:pPr>
      <w:r>
        <w:rPr>
          <w:rFonts w:eastAsia="Andale Sans UI" w:cs="Tahoma"/>
          <w:sz w:val="20"/>
          <w:vertAlign w:val="superscript"/>
          <w:lang w:bidi="en-US"/>
        </w:rPr>
        <w:footnoteRef/>
      </w:r>
      <w:r>
        <w:rPr>
          <w:rFonts w:eastAsia="Andale Sans UI" w:cs="Tahoma"/>
          <w:sz w:val="20"/>
          <w:lang w:bidi="en-US"/>
        </w:rPr>
        <w:t xml:space="preserve"> Plano 261.7.4 papunktis: „pastatyti specialius konteinerius tekstilės, pavojingosioms, statybinėms atliekoms surinkti arba užtikrinti gyventojams kitas priemones ir būdus buityje susidarančioms tekstilės, pavojingosioms ir statybinėms atliekoms atskirai surinkti (</w:t>
      </w:r>
      <w:r>
        <w:rPr>
          <w:rFonts w:eastAsia="Andale Sans UI" w:cs="Tahoma"/>
          <w:b/>
          <w:bCs/>
          <w:sz w:val="20"/>
          <w:lang w:bidi="en-US"/>
        </w:rPr>
        <w:t>apvažiuojamasis surinkimas ne rečiau kaip 4 kartus per metus</w:t>
      </w:r>
      <w:r>
        <w:rPr>
          <w:rFonts w:eastAsia="Andale Sans UI" w:cs="Tahoma"/>
          <w:sz w:val="20"/>
          <w:lang w:bidi="en-US"/>
        </w:rPr>
        <w:t>, individuali atliekų išvežimo paslauga pagal gyventojo užsakymą, specialūs maišai ar kitos priemonės) (Plano 2 priedo 2.2.1, 2.2.4, 2.2.5 papunkčiuose nurodytos priemonės);“.</w:t>
      </w:r>
    </w:p>
  </w:footnote>
  <w:footnote w:id="6">
    <w:p>
      <w:pPr>
        <w:jc w:val="both"/>
        <w:rPr>
          <w:rFonts w:eastAsia="Andale Sans UI" w:cs="Tahoma"/>
          <w:sz w:val="20"/>
          <w:szCs w:val="24"/>
          <w:lang w:bidi="en-US"/>
        </w:rPr>
      </w:pPr>
      <w:r>
        <w:rPr>
          <w:rFonts w:eastAsia="Andale Sans UI" w:cs="Tahoma"/>
          <w:sz w:val="20"/>
          <w:szCs w:val="24"/>
          <w:vertAlign w:val="superscript"/>
          <w:lang w:bidi="en-US"/>
        </w:rPr>
        <w:footnoteRef/>
      </w:r>
      <w:r>
        <w:rPr>
          <w:rFonts w:eastAsia="Andale Sans UI" w:cs="Tahoma"/>
          <w:sz w:val="20"/>
          <w:szCs w:val="24"/>
          <w:lang w:eastAsia="x-none" w:bidi="en-US"/>
        </w:rPr>
        <w:t xml:space="preserve"> Lietuvos Respublikos Vyriausybės 2002 m. gruodžio 11 d. nutarimas Nr. 1950 „Dėl Kelių eismo taisyklių patvirtinimo“.</w:t>
      </w:r>
    </w:p>
  </w:footnote>
  <w:footnote w:id="7">
    <w:p>
      <w:pPr>
        <w:jc w:val="both"/>
        <w:rPr>
          <w:rFonts w:eastAsia="Andale Sans UI" w:cs="Tahoma"/>
          <w:sz w:val="20"/>
          <w:lang w:bidi="en-US"/>
        </w:rPr>
      </w:pPr>
      <w:r>
        <w:rPr>
          <w:rFonts w:eastAsia="Andale Sans UI" w:cs="Tahoma"/>
          <w:sz w:val="20"/>
          <w:vertAlign w:val="superscript"/>
          <w:lang w:bidi="en-US"/>
        </w:rPr>
        <w:footnoteRef/>
      </w:r>
      <w:r>
        <w:rPr>
          <w:rFonts w:eastAsia="Andale Sans UI" w:cs="Tahoma"/>
          <w:sz w:val="20"/>
          <w:lang w:bidi="en-US"/>
        </w:rPr>
        <w:t xml:space="preserve"> </w:t>
      </w:r>
      <w:r>
        <w:rPr>
          <w:rFonts w:eastAsia="Andale Sans UI"/>
          <w:sz w:val="20"/>
          <w:lang w:bidi="en-US"/>
        </w:rPr>
        <w:t>Valstybinį atliekų tvarkymo 2014</w:t>
      </w:r>
      <w:r>
        <w:rPr>
          <w:rFonts w:eastAsia="Andale Sans UI"/>
          <w:b/>
          <w:bCs/>
          <w:szCs w:val="24"/>
          <w:lang w:eastAsia="lt-LT" w:bidi="en-US"/>
        </w:rPr>
        <w:t>–</w:t>
      </w:r>
      <w:r>
        <w:rPr>
          <w:rFonts w:eastAsia="Andale Sans UI"/>
          <w:sz w:val="20"/>
          <w:lang w:bidi="en-US"/>
        </w:rPr>
        <w:t>2020 metų planą pakeitė Valstybinis atliekų prevencijos ir tvarkymo 2021–2027 metų planas.</w:t>
      </w:r>
    </w:p>
  </w:footnote>
  <w:footnote w:id="8">
    <w:p>
      <w:pPr>
        <w:jc w:val="both"/>
        <w:rPr>
          <w:rFonts w:eastAsia="Andale Sans UI" w:cs="Tahoma"/>
          <w:sz w:val="20"/>
          <w:lang w:bidi="en-US"/>
        </w:rPr>
      </w:pPr>
      <w:r>
        <w:rPr>
          <w:rFonts w:eastAsia="Andale Sans UI" w:cs="Tahoma"/>
          <w:sz w:val="20"/>
          <w:vertAlign w:val="superscript"/>
          <w:lang w:bidi="en-US"/>
        </w:rPr>
        <w:footnoteRef/>
      </w:r>
      <w:r>
        <w:rPr>
          <w:rFonts w:eastAsia="Andale Sans UI"/>
          <w:sz w:val="20"/>
          <w:lang w:bidi="en-US"/>
        </w:rPr>
        <w:t xml:space="preserve"> Valstybinio atliekų prevencijos ir tvarkymo 2021-2027 metų plano, p</w:t>
      </w:r>
      <w:r>
        <w:rPr>
          <w:rFonts w:eastAsia="Andale Sans UI" w:cs="Tahoma"/>
          <w:sz w:val="20"/>
          <w:lang w:bidi="en-US"/>
        </w:rPr>
        <w:t>atvirtinto Lietuvos Respublikos Vyriausybės 2002 m. balandžio 12 d. nutarimu Nr. 519 „Dėl Valstybinio atliekų prevencijos ir tvarkymo 2021–2027 metų plano patvirtinimo“, 261.2 papunktis.</w:t>
      </w:r>
    </w:p>
  </w:footnote>
  <w:footnote w:id="9">
    <w:p>
      <w:pPr>
        <w:jc w:val="both"/>
        <w:rPr>
          <w:rFonts w:eastAsia="Andale Sans UI" w:cs="Tahoma"/>
          <w:sz w:val="20"/>
          <w:lang w:bidi="en-US"/>
        </w:rPr>
      </w:pPr>
      <w:r>
        <w:rPr>
          <w:rFonts w:eastAsia="Andale Sans UI" w:cs="Tahoma"/>
          <w:sz w:val="20"/>
          <w:vertAlign w:val="superscript"/>
          <w:lang w:bidi="en-US"/>
        </w:rPr>
        <w:footnoteRef/>
      </w:r>
      <w:r>
        <w:rPr>
          <w:rFonts w:eastAsia="Andale Sans UI"/>
          <w:sz w:val="20"/>
          <w:lang w:bidi="en-US"/>
        </w:rPr>
        <w:t xml:space="preserve"> Valstybinį atliekų tvarkymo 2014</w:t>
      </w:r>
      <w:r>
        <w:rPr>
          <w:rFonts w:eastAsia="Andale Sans UI"/>
          <w:b/>
          <w:bCs/>
          <w:szCs w:val="24"/>
          <w:lang w:eastAsia="lt-LT" w:bidi="en-US"/>
        </w:rPr>
        <w:t>–</w:t>
      </w:r>
      <w:r>
        <w:rPr>
          <w:rFonts w:eastAsia="Andale Sans UI"/>
          <w:sz w:val="20"/>
          <w:lang w:bidi="en-US"/>
        </w:rPr>
        <w:t>2020 metų planą pakeitė Valstybinis atliekų prevencijos ir tvarkymo 2021–2027 metų planas.</w:t>
      </w:r>
    </w:p>
  </w:footnote>
  <w:footnote w:id="10">
    <w:p>
      <w:pPr>
        <w:keepNext/>
        <w:widowControl w:val="0"/>
        <w:jc w:val="both"/>
        <w:rPr>
          <w:rFonts w:eastAsia="Calibri"/>
          <w:sz w:val="20"/>
          <w:szCs w:val="24"/>
          <w:lang w:val="x-none" w:bidi="en-US"/>
        </w:rPr>
      </w:pPr>
      <w:r>
        <w:rPr>
          <w:rFonts w:eastAsia="Calibri" w:cs="Tahoma"/>
          <w:sz w:val="20"/>
          <w:szCs w:val="24"/>
          <w:vertAlign w:val="superscript"/>
          <w:lang w:val="x-none" w:bidi="en-US"/>
        </w:rPr>
        <w:footnoteRef/>
      </w:r>
      <w:r>
        <w:rPr>
          <w:rFonts w:eastAsia="Calibri" w:cs="Tahoma"/>
          <w:sz w:val="20"/>
          <w:szCs w:val="24"/>
          <w:lang w:val="x-none" w:bidi="en-US"/>
        </w:rPr>
        <w:t xml:space="preserve"> </w:t>
      </w:r>
      <w:r>
        <w:rPr>
          <w:rFonts w:eastAsia="Calibri"/>
          <w:sz w:val="20"/>
          <w:szCs w:val="24"/>
          <w:lang w:bidi="en-US"/>
        </w:rPr>
        <w:t>Atliekų tvarkymo įstatymo 30 straipsnio 17 dalies 1 punktas.</w:t>
      </w:r>
    </w:p>
  </w:footnote>
  <w:footnote w:id="11">
    <w:p>
      <w:pPr>
        <w:keepNext/>
        <w:widowControl w:val="0"/>
        <w:jc w:val="both"/>
        <w:rPr>
          <w:rFonts w:eastAsia="Andale Sans UI"/>
          <w:sz w:val="20"/>
          <w:lang w:bidi="en-US"/>
        </w:rPr>
      </w:pPr>
      <w:r>
        <w:rPr>
          <w:rFonts w:eastAsia="Andale Sans UI"/>
          <w:sz w:val="20"/>
          <w:vertAlign w:val="superscript"/>
          <w:lang w:bidi="en-US"/>
        </w:rPr>
        <w:footnoteRef/>
      </w:r>
      <w:r>
        <w:rPr>
          <w:rFonts w:eastAsia="Andale Sans UI"/>
          <w:sz w:val="20"/>
          <w:lang w:bidi="en-US"/>
        </w:rPr>
        <w:t xml:space="preserve"> P</w:t>
      </w:r>
      <w:r>
        <w:rPr>
          <w:rFonts w:eastAsia="Calibri"/>
          <w:sz w:val="20"/>
          <w:lang w:bidi="en-US"/>
        </w:rPr>
        <w:t>atvirtintas Lietuvos Respublikos aplinkos ministro 2019 m. lapkričio 4 d. įsakymu Nr. D1-653 „Dėl statybos techninio reglamento STR 2.03.01:2019 „Statinių prieinamumas“ patvirtinimo“.</w:t>
      </w:r>
    </w:p>
  </w:footnote>
  <w:footnote w:id="12">
    <w:p>
      <w:pPr>
        <w:jc w:val="both"/>
        <w:rPr>
          <w:rFonts w:eastAsia="Andale Sans UI"/>
          <w:sz w:val="20"/>
          <w:lang w:bidi="en-US"/>
        </w:rPr>
      </w:pPr>
      <w:r>
        <w:rPr>
          <w:rFonts w:eastAsia="Andale Sans UI"/>
          <w:sz w:val="20"/>
          <w:vertAlign w:val="superscript"/>
          <w:lang w:bidi="en-US"/>
        </w:rPr>
        <w:footnoteRef/>
      </w:r>
      <w:r>
        <w:rPr>
          <w:rFonts w:eastAsia="Andale Sans UI"/>
          <w:sz w:val="20"/>
          <w:lang w:bidi="en-US"/>
        </w:rPr>
        <w:t xml:space="preserve"> P</w:t>
      </w:r>
      <w:r>
        <w:rPr>
          <w:rFonts w:eastAsia="Andale Sans UI"/>
          <w:color w:val="000000"/>
          <w:sz w:val="20"/>
          <w:shd w:val="clear" w:color="auto" w:fill="FFFFFF"/>
          <w:lang w:bidi="en-US"/>
        </w:rPr>
        <w:t>atvirtintas Lietuvos Respublikos aplinkos ministro 2003 m. gruodžio 24 d. įsakymu Nr. 705 „Dėl statybos techninio reglamento STR 2.02.01:2004 „Gyvenamieji pastatai“ patvirtinimo“.</w:t>
      </w:r>
    </w:p>
  </w:footnote>
  <w:footnote w:id="13">
    <w:p>
      <w:pPr>
        <w:jc w:val="both"/>
        <w:rPr>
          <w:rFonts w:eastAsia="Andale Sans UI"/>
          <w:color w:val="000000"/>
          <w:sz w:val="20"/>
          <w:shd w:val="clear" w:color="auto" w:fill="FFFFFF"/>
          <w:lang w:bidi="en-US"/>
        </w:rPr>
      </w:pPr>
      <w:r>
        <w:rPr>
          <w:rFonts w:eastAsia="Andale Sans UI" w:cs="Tahoma"/>
          <w:sz w:val="20"/>
          <w:vertAlign w:val="superscript"/>
          <w:lang w:bidi="en-US"/>
        </w:rPr>
        <w:footnoteRef/>
        <w:t xml:space="preserve"> </w:t>
      </w:r>
      <w:r>
        <w:rPr>
          <w:rFonts w:eastAsia="Andale Sans UI" w:cs="Tahoma"/>
          <w:sz w:val="20"/>
          <w:lang w:bidi="en-US"/>
        </w:rPr>
        <w:t xml:space="preserve"> </w:t>
      </w:r>
      <w:r>
        <w:rPr>
          <w:rFonts w:eastAsia="Andale Sans UI"/>
          <w:color w:val="000000"/>
          <w:sz w:val="20"/>
          <w:shd w:val="clear" w:color="auto" w:fill="FFFFFF"/>
          <w:lang w:bidi="en-US"/>
        </w:rPr>
        <w:t>Patvirtinta Lietuvos Respublikos sveikatos apsaugos ministro 2015 m. spalio 30 d. įsakymu Nr. V-1208 „Dėl Lietuvos higienos normos HN 131:2015 „Vaikų žaidimų aikštelės ir patalpos. Bendrieji sveikatos saugos reikalavimai“ patvirtinimo“.</w:t>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suppressLineNumbers/>
      <w:tabs>
        <w:tab w:val="center" w:pos="4800"/>
        <w:tab w:val="right" w:pos="9601"/>
      </w:tabs>
      <w:jc w:val="both"/>
      <w:rPr>
        <w:rFonts w:eastAsia="Andale Sans UI" w:cs="Tahoma"/>
        <w:szCs w:val="24"/>
        <w:lang w:bidi="en-US"/>
      </w:rPr>
    </w:pPr>
    <w:r>
      <w:rPr>
        <w:rFonts w:eastAsia="Andale Sans UI" w:cs="Tahoma"/>
        <w:szCs w:val="24"/>
        <w:lang w:bidi="en-US"/>
      </w:rPr>
      <w:fldChar w:fldCharType="begin"/>
    </w:r>
    <w:r>
      <w:rPr>
        <w:rFonts w:eastAsia="Andale Sans UI" w:cs="Tahoma"/>
        <w:szCs w:val="24"/>
        <w:lang w:bidi="en-US"/>
      </w:rPr>
      <w:instrText xml:space="preserve">PAGE  </w:instrText>
    </w:r>
    <w:r>
      <w:rPr>
        <w:rFonts w:eastAsia="Andale Sans UI" w:cs="Tahoma"/>
        <w:szCs w:val="24"/>
        <w:lang w:bidi="en-US"/>
      </w:rPr>
      <w:fldChar w:fldCharType="separate"/>
    </w:r>
    <w:r>
      <w:rPr>
        <w:rFonts w:eastAsia="Andale Sans UI" w:cs="Tahoma"/>
        <w:szCs w:val="24"/>
        <w:lang w:bidi="en-US"/>
      </w:rPr>
      <w:t>6</w:t>
    </w:r>
    <w:r>
      <w:rPr>
        <w:rFonts w:eastAsia="Andale Sans UI" w:cs="Tahoma"/>
        <w:szCs w:val="24"/>
        <w:lang w:bidi="en-US"/>
      </w:rPr>
      <w:fldChar w:fldCharType="end"/>
    </w:r>
  </w:p>
  <w:p>
    <w:pPr>
      <w:suppressLineNumbers/>
      <w:tabs>
        <w:tab w:val="center" w:pos="4800"/>
        <w:tab w:val="right" w:pos="9601"/>
      </w:tabs>
      <w:jc w:val="both"/>
      <w:rPr>
        <w:rFonts w:eastAsia="Andale Sans UI" w:cs="Tahoma"/>
        <w:szCs w:val="24"/>
        <w:lang w:bidi="en-US"/>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suppressLineNumbers/>
      <w:tabs>
        <w:tab w:val="center" w:pos="4800"/>
        <w:tab w:val="right" w:pos="9601"/>
      </w:tabs>
      <w:jc w:val="center"/>
      <w:rPr>
        <w:rFonts w:eastAsia="Andale Sans UI" w:cs="Tahoma"/>
        <w:szCs w:val="24"/>
        <w:lang w:bidi="en-US"/>
      </w:rPr>
    </w:pPr>
    <w:r>
      <w:rPr>
        <w:rFonts w:eastAsia="Andale Sans UI" w:cs="Tahoma"/>
        <w:szCs w:val="24"/>
        <w:lang w:bidi="en-US"/>
      </w:rPr>
      <w:fldChar w:fldCharType="begin"/>
    </w:r>
    <w:r>
      <w:rPr>
        <w:rFonts w:eastAsia="Andale Sans UI" w:cs="Tahoma"/>
        <w:szCs w:val="24"/>
        <w:lang w:bidi="en-US"/>
      </w:rPr>
      <w:instrText>PAGE   \* MERGEFORMAT</w:instrText>
    </w:r>
    <w:r>
      <w:rPr>
        <w:rFonts w:eastAsia="Andale Sans UI" w:cs="Tahoma"/>
        <w:szCs w:val="24"/>
        <w:lang w:bidi="en-US"/>
      </w:rPr>
      <w:fldChar w:fldCharType="separate"/>
    </w:r>
    <w:r>
      <w:rPr>
        <w:rFonts w:eastAsia="Andale Sans UI" w:cs="Tahoma"/>
        <w:szCs w:val="24"/>
        <w:lang w:bidi="en-US"/>
      </w:rPr>
      <w:t>6</w:t>
    </w:r>
    <w:r>
      <w:rPr>
        <w:rFonts w:eastAsia="Andale Sans UI" w:cs="Tahoma"/>
        <w:szCs w:val="24"/>
        <w:lang w:bidi="en-US"/>
      </w:rPr>
      <w:fldChar w:fldCharType="end"/>
    </w:r>
  </w:p>
  <w:p>
    <w:pPr>
      <w:suppressLineNumbers/>
      <w:tabs>
        <w:tab w:val="center" w:pos="4800"/>
        <w:tab w:val="right" w:pos="9601"/>
      </w:tabs>
      <w:jc w:val="both"/>
      <w:rPr>
        <w:rFonts w:eastAsia="Andale Sans UI" w:cs="Tahoma"/>
        <w:szCs w:val="24"/>
        <w:lang w:bidi="en-US"/>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suppressLineNumbers/>
      <w:tabs>
        <w:tab w:val="center" w:pos="4800"/>
        <w:tab w:val="right" w:pos="9601"/>
      </w:tabs>
      <w:jc w:val="both"/>
      <w:rPr>
        <w:rFonts w:eastAsia="Andale Sans UI" w:cs="Tahoma"/>
        <w:szCs w:val="24"/>
        <w:lang w:bidi="en-US"/>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movePersonalInformation/>
  <w:removeDateAndTime/>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567"/>
  <w:hyphenationZone w:val="396"/>
  <w:doNotHyphenateCaps/>
  <w:characterSpacingControl w:val="doNotCompress"/>
  <w:strictFirstAndLastChars/>
  <w:hdrShapeDefaults>
    <o:shapedefaults v:ext="edit" spidmax="67585"/>
  </w:hdrShapeDefaults>
  <w:footnotePr>
    <w:pos w:val="beneathText"/>
    <w:numRestart w:val="eachPage"/>
    <w:footnote w:id="-1"/>
    <w:footnote w:id="0"/>
    <w:footnote w:id="1"/>
  </w:footnotePr>
  <w:endnotePr>
    <w:numFmt w:val="decimal"/>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B467C"/>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67585"/>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727650043">
      <w:bodyDiv w:val="1"/>
      <w:marLeft w:val="0"/>
      <w:marRight w:val="0"/>
      <w:marTop w:val="0"/>
      <w:marBottom w:val="0"/>
      <w:divBdr>
        <w:top w:val="none" w:sz="0" w:space="0" w:color="auto"/>
        <w:left w:val="none" w:sz="0" w:space="0" w:color="auto"/>
        <w:bottom w:val="none" w:sz="0" w:space="0" w:color="auto"/>
        <w:right w:val="none" w:sz="0" w:space="0" w:color="auto"/>
      </w:divBdr>
    </w:div>
    <w:div w:id="1260867198">
      <w:bodyDiv w:val="1"/>
      <w:marLeft w:val="0"/>
      <w:marRight w:val="0"/>
      <w:marTop w:val="0"/>
      <w:marBottom w:val="0"/>
      <w:divBdr>
        <w:top w:val="none" w:sz="0" w:space="0" w:color="auto"/>
        <w:left w:val="none" w:sz="0" w:space="0" w:color="auto"/>
        <w:bottom w:val="none" w:sz="0" w:space="0" w:color="auto"/>
        <w:right w:val="none" w:sz="0" w:space="0" w:color="auto"/>
      </w:divBdr>
    </w:div>
  </w:divs>
  <w:encoding w:val="windows-1252"/>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image" Target="media/image1.png"/>
  <Relationship Id="rId17" Type="http://schemas.openxmlformats.org/officeDocument/2006/relationships/header" Target="header1.xml"/>
  <Relationship Id="rId18" Type="http://schemas.openxmlformats.org/officeDocument/2006/relationships/header" Target="header2.xml"/>
  <Relationship Id="rId19" Type="http://schemas.openxmlformats.org/officeDocument/2006/relationships/footer" Target="footer1.xml"/>
  <Relationship Id="rId2" Type="http://schemas.openxmlformats.org/officeDocument/2006/relationships/customXml" Target="../customXml/item2.xml"/>
  <Relationship Id="rId20" Type="http://schemas.openxmlformats.org/officeDocument/2006/relationships/footer" Target="footer2.xml"/>
  <Relationship Id="rId21" Type="http://schemas.openxmlformats.org/officeDocument/2006/relationships/header" Target="header3.xml"/>
  <Relationship Id="rId22" Type="http://schemas.openxmlformats.org/officeDocument/2006/relationships/footer" Target="footer3.xml"/>
  <Relationship Id="rId23" Type="http://schemas.openxmlformats.org/officeDocument/2006/relationships/fontTable" Target="fontTable.xml"/>
  <Relationship Id="rId24" Type="http://schemas.openxmlformats.org/officeDocument/2006/relationships/theme" Target="theme/theme1.xml"/>
  <Relationship Id="rId25" Type="http://schemas.openxmlformats.org/officeDocument/2006/relationships/customXml" Target="../customXml/item5.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styles" Target="styles.xml"/>
  <Relationship Id="rId6" Type="http://schemas.openxmlformats.org/officeDocument/2006/relationships/settings" Target="settings.xml"/>
  <Relationship Id="rId7" Type="http://schemas.openxmlformats.org/officeDocument/2006/relationships/webSettings" Target="webSettings.xml"/>
  <Relationship Id="rId8" Type="http://schemas.openxmlformats.org/officeDocument/2006/relationships/footnotes" Target="footnotes.xml"/>
  <Relationship Id="rId9" Type="http://schemas.openxmlformats.org/officeDocument/2006/relationships/endnotes" Target="end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p:properties xmlns:p="http://schemas.microsoft.com/office/2006/metadata/properties" xmlns:xsi="http://www.w3.org/2001/XMLSchema-instance" xmlns:pc="http://schemas.microsoft.com/office/infopath/2007/PartnerControls">
  <documentManagement>
    <SharedWithUsers xmlns="19cf09c5-daa1-4028-a0ff-74a0be4ec5cc">
      <UserInfo>
        <DisplayName>Ingrida Varžgalienė</DisplayName>
        <AccountId>118</AccountId>
        <AccountType/>
      </UserInfo>
      <UserInfo>
        <DisplayName>Vita Beleckaitė</DisplayName>
        <AccountId>345</AccountId>
        <AccountType/>
      </UserInfo>
    </SharedWithUsers>
    <LikesCount xmlns="http://schemas.microsoft.com/sharepoint/v3" xsi:nil="true"/>
    <Ratings xmlns="http://schemas.microsoft.com/sharepoint/v3" xsi:nil="true"/>
    <LikedBy xmlns="http://schemas.microsoft.com/sharepoint/v3">
      <UserInfo>
        <DisplayName/>
        <AccountId xsi:nil="true"/>
        <AccountType/>
      </UserInfo>
    </LikedBy>
    <RatedBy xmlns="http://schemas.microsoft.com/sharepoint/v3">
      <UserInfo>
        <DisplayName/>
        <AccountId xsi:nil="true"/>
        <AccountType/>
      </UserInfo>
    </RatedBy>
  </documentManagement>
</p:properties>
</file>

<file path=customXml/item2.xml><?xml version="1.0" encoding="utf-8"?>
<ct:contentTypeSchema xmlns:ct="http://schemas.microsoft.com/office/2006/metadata/contentType" xmlns:ma="http://schemas.microsoft.com/office/2006/metadata/properties/metaAttributes" ct:_="" ma:_="" ma:contentTypeName="Dokumentas" ma:contentTypeID="0x010100AA351E0ECF89C14A900DE8C04996CFDF" ma:contentTypeVersion="18" ma:contentTypeDescription="Kurkite naują dokumentą." ma:contentTypeScope="" ma:versionID="683f92fd3caf647d88e81fe6a076604b">
  <xsd:schema xmlns:xsd="http://www.w3.org/2001/XMLSchema" xmlns:xs="http://www.w3.org/2001/XMLSchema" xmlns:p="http://schemas.microsoft.com/office/2006/metadata/properties" xmlns:ns1="http://schemas.microsoft.com/sharepoint/v3" xmlns:ns2="f5aad5d0-9c26-490e-8743-a6c7ceabd501" xmlns:ns3="19cf09c5-daa1-4028-a0ff-74a0be4ec5cc" targetNamespace="http://schemas.microsoft.com/office/2006/metadata/properties" ma:root="true" ma:fieldsID="9626a6d253d2442f70feac03650f5f6a" ns1:_="" ns2:_="" ns3:_="">
    <xsd:import namespace="http://schemas.microsoft.com/sharepoint/v3"/>
    <xsd:import namespace="f5aad5d0-9c26-490e-8743-a6c7ceabd501"/>
    <xsd:import namespace="19cf09c5-daa1-4028-a0ff-74a0be4ec5cc"/>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DateTaken" minOccurs="0"/>
                <xsd:element ref="ns2:MediaServiceAutoTags" minOccurs="0"/>
                <xsd:element ref="ns2:MediaServiceGenerationTime" minOccurs="0"/>
                <xsd:element ref="ns2:MediaServiceEventHashCode" minOccurs="0"/>
                <xsd:element ref="ns1:AverageRating" minOccurs="0"/>
                <xsd:element ref="ns1:RatingCount" minOccurs="0"/>
                <xsd:element ref="ns1:RatedBy" minOccurs="0"/>
                <xsd:element ref="ns1:Ratings" minOccurs="0"/>
                <xsd:element ref="ns1:LikesCount" minOccurs="0"/>
                <xsd:element ref="ns1:LikedBy" minOccurs="0"/>
                <xsd:element ref="ns2:MediaServiceAutoKeyPoints" minOccurs="0"/>
                <xsd:element ref="ns2:MediaServiceKeyPoints"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AverageRating" ma:index="16" nillable="true" ma:displayName="Vertinimas (0–5)" ma:decimals="2" ma:description="Visų pateiktų vertinimų vidutinė reikšmė" ma:internalName="AverageRating" ma:readOnly="true">
      <xsd:simpleType>
        <xsd:restriction base="dms:Number"/>
      </xsd:simpleType>
    </xsd:element>
    <xsd:element name="RatingCount" ma:index="17" nillable="true" ma:displayName="Vertinimų skaičius" ma:decimals="0" ma:description="Pateiktų vertinimų skaičius" ma:internalName="RatingCount" ma:readOnly="true">
      <xsd:simpleType>
        <xsd:restriction base="dms:Number"/>
      </xsd:simpleType>
    </xsd:element>
    <xsd:element name="RatedBy" ma:index="18" nillable="true" ma:displayName="Vertintojas" ma:description="Vartotojai įvertino elementą." ma:hidden="true" ma:list="UserInfo" ma:internalName="RatedBy">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Ratings" ma:index="19" nillable="true" ma:displayName="Vartotojų vertinimai" ma:description="Elemento vartotojų vertinimai" ma:hidden="true" ma:internalName="Ratings">
      <xsd:simpleType>
        <xsd:restriction base="dms:Note"/>
      </xsd:simpleType>
    </xsd:element>
    <xsd:element name="LikesCount" ma:index="20" nillable="true" ma:displayName="Skaičius, kiek kartų vartotojai pažymėjo, kad jiems patiko elementas" ma:internalName="LikesCount">
      <xsd:simpleType>
        <xsd:restriction base="dms:Unknown"/>
      </xsd:simpleType>
    </xsd:element>
    <xsd:element name="LikedBy" ma:index="21" nillable="true" ma:displayName="Patiko" ma:hidden="true" ma:list="UserInfo" ma:internalName="LikedBy">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f5aad5d0-9c26-490e-8743-a6c7ceabd50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2" nillable="true" ma:displayName="MediaServiceDateTaken" ma:hidden="true" ma:internalName="MediaServiceDateTaken" ma:readOnly="true">
      <xsd:simpleType>
        <xsd:restriction base="dms:Text"/>
      </xsd:simpleType>
    </xsd:element>
    <xsd:element name="MediaServiceAutoTags" ma:index="13" nillable="true" ma:displayName="Tags" ma:internalName="MediaServiceAutoTags" ma:readOnly="true">
      <xsd:simpleType>
        <xsd:restriction base="dms:Text"/>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AutoKeyPoints" ma:index="22" nillable="true" ma:displayName="MediaServiceAutoKeyPoints" ma:hidden="true" ma:internalName="MediaServiceAutoKeyPoints" ma:readOnly="true">
      <xsd:simpleType>
        <xsd:restriction base="dms:Note"/>
      </xsd:simpleType>
    </xsd:element>
    <xsd:element name="MediaServiceKeyPoints" ma:index="23" nillable="true" ma:displayName="KeyPoints" ma:internalName="MediaServiceKeyPoints" ma:readOnly="true">
      <xsd:simpleType>
        <xsd:restriction base="dms:Note">
          <xsd:maxLength value="255"/>
        </xsd:restriction>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19cf09c5-daa1-4028-a0ff-74a0be4ec5cc" elementFormDefault="qualified">
    <xsd:import namespace="http://schemas.microsoft.com/office/2006/documentManagement/types"/>
    <xsd:import namespace="http://schemas.microsoft.com/office/infopath/2007/PartnerControls"/>
    <xsd:element name="SharedWithUsers" ma:index="10"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Bendrinta su išsamia informacija" ma:internalName="SharedWithDetails" ma:readOnly="true">
      <xsd:simpleType>
        <xsd:restriction base="dms:Note">
          <xsd:maxLength value="255"/>
        </xsd:restriction>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5.xml><?xml version="1.0" encoding="utf-8"?>
<Parts xmlns="http://lrs.lt/TAIS/DocParts">
  <Part Type="lentele" DocPartId="481c2c4ddc2f43a19200fa369bdb6722" PartId="c3a196c378054ea28ec29cfe13275c8d"/>
  <Part Type="pastraipa" DocPartId="f461e2c4464b457587a4bb4030c8c2c8" PartId="4492793526b946a89e88130becfff087">
    <Part Type="skirsnis" Title="Įsakymo projektu sprendžiamos problemos ir Įsakymo projektą rengti paskatinusios priežastys" DocPartId="b2acb5eb55754bf29e54471bcb57a4ca" PartId="b6ae82a3e92d4859b9c350176f5aa557"/>
    <Part Type="skirsnis" Title="Problemų sprendimo priemonės" DocPartId="b80ce4faffac4ac2a78622ff40e44240" PartId="ff2b8078ed5d4044b008e45998c7430f">
      <Part Type="punktas" Nr="1" Abbr="1 p." DocPartId="c7ae363b72944796ae50e1f37e91bcc7" PartId="a96a433948fb4cdd8a1aab6cca8ce2c1"/>
      <Part Type="punktas" Nr="2" Abbr="2 p." DocPartId="6ca1711b89c1483fb6a98090bdd15271" PartId="886472b0b2384269be7ae7ec99e19f9a"/>
      <Part Type="punktas" Nr="3" Abbr="3 p." DocPartId="d7e608a2116741648612814e703cc467" PartId="b07a18b52d004e5da22fd4bbfd0ecaa3"/>
      <Part Type="punktas" Nr="4" Abbr="4 p." DocPartId="44d3965c425e487b8b57fc5516ff93fd" PartId="8eedfe7768534e5898913d812d1e5eca"/>
      <Part Type="punktas" Nr="5" Abbr="5 p." DocPartId="2f4c4a8068fb408fb6c57d405650aaca" PartId="71282e3f36644d8082a6e924f905334b"/>
      <Part Type="punktas" Nr="6" Abbr="6 p." DocPartId="84f3a09eb97c4c43a107e07f42211c77" PartId="221fe6ef9a8f44918145eecfb679afe8"/>
      <Part Type="punktas" Nr="7" Abbr="7 p." DocPartId="a5abbe01eb094627a4f51ae211682064" PartId="03481f03e137436f831ac4017536b91a"/>
      <Part Type="punktas" Nr="8" Abbr="8 p." DocPartId="31853541541b44d5a71272ce48b808a0" PartId="92ca3ce7c7c54e76965962ff9295175a">
        <Part Type="papunktis" Nr="8.1" Abbr="8.1 pp." DocPartId="1ec9e86c0940453b8d9c7e0f0c937a66" PartId="99bd3b6494974d138193275b66c55571"/>
        <Part Type="papunktis" Nr="8.2" Abbr="8.2 pp." DocPartId="c993eb052dfe42d58cf4114e683bb797" PartId="f407974a0d4a4f4c9472ea7e25b0d6e1"/>
        <Part Type="papunktis" Nr="8.3" Abbr="8.3 pp." DocPartId="579631689cdc419cbf46bd5575aaacce" PartId="f60de099b0264c9cbdd003900b98d6af"/>
        <Part Type="papunktis" Nr="8.4" Abbr="8.4 pp." DocPartId="fb8965252f1e4ac0bfdf793d708c2b7f" PartId="670e62070aa94e2aa35094e184881148"/>
        <Part Type="papunktis" Nr="8.5" Abbr="8.5 pp." DocPartId="67107700a6a54b0cb5632b5cd0113364" PartId="4832d27689f142cfbe4763859e67ed54"/>
      </Part>
      <Part Type="punktas" Nr="9" Abbr="9 p." DocPartId="9f012ed82d96473cb301569338461309" PartId="00a68646874e4771b259455ca09e2b3b"/>
      <Part Type="punktas" Nr="10" Abbr="10 p." DocPartId="5e4ecb4e76b9467cba498164426f29ec" PartId="965fe6aa8afd45acae0fc216f213fac9"/>
      <Part Type="punktas" Nr="11" Abbr="11 p." DocPartId="e9ec8610e81e4379bda894fca64df000" PartId="7dc93933d06845b0a45a5e9dedc8ae51"/>
      <Part Type="punktas" Nr="12" Abbr="12 p." DocPartId="e2f416d57cc34decbc651f9790778a6b" PartId="fd9ce2f520dc49fcb5e4ddfcd9928d7f"/>
      <Part Type="punktas" Nr="13" Abbr="13 p." DocPartId="6c25a61b27af444c8d8cdbce47140174" PartId="45640107030b4c4b84b8bde287af5d08"/>
      <Part Type="punktas" Nr="14" Abbr="14 p." DocPartId="4c1d6c155470443eaa85f187df7fc080" PartId="0364ad0f01884b0fb288af9678e44477"/>
      <Part Type="punktas" Nr="15" Abbr="15 p." DocPartId="6f9e880852c84d859f9e311fde80a43a" PartId="83b4259f6a55455a968e5cf1de07f3c1"/>
      <Part Type="punktas" Nr="16" Abbr="16 p." DocPartId="c589323fb3e64335a231a5740c18751c" PartId="5cc022cee35a4c31aa6bf8db900f6b1b"/>
      <Part Type="punktas" Nr="17" Abbr="17 p." DocPartId="d13e8b6bd8dd4937b9f91f1ba3301ebe" PartId="bfbd3c569f314d69a7d165a854d4a1da"/>
      <Part Type="punktas" Nr="18" Abbr="18 p." DocPartId="9049529eaec8418cbeadccf559eab4a1" PartId="42514f797b0b4ecba454ae7ec4e697a6"/>
      <Part Type="punktas" Nr="19" Abbr="19 p." DocPartId="69045ffaf4284b29adfe1ce772d50c0b" PartId="17f30a586e6f4e6da6278862a5f8bbc1"/>
    </Part>
    <Part Type="skirsnis" Title="Įgyvendinimo kaštai" DocPartId="b835b3e80c9042fbbff0ff18b3833638" PartId="8ec3543acbf64b05ba5f5b1fc01de2f3"/>
    <Part Type="skirsnis" Title="Nauda" DocPartId="9c5122838d354ddabee5ddac7b70f673" PartId="f0fa1884c9324a0b85be7cea2962e3eb">
      <Part Type="punktas" Nr="1" Abbr="1 p." DocPartId="a95017c62fe94248b0bdb248b9d1634c" PartId="aebe2a1ffdf94a7e81e12d8cdeea2079"/>
      <Part Type="punktas" Nr="2" Abbr="2 p." DocPartId="35d3861fb81e44958b7a80eaa501f827" PartId="40b8c6978e5249c385eb420a72afa4ae"/>
      <Part Type="punktas" Nr="3" Abbr="3 p." DocPartId="356af279b39447deae03bd90ab02eb04" PartId="247a20390b9941e2be53aa5ecbb3f19d"/>
    </Part>
    <Part Type="skirsnis" Title="ADRESATŲ SĄRAŠAS" DocPartId="921a9d9608264c9c87d5999552e6dfe9" PartId="e6258f07d0294dbcaedc3352e631bd2d"/>
    <Part Type="signatura" DocPartId="a9564f51ffa3449fa6072b02a8a5e974" PartId="d2df130211c2409886b0349ca5a35946"/>
  </Part>
</Parts>
</file>

<file path=customXml/itemProps1.xml><?xml version="1.0" encoding="utf-8"?>
<ds:datastoreItem xmlns:ds="http://schemas.openxmlformats.org/officeDocument/2006/customXml" ds:itemID="{766CC651-46B9-4D86-A661-D2C361907B6D}">
  <ds:schemaRefs>
    <ds:schemaRef ds:uri="http://schemas.microsoft.com/office/2006/documentManagement/types"/>
    <ds:schemaRef ds:uri="http://schemas.openxmlformats.org/package/2006/metadata/core-properties"/>
    <ds:schemaRef ds:uri="http://purl.org/dc/elements/1.1/"/>
    <ds:schemaRef ds:uri="http://schemas.microsoft.com/office/2006/metadata/properties"/>
    <ds:schemaRef ds:uri="http://schemas.microsoft.com/office/infopath/2007/PartnerControls"/>
    <ds:schemaRef ds:uri="http://purl.org/dc/terms/"/>
    <ds:schemaRef ds:uri="19cf09c5-daa1-4028-a0ff-74a0be4ec5cc"/>
    <ds:schemaRef ds:uri="http://schemas.microsoft.com/sharepoint/v3"/>
    <ds:schemaRef ds:uri="f5aad5d0-9c26-490e-8743-a6c7ceabd501"/>
    <ds:schemaRef ds:uri="http://www.w3.org/XML/1998/namespace"/>
    <ds:schemaRef ds:uri="http://purl.org/dc/dcmitype/"/>
  </ds:schemaRefs>
</ds:datastoreItem>
</file>

<file path=customXml/itemProps2.xml><?xml version="1.0" encoding="utf-8"?>
<ds:datastoreItem xmlns:ds="http://schemas.openxmlformats.org/officeDocument/2006/customXml" ds:itemID="{747CC9C9-F5FC-443C-B696-B96F3463AAB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f5aad5d0-9c26-490e-8743-a6c7ceabd501"/>
    <ds:schemaRef ds:uri="19cf09c5-daa1-4028-a0ff-74a0be4ec5c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E35EB61B-BD39-4177-8CFB-B6C4C4D5B4CB}">
  <ds:schemaRefs>
    <ds:schemaRef ds:uri="http://schemas.microsoft.com/sharepoint/v3/contenttype/forms"/>
  </ds:schemaRefs>
</ds:datastoreItem>
</file>

<file path=customXml/itemProps4.xml><?xml version="1.0" encoding="utf-8"?>
<ds:datastoreItem xmlns:ds="http://schemas.openxmlformats.org/officeDocument/2006/customXml" ds:itemID="{2B29A059-135A-4C9E-8AFB-1EFCBA897F41}">
  <ds:schemaRefs>
    <ds:schemaRef ds:uri="http://schemas.openxmlformats.org/officeDocument/2006/bibliography"/>
  </ds:schemaRefs>
</ds:datastoreItem>
</file>

<file path=customXml/itemProps5.xml><?xml version="1.0" encoding="utf-8"?>
<ds:datastoreItem xmlns:ds="http://schemas.openxmlformats.org/officeDocument/2006/customXml" ds:itemID="{E449B7AD-A6DA-4EDD-9E1A-5974A87EBC80}">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14</Pages>
  <Words>2585</Words>
  <Characters>19344</Characters>
  <Application>Microsoft Office Word</Application>
  <DocSecurity>4</DocSecurity>
  <Lines>322</Lines>
  <Paragraphs>128</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LinksUpToDate>false</LinksUpToDate>
  <CharactersWithSpaces>21801</CharactersWithSpaces>
  <SharedDoc>false</SharedDoc>
  <HyperlinkBase/>
  <HLinks>
    <vt:vector size="12" baseType="variant">
      <vt:variant>
        <vt:i4>852011</vt:i4>
      </vt:variant>
      <vt:variant>
        <vt:i4>3</vt:i4>
      </vt:variant>
      <vt:variant>
        <vt:i4>0</vt:i4>
      </vt:variant>
      <vt:variant>
        <vt:i4>5</vt:i4>
      </vt:variant>
      <vt:variant>
        <vt:lpwstr>mailto:......@am.lt</vt:lpwstr>
      </vt:variant>
      <vt:variant>
        <vt:lpwstr/>
      </vt:variant>
      <vt:variant>
        <vt:i4>5832741</vt:i4>
      </vt:variant>
      <vt:variant>
        <vt:i4>0</vt:i4>
      </vt:variant>
      <vt:variant>
        <vt:i4>0</vt:i4>
      </vt:variant>
      <vt:variant>
        <vt:i4>5</vt:i4>
      </vt:variant>
      <vt:variant>
        <vt:lpwstr>mailto:.......@am.lt</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2023-08-04T12:42:00Z</dcterms:created>
  <dcterms:modified xsi:type="dcterms:W3CDTF">2023-08-04T12:42:00Z</dcterms:modified>
  <revision>1</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0x010100AA351E0ECF89C14A900DE8C04996CFDF</vt:lpwstr>
  </property>
  <property fmtid="{D5CDD505-2E9C-101B-9397-08002B2CF9AE}" pid="3" name="MediaServiceImageTags">
    <vt:lpwstr/>
  </property>
</Properties>
</file>