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3e780229f9346eab8184a19a9965909"/>
        <w:lock w:val="sdtLocked"/>
        <w:richText/>
      </w:sdtPr>
      <w:sdtContent>
        <w:p w14:paraId="22045F00" w14:textId="77777777">
          <w:pPr>
            <w:overflowPunct w:val="0"/>
            <w:jc w:val="center"/>
          </w:pPr>
        </w:p>
        <w:p w14:paraId="1CBD5559" w14:textId="77777777">
          <w:pPr>
            <w:tabs>
              <w:tab w:val="center" w:pos="4819"/>
              <w:tab w:val="right" w:pos="9638"/>
            </w:tabs>
            <w:rPr>
              <w:szCs w:val="24"/>
              <w:lang w:val="en-US"/>
            </w:rPr>
          </w:pPr>
        </w:p>
        <w:p w14:paraId="35E508DB" w14:textId="77777777">
          <w:pPr>
            <w:overflowPunct w:val="0"/>
            <w:jc w:val="center"/>
          </w:pPr>
          <w:r>
            <w:rPr>
              <w:szCs w:val="24"/>
              <w:lang w:val="en-US"/>
            </w:rPr>
            <w:drawing>
              <wp:inline distT="0" distB="0" distL="0" distR="0" wp14:anchorId="21CAC1FD" wp14:editId="7A80C22D">
                <wp:extent cx="552450" cy="561975"/>
                <wp:effectExtent l="0" t="0" r="0" b="9525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E919340" w14:textId="77777777">
          <w:pPr>
            <w:overflowPunct w:val="0"/>
            <w:jc w:val="center"/>
            <w:rPr>
              <w:b/>
              <w:bCs/>
            </w:rPr>
          </w:pPr>
          <w:r>
            <w:rPr>
              <w:b/>
              <w:bCs/>
            </w:rPr>
            <w:t>VALSTYBINĖ DUOMENŲ APSAUGOS INSPEKCIJA</w:t>
          </w:r>
        </w:p>
        <w:p w14:paraId="79DBB906" w14:textId="77777777">
          <w:pPr>
            <w:overflowPunct w:val="0"/>
            <w:rPr>
              <w:b/>
              <w:bCs/>
              <w:szCs w:val="24"/>
            </w:rPr>
          </w:pPr>
        </w:p>
        <w:p w14:paraId="52F5549F" w14:textId="77777777">
          <w:pPr>
            <w:overflowPunct w:val="0"/>
            <w:rPr>
              <w:b/>
              <w:bCs/>
              <w:szCs w:val="24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5070"/>
          </w:tblGrid>
          <w:tr w14:paraId="5E721449" w14:textId="77777777">
            <w:tc>
              <w:tcPr>
                <w:tcW w:w="5070" w:type="dxa"/>
              </w:tcPr>
              <w:p w14:paraId="63EDA938" w14:textId="340A5357">
                <w:pPr>
                  <w:overflowPunct w:val="0"/>
                  <w:rPr>
                    <w:szCs w:val="24"/>
                  </w:rPr>
                </w:pPr>
                <w:r>
                  <w:rPr>
                    <w:szCs w:val="24"/>
                  </w:rPr>
                  <w:t>Valstybės duomenų agentūrai</w:t>
                </w:r>
              </w:p>
              <w:p w14:paraId="30BCCE9C" w14:textId="2294CE0D">
                <w:pPr>
                  <w:overflowPunct w:val="0"/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Per E. pristatymą</w:t>
                </w:r>
              </w:p>
              <w:p w14:paraId="53AE22E7" w14:textId="77777777">
                <w:pPr>
                  <w:overflowPunct w:val="0"/>
                  <w:rPr>
                    <w:i/>
                    <w:iCs/>
                    <w:szCs w:val="24"/>
                  </w:rPr>
                </w:pPr>
              </w:p>
              <w:p w14:paraId="0925C83F" w14:textId="0F10E257">
                <w:pPr>
                  <w:overflowPunct w:val="0"/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Kopija</w:t>
                </w:r>
              </w:p>
              <w:p w14:paraId="314AB301" w14:textId="538200D5">
                <w:pPr>
                  <w:overflowPunct w:val="0"/>
                  <w:rPr>
                    <w:szCs w:val="24"/>
                  </w:rPr>
                </w:pPr>
                <w:r>
                  <w:rPr>
                    <w:szCs w:val="24"/>
                  </w:rPr>
                  <w:t>Lietuvos Respublikos ekonomikos ir inovacijų ministerijai</w:t>
                </w:r>
              </w:p>
              <w:p w14:paraId="544A533E" w14:textId="77777777">
                <w:pPr>
                  <w:overflowPunct w:val="0"/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Per E. pristatymą</w:t>
                </w:r>
              </w:p>
              <w:p w14:paraId="35B7923E" w14:textId="7827348E">
                <w:pPr>
                  <w:overflowPunct w:val="0"/>
                  <w:rPr>
                    <w:i/>
                    <w:iCs/>
                    <w:szCs w:val="24"/>
                  </w:rPr>
                </w:pPr>
              </w:p>
            </w:tc>
          </w:tr>
        </w:tbl>
        <w:p w14:paraId="798AC4DA" w14:textId="77777777">
          <w:pPr>
            <w:rPr>
              <w:vanish/>
              <w:szCs w:val="24"/>
            </w:rPr>
          </w:pPr>
        </w:p>
        <w:tbl>
          <w:tblPr>
            <w:tblW w:w="0" w:type="auto"/>
            <w:tblLook w:val="00A0" w:firstRow="1" w:lastRow="0" w:firstColumn="1" w:lastColumn="0" w:noHBand="0" w:noVBand="0"/>
          </w:tblPr>
          <w:tblGrid>
            <w:gridCol w:w="1555"/>
            <w:gridCol w:w="2598"/>
          </w:tblGrid>
          <w:tr w14:paraId="0CC3C973" w14:textId="77777777">
            <w:tc>
              <w:tcPr>
                <w:tcW w:w="1555" w:type="dxa"/>
              </w:tcPr>
              <w:p w14:paraId="5BAECF36" w14:textId="250A3884">
                <w:pPr>
                  <w:overflowPunct w:val="0"/>
                  <w:ind w:left="-110"/>
                  <w:rPr>
                    <w:szCs w:val="24"/>
                  </w:rPr>
                </w:pPr>
                <w:r>
                  <w:rPr>
                    <w:szCs w:val="24"/>
                  </w:rPr>
                  <w:t>2024-04-</w:t>
                </w:r>
              </w:p>
            </w:tc>
            <w:tc>
              <w:tcPr>
                <w:tcW w:w="2598" w:type="dxa"/>
              </w:tcPr>
              <w:p w14:paraId="5C5039BC" w14:textId="74258BB5">
                <w:pPr>
                  <w:overflowPunct w:val="0"/>
                  <w:ind w:left="-108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Nr. 2R-               (3.2.Mr)</w:t>
                </w:r>
              </w:p>
            </w:tc>
          </w:tr>
          <w:tr w14:paraId="57FC1203" w14:textId="77777777">
            <w:trPr>
              <w:trHeight w:val="172"/>
            </w:trPr>
            <w:tc>
              <w:tcPr>
                <w:tcW w:w="1555" w:type="dxa"/>
              </w:tcPr>
              <w:p w14:paraId="4E1406AF" w14:textId="14EE70F7">
                <w:pPr>
                  <w:overflowPunct w:val="0"/>
                  <w:ind w:left="-110"/>
                  <w:rPr>
                    <w:szCs w:val="24"/>
                  </w:rPr>
                </w:pPr>
                <w:r>
                  <w:rPr>
                    <w:szCs w:val="24"/>
                  </w:rPr>
                  <w:t>Į 2024-04-17</w:t>
                </w:r>
              </w:p>
            </w:tc>
            <w:tc>
              <w:tcPr>
                <w:tcW w:w="2598" w:type="dxa"/>
              </w:tcPr>
              <w:p w14:paraId="71515378" w14:textId="3197FC12">
                <w:pPr>
                  <w:overflowPunct w:val="0"/>
                  <w:ind w:left="325" w:hanging="425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el. prašymą </w:t>
                </w:r>
              </w:p>
            </w:tc>
          </w:tr>
        </w:tbl>
        <w:p w14:paraId="52ED8634" w14:textId="77777777">
          <w:pPr>
            <w:overflowPunct w:val="0"/>
            <w:jc w:val="both"/>
            <w:rPr>
              <w:b/>
              <w:szCs w:val="24"/>
              <w:highlight w:val="yellow"/>
            </w:rPr>
          </w:pPr>
        </w:p>
        <w:p w14:paraId="438FA814" w14:textId="77777777">
          <w:pPr>
            <w:overflowPunct w:val="0"/>
            <w:jc w:val="both"/>
            <w:rPr>
              <w:b/>
              <w:szCs w:val="24"/>
              <w:highlight w:val="yellow"/>
            </w:rPr>
          </w:pPr>
        </w:p>
        <w:p w14:paraId="3F42BECE" w14:textId="77777777">
          <w:pPr>
            <w:overflowPunct w:val="0"/>
            <w:jc w:val="both"/>
            <w:rPr>
              <w:b/>
              <w:szCs w:val="24"/>
              <w:highlight w:val="yellow"/>
            </w:rPr>
          </w:pPr>
        </w:p>
        <w:p w14:paraId="2B05C485" w14:textId="77777777">
          <w:pPr>
            <w:overflowPunct w:val="0"/>
            <w:jc w:val="both"/>
            <w:rPr>
              <w:b/>
              <w:szCs w:val="24"/>
              <w:highlight w:val="yellow"/>
            </w:rPr>
          </w:pPr>
        </w:p>
        <w:p w14:paraId="164019E1" w14:textId="77777777">
          <w:pPr>
            <w:overflowPunct w:val="0"/>
            <w:jc w:val="both"/>
            <w:rPr>
              <w:b/>
              <w:szCs w:val="24"/>
            </w:rPr>
          </w:pPr>
        </w:p>
        <w:p w14:paraId="360EC13C" w14:textId="77777777">
          <w:pPr>
            <w:overflowPunct w:val="0"/>
            <w:jc w:val="both"/>
            <w:rPr>
              <w:b/>
              <w:szCs w:val="24"/>
            </w:rPr>
          </w:pPr>
        </w:p>
        <w:p w14:paraId="02F47B34" w14:textId="77777777">
          <w:pPr>
            <w:overflowPunct w:val="0"/>
            <w:jc w:val="both"/>
            <w:rPr>
              <w:b/>
              <w:szCs w:val="24"/>
            </w:rPr>
          </w:pPr>
        </w:p>
        <w:sdt>
          <w:sdtPr>
            <w:alias w:val="skirsnis"/>
            <w:tag w:val="part_7fbb574061ef4a4ca2730c5b0fa0f124"/>
            <w:lock w:val="sdtLocked"/>
            <w:richText/>
          </w:sdtPr>
          <w:sdtContent>
            <w:p w14:paraId="7D426888" w14:textId="6F17E68C">
              <w:pPr>
                <w:overflowPunct w:val="0"/>
                <w:jc w:val="both"/>
                <w:rPr>
                  <w:b/>
                  <w:szCs w:val="24"/>
                </w:rPr>
              </w:pPr>
              <w:sdt>
                <w:sdtPr>
                  <w:alias w:val="Pavadinimas"/>
                  <w:tag w:val="title_7fbb574061ef4a4ca2730c5b0fa0f12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DĖL </w:t>
                  </w:r>
                  <w:r>
                    <w:rPr>
                      <w:b/>
                      <w:caps/>
                      <w:szCs w:val="24"/>
                    </w:rPr>
                    <w:t xml:space="preserve">LIETUVOS RESPUBLIKOS </w:t>
                  </w:r>
                  <w:r>
                    <w:rPr>
                      <w:b/>
                      <w:bCs/>
                      <w:caps/>
                      <w:color w:val="000000"/>
                      <w:szCs w:val="24"/>
                      <w:lang w:eastAsia="lt-LT"/>
                    </w:rPr>
                    <w:t xml:space="preserve">VYRIAUSYBĖS NUTARIMO </w:t>
                  </w:r>
                  <w:r>
                    <w:rPr>
                      <w:b/>
                      <w:caps/>
                      <w:szCs w:val="24"/>
                    </w:rPr>
                    <w:t>PROJEKTO</w:t>
                  </w:r>
                </w:sdtContent>
              </w:sdt>
            </w:p>
            <w:p w14:paraId="2F4371F3" w14:textId="77777777">
              <w:pPr>
                <w:overflowPunct w:val="0"/>
                <w:rPr>
                  <w:b/>
                  <w:bCs/>
                  <w:szCs w:val="24"/>
                </w:rPr>
              </w:pPr>
            </w:p>
            <w:p w14:paraId="7DE437BC" w14:textId="2AECC8E7">
              <w:pPr>
                <w:suppressAutoHyphens/>
                <w:ind w:firstLine="709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Valstybinė duomenų apsaugos inspekcija (toliau – Inspekcija), išnagrinėjo Jūsų pateiktą derinti Lietuvos Respublikos Vyriausybės nutarimą „Dėl </w:t>
              </w:r>
              <w:r>
                <w:rPr>
                  <w:szCs w:val="24"/>
                  <w:lang w:eastAsia="lt-LT"/>
                </w:rPr>
                <w:t xml:space="preserve">Valstybės duomenų agentūros valdomų ypatingos svarbos valstybės informacinių išteklių laikymo“ projektą (toliau – Projektas), </w:t>
              </w:r>
              <w:r>
                <w:rPr>
                  <w:i/>
                  <w:iCs/>
                  <w:szCs w:val="24"/>
                  <w:lang w:eastAsia="lt-LT"/>
                </w:rPr>
                <w:t>esminių</w:t>
              </w:r>
              <w:r>
                <w:rPr>
                  <w:szCs w:val="24"/>
                  <w:lang w:eastAsia="lt-LT"/>
                </w:rPr>
                <w:t xml:space="preserve"> pastabų ir pasiūlymų neturi.</w:t>
              </w:r>
            </w:p>
            <w:p w14:paraId="64FB695D" w14:textId="776E0600">
              <w:pPr>
                <w:suppressAutoHyphens/>
                <w:ind w:firstLine="709"/>
                <w:jc w:val="both"/>
                <w:textAlignment w:val="baseline"/>
                <w:rPr>
                  <w:b/>
                  <w:bCs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Siekiant teisinio aiškumo ir tikslumo, taip pat atsižvelgdama į Bendrojo duomenų apsaugos reglamento</w:t>
              </w:r>
              <w:r>
                <w:rPr>
                  <w:szCs w:val="24"/>
                  <w:vertAlign w:val="superscript"/>
                  <w:lang w:eastAsia="lt-LT"/>
                </w:rPr>
                <w:footnoteReference w:id="1"/>
              </w:r>
              <w:r>
                <w:rPr>
                  <w:szCs w:val="24"/>
                  <w:lang w:eastAsia="lt-LT"/>
                </w:rPr>
                <w:t xml:space="preserve"> (toliau – BDAR) reikalavimus, susijusius su tinkamų techninių ir organizacinių priemonių taikymo užtikrinant būtiną asmens duomenų apsaugos lygį (ypač BDAR 25, 28 ir 32 straipsnius) ir įvertindama </w:t>
              </w:r>
              <w:r>
                <w:rPr>
                  <w:i/>
                  <w:iCs/>
                  <w:szCs w:val="24"/>
                  <w:lang w:eastAsia="lt-LT"/>
                </w:rPr>
                <w:t>valstybės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i/>
                  <w:iCs/>
                  <w:szCs w:val="24"/>
                  <w:lang w:eastAsia="lt-LT"/>
                </w:rPr>
                <w:t>duomenų</w:t>
              </w:r>
              <w:r>
                <w:rPr>
                  <w:szCs w:val="24"/>
                  <w:lang w:eastAsia="lt-LT"/>
                </w:rPr>
                <w:t xml:space="preserve">, kuriuos siekiama saugoti privačios bendrovės infrastruktūroje, </w:t>
              </w:r>
              <w:r>
                <w:rPr>
                  <w:i/>
                  <w:iCs/>
                  <w:szCs w:val="24"/>
                  <w:lang w:eastAsia="lt-LT"/>
                </w:rPr>
                <w:t>svarbą</w:t>
              </w:r>
              <w:r>
                <w:rPr>
                  <w:szCs w:val="24"/>
                  <w:lang w:eastAsia="lt-LT"/>
                </w:rPr>
                <w:t xml:space="preserve">, siūlo įvertinti galimybę tikslinti Projektą aiškiai įvardinant Europos Sąjungos valstybę, kurioje bus laikoma ypatingos svarbos valstybės informacinių išteklių (toliau – Ištekliai) kopija (tokiu būdu, </w:t>
              </w:r>
              <w:r>
                <w:rPr>
                  <w:i/>
                  <w:iCs/>
                  <w:szCs w:val="24"/>
                  <w:lang w:eastAsia="lt-LT"/>
                </w:rPr>
                <w:t>keičiantis esminėms duomenų tvarkymo aplinkybėms</w:t>
              </w:r>
              <w:r>
                <w:rPr>
                  <w:szCs w:val="24"/>
                  <w:lang w:eastAsia="lt-LT"/>
                </w:rPr>
                <w:t>, Lietuvos Respublikos Vyriausybė galėtų iš naujo svarstyti, ar pasikeitusios aplinkybės turi papildomų rizikų Išteklių duomenų saugumo kontekste ir ar suteiktos teisės galiojimo laikotarpiu nustatytos rizikos buvo tinkamai valdomos). Taip pat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Projekto 2.2 papunktyje siūlytina svarstyti nustatyti trumpesnį laikotarpį, kuriuo turėtų būti teikiami vertinti  </w:t>
              </w:r>
              <w:r>
                <w:rPr>
                  <w:szCs w:val="24"/>
                </w:rPr>
                <w:t xml:space="preserve">VII įgyvendinimo alternatyvų analizė, rizikų įvertinimo ataskaita ir rizikų valdymo priemonių planas, atsižvelgiant į tai, kokios svarbos valstybės duomenys bus laikomi privačioje bendrovėje ir kokios pasekmės gali kilti tinkamai nesuvaldžius numatytų rizikų (ar jų tinkamai nenumačius). </w:t>
              </w:r>
            </w:p>
            <w:p w14:paraId="643CAB2E" w14:textId="77777777">
              <w:pPr>
                <w:suppressAutoHyphens/>
                <w:ind w:firstLine="709"/>
                <w:jc w:val="both"/>
                <w:textAlignment w:val="baseline"/>
                <w:rPr>
                  <w:color w:val="000000"/>
                  <w:szCs w:val="24"/>
                </w:rPr>
              </w:pPr>
            </w:p>
            <w:p w14:paraId="2AB3FE41" w14:textId="77777777">
              <w:pPr>
                <w:suppressAutoHyphens/>
                <w:ind w:firstLine="709"/>
                <w:jc w:val="both"/>
                <w:textAlignment w:val="baseline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25de3c392f364ec1bc1d450097b5034c"/>
            <w:lock w:val="sdtLocked"/>
            <w:richText/>
          </w:sdtPr>
          <w:sdtContent>
            <w:p w14:paraId="2985F1FC" w14:textId="77777777">
              <w:pPr>
                <w:overflowPunct w:val="0"/>
                <w:rPr>
                  <w:szCs w:val="24"/>
                </w:rPr>
              </w:pPr>
              <w:r>
                <w:rPr>
                  <w:szCs w:val="24"/>
                </w:rPr>
                <w:t xml:space="preserve">Direktoriaus pavaduotoja, </w:t>
              </w:r>
            </w:p>
            <w:p w14:paraId="07AB8E01" w14:textId="0E81EDA1">
              <w:pPr>
                <w:overflowPunct w:val="0"/>
                <w:rPr>
                  <w:szCs w:val="24"/>
                </w:rPr>
              </w:pPr>
              <w:r>
                <w:rPr>
                  <w:szCs w:val="24"/>
                </w:rPr>
                <w:t>pavaduojanti direktorių</w:t>
                <w:tab/>
                <w:tab/>
                <w:tab/>
                <w:tab/>
                <w:t xml:space="preserve">                Danguolė Morkūnienė</w:t>
              </w:r>
            </w:p>
            <w:p w14:paraId="6BDA9396" w14:textId="77777777">
              <w:pPr>
                <w:overflowPunct w:val="0"/>
                <w:rPr>
                  <w:szCs w:val="24"/>
                </w:rPr>
              </w:pPr>
            </w:p>
            <w:p w14:paraId="553CC278" w14:textId="77777777">
              <w:pPr>
                <w:overflowPunct w:val="0"/>
                <w:rPr>
                  <w:szCs w:val="24"/>
                </w:rPr>
              </w:pPr>
            </w:p>
            <w:p w14:paraId="100539AE" w14:textId="77777777">
              <w:pPr>
                <w:overflowPunct w:val="0"/>
                <w:rPr>
                  <w:szCs w:val="24"/>
                </w:rPr>
              </w:pPr>
            </w:p>
            <w:p w14:paraId="2F5FC5A8" w14:textId="77777777">
              <w:pPr>
                <w:overflowPunct w:val="0"/>
                <w:rPr>
                  <w:szCs w:val="24"/>
                </w:rPr>
              </w:pPr>
            </w:p>
            <w:p w14:paraId="4582B0A2" w14:textId="77777777">
              <w:pPr>
                <w:overflowPunct w:val="0"/>
                <w:rPr>
                  <w:szCs w:val="24"/>
                </w:rPr>
              </w:pPr>
            </w:p>
            <w:p w14:paraId="2FB85B72" w14:textId="77777777">
              <w:pPr>
                <w:overflowPunct w:val="0"/>
                <w:rPr>
                  <w:szCs w:val="24"/>
                </w:rPr>
              </w:pPr>
            </w:p>
            <w:p w14:paraId="7B509496" w14:textId="77777777">
              <w:pPr>
                <w:overflowPunct w:val="0"/>
                <w:rPr>
                  <w:szCs w:val="24"/>
                </w:rPr>
              </w:pPr>
            </w:p>
            <w:p w14:paraId="6A0D74A8" w14:textId="77777777">
              <w:pPr>
                <w:overflowPunct w:val="0"/>
                <w:rPr>
                  <w:szCs w:val="24"/>
                </w:rPr>
              </w:pPr>
            </w:p>
            <w:p w14:paraId="767586FF" w14:textId="77777777">
              <w:pPr>
                <w:overflowPunct w:val="0"/>
                <w:rPr>
                  <w:szCs w:val="24"/>
                </w:rPr>
              </w:pPr>
            </w:p>
            <w:p w14:paraId="47239E77" w14:textId="77777777">
              <w:pPr>
                <w:overflowPunct w:val="0"/>
                <w:rPr>
                  <w:szCs w:val="24"/>
                </w:rPr>
              </w:pPr>
            </w:p>
            <w:p w14:paraId="4626716E" w14:textId="35214D52">
              <w:pPr>
                <w:overflowPunct w:val="0"/>
                <w:rPr>
                  <w:sz w:val="20"/>
                  <w:szCs w:val="24"/>
                </w:rPr>
              </w:pPr>
              <w:r>
                <w:rPr>
                  <w:sz w:val="20"/>
                  <w:szCs w:val="24"/>
                </w:rPr>
                <w:t xml:space="preserve">M. Valčiukė, tel. (8 5) 231 2476, el. p. </w:t>
              </w:r>
              <w:r>
                <w:rPr>
                  <w:color w:val="000055"/>
                  <w:sz w:val="20"/>
                  <w:szCs w:val="24"/>
                </w:rPr>
                <w:t>margarita.valciuke@ada.lt</w:t>
              </w:r>
              <w:r>
                <w:rPr>
                  <w:sz w:val="20"/>
                  <w:szCs w:val="24"/>
                </w:rPr>
                <w:t xml:space="preserve"> 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567" w:footer="7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D7C43B" w14:textId="77777777">
      <w:pPr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4EDCDA48" w14:textId="77777777">
      <w:pPr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2BE81" w14:textId="77777777">
    <w:pPr>
      <w:tabs>
        <w:tab w:val="center" w:pos="4153"/>
        <w:tab w:val="right" w:pos="8306"/>
      </w:tabs>
      <w:overflowPunct w:val="0"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108" w:type="dxa"/>
      <w:tblLook w:val="01E0" w:firstRow="1" w:lastRow="1" w:firstColumn="1" w:lastColumn="1" w:noHBand="0" w:noVBand="0"/>
    </w:tblPr>
    <w:tblGrid>
      <w:gridCol w:w="3416"/>
      <w:gridCol w:w="2877"/>
      <w:gridCol w:w="3237"/>
    </w:tblGrid>
    <w:tr w14:paraId="7D1CA7EA" w14:textId="77777777">
      <w:trPr>
        <w:trHeight w:val="751"/>
      </w:trPr>
      <w:tc>
        <w:tcPr>
          <w:tcW w:w="3420" w:type="dxa"/>
        </w:tcPr>
        <w:p w14:paraId="5763A5BC" w14:textId="77777777">
          <w:pPr>
            <w:rPr>
              <w:sz w:val="20"/>
              <w:szCs w:val="24"/>
            </w:rPr>
          </w:pPr>
        </w:p>
      </w:tc>
      <w:tc>
        <w:tcPr>
          <w:tcW w:w="2880" w:type="dxa"/>
        </w:tcPr>
        <w:p w14:paraId="24DA012E" w14:textId="77777777">
          <w:pPr>
            <w:jc w:val="both"/>
            <w:rPr>
              <w:sz w:val="20"/>
              <w:szCs w:val="24"/>
            </w:rPr>
          </w:pPr>
        </w:p>
      </w:tc>
      <w:tc>
        <w:tcPr>
          <w:tcW w:w="3240" w:type="dxa"/>
        </w:tcPr>
        <w:p w14:paraId="5A6C0585" w14:textId="77777777">
          <w:pPr>
            <w:jc w:val="both"/>
            <w:rPr>
              <w:sz w:val="20"/>
              <w:szCs w:val="24"/>
            </w:rPr>
          </w:pPr>
        </w:p>
      </w:tc>
    </w:tr>
  </w:tbl>
  <w:p w14:paraId="4F62ABBA" w14:textId="77777777">
    <w:pPr>
      <w:tabs>
        <w:tab w:val="center" w:pos="4153"/>
        <w:tab w:val="right" w:pos="8306"/>
      </w:tabs>
      <w:overflowPunct w:val="0"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72" w:type="dxa"/>
      <w:tblInd w:w="108" w:type="dxa"/>
      <w:tblBorders>
        <w:top w:val="single" w:sz="4" w:space="0" w:color="auto"/>
      </w:tblBorders>
      <w:tblLook w:val="01E0" w:firstRow="1" w:lastRow="1" w:firstColumn="1" w:lastColumn="1" w:noHBand="0" w:noVBand="0"/>
    </w:tblPr>
    <w:tblGrid>
      <w:gridCol w:w="3402"/>
      <w:gridCol w:w="2835"/>
      <w:gridCol w:w="2835"/>
    </w:tblGrid>
    <w:tr w14:paraId="5E977090" w14:textId="77777777">
      <w:trPr>
        <w:trHeight w:val="751"/>
      </w:trPr>
      <w:tc>
        <w:tcPr>
          <w:tcW w:w="3402" w:type="dxa"/>
        </w:tcPr>
        <w:p w14:paraId="2EB5EC22" w14:textId="77777777">
          <w:pPr>
            <w:spacing w:before="20"/>
            <w:rPr>
              <w:sz w:val="20"/>
              <w:szCs w:val="24"/>
            </w:rPr>
          </w:pPr>
          <w:r>
            <w:rPr>
              <w:sz w:val="20"/>
              <w:szCs w:val="24"/>
            </w:rPr>
            <w:t>Biudžetinė įstaiga</w:t>
          </w:r>
        </w:p>
        <w:p w14:paraId="1430AE58" w14:textId="77777777">
          <w:pPr>
            <w:rPr>
              <w:sz w:val="20"/>
              <w:szCs w:val="24"/>
            </w:rPr>
          </w:pPr>
          <w:r>
            <w:rPr>
              <w:sz w:val="20"/>
              <w:szCs w:val="24"/>
            </w:rPr>
            <w:t>L. Sapiegos g. 17, 10312 Vilnius</w:t>
          </w:r>
        </w:p>
        <w:p w14:paraId="2C7CEBCF" w14:textId="2A9D1F37">
          <w:pPr>
            <w:rPr>
              <w:sz w:val="20"/>
              <w:szCs w:val="24"/>
            </w:rPr>
          </w:pPr>
          <w:r>
            <w:rPr>
              <w:sz w:val="20"/>
              <w:szCs w:val="24"/>
            </w:rPr>
            <w:t xml:space="preserve">Interneto svetainė: </w:t>
          </w:r>
          <w:r>
            <w:rPr>
              <w:color w:val="000055"/>
              <w:sz w:val="20"/>
              <w:szCs w:val="24"/>
            </w:rPr>
            <w:t>vdai.lrv.lt</w:t>
          </w:r>
        </w:p>
      </w:tc>
      <w:tc>
        <w:tcPr>
          <w:tcW w:w="2835" w:type="dxa"/>
        </w:tcPr>
        <w:p w14:paraId="28328AF7" w14:textId="04D69E08">
          <w:pPr>
            <w:spacing w:before="20"/>
            <w:jc w:val="both"/>
            <w:rPr>
              <w:color w:val="000000"/>
              <w:sz w:val="20"/>
              <w:szCs w:val="24"/>
            </w:rPr>
          </w:pPr>
          <w:r>
            <w:rPr>
              <w:sz w:val="20"/>
              <w:szCs w:val="24"/>
            </w:rPr>
            <w:t>Tel. </w:t>
          </w:r>
          <w:r>
            <w:rPr>
              <w:color w:val="000000"/>
              <w:sz w:val="20"/>
              <w:szCs w:val="24"/>
            </w:rPr>
            <w:t>+370 5 279 1445</w:t>
          </w:r>
        </w:p>
        <w:p w14:paraId="3609EA71" w14:textId="77777777">
          <w:pPr>
            <w:jc w:val="both"/>
            <w:rPr>
              <w:sz w:val="20"/>
              <w:szCs w:val="24"/>
            </w:rPr>
          </w:pPr>
          <w:r>
            <w:rPr>
              <w:sz w:val="20"/>
              <w:szCs w:val="24"/>
            </w:rPr>
            <w:t>E. pristatymas: 188607912</w:t>
          </w:r>
        </w:p>
        <w:p w14:paraId="0FBA6CE9" w14:textId="3573BA2F">
          <w:pPr>
            <w:jc w:val="both"/>
            <w:rPr>
              <w:sz w:val="20"/>
              <w:szCs w:val="24"/>
            </w:rPr>
          </w:pPr>
          <w:r>
            <w:rPr>
              <w:color w:val="000000"/>
              <w:sz w:val="20"/>
              <w:szCs w:val="24"/>
            </w:rPr>
            <w:t>E</w:t>
          </w:r>
          <w:r>
            <w:rPr>
              <w:sz w:val="20"/>
              <w:szCs w:val="24"/>
            </w:rPr>
            <w:t>l. p. ada@ada.lt</w:t>
          </w:r>
        </w:p>
      </w:tc>
      <w:tc>
        <w:tcPr>
          <w:tcW w:w="2835" w:type="dxa"/>
        </w:tcPr>
        <w:p w14:paraId="7DF0E3DC" w14:textId="77777777">
          <w:pPr>
            <w:tabs>
              <w:tab w:val="left" w:pos="0"/>
              <w:tab w:val="right" w:pos="8306"/>
            </w:tabs>
            <w:overflowPunct w:val="0"/>
            <w:spacing w:before="20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Duomenys kaupiami ir saugomi </w:t>
          </w:r>
        </w:p>
        <w:p w14:paraId="1D625820" w14:textId="77777777">
          <w:pPr>
            <w:jc w:val="both"/>
            <w:rPr>
              <w:sz w:val="20"/>
              <w:szCs w:val="24"/>
            </w:rPr>
          </w:pPr>
          <w:r>
            <w:rPr>
              <w:color w:val="000000"/>
              <w:sz w:val="20"/>
              <w:szCs w:val="24"/>
            </w:rPr>
            <w:t>Juridinių asmenų registre</w:t>
          </w:r>
        </w:p>
        <w:p w14:paraId="60DB7800" w14:textId="77777777">
          <w:pPr>
            <w:jc w:val="both"/>
            <w:rPr>
              <w:sz w:val="20"/>
              <w:szCs w:val="24"/>
            </w:rPr>
          </w:pPr>
          <w:r>
            <w:rPr>
              <w:color w:val="000000"/>
              <w:sz w:val="20"/>
              <w:szCs w:val="24"/>
            </w:rPr>
            <w:t>Kodas 188607912</w:t>
          </w:r>
        </w:p>
      </w:tc>
    </w:tr>
  </w:tbl>
  <w:p w14:paraId="72C638F9" w14:textId="77777777">
    <w:pPr>
      <w:tabs>
        <w:tab w:val="center" w:pos="4153"/>
        <w:tab w:val="right" w:pos="8306"/>
      </w:tabs>
      <w:overflowPunct w:val="0"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381B6D" w14:textId="77777777">
      <w:pPr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6E2CB1B0" w14:textId="77777777">
      <w:pPr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  <w:footnote w:id="1">
    <w:p w14:paraId="5A59C395" w14:textId="723785EE">
      <w:pPr>
        <w:jc w:val="both"/>
        <w:rPr>
          <w:sz w:val="18"/>
          <w:szCs w:val="18"/>
        </w:rPr>
      </w:pPr>
      <w:r>
        <w:rPr>
          <w:sz w:val="18"/>
          <w:szCs w:val="18"/>
          <w:vertAlign w:val="superscript"/>
          <w:lang w:val="en-US"/>
        </w:rPr>
        <w:footnoteRef/>
      </w:r>
      <w:r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eastAsia="lt-LT"/>
        </w:rPr>
        <w:t>2016 m. balandžio 27 d. Europos Parlamento ir Tarybos reglamentu (ES) 2016/679 dėl fizinių asmenų apsaugos, tvarkant asmens duomenis, ir dėl laisvo tokių duomenų judėjimo ir kuriuo panaikinama Direktyva 95/46/EB (Bendrasis duomenų apsaugos reglamentas)</w:t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D9BC3" w14:textId="77777777">
    <w:pPr>
      <w:tabs>
        <w:tab w:val="center" w:pos="4819"/>
        <w:tab w:val="right" w:pos="9638"/>
      </w:tabs>
      <w:rPr>
        <w:szCs w:val="24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4836EB" w14:textId="4232E533">
    <w:pPr>
      <w:tabs>
        <w:tab w:val="center" w:pos="4819"/>
        <w:tab w:val="right" w:pos="9638"/>
      </w:tabs>
      <w:jc w:val="center"/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>PAGE   \* MERGEFORMAT</w:instrText>
    </w:r>
    <w:r>
      <w:rPr>
        <w:szCs w:val="24"/>
        <w:lang w:val="en-US"/>
      </w:rPr>
      <w:fldChar w:fldCharType="separate"/>
    </w:r>
    <w:r>
      <w:rPr>
        <w:szCs w:val="24"/>
      </w:rPr>
      <w:t>2</w:t>
    </w:r>
    <w:r>
      <w:rPr>
        <w:szCs w:val="24"/>
        <w:lang w:val="en-US"/>
      </w:rPr>
      <w:fldChar w:fldCharType="end"/>
    </w:r>
  </w:p>
  <w:p w14:paraId="6C121108" w14:textId="77777777">
    <w:pPr>
      <w:tabs>
        <w:tab w:val="center" w:pos="4819"/>
        <w:tab w:val="right" w:pos="9638"/>
      </w:tabs>
      <w:rPr>
        <w:szCs w:val="24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DEC076" w14:textId="77777777">
    <w:pPr>
      <w:tabs>
        <w:tab w:val="center" w:pos="4819"/>
        <w:tab w:val="right" w:pos="9638"/>
      </w:tabs>
      <w:rPr>
        <w:szCs w:val="24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revisionView w:inkAnnotations="0"/>
  <w:defaultTabStop w:val="1296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10241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4F81CBA3"/>
  <w15:chartTrackingRefBased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042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37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0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7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3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51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80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1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91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29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9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35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306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855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7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30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57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91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852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9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9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72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07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78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8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8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1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87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9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3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8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44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2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0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2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18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24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53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54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15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2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0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2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79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45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2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0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62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8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57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2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5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70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15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03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580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837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38367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5096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61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1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0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6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24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11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00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71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882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8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3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19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5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45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06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5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5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1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4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38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13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7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72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0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7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21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03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4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b795832240c40ee8fbd548b31ef0e22" PartId="73e780229f9346eab8184a19a9965909">
    <Part Type="skirsnis" Title="DĖL LIETUVOS RESPUBLIKOS VYRIAUSYBĖS NUTARIMO PROJEKTO" DocPartId="0ae9a99d2f3f41d6a8d28f5232333d82" PartId="7fbb574061ef4a4ca2730c5b0fa0f124"/>
    <Part Type="signatura" DocPartId="8ac343cb50b645f5be6733e8472c49d4" PartId="25de3c392f364ec1bc1d450097b5034c"/>
  </Part>
</Parts>
</file>

<file path=customXml/itemProps1.xml><?xml version="1.0" encoding="utf-8"?>
<ds:datastoreItem xmlns:ds="http://schemas.openxmlformats.org/officeDocument/2006/customXml" ds:itemID="{124308AA-CE9C-47B1-9B61-98F8DB4E1F6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E3E3C1-D367-4559-8D9B-EEB78B24334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252</Words>
  <Characters>1867</Characters>
  <Application>Microsoft Office Word</Application>
  <DocSecurity>4</DocSecurity>
  <Lines>62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2024-05-07T07:14:00Z</dcterms:created>
  <dcterms:modified xsi:type="dcterms:W3CDTF">2024-05-07T07:14:00Z</dcterms:modified>
  <revision>1</revision>
</coreProperties>
</file>