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de09c9ec26b4cba904eb3222963e5de"/>
        <w:lock w:val="sdtLocked"/>
        <w:richText/>
      </w:sdtPr>
      <w:sdtContent>
        <w:p>
          <w:pPr>
            <w:tabs>
              <w:tab w:val="center" w:pos="4320"/>
              <w:tab w:val="right" w:pos="8640"/>
            </w:tabs>
            <w:rPr>
              <w:lang w:val="x-none" w:eastAsia="x-none"/>
            </w:rPr>
          </w:pPr>
        </w:p>
        <w:p>
          <w:pPr>
            <w:jc w:val="center"/>
            <w:rPr>
              <w:b/>
              <w:szCs w:val="24"/>
            </w:rPr>
          </w:pPr>
          <w:r>
            <w:rPr>
              <w:b/>
              <w:szCs w:val="24"/>
            </w:rPr>
            <w:t>ŠIAULIŲ MIESTO SAVIVALDYBĖS ADMINISTRACIJOS</w:t>
          </w:r>
        </w:p>
        <w:sdt>
          <w:sdtPr>
            <w:alias w:val="skyrius"/>
            <w:tag w:val="part_6830f492e4434875b5c32d2ca437c7d8"/>
            <w:lock w:val="sdtLocked"/>
            <w:richText/>
          </w:sdtPr>
          <w:sdtContent>
            <w:p>
              <w:pPr>
                <w:jc w:val="center"/>
                <w:rPr>
                  <w:b/>
                  <w:szCs w:val="24"/>
                </w:rPr>
              </w:pPr>
              <w:r>
                <w:rPr>
                  <w:b/>
                  <w:szCs w:val="24"/>
                </w:rPr>
                <w:t>MIESTO ŪKIO IR APLINKOS SKYRIUS</w:t>
              </w:r>
            </w:p>
            <w:p>
              <w:pPr>
                <w:jc w:val="center"/>
                <w:rPr>
                  <w:b/>
                  <w:szCs w:val="24"/>
                </w:rPr>
              </w:pPr>
            </w:p>
            <w:sdt>
              <w:sdtPr>
                <w:alias w:val="Pavadinimas"/>
                <w:tag w:val="title_6830f492e4434875b5c32d2ca437c7d8"/>
                <w:lock w:val="sdtLocked"/>
                <w:richText/>
              </w:sdtPr>
              <w:sdtContent>
                <w:p>
                  <w:pPr>
                    <w:keepNext/>
                    <w:jc w:val="center"/>
                    <w:rPr>
                      <w:b/>
                      <w:bCs/>
                      <w:lang w:val="x-none" w:eastAsia="x-none"/>
                    </w:rPr>
                  </w:pPr>
                  <w:r>
                    <w:rPr>
                      <w:b/>
                      <w:bCs/>
                      <w:lang w:val="x-none" w:eastAsia="x-none"/>
                    </w:rPr>
                    <w:t>SPRENDIMO „DĖL</w:t>
                  </w:r>
                  <w:r>
                    <w:rPr>
                      <w:b/>
                      <w:bCs/>
                      <w:lang w:eastAsia="x-none"/>
                    </w:rPr>
                    <w:t xml:space="preserve"> ŠIAULIŲ MIESTO SAVIVALDYBĖS 2024–2028 METŲ TRIUKŠMO PREVENCIJOS VEIKSMŲ PLANO PATVIRTINIMO</w:t>
                  </w:r>
                  <w:r>
                    <w:rPr>
                      <w:b/>
                      <w:bCs/>
                      <w:lang w:val="x-none" w:eastAsia="x-none"/>
                    </w:rPr>
                    <w:t>“ PROJEKTO</w:t>
                  </w:r>
                </w:p>
                <w:p>
                  <w:pPr>
                    <w:jc w:val="center"/>
                    <w:rPr>
                      <w:b/>
                      <w:szCs w:val="24"/>
                    </w:rPr>
                  </w:pPr>
                  <w:r>
                    <w:rPr>
                      <w:b/>
                      <w:szCs w:val="24"/>
                    </w:rPr>
                    <w:t>AIŠKINAMASIS RAŠTAS</w:t>
                  </w:r>
                </w:p>
              </w:sdtContent>
            </w:sdt>
            <w:p>
              <w:pPr>
                <w:jc w:val="center"/>
                <w:rPr>
                  <w:szCs w:val="24"/>
                </w:rPr>
              </w:pPr>
            </w:p>
            <w:p>
              <w:pPr>
                <w:jc w:val="center"/>
                <w:rPr>
                  <w:szCs w:val="24"/>
                </w:rPr>
              </w:pPr>
              <w:r>
                <w:rPr>
                  <w:szCs w:val="24"/>
                </w:rPr>
                <w:t>2024 m. lapkričio 7 d.</w:t>
              </w:r>
            </w:p>
            <w:p>
              <w:pPr>
                <w:jc w:val="center"/>
                <w:rPr>
                  <w:szCs w:val="24"/>
                </w:rPr>
              </w:pPr>
              <w:r>
                <w:rPr>
                  <w:szCs w:val="24"/>
                </w:rPr>
                <w:t>Šiauliai</w:t>
              </w:r>
            </w:p>
            <w:p>
              <w:pPr>
                <w:rPr>
                  <w:szCs w:val="24"/>
                </w:rPr>
              </w:pPr>
            </w:p>
            <w:sdt>
              <w:sdtPr>
                <w:alias w:val="poskyris"/>
                <w:tag w:val="part_799722e3c18045b4a828f4c266365c65"/>
                <w:lock w:val="sdtLocked"/>
                <w:richText/>
              </w:sdtPr>
              <w:sdtContent>
                <w:p>
                  <w:pPr>
                    <w:tabs>
                      <w:tab w:val="left" w:pos="855"/>
                    </w:tabs>
                    <w:ind w:firstLine="720"/>
                    <w:jc w:val="both"/>
                    <w:rPr>
                      <w:szCs w:val="24"/>
                      <w:shd w:val="clear" w:color="auto" w:fill="FFFFFF"/>
                    </w:rPr>
                  </w:pPr>
                  <w:sdt>
                    <w:sdtPr>
                      <w:alias w:val="Pavadinimas"/>
                      <w:tag w:val="title_799722e3c18045b4a828f4c266365c65"/>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pPr>
                    <w:tabs>
                      <w:tab w:val="left" w:pos="855"/>
                    </w:tabs>
                    <w:ind w:firstLine="720"/>
                    <w:jc w:val="both"/>
                    <w:rPr>
                      <w:szCs w:val="24"/>
                      <w:shd w:val="clear" w:color="auto" w:fill="FFFFFF"/>
                    </w:rPr>
                  </w:pPr>
                  <w:r>
                    <w:rPr>
                      <w:szCs w:val="24"/>
                      <w:shd w:val="clear" w:color="auto" w:fill="FFFFFF"/>
                    </w:rPr>
                    <w:t xml:space="preserve">Sprendimo projekto tikslas ir uždaviniai – įgyvendinti Lietuvos Respublikos triukšmo valdymo įstatymo (toliau – Įstatymas) reikalavimus ir sudaryti sąlygas nepageidaujamiems arba žmogui kenksmingiems išoriniams garsams, kuriuos sukuria žmonių veikla, Šiaulių miesto savivaldybės teritorijoje valdyti, mažinti. </w:t>
                  </w:r>
                </w:p>
                <w:p>
                  <w:pPr>
                    <w:tabs>
                      <w:tab w:val="left" w:pos="855"/>
                    </w:tabs>
                    <w:ind w:firstLine="720"/>
                    <w:jc w:val="both"/>
                    <w:rPr>
                      <w:szCs w:val="24"/>
                      <w:shd w:val="clear" w:color="auto" w:fill="FFFFFF"/>
                    </w:rPr>
                  </w:pPr>
                  <w:r>
                    <w:rPr>
                      <w:szCs w:val="24"/>
                      <w:shd w:val="clear" w:color="auto" w:fill="FFFFFF"/>
                    </w:rPr>
                    <w:t>Šiuo sprendimu siekiama patvirtinti Šiaulių miesto savivaldybės 2024–2028 metų triukšmo prevencijos veiksmų planą.</w:t>
                  </w:r>
                </w:p>
              </w:sdtContent>
            </w:sdt>
            <w:sdt>
              <w:sdtPr>
                <w:alias w:val="poskyris"/>
                <w:tag w:val="part_d011a73c50b14ecf99e729a8a300e6e7"/>
                <w:lock w:val="sdtLocked"/>
                <w:richText/>
              </w:sdtPr>
              <w:sdtContent>
                <w:p>
                  <w:pPr>
                    <w:tabs>
                      <w:tab w:val="left" w:pos="855"/>
                    </w:tabs>
                    <w:ind w:firstLine="720"/>
                    <w:jc w:val="both"/>
                    <w:rPr>
                      <w:szCs w:val="24"/>
                      <w:shd w:val="clear" w:color="auto" w:fill="FFFFFF"/>
                    </w:rPr>
                  </w:pPr>
                  <w:sdt>
                    <w:sdtPr>
                      <w:alias w:val="Pavadinimas"/>
                      <w:tag w:val="title_d011a73c50b14ecf99e729a8a300e6e7"/>
                      <w:lock w:val="sdtLocked"/>
                      <w:richText/>
                    </w:sdtPr>
                    <w:sdtContent>
                      <w:r>
                        <w:rPr>
                          <w:b/>
                          <w:szCs w:val="24"/>
                          <w:shd w:val="clear" w:color="auto" w:fill="FFFFFF"/>
                        </w:rPr>
                        <w:t xml:space="preserve">Dabartinis sprendimo projekte aptariamų klausimų reguliavimas. </w:t>
                      </w:r>
                    </w:sdtContent>
                  </w:sdt>
                </w:p>
                <w:p>
                  <w:pPr>
                    <w:tabs>
                      <w:tab w:val="left" w:pos="855"/>
                    </w:tabs>
                    <w:ind w:firstLine="720"/>
                    <w:jc w:val="both"/>
                    <w:rPr>
                      <w:szCs w:val="24"/>
                      <w:shd w:val="clear" w:color="auto" w:fill="FFFFFF"/>
                    </w:rPr>
                  </w:pPr>
                  <w:r>
                    <w:rPr>
                      <w:szCs w:val="24"/>
                      <w:shd w:val="clear" w:color="auto" w:fill="FFFFFF"/>
                    </w:rPr>
                    <w:t xml:space="preserve">Vadovaujantis Įstatymo 13 straipsnio 1 dalies 4 punktu, Savivaldybių tarybos tvirtina aglomeracijų triukšmo prevencijos veiksmų planus. </w:t>
                  </w:r>
                </w:p>
                <w:p>
                  <w:pPr>
                    <w:tabs>
                      <w:tab w:val="left" w:pos="855"/>
                    </w:tabs>
                    <w:ind w:firstLine="720"/>
                    <w:jc w:val="both"/>
                    <w:rPr>
                      <w:szCs w:val="24"/>
                      <w:shd w:val="clear" w:color="auto" w:fill="FFFFFF"/>
                    </w:rPr>
                  </w:pPr>
                  <w:r>
                    <w:rPr>
                      <w:szCs w:val="24"/>
                      <w:shd w:val="clear" w:color="auto" w:fill="FFFFFF"/>
                    </w:rPr>
                    <w:t xml:space="preserve">Plano projektas parengtas, vadovaujantis Lietuvos Respublikos Vyriausybės 2018 m. balandžio 4 d. nutarimu Nr. 321 patvirtintu Triukšmo prevencijos veiksmų planų sudarymo ir patvirtinimo bei juose nustatytų triukšmo prevencijos ir mažinimo priemonių įgyvendinimo tvarkos aprašu (toliau – Tvarkos aprašas). Tvarkos aprašas nustato Įstatymo 18 straipsnio 1 dalies 1 punkte nurodytų aglomeracijų triukšmo prevencijos veiksmų planų sudarymo, patvirtinimo ir patikslinimo tvarką, veiksmų planuose nustatomų triukšmo prevencijos ir mažinimo priemonių ir jų įgyvendinimo reikalavimus, konsultavimosi su visuomene triukšmo prevencijos ir mažinimo priemonių planavimo klausimais, veiksmų planų projektų derinimo su triukšmo šaltinių, kurių triukšmas kartografuotas sudarant strateginius triukšmo žemėlapius, valdytojais (išskyrus institucijas, atsakingas už tų pačių Veiksmų sudarymą), taip pat Lietuvos Respublikos bendradarbiavimo su kaimyninėmis valstybėmis triukšmo prevencijos ir mažinimo priemonių planavimo srityje tvarką bei veiksmų planų skelbimo visuomenei tvarką. </w:t>
                  </w:r>
                </w:p>
                <w:p>
                  <w:pPr>
                    <w:tabs>
                      <w:tab w:val="left" w:pos="855"/>
                    </w:tabs>
                    <w:ind w:firstLine="720"/>
                    <w:jc w:val="both"/>
                    <w:rPr>
                      <w:szCs w:val="24"/>
                      <w:shd w:val="clear" w:color="auto" w:fill="FFFFFF"/>
                    </w:rPr>
                  </w:pPr>
                  <w:r>
                    <w:rPr>
                      <w:szCs w:val="24"/>
                      <w:shd w:val="clear" w:color="auto" w:fill="FFFFFF"/>
                    </w:rPr>
                    <w:t xml:space="preserve">Įstatyme Savivaldybei nustatytoms funkcijoms įgyvendinti, Šiaulių miesto savivaldybės mero 2024 m. rugsėjo 27 d. potvarkiu Nr. M-1256 „Dėl darbo grupės sudarymo triukšmo valdymo įgyvendinimo Šiaulių mieste organizavimui“, sudaryta darbo grupė. </w:t>
                  </w:r>
                </w:p>
              </w:sdtContent>
            </w:sdt>
            <w:sdt>
              <w:sdtPr>
                <w:alias w:val="poskyris"/>
                <w:tag w:val="part_fa585a3ddac54a39b598274929457317"/>
                <w:lock w:val="sdtLocked"/>
                <w:richText/>
              </w:sdtPr>
              <w:sdtContent>
                <w:p>
                  <w:pPr>
                    <w:tabs>
                      <w:tab w:val="left" w:pos="855"/>
                    </w:tabs>
                    <w:ind w:firstLine="720"/>
                    <w:jc w:val="both"/>
                    <w:rPr>
                      <w:szCs w:val="24"/>
                      <w:shd w:val="clear" w:color="auto" w:fill="FFFFFF"/>
                    </w:rPr>
                  </w:pPr>
                  <w:sdt>
                    <w:sdtPr>
                      <w:alias w:val="Pavadinimas"/>
                      <w:tag w:val="title_fa585a3ddac54a39b598274929457317"/>
                      <w:lock w:val="sdtLocked"/>
                      <w:richText/>
                    </w:sdtPr>
                    <w:sdtContent>
                      <w:r>
                        <w:rPr>
                          <w:b/>
                          <w:szCs w:val="24"/>
                          <w:shd w:val="clear" w:color="auto" w:fill="FFFFFF"/>
                        </w:rPr>
                        <w:t>Sprendimo projekte numatytos naujos teisinio reglamentavimo nuostatos</w:t>
                      </w:r>
                      <w:r>
                        <w:rPr>
                          <w:b/>
                          <w:szCs w:val="24"/>
                        </w:rPr>
                        <w:t>.</w:t>
                      </w:r>
                    </w:sdtContent>
                  </w:sdt>
                </w:p>
                <w:p>
                  <w:pPr>
                    <w:tabs>
                      <w:tab w:val="left" w:pos="855"/>
                    </w:tabs>
                    <w:ind w:firstLine="720"/>
                    <w:jc w:val="both"/>
                    <w:rPr>
                      <w:szCs w:val="24"/>
                      <w:shd w:val="clear" w:color="auto" w:fill="FFFFFF"/>
                    </w:rPr>
                  </w:pPr>
                  <w:r>
                    <w:rPr>
                      <w:szCs w:val="24"/>
                      <w:shd w:val="clear" w:color="auto" w:fill="FFFFFF"/>
                    </w:rPr>
                    <w:t xml:space="preserve">Patvirtinti Šiaulių miesto savivaldybės 2024–2028 metų triukšmo prevencijos veiksmų planą, susidedantį iš informacijos apie atsakingą instituciją, teisinį reglamentavimą, galiojančius triukšmo ribinius dydžius, esamą situaciją, triukšmo kartografavimo rezultatų suvestinę, 2019–2023 m. įgyvendintas triukšmo prevencijos ir mažinimo priemones, galimus veiksmus ir priemones, siekiant išlaikyti nepadidėjusį triukšmo lygį Šiaulių mieste, triukšmo prevencijos ir mažinimo priemones, kurių ketinama imtis per artimiausius 5 metus (2024–2028 m.), informacijos apie visuomenės informavimą  ir kitos informacijos. Triukšmo prevencija – priemonių, mažinančių triukšmo šaltinių įvairovę ir (ar) skaičių, užkertančių kelią viršyti triukšmo ribinius dydžius ir (ar) mažinančių triukšmo šaltinių garso slėgio, galios, stiprumo, energijos lygius, įgyvendinimas. Šiaulių miesto savivaldybės 2024–2028 metų triukšmo prevencijos veiksmų plane numatyti veiksmai ir priemonės: gatvių kapitalinio remonto darbai; viešojo transporto techninės būklės gerinimas; elektromobilių įkrovimo vietų įrengimas; transporto eismo organizavimo specialiojo plano įgyvendinimas; visuomeninės paskirties pastatų langų keitimas, modernizavimas; triukšmą mažinančių užtvarų planavimas ir įrengimas; krovininio transporto eismo ribojimas atskirose gatvėse ar jų atkarpose, eismo laiko ribojimas; traukos riedmenų eksploatavimas, atitinkantis galiojančius Europos Komisijos reikalavimus; skrydžių procedūrų laikymasis, jų koregavimas, kontrolė (skrydžių aukščio, kilimo, tūpimo procedūrų nustatymas, kontrolė); Šiaulių pramoninio parko ir Šiaulių laisvosios ekonominės zonos infrastruktūros vystymas; Rėkyvos tyliosios gamtos zonos gyventojų poreikiams pritaikymas; triukšmo prevencijos priemonių įtraukimas į strateginius veiklos planus; triukšmo prevencijos nuostatų integravimas į teritorijų planavimo specialiuosius ir detaliuosius planus; gyventojų ir žiniasklaidos informavimas apie neigiamą triukšmo poveikį sveikatai ir triukšmo mažinimo galimybes bei priemones; Šiaulių municipalinės aplinkos tyrimų laboratorijos atliktų triukšmo tyrimų Šiaulių mieste ataskaitos duomenų pateikimas interneto svetainėje </w:t>
                  </w:r>
                  <w:r>
                    <w:rPr>
                      <w:color w:val="0563C1"/>
                      <w:szCs w:val="24"/>
                      <w:u w:val="single"/>
                      <w:shd w:val="clear" w:color="auto" w:fill="FFFFFF"/>
                    </w:rPr>
                    <w:t>www.sveikatos-biuras.lt</w:t>
                  </w:r>
                  <w:r>
                    <w:rPr>
                      <w:szCs w:val="24"/>
                      <w:shd w:val="clear" w:color="auto" w:fill="FFFFFF"/>
                    </w:rPr>
                    <w:t xml:space="preserve">; Europos judumo savaitės paminėjimas; stebėsenos vykdymas triukšmo prevencijos ir tyliosiose zonose; triukšmo šaltinių valdytojų, atliekančių statybos darbus gyvenamosiose patalpose ir gyvenamosiose teritorijose ir kurie nėra ūkio subjektai, planinių patikrinimų vykdymas ir kt. </w:t>
                  </w:r>
                </w:p>
                <w:p>
                  <w:pPr>
                    <w:tabs>
                      <w:tab w:val="left" w:pos="855"/>
                    </w:tabs>
                    <w:ind w:firstLine="720"/>
                    <w:jc w:val="both"/>
                    <w:rPr>
                      <w:szCs w:val="24"/>
                      <w:shd w:val="clear" w:color="auto" w:fill="FFFFFF"/>
                    </w:rPr>
                  </w:pPr>
                  <w:r>
                    <w:rPr>
                      <w:szCs w:val="24"/>
                      <w:shd w:val="clear" w:color="auto" w:fill="FFFFFF"/>
                    </w:rPr>
                    <w:t>Miestuose pagrindiniu aplinkos triukšmo šaltiniu yra kelių transportas. Pavyzdžiui, lyginant su 2017 m. kelių transporto triukšmo kartografavimo duomenimis, Šiaulių miesto gyventojų, kurių būstai veikiami dienos, vakaro ir nakties triukšmo, viršijančio ribinį dydį (L</w:t>
                  </w:r>
                  <w:r>
                    <w:rPr>
                      <w:szCs w:val="24"/>
                      <w:shd w:val="clear" w:color="auto" w:fill="FFFFFF"/>
                      <w:vertAlign w:val="subscript"/>
                    </w:rPr>
                    <w:t xml:space="preserve">dvn </w:t>
                  </w:r>
                  <w:r>
                    <w:rPr>
                      <w:szCs w:val="24"/>
                      <w:shd w:val="clear" w:color="auto" w:fill="FFFFFF"/>
                    </w:rPr>
                    <w:t>&gt;65 dBA) skaičius sumažėjo 4,5 %. Gyventojų, kurių būstai veikiami nakties triukšmo, viršijančio ribinį dydį (L</w:t>
                  </w:r>
                  <w:r>
                    <w:rPr>
                      <w:szCs w:val="24"/>
                      <w:shd w:val="clear" w:color="auto" w:fill="FFFFFF"/>
                      <w:vertAlign w:val="subscript"/>
                    </w:rPr>
                    <w:t>nakties </w:t>
                  </w:r>
                  <w:r>
                    <w:rPr>
                      <w:szCs w:val="24"/>
                      <w:shd w:val="clear" w:color="auto" w:fill="FFFFFF"/>
                    </w:rPr>
                    <w:t>&gt;55 dBA) skaičius sumažėjo 6,8 %. Vertinant triukšmo kartografavimo duomenis matyti, kad įgyvendinus Šiaulių miesto savivaldybės 2019–2023 metų triukšmo prevencijos veiksmų plano priemones, situacija dėl triukšmo mieste gerėja, todėl įgyvendinus naujojo Šiaulių miesto savivaldybės 2024–2028 metų triukšmo prevencijos veiksmų plano priemones, situacija dėl triukšmo turėtų taip pat turėtų gerėti arba gyventojų, švietimo ir ugdymo bei sveikatos priežiūros ir gydymo įstaigų, veikiamų padidinto triukšmo, skaičius stabilizuotųsi. Šio naujojo veiksmų plano efekto įvertinimas bus atliekamas rengiant triukšmo prevencijos veiksmų planą 2029–2033 metų laikotarpiui. Šis veiksmų planas bus rengiamas pagal atnaujintą ir patvirtintą strateginio triukšmo žemėlapio duomenis, kuriuose ir matysis triukšmo lygių pokyčiai, t. y., kartu ir įgyvendintų triukšmo prevencijos priemonių pasiektas efektas.</w:t>
                  </w:r>
                </w:p>
              </w:sdtContent>
            </w:sdt>
            <w:sdt>
              <w:sdtPr>
                <w:alias w:val="poskyris"/>
                <w:tag w:val="part_d4111c29d93f459192f2b2077e5bf165"/>
                <w:lock w:val="sdtLocked"/>
                <w:richText/>
              </w:sdtPr>
              <w:sdtContent>
                <w:p>
                  <w:pPr>
                    <w:tabs>
                      <w:tab w:val="left" w:pos="855"/>
                    </w:tabs>
                    <w:ind w:firstLine="720"/>
                    <w:jc w:val="both"/>
                    <w:rPr>
                      <w:szCs w:val="24"/>
                      <w:shd w:val="clear" w:color="auto" w:fill="FFFFFF"/>
                    </w:rPr>
                  </w:pPr>
                  <w:sdt>
                    <w:sdtPr>
                      <w:alias w:val="Pavadinimas"/>
                      <w:tag w:val="title_d4111c29d93f459192f2b2077e5bf165"/>
                      <w:lock w:val="sdtLocked"/>
                      <w:richText/>
                    </w:sdtPr>
                    <w:sdtContent>
                      <w:r>
                        <w:rPr>
                          <w:b/>
                          <w:szCs w:val="24"/>
                          <w:shd w:val="clear" w:color="auto" w:fill="FFFFFF"/>
                        </w:rPr>
                        <w:t>Priėmus sprendimą, galimos pasekmės.</w:t>
                      </w:r>
                    </w:sdtContent>
                  </w:sdt>
                </w:p>
                <w:p>
                  <w:pPr>
                    <w:tabs>
                      <w:tab w:val="left" w:pos="855"/>
                    </w:tabs>
                    <w:ind w:firstLine="720"/>
                    <w:jc w:val="both"/>
                    <w:rPr>
                      <w:szCs w:val="24"/>
                      <w:shd w:val="clear" w:color="auto" w:fill="FFFFFF"/>
                    </w:rPr>
                  </w:pPr>
                  <w:r>
                    <w:rPr>
                      <w:szCs w:val="24"/>
                      <w:shd w:val="clear" w:color="auto" w:fill="FFFFFF"/>
                    </w:rPr>
                    <w:t xml:space="preserve">Priėmus sprendimą, bus įgyvendinti Įstatymo reikalavimai, sudarytos sąlygos triukšmui mažinti. </w:t>
                  </w:r>
                </w:p>
              </w:sdtContent>
            </w:sdt>
            <w:sdt>
              <w:sdtPr>
                <w:alias w:val="poskyris"/>
                <w:tag w:val="part_080cb48619544c59965e16a1a41bb5af"/>
                <w:lock w:val="sdtLocked"/>
                <w:richText/>
              </w:sdtPr>
              <w:sdtContent>
                <w:p>
                  <w:pPr>
                    <w:tabs>
                      <w:tab w:val="left" w:pos="855"/>
                    </w:tabs>
                    <w:ind w:firstLine="720"/>
                    <w:jc w:val="both"/>
                    <w:rPr>
                      <w:szCs w:val="24"/>
                      <w:shd w:val="clear" w:color="auto" w:fill="FFFFFF"/>
                    </w:rPr>
                  </w:pPr>
                  <w:sdt>
                    <w:sdtPr>
                      <w:alias w:val="Pavadinimas"/>
                      <w:tag w:val="title_080cb48619544c59965e16a1a41bb5af"/>
                      <w:lock w:val="sdtLocked"/>
                      <w:richText/>
                    </w:sdtPr>
                    <w:sdtContent>
                      <w:r>
                        <w:rPr>
                          <w:b/>
                          <w:szCs w:val="24"/>
                          <w:shd w:val="clear" w:color="auto" w:fill="FFFFFF"/>
                        </w:rPr>
                        <w:t>Priėmus sprendimą, keičiami ar pripažįstami negaliojančiais teisės aktai</w:t>
                      </w:r>
                      <w:r>
                        <w:rPr>
                          <w:b/>
                          <w:szCs w:val="24"/>
                        </w:rPr>
                        <w:t>.</w:t>
                      </w:r>
                    </w:sdtContent>
                  </w:sdt>
                </w:p>
                <w:p>
                  <w:pPr>
                    <w:tabs>
                      <w:tab w:val="left" w:pos="855"/>
                    </w:tabs>
                    <w:ind w:firstLine="720"/>
                    <w:jc w:val="both"/>
                    <w:rPr>
                      <w:szCs w:val="24"/>
                      <w:shd w:val="clear" w:color="auto" w:fill="FFFFFF"/>
                    </w:rPr>
                  </w:pPr>
                  <w:r>
                    <w:rPr>
                      <w:szCs w:val="24"/>
                      <w:shd w:val="clear" w:color="auto" w:fill="FFFFFF"/>
                    </w:rPr>
                    <w:t>Priėmus sprendimą, galiojantys Savivaldybės teisės aktai nekeičiami ir nenaikinami.</w:t>
                  </w:r>
                </w:p>
              </w:sdtContent>
            </w:sdt>
            <w:sdt>
              <w:sdtPr>
                <w:alias w:val="poskyris"/>
                <w:tag w:val="part_5fed25cb46e645a883b812839b5bec8c"/>
                <w:lock w:val="sdtLocked"/>
                <w:richText/>
              </w:sdtPr>
              <w:sdtContent>
                <w:p>
                  <w:pPr>
                    <w:tabs>
                      <w:tab w:val="left" w:pos="855"/>
                    </w:tabs>
                    <w:ind w:firstLine="720"/>
                    <w:jc w:val="both"/>
                    <w:rPr>
                      <w:szCs w:val="24"/>
                      <w:shd w:val="clear" w:color="auto" w:fill="FFFFFF"/>
                    </w:rPr>
                  </w:pPr>
                  <w:sdt>
                    <w:sdtPr>
                      <w:alias w:val="Pavadinimas"/>
                      <w:tag w:val="title_5fed25cb46e645a883b812839b5bec8c"/>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pPr>
                    <w:tabs>
                      <w:tab w:val="left" w:pos="855"/>
                    </w:tabs>
                    <w:ind w:firstLine="720"/>
                    <w:jc w:val="both"/>
                    <w:rPr>
                      <w:szCs w:val="24"/>
                      <w:shd w:val="clear" w:color="auto" w:fill="FFFFFF"/>
                    </w:rPr>
                  </w:pPr>
                  <w:r>
                    <w:rPr>
                      <w:szCs w:val="24"/>
                      <w:shd w:val="clear" w:color="auto" w:fill="FFFFFF"/>
                    </w:rPr>
                    <w:t xml:space="preserve">Sprendimui įgyvendinti papildomų teisės aktų priimti nereikės. </w:t>
                  </w:r>
                </w:p>
                <w:p>
                  <w:pPr>
                    <w:tabs>
                      <w:tab w:val="left" w:pos="855"/>
                    </w:tabs>
                    <w:ind w:firstLine="720"/>
                    <w:jc w:val="both"/>
                    <w:rPr>
                      <w:szCs w:val="24"/>
                      <w:shd w:val="clear" w:color="auto" w:fill="FFFFFF"/>
                    </w:rPr>
                  </w:pPr>
                  <w:r>
                    <w:rPr>
                      <w:b/>
                      <w:szCs w:val="24"/>
                      <w:shd w:val="clear" w:color="auto" w:fill="FFFFFF"/>
                    </w:rPr>
                    <w:t>Sprendimui įgyvendinti reikalingos lėšos</w:t>
                  </w:r>
                  <w:r>
                    <w:rPr>
                      <w:szCs w:val="24"/>
                      <w:shd w:val="clear" w:color="auto" w:fill="FFFFFF"/>
                    </w:rPr>
                    <w:t>.</w:t>
                  </w:r>
                </w:p>
                <w:p>
                  <w:pPr>
                    <w:tabs>
                      <w:tab w:val="left" w:pos="855"/>
                    </w:tabs>
                    <w:ind w:firstLine="720"/>
                    <w:jc w:val="both"/>
                    <w:rPr>
                      <w:szCs w:val="24"/>
                      <w:shd w:val="clear" w:color="auto" w:fill="FFFFFF"/>
                    </w:rPr>
                  </w:pPr>
                  <w:r>
                    <w:rPr>
                      <w:szCs w:val="24"/>
                      <w:shd w:val="clear" w:color="auto" w:fill="FFFFFF"/>
                    </w:rPr>
                    <w:t>Sprendimui įgyvendinti lėšos turės būti planuojamos kasmet pagal Šiaulių miesto savivaldybės biudžeto galimybes, įtraukinat priemones į Šiaulių miesto strateginius veiklos planus ir metinius veiklos planus.</w:t>
                  </w:r>
                </w:p>
                <w:p>
                  <w:pPr>
                    <w:tabs>
                      <w:tab w:val="left" w:pos="855"/>
                    </w:tabs>
                    <w:ind w:firstLine="720"/>
                    <w:jc w:val="both"/>
                    <w:rPr>
                      <w:szCs w:val="24"/>
                      <w:shd w:val="clear" w:color="auto" w:fill="FFFFFF"/>
                    </w:rPr>
                  </w:pPr>
                  <w:r>
                    <w:rPr>
                      <w:b/>
                      <w:szCs w:val="24"/>
                      <w:shd w:val="clear" w:color="auto" w:fill="FFFFFF"/>
                    </w:rPr>
                    <w:t>Sprendimo projekto antikorupcinis vertinimas</w:t>
                  </w:r>
                  <w:r>
                    <w:rPr>
                      <w:szCs w:val="24"/>
                      <w:shd w:val="clear" w:color="auto" w:fill="FFFFFF"/>
                    </w:rPr>
                    <w:t>.</w:t>
                  </w:r>
                </w:p>
                <w:p>
                  <w:pPr>
                    <w:tabs>
                      <w:tab w:val="left" w:pos="855"/>
                    </w:tabs>
                    <w:ind w:firstLine="720"/>
                    <w:jc w:val="both"/>
                    <w:rPr>
                      <w:szCs w:val="24"/>
                      <w:shd w:val="clear" w:color="auto" w:fill="FFFFFF"/>
                    </w:rPr>
                  </w:pPr>
                  <w:r>
                    <w:rPr>
                      <w:szCs w:val="24"/>
                      <w:shd w:val="clear" w:color="auto" w:fill="FFFFFF"/>
                    </w:rPr>
                    <w:t>Antikorupcinis vertinimas neatliekamas.</w:t>
                  </w:r>
                </w:p>
                <w:p>
                  <w:pPr>
                    <w:tabs>
                      <w:tab w:val="left" w:pos="855"/>
                    </w:tabs>
                    <w:ind w:firstLine="720"/>
                    <w:jc w:val="both"/>
                    <w:rPr>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Miesto ūkio ir aplinkos skyrius. Tiesioginiai rengėjai: Šiaulių miesto savivaldybės administracijos Miesto ūkio ir aplinkos skyriaus Aplinkosaugos ir miesto tvarkymo poskyrio vyr. specialistė Dovilė Motkevičiūtė, tel. (+370 41) 500 526; el. p. </w:t>
                  </w:r>
                  <w:r>
                    <w:rPr>
                      <w:color w:val="0563C1"/>
                      <w:szCs w:val="24"/>
                      <w:u w:val="single"/>
                      <w:shd w:val="clear" w:color="auto" w:fill="FFFFFF"/>
                    </w:rPr>
                    <w:t>dovile.motkeviciute@siauliai.lt</w:t>
                  </w:r>
                  <w:r>
                    <w:rPr>
                      <w:szCs w:val="24"/>
                      <w:shd w:val="clear" w:color="auto" w:fill="FFFFFF"/>
                    </w:rPr>
                    <w:t xml:space="preserve"> ir  Šiaulių municipalinės aplinkos tyrimų laboratorijos vedėjas Robertas Klimas, tel. +370 686 60227; el. p. </w:t>
                  </w:r>
                  <w:r>
                    <w:rPr>
                      <w:color w:val="0563C1"/>
                      <w:szCs w:val="24"/>
                      <w:u w:val="single"/>
                      <w:shd w:val="clear" w:color="auto" w:fill="FFFFFF"/>
                    </w:rPr>
                    <w:t>robertas.klimas@gmail.com</w:t>
                  </w:r>
                  <w:r>
                    <w:rPr>
                      <w:szCs w:val="24"/>
                      <w:shd w:val="clear" w:color="auto" w:fill="FFFFFF"/>
                    </w:rPr>
                    <w:t>. Projekto iniciatorius – Miesto ūkio ir aplinkos skyrius.</w:t>
                  </w:r>
                </w:p>
              </w:sdtContent>
            </w:sdt>
            <w:sdt>
              <w:sdtPr>
                <w:alias w:val="poskyris"/>
                <w:tag w:val="part_0e3680acf3d4458d91cfcfce218d182f"/>
                <w:lock w:val="sdtLocked"/>
                <w:richText/>
              </w:sdtPr>
              <w:sdtContent>
                <w:p>
                  <w:pPr>
                    <w:tabs>
                      <w:tab w:val="left" w:pos="855"/>
                    </w:tabs>
                    <w:ind w:firstLine="720"/>
                    <w:jc w:val="both"/>
                    <w:rPr>
                      <w:b/>
                      <w:szCs w:val="24"/>
                      <w:shd w:val="clear" w:color="auto" w:fill="FFFFFF"/>
                    </w:rPr>
                  </w:pPr>
                  <w:sdt>
                    <w:sdtPr>
                      <w:alias w:val="Pavadinimas"/>
                      <w:tag w:val="title_0e3680acf3d4458d91cfcfce218d182f"/>
                      <w:lock w:val="sdtLocked"/>
                      <w:richText/>
                    </w:sdtPr>
                    <w:sdtContent>
                      <w:r>
                        <w:rPr>
                          <w:b/>
                          <w:szCs w:val="24"/>
                          <w:shd w:val="clear" w:color="auto" w:fill="FFFFFF"/>
                        </w:rPr>
                        <w:t>N</w:t>
                      </w:r>
                      <w:r>
                        <w:rPr>
                          <w:rFonts w:eastAsia="Calibri"/>
                          <w:b/>
                          <w:szCs w:val="24"/>
                        </w:rPr>
                        <w:t>umatomo teisinio reguliavimo poveikio vertinimo rezultatai</w:t>
                      </w:r>
                      <w:r>
                        <w:rPr>
                          <w:b/>
                          <w:szCs w:val="24"/>
                          <w:shd w:val="clear" w:color="auto" w:fill="FFFFFF"/>
                        </w:rPr>
                        <w:t>.</w:t>
                      </w:r>
                    </w:sdtContent>
                  </w:sdt>
                </w:p>
                <w:p>
                  <w:pPr>
                    <w:tabs>
                      <w:tab w:val="left" w:pos="855"/>
                    </w:tabs>
                    <w:ind w:firstLine="720"/>
                    <w:jc w:val="both"/>
                    <w:rPr>
                      <w:szCs w:val="24"/>
                      <w:shd w:val="clear" w:color="auto" w:fill="FFFFFF"/>
                    </w:rPr>
                  </w:pPr>
                  <w:r>
                    <w:rPr>
                      <w:szCs w:val="24"/>
                      <w:shd w:val="clear" w:color="auto" w:fill="FFFFFF"/>
                    </w:rPr>
                    <w:t>Teisinio reguliavimo poveikio vertinimas neatliekamas.</w:t>
                  </w:r>
                </w:p>
                <w:p>
                  <w:pPr>
                    <w:tabs>
                      <w:tab w:val="left" w:pos="855"/>
                    </w:tabs>
                    <w:jc w:val="both"/>
                    <w:rPr>
                      <w:szCs w:val="24"/>
                      <w:shd w:val="clear" w:color="auto" w:fill="FFFFFF"/>
                    </w:rPr>
                  </w:pPr>
                </w:p>
                <w:p>
                  <w:pPr>
                    <w:tabs>
                      <w:tab w:val="left" w:pos="855"/>
                    </w:tabs>
                    <w:jc w:val="both"/>
                    <w:rPr>
                      <w:szCs w:val="24"/>
                      <w:shd w:val="clear" w:color="auto" w:fill="FFFFFF"/>
                    </w:rPr>
                  </w:pPr>
                </w:p>
                <w:p>
                  <w:pPr>
                    <w:tabs>
                      <w:tab w:val="left" w:pos="855"/>
                    </w:tabs>
                    <w:jc w:val="both"/>
                    <w:rPr>
                      <w:szCs w:val="24"/>
                      <w:shd w:val="clear" w:color="auto" w:fill="FFFFFF"/>
                    </w:rPr>
                  </w:pPr>
                </w:p>
              </w:sdtContent>
            </w:sdt>
          </w:sdtContent>
        </w:sdt>
        <w:sdt>
          <w:sdtPr>
            <w:alias w:val="signatura"/>
            <w:tag w:val="part_4abc6efb657342198033670f91211e21"/>
            <w:lock w:val="sdtLocked"/>
            <w:richText/>
          </w:sdtPr>
          <w:sdtContent>
            <w:p>
              <w:pPr>
                <w:widowControl w:val="0"/>
                <w:tabs>
                  <w:tab w:val="right" w:pos="9638"/>
                </w:tabs>
                <w:suppressAutoHyphens/>
                <w:ind w:right="-1"/>
                <w:jc w:val="both"/>
                <w:rPr>
                  <w:rFonts w:eastAsia="Lucida Sans Unicode"/>
                  <w:szCs w:val="24"/>
                </w:rPr>
              </w:pPr>
              <w:r>
                <w:rPr>
                  <w:rFonts w:eastAsia="Lucida Sans Unicode"/>
                  <w:szCs w:val="24"/>
                </w:rPr>
                <w:t xml:space="preserve">Vedėja                                                              </w:t>
                <w:tab/>
                <w:t>Eglė Bružienė</w:t>
              </w:r>
            </w:p>
            <w:p>
              <w:pPr>
                <w:rPr>
                  <w:szCs w:val="24"/>
                </w:rPr>
              </w:pPr>
            </w:p>
            <w:p>
              <w:pPr>
                <w:rPr>
                  <w:szCs w:val="24"/>
                </w:rPr>
              </w:pPr>
            </w:p>
            <w:p>
              <w:pPr>
                <w:rPr>
                  <w:szCs w:val="24"/>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8A49FE8-5799-4251-B6E2-BA750C08D42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1f8244626404272b1dfdc65aa3ca308" PartId="7de09c9ec26b4cba904eb3222963e5de">
    <Part Type="skyrius" Nr="999" Title="SPRENDIMO „DĖL ŠIAULIŲ MIESTO SAVIVALDYBĖS 2024–2028 METŲ TRIUKŠMO PREVENCIJOS VEIKSMŲ PLANO PATVIRTINIMO“ PROJEKTO AIŠKINAMASIS RAŠTAS" DocPartId="4dd6d74f2e5343629e93aea8bbd0c957" PartId="6830f492e4434875b5c32d2ca437c7d8">
      <Part Type="poskyris" Title="Parengto sprendimo projekto tikslai ir uždaviniai." DocPartId="cffc28564a984dd282eacdb46380655f" PartId="799722e3c18045b4a828f4c266365c65"/>
      <Part Type="poskyris" Title="Dabartinis sprendimo projekte aptariamų klausimų reguliavimas." DocPartId="68bf2a23771f4ec79e7c8dc64f1eefbd" PartId="d011a73c50b14ecf99e729a8a300e6e7"/>
      <Part Type="poskyris" Title="Sprendimo projekte numatytos naujos teisinio reglamentavimo nuostatos." DocPartId="e3c1c4074c6e42f492a939073fab0aab" PartId="fa585a3ddac54a39b598274929457317"/>
      <Part Type="poskyris" Title="Priėmus sprendimą, galimos pasekmės." DocPartId="476d9db672964d32944237241eaea9e1" PartId="d4111c29d93f459192f2b2077e5bf165"/>
      <Part Type="poskyris" Title="Priėmus sprendimą, keičiami ar pripažįstami negaliojančiais teisės aktai." DocPartId="9d0a5ab8f3c84851bcddef26c35e6a78" PartId="080cb48619544c59965e16a1a41bb5af"/>
      <Part Type="poskyris" Title="Sprendimui įgyvendinti reikalingi priimti papildomi teisės aktai." DocPartId="3075d6da78f84ead89437a353729cc2d" PartId="5fed25cb46e645a883b812839b5bec8c"/>
      <Part Type="poskyris" Title="Numatomo teisinio reguliavimo poveikio vertinimo rezultatai." DocPartId="935573b2bb7c432e8f5b56f77ad560a5" PartId="0e3680acf3d4458d91cfcfce218d182f"/>
    </Part>
    <Part Type="signatura" DocPartId="5936a5ab0c4a491e9a24cb0a3ac5ab45" PartId="4abc6efb657342198033670f91211e21"/>
  </Part>
</Parts>
</file>

<file path=customXml/itemProps1.xml><?xml version="1.0" encoding="utf-8"?>
<ds:datastoreItem xmlns:ds="http://schemas.openxmlformats.org/officeDocument/2006/customXml" ds:itemID="{D12BE2F0-9025-4FCF-8CBA-A35DAC2072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891</Words>
  <Characters>6830</Characters>
  <Application>Microsoft Office Word</Application>
  <DocSecurity>4</DocSecurity>
  <Lines>106</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7687</CharactersWithSpaces>
  <SharedDoc>false</SharedDoc>
  <HyperlinkBase/>
  <HLinks>
    <vt:vector size="18" baseType="variant">
      <vt:variant>
        <vt:i4>5832737</vt:i4>
      </vt:variant>
      <vt:variant>
        <vt:i4>6</vt:i4>
      </vt:variant>
      <vt:variant>
        <vt:i4>0</vt:i4>
      </vt:variant>
      <vt:variant>
        <vt:i4>5</vt:i4>
      </vt:variant>
      <vt:variant>
        <vt:lpwstr>mailto:robertas.klimas@gmail.com</vt:lpwstr>
      </vt:variant>
      <vt:variant>
        <vt:lpwstr/>
      </vt:variant>
      <vt:variant>
        <vt:i4>7733265</vt:i4>
      </vt:variant>
      <vt:variant>
        <vt:i4>3</vt:i4>
      </vt:variant>
      <vt:variant>
        <vt:i4>0</vt:i4>
      </vt:variant>
      <vt:variant>
        <vt:i4>5</vt:i4>
      </vt:variant>
      <vt:variant>
        <vt:lpwstr>mailto:dovile.motkeviciute@siauliai.lt</vt:lpwstr>
      </vt:variant>
      <vt:variant>
        <vt:lpwstr/>
      </vt:variant>
      <vt:variant>
        <vt:i4>8192104</vt:i4>
      </vt:variant>
      <vt:variant>
        <vt:i4>0</vt:i4>
      </vt:variant>
      <vt:variant>
        <vt:i4>0</vt:i4>
      </vt:variant>
      <vt:variant>
        <vt:i4>5</vt:i4>
      </vt:variant>
      <vt:variant>
        <vt:lpwstr>http://www.sveikatos-biuras.lt/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2024-11-13T12:10:00Z</dcterms:created>
  <dc:creator>Dovilė Žukauskienė</dc:creator>
  <lastModifiedBy>adlibuser</lastModifiedBy>
  <dcterms:modified xsi:type="dcterms:W3CDTF">2024-11-13T12:10:00Z</dcterms:modified>
  <revision>2</revision>
</coreProperties>
</file>