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7e9433786f45d3961bd9adb0fff615"/>
        <w:lock w:val="sdtLocked"/>
        <w:richText/>
      </w:sdtPr>
      <w:sdtContent>
        <w:p>
          <w:pPr>
            <w:tabs>
              <w:tab w:val="center" w:pos="4819"/>
              <w:tab w:val="right" w:pos="9638"/>
            </w:tabs>
            <w:rPr>
              <w:szCs w:val="24"/>
            </w:rPr>
          </w:pPr>
        </w:p>
        <w:p>
          <w:pPr>
            <w:jc w:val="center"/>
            <w:rPr>
              <w:b/>
              <w:caps/>
              <w:szCs w:val="24"/>
            </w:rPr>
          </w:pPr>
          <w:r>
            <w:rPr>
              <w:szCs w:val="24"/>
              <w:lang w:val="en-US"/>
            </w:rPr>
            <w:drawing>
              <wp:inline distT="0" distB="0" distL="0" distR="0" wp14:anchorId="70ECA697" wp14:editId="70ECA698">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pPr>
            <w:jc w:val="center"/>
            <w:rPr>
              <w:b/>
              <w:caps/>
              <w:sz w:val="12"/>
              <w:szCs w:val="12"/>
            </w:rPr>
          </w:pPr>
        </w:p>
        <w:p>
          <w:pPr>
            <w:jc w:val="center"/>
            <w:rPr>
              <w:b/>
              <w:caps/>
              <w:szCs w:val="24"/>
            </w:rPr>
          </w:pPr>
          <w:r>
            <w:rPr>
              <w:b/>
              <w:caps/>
              <w:szCs w:val="24"/>
            </w:rPr>
            <w:t>LIETUVOS RESPUBLIKOS SEIMO</w:t>
          </w:r>
        </w:p>
        <w:p>
          <w:pPr>
            <w:jc w:val="center"/>
            <w:rPr>
              <w:b/>
              <w:caps/>
              <w:szCs w:val="24"/>
            </w:rPr>
          </w:pPr>
          <w:r>
            <w:rPr>
              <w:b/>
              <w:caps/>
              <w:szCs w:val="24"/>
            </w:rPr>
            <w:t>APLINKOS APSAUGOS KOMITETAS</w:t>
          </w:r>
        </w:p>
        <w:p>
          <w:pPr>
            <w:rPr>
              <w:caps/>
              <w:szCs w:val="24"/>
            </w:rPr>
          </w:pPr>
        </w:p>
        <w:p>
          <w:pPr>
            <w:keepNext/>
            <w:jc w:val="center"/>
            <w:outlineLvl w:val="1"/>
            <w:rPr>
              <w:b/>
              <w:bCs/>
              <w:caps/>
              <w:szCs w:val="24"/>
            </w:rPr>
          </w:pPr>
          <w:r>
            <w:rPr>
              <w:b/>
              <w:szCs w:val="24"/>
            </w:rPr>
            <w:t>PAGRINDINIO KOMITETO IŠVADA</w:t>
          </w:r>
        </w:p>
        <w:p>
          <w:pPr>
            <w:keepNext/>
            <w:keepLines/>
            <w:jc w:val="center"/>
            <w:outlineLvl w:val="2"/>
            <w:rPr>
              <w:b/>
              <w:bCs/>
              <w:caps/>
              <w:szCs w:val="24"/>
            </w:rPr>
          </w:pPr>
          <w:r>
            <w:rPr>
              <w:b/>
              <w:bCs/>
              <w:caps/>
              <w:szCs w:val="24"/>
            </w:rPr>
            <w:t>DĖL LIETUVOS RESPUBLIKOS SAVIVALDYBIŲ INFRASTRUKTŪROS PLĖTROS ĮSTATYMO NR. XIII-2895 2, 8, 10 IR 13 STRAIPSNIŲ PAKEITIMO ĮSTATYMO PROJEKTO NR. XVP-1533</w:t>
          </w:r>
        </w:p>
        <w:p>
          <w:pPr>
            <w:keepNext/>
            <w:keepLines/>
            <w:jc w:val="center"/>
            <w:outlineLvl w:val="2"/>
            <w:rPr>
              <w:b/>
              <w:caps/>
              <w:szCs w:val="24"/>
            </w:rPr>
          </w:pPr>
        </w:p>
        <w:p>
          <w:pPr>
            <w:jc w:val="center"/>
            <w:rPr>
              <w:szCs w:val="24"/>
            </w:rPr>
          </w:pPr>
        </w:p>
        <w:p>
          <w:pPr>
            <w:jc w:val="center"/>
            <w:rPr>
              <w:szCs w:val="24"/>
            </w:rPr>
          </w:pPr>
          <w:r>
            <w:rPr>
              <w:szCs w:val="24"/>
            </w:rPr>
            <w:t xml:space="preserve">2026-06-15  Nr. 107-P-29 </w:t>
          </w:r>
        </w:p>
        <w:p>
          <w:pPr>
            <w:jc w:val="center"/>
            <w:rPr>
              <w:szCs w:val="24"/>
            </w:rPr>
          </w:pPr>
          <w:r>
            <w:rPr>
              <w:szCs w:val="24"/>
            </w:rPr>
            <w:t>Vilnius</w:t>
          </w:r>
        </w:p>
        <w:p>
          <w:pPr>
            <w:jc w:val="center"/>
            <w:rPr>
              <w:b/>
              <w:bCs/>
              <w:sz w:val="22"/>
              <w:szCs w:val="22"/>
            </w:rPr>
          </w:pPr>
        </w:p>
        <w:p>
          <w:pPr>
            <w:jc w:val="center"/>
            <w:rPr>
              <w:bCs/>
              <w:sz w:val="22"/>
              <w:szCs w:val="22"/>
            </w:rPr>
          </w:pPr>
        </w:p>
        <w:sdt>
          <w:sdtPr>
            <w:alias w:val="1 p."/>
            <w:tag w:val="part_777496bf89274079b8cf90a17c301978"/>
            <w:lock w:val="sdtLocked"/>
            <w:richText/>
          </w:sdtPr>
          <w:sdtContent>
            <w:p>
              <w:pPr>
                <w:ind w:firstLine="720"/>
                <w:jc w:val="both"/>
                <w:rPr>
                  <w:szCs w:val="24"/>
                </w:rPr>
              </w:pPr>
              <w:sdt>
                <w:sdtPr>
                  <w:alias w:val="Numeris"/>
                  <w:tag w:val="nr_777496bf89274079b8cf90a17c301978"/>
                  <w:lock w:val="sdtLocked"/>
                  <w:richText/>
                </w:sdtPr>
                <w:sdtContent>
                  <w:r>
                    <w:rPr>
                      <w:b/>
                      <w:szCs w:val="24"/>
                    </w:rPr>
                    <w:t>1</w:t>
                  </w:r>
                </w:sdtContent>
              </w:sdt>
              <w:r>
                <w:rPr>
                  <w:b/>
                  <w:szCs w:val="24"/>
                </w:rPr>
                <w:t xml:space="preserve">. Komiteto posėdyje dalyvavo: </w:t>
              </w:r>
              <w:r>
                <w:rPr>
                  <w:szCs w:val="24"/>
                </w:rPr>
                <w:t>komiteto pirmininkas Linas Jonauskas, komiteto nariai: Tomas Domarkas, Dalia Asanavičiūtė-Gružauskienė, Aistė Gedvilienė, Ligita Girskienė, Audrius Radvilavičius.</w:t>
              </w:r>
            </w:p>
            <w:p>
              <w:pPr>
                <w:ind w:firstLine="720"/>
                <w:jc w:val="both"/>
                <w:rPr>
                  <w:szCs w:val="24"/>
                </w:rPr>
              </w:pPr>
              <w:r>
                <w:rPr>
                  <w:szCs w:val="24"/>
                </w:rPr>
                <w:t>Komiteto biuro vedėja Aistrida Latvėnė, patarėja Rasa Liucija Matusevičiūtė, Jurgita Malskaitienė, Jolita Jakučionytė, Jolanta Žaltkauskienė, biuro padėjėja Daiva Mickutė.</w:t>
              </w:r>
            </w:p>
            <w:p>
              <w:pPr>
                <w:ind w:firstLine="720"/>
                <w:jc w:val="both"/>
                <w:rPr>
                  <w:szCs w:val="24"/>
                </w:rPr>
              </w:pPr>
              <w:r>
                <w:rPr>
                  <w:szCs w:val="24"/>
                </w:rPr>
                <w:t>Kviestieji asmenys: aplinkos ministras Kastytis Žuromskas, viceministrė Česlava Lisovska, Aplinkos ministerijos Žemės ir teritorijų planavimo politikos grupės vadovė Algė Staniūnaitė-Tonkich, Aplinkos ministerijos Statybos politikos grupės vadovė Asta Rokickienė.</w:t>
              </w:r>
            </w:p>
          </w:sdtContent>
        </w:sdt>
        <w:sdt>
          <w:sdtPr>
            <w:alias w:val="2 p."/>
            <w:tag w:val="part_09982fee1b7a476daf5ebaff2df3963d"/>
            <w:lock w:val="sdtLocked"/>
            <w:richText/>
          </w:sdtPr>
          <w:sdtContent>
            <w:p>
              <w:pPr>
                <w:keepNext/>
                <w:ind w:firstLine="720"/>
                <w:jc w:val="both"/>
                <w:outlineLvl w:val="5"/>
                <w:rPr>
                  <w:szCs w:val="24"/>
                </w:rPr>
              </w:pPr>
              <w:sdt>
                <w:sdtPr>
                  <w:alias w:val="Numeris"/>
                  <w:tag w:val="nr_09982fee1b7a476daf5ebaff2df3963d"/>
                  <w:lock w:val="sdtLocked"/>
                  <w:richText/>
                </w:sdtPr>
                <w:sdtContent>
                  <w:r>
                    <w:rPr>
                      <w:b/>
                      <w:bCs/>
                      <w:szCs w:val="24"/>
                    </w:rPr>
                    <w:t>2</w:t>
                  </w:r>
                </w:sdtContent>
              </w:sdt>
              <w:r>
                <w:rPr>
                  <w:b/>
                  <w:bCs/>
                  <w:szCs w:val="24"/>
                </w:rPr>
                <w:t xml:space="preserve">. Ekspertų, konsultantų, specialistų išvados, pasiūlymai, pataisos, pastabos </w:t>
              </w:r>
              <w:r>
                <w:rPr>
                  <w:szCs w:val="24"/>
                </w:rPr>
                <w:t>(toliau – pasiūlymai):</w:t>
              </w:r>
            </w:p>
            <w:p>
              <w:pPr>
                <w:keepNext/>
                <w:ind w:firstLine="720"/>
                <w:jc w:val="both"/>
                <w:outlineLvl w:val="5"/>
                <w:rPr>
                  <w:szCs w:val="24"/>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5544"/>
                <w:gridCol w:w="1881"/>
                <w:gridCol w:w="2824"/>
              </w:tblGrid>
              <w:tr>
                <w:trPr>
                  <w:trHeight w:val="472"/>
                  <w:tblHeader/>
                  <w:jc w:val="center"/>
                </w:trPr>
                <w:tc>
                  <w:tcPr>
                    <w:tcW w:w="57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2297" w:type="dxa"/>
                    <w:vMerge w:val="restart"/>
                    <w:vAlign w:val="center"/>
                  </w:tcPr>
                  <w:p>
                    <w:pPr>
                      <w:jc w:val="center"/>
                      <w:rPr>
                        <w:sz w:val="22"/>
                        <w:szCs w:val="22"/>
                      </w:rPr>
                    </w:pPr>
                    <w:r>
                      <w:rPr>
                        <w:sz w:val="22"/>
                        <w:szCs w:val="22"/>
                      </w:rPr>
                      <w:t>Pasiūlymo teikėjas, data</w:t>
                    </w:r>
                  </w:p>
                </w:tc>
                <w:tc>
                  <w:tcPr>
                    <w:tcW w:w="2052" w:type="dxa"/>
                    <w:gridSpan w:val="3"/>
                    <w:vAlign w:val="center"/>
                  </w:tcPr>
                  <w:p>
                    <w:pPr>
                      <w:jc w:val="center"/>
                      <w:rPr>
                        <w:sz w:val="22"/>
                        <w:szCs w:val="22"/>
                      </w:rPr>
                    </w:pPr>
                    <w:r>
                      <w:rPr>
                        <w:sz w:val="22"/>
                        <w:szCs w:val="22"/>
                      </w:rPr>
                      <w:t>Siūloma keisti</w:t>
                    </w:r>
                  </w:p>
                </w:tc>
                <w:tc>
                  <w:tcPr>
                    <w:tcW w:w="5544"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1881" w:type="dxa"/>
                    <w:vMerge w:val="restart"/>
                    <w:vAlign w:val="center"/>
                  </w:tcPr>
                  <w:p>
                    <w:pPr>
                      <w:jc w:val="center"/>
                      <w:rPr>
                        <w:sz w:val="22"/>
                        <w:szCs w:val="22"/>
                      </w:rPr>
                    </w:pPr>
                    <w:r>
                      <w:rPr>
                        <w:sz w:val="22"/>
                        <w:szCs w:val="22"/>
                      </w:rPr>
                      <w:t>Komiteto nuomonė</w:t>
                    </w:r>
                  </w:p>
                </w:tc>
                <w:tc>
                  <w:tcPr>
                    <w:tcW w:w="2824"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379"/>
                  <w:tblHeader/>
                  <w:jc w:val="center"/>
                </w:trPr>
                <w:tc>
                  <w:tcPr>
                    <w:tcW w:w="570" w:type="dxa"/>
                    <w:vMerge/>
                  </w:tcPr>
                  <w:p>
                    <w:pPr>
                      <w:rPr>
                        <w:szCs w:val="24"/>
                      </w:rPr>
                    </w:pPr>
                  </w:p>
                </w:tc>
                <w:tc>
                  <w:tcPr>
                    <w:tcW w:w="2297" w:type="dxa"/>
                    <w:vMerge/>
                  </w:tcPr>
                  <w:p>
                    <w:pPr>
                      <w:rPr>
                        <w:szCs w:val="24"/>
                      </w:rPr>
                    </w:pPr>
                  </w:p>
                </w:tc>
                <w:tc>
                  <w:tcPr>
                    <w:tcW w:w="684" w:type="dxa"/>
                    <w:vAlign w:val="center"/>
                  </w:tcPr>
                  <w:p>
                    <w:pPr>
                      <w:jc w:val="center"/>
                      <w:rPr>
                        <w:sz w:val="20"/>
                        <w:szCs w:val="24"/>
                      </w:rPr>
                    </w:pPr>
                    <w:r>
                      <w:rPr>
                        <w:sz w:val="20"/>
                        <w:szCs w:val="24"/>
                      </w:rPr>
                      <w:t>str.</w:t>
                    </w:r>
                  </w:p>
                </w:tc>
                <w:tc>
                  <w:tcPr>
                    <w:tcW w:w="684" w:type="dxa"/>
                    <w:vAlign w:val="center"/>
                  </w:tcPr>
                  <w:p>
                    <w:pPr>
                      <w:jc w:val="center"/>
                      <w:rPr>
                        <w:sz w:val="20"/>
                        <w:szCs w:val="24"/>
                      </w:rPr>
                    </w:pPr>
                    <w:r>
                      <w:rPr>
                        <w:sz w:val="20"/>
                        <w:szCs w:val="24"/>
                      </w:rPr>
                      <w:t>str. d.</w:t>
                    </w:r>
                  </w:p>
                </w:tc>
                <w:tc>
                  <w:tcPr>
                    <w:tcW w:w="684" w:type="dxa"/>
                    <w:vAlign w:val="center"/>
                  </w:tcPr>
                  <w:p>
                    <w:pPr>
                      <w:jc w:val="center"/>
                      <w:rPr>
                        <w:sz w:val="20"/>
                        <w:szCs w:val="24"/>
                      </w:rPr>
                    </w:pPr>
                    <w:r>
                      <w:rPr>
                        <w:sz w:val="20"/>
                        <w:szCs w:val="24"/>
                      </w:rPr>
                      <w:t>p.</w:t>
                    </w:r>
                  </w:p>
                </w:tc>
                <w:tc>
                  <w:tcPr>
                    <w:tcW w:w="5544" w:type="dxa"/>
                    <w:vMerge/>
                  </w:tcPr>
                  <w:p>
                    <w:pPr>
                      <w:rPr>
                        <w:szCs w:val="24"/>
                      </w:rPr>
                    </w:pPr>
                  </w:p>
                </w:tc>
                <w:tc>
                  <w:tcPr>
                    <w:tcW w:w="1881" w:type="dxa"/>
                    <w:vMerge/>
                  </w:tcPr>
                  <w:p>
                    <w:pPr>
                      <w:rPr>
                        <w:szCs w:val="24"/>
                      </w:rPr>
                    </w:pPr>
                  </w:p>
                </w:tc>
                <w:tc>
                  <w:tcPr>
                    <w:tcW w:w="2824" w:type="dxa"/>
                    <w:vMerge/>
                  </w:tcPr>
                  <w:p>
                    <w:pPr>
                      <w:rPr>
                        <w:szCs w:val="24"/>
                      </w:rPr>
                    </w:pPr>
                  </w:p>
                </w:tc>
              </w:tr>
              <w:tr>
                <w:trPr>
                  <w:trHeight w:val="5210"/>
                  <w:jc w:val="center"/>
                </w:trPr>
                <w:tc>
                  <w:tcPr>
                    <w:tcW w:w="570" w:type="dxa"/>
                  </w:tcPr>
                  <w:p>
                    <w:pPr>
                      <w:jc w:val="center"/>
                      <w:rPr>
                        <w:bCs/>
                        <w:sz w:val="22"/>
                        <w:szCs w:val="22"/>
                      </w:rPr>
                    </w:pPr>
                    <w:r>
                      <w:rPr>
                        <w:bCs/>
                        <w:sz w:val="22"/>
                        <w:szCs w:val="22"/>
                      </w:rPr>
                      <w:t>1.</w:t>
                    </w:r>
                  </w:p>
                </w:tc>
                <w:tc>
                  <w:tcPr>
                    <w:tcW w:w="2297" w:type="dxa"/>
                  </w:tcPr>
                  <w:p>
                    <w:pPr>
                      <w:jc w:val="both"/>
                      <w:rPr>
                        <w:bCs/>
                        <w:sz w:val="22"/>
                        <w:szCs w:val="22"/>
                      </w:rPr>
                    </w:pPr>
                    <w:r>
                      <w:rPr>
                        <w:bCs/>
                        <w:sz w:val="22"/>
                        <w:szCs w:val="22"/>
                      </w:rPr>
                      <w:t>Seimo kanceliarijos Teisės departamentas</w:t>
                    </w:r>
                  </w:p>
                  <w:p>
                    <w:pPr>
                      <w:jc w:val="both"/>
                      <w:rPr>
                        <w:bCs/>
                        <w:sz w:val="22"/>
                        <w:szCs w:val="22"/>
                      </w:rPr>
                    </w:pPr>
                    <w:r>
                      <w:rPr>
                        <w:bCs/>
                        <w:sz w:val="22"/>
                        <w:szCs w:val="22"/>
                      </w:rPr>
                      <w:t>(2026-06-01)</w:t>
                    </w:r>
                  </w:p>
                </w:tc>
                <w:tc>
                  <w:tcPr>
                    <w:tcW w:w="684" w:type="dxa"/>
                  </w:tcPr>
                  <w:p>
                    <w:pPr>
                      <w:jc w:val="center"/>
                      <w:rPr>
                        <w:b/>
                        <w:bCs/>
                        <w:sz w:val="22"/>
                        <w:szCs w:val="22"/>
                      </w:rPr>
                    </w:pPr>
                    <w:r>
                      <w:rPr>
                        <w:b/>
                        <w:bCs/>
                        <w:sz w:val="22"/>
                        <w:szCs w:val="22"/>
                      </w:rPr>
                      <w:t>1</w:t>
                    </w:r>
                  </w:p>
                  <w:p>
                    <w:pPr>
                      <w:jc w:val="center"/>
                      <w:rPr>
                        <w:b/>
                        <w:bCs/>
                        <w:sz w:val="22"/>
                        <w:szCs w:val="22"/>
                      </w:rPr>
                    </w:pPr>
                    <w:r>
                      <w:rPr>
                        <w:b/>
                        <w:bCs/>
                        <w:sz w:val="22"/>
                        <w:szCs w:val="22"/>
                      </w:rPr>
                      <w:t>(2)</w:t>
                    </w:r>
                  </w:p>
                </w:tc>
                <w:tc>
                  <w:tcPr>
                    <w:tcW w:w="684" w:type="dxa"/>
                  </w:tcPr>
                  <w:p>
                    <w:pPr>
                      <w:jc w:val="center"/>
                      <w:rPr>
                        <w:b/>
                        <w:bCs/>
                        <w:sz w:val="22"/>
                        <w:szCs w:val="22"/>
                      </w:rPr>
                    </w:pPr>
                  </w:p>
                  <w:p>
                    <w:pPr>
                      <w:jc w:val="center"/>
                      <w:rPr>
                        <w:b/>
                        <w:bCs/>
                        <w:sz w:val="22"/>
                        <w:szCs w:val="22"/>
                      </w:rPr>
                    </w:pPr>
                    <w:r>
                      <w:rPr>
                        <w:b/>
                        <w:bCs/>
                        <w:sz w:val="22"/>
                        <w:szCs w:val="22"/>
                      </w:rPr>
                      <w:t>(4)</w:t>
                    </w:r>
                  </w:p>
                </w:tc>
                <w:tc>
                  <w:tcPr>
                    <w:tcW w:w="684" w:type="dxa"/>
                  </w:tcPr>
                  <w:p>
                    <w:pPr>
                      <w:jc w:val="center"/>
                      <w:rPr>
                        <w:b/>
                        <w:bCs/>
                        <w:sz w:val="22"/>
                        <w:szCs w:val="22"/>
                      </w:rPr>
                    </w:pPr>
                  </w:p>
                </w:tc>
                <w:tc>
                  <w:tcPr>
                    <w:tcW w:w="5544" w:type="dxa"/>
                  </w:tcPr>
                  <w:p>
                    <w:pPr>
                      <w:ind w:firstLine="227"/>
                      <w:jc w:val="both"/>
                      <w:rPr>
                        <w:bCs/>
                        <w:sz w:val="22"/>
                        <w:szCs w:val="22"/>
                      </w:rPr>
                    </w:pPr>
                    <w:r>
                      <w:rPr>
                        <w:bCs/>
                        <w:sz w:val="22"/>
                        <w:szCs w:val="22"/>
                      </w:rPr>
                      <w:t>Įvertinę projekto atitiktį Konstitucijai, įstatymams, teisėkūros principams ir teisės technikos taisyklėms, teikiame šias pastabas.</w:t>
                    </w:r>
                  </w:p>
                  <w:p>
                    <w:pPr>
                      <w:ind w:firstLine="227"/>
                      <w:jc w:val="both"/>
                      <w:rPr>
                        <w:bCs/>
                        <w:sz w:val="22"/>
                        <w:szCs w:val="22"/>
                      </w:rPr>
                    </w:pPr>
                    <w:r>
                      <w:rPr>
                        <w:bCs/>
                        <w:sz w:val="22"/>
                        <w:szCs w:val="22"/>
                      </w:rPr>
                      <w:t>1.      Projekto 1 straipsnio 1 dalimi Savivaldybių infrastruktūros plėtros įstatymo (toliau – keičiamas įstatymas) 2 straipsnio 4 dalyje nustatytos sąvokos „prioritetinė savivaldybės infrastruktūra“ apibrėžtyje vartojama sąvoka „C ir aukštesnės kategorijos gatvė“, kurios turinys nei projekto, nei keičiamo įstatymo nuostatose nėra atskleistas. Pažymėtina, kad Kelių įstatymo 2 straipsnio 9 dalyje yra apibrėžta sąvoka „kelio kategorija“, tačiau nėra aišku, ar sąvokos „gatvės kategorija“ turinys suprantamas taip pat, kaip ir sąvokos „kelio kategorija“ turinys ar kaip nors kitaip. Siekiant teisinio aiškumo, projekto nuostatose reikėtų atskleisti šios sąvokos turinį arba keičiamo įstatymo 2 straipsnio 13 dalyje nurodyti įstatymą, kuriame ši sąvoka yra atskleista.</w:t>
                    </w:r>
                  </w:p>
                  <w:p>
                    <w:pPr>
                      <w:ind w:firstLine="227"/>
                      <w:jc w:val="both"/>
                      <w:rPr>
                        <w:bCs/>
                        <w:sz w:val="22"/>
                        <w:szCs w:val="22"/>
                      </w:rPr>
                    </w:pPr>
                  </w:p>
                </w:tc>
                <w:tc>
                  <w:tcPr>
                    <w:tcW w:w="1881" w:type="dxa"/>
                  </w:tcPr>
                  <w:p>
                    <w:pPr>
                      <w:jc w:val="center"/>
                      <w:rPr>
                        <w:bCs/>
                        <w:sz w:val="20"/>
                      </w:rPr>
                    </w:pPr>
                    <w:r>
                      <w:rPr>
                        <w:bCs/>
                        <w:sz w:val="20"/>
                      </w:rPr>
                      <w:t>Pritarti.</w:t>
                    </w:r>
                  </w:p>
                  <w:p>
                    <w:pPr>
                      <w:ind w:firstLine="720"/>
                      <w:jc w:val="both"/>
                      <w:rPr>
                        <w:sz w:val="20"/>
                      </w:rPr>
                    </w:pPr>
                  </w:p>
                </w:tc>
                <w:tc>
                  <w:tcPr>
                    <w:tcW w:w="2824" w:type="dxa"/>
                  </w:tcPr>
                  <w:p>
                    <w:pPr>
                      <w:textAlignment w:val="baseline"/>
                      <w:rPr>
                        <w:sz w:val="22"/>
                        <w:szCs w:val="22"/>
                        <w:lang w:eastAsia="lt-LT"/>
                      </w:rPr>
                    </w:pPr>
                    <w:r>
                      <w:rPr>
                        <w:sz w:val="22"/>
                        <w:szCs w:val="22"/>
                        <w:lang w:eastAsia="lt-LT"/>
                      </w:rPr>
                      <w:t>Siekiant teisinio aiškumo, atskleidžiamas sąvokos turinys, siūloma:</w:t>
                    </w:r>
                  </w:p>
                  <w:p>
                    <w:pPr>
                      <w:rPr>
                        <w:sz w:val="22"/>
                        <w:szCs w:val="22"/>
                      </w:rPr>
                    </w:pPr>
                    <w:r>
                      <w:rPr>
                        <w:sz w:val="22"/>
                        <w:szCs w:val="22"/>
                      </w:rPr>
                      <w:t>1. Pakeisti 2 straipsnio 4 dalį ir ją išdėstyti taip:</w:t>
                    </w:r>
                  </w:p>
                  <w:p>
                    <w:pPr>
                      <w:rPr>
                        <w:sz w:val="22"/>
                        <w:szCs w:val="22"/>
                      </w:rPr>
                    </w:pPr>
                    <w:r>
                      <w:rPr>
                        <w:sz w:val="22"/>
                        <w:szCs w:val="22"/>
                      </w:rPr>
                      <w:t xml:space="preserve">„4. Prioritetinė savivaldybės infrastruktūra – </w:t>
                    </w:r>
                    <w:r>
                      <w:rPr>
                        <w:b/>
                        <w:bCs/>
                        <w:i/>
                        <w:iCs/>
                        <w:sz w:val="22"/>
                        <w:szCs w:val="22"/>
                      </w:rPr>
                      <w:t>2 ar daugiau eismo juostų gatvės, tiesiamos ne siauresnėje kaip 20 m pločio kelio (gatvės) juostoje ir (ar)</w:t>
                    </w:r>
                    <w:r>
                      <w:rPr>
                        <w:i/>
                        <w:iCs/>
                        <w:sz w:val="22"/>
                        <w:szCs w:val="22"/>
                      </w:rPr>
                      <w:t xml:space="preserve">  </w:t>
                    </w:r>
                    <w:r>
                      <w:rPr>
                        <w:sz w:val="22"/>
                        <w:szCs w:val="22"/>
                      </w:rPr>
                      <w:t xml:space="preserve">savivaldybės tarybos sprendimu pagal savivaldybės tarybos patvirtintus kriterijus pripažinta prioritetine ir (ar), atsižvelgiant į strateginio planavimo dokumentus, savivaldybės ir (ar) vietovės lygmens bendruosiuose planuose nustatytoms prioritetinės plėtros teritorijoms ir </w:t>
                    </w:r>
                    <w:r>
                      <w:rPr>
                        <w:strike/>
                        <w:sz w:val="22"/>
                        <w:szCs w:val="22"/>
                      </w:rPr>
                      <w:t>jų vystymui</w:t>
                    </w:r>
                    <w:r>
                      <w:rPr>
                        <w:sz w:val="22"/>
                        <w:szCs w:val="22"/>
                      </w:rPr>
                      <w:t xml:space="preserve"> </w:t>
                    </w:r>
                    <w:r>
                      <w:rPr>
                        <w:b/>
                        <w:bCs/>
                        <w:sz w:val="22"/>
                        <w:szCs w:val="22"/>
                      </w:rPr>
                      <w:t>joms vystyti</w:t>
                    </w:r>
                    <w:r>
                      <w:rPr>
                        <w:sz w:val="22"/>
                        <w:szCs w:val="22"/>
                      </w:rPr>
                      <w:t xml:space="preserve"> skirta savivaldybės infrastruktūra.“</w:t>
                    </w:r>
                  </w:p>
                  <w:p>
                    <w:pPr>
                      <w:ind w:firstLine="227"/>
                      <w:rPr>
                        <w:bCs/>
                        <w:sz w:val="22"/>
                        <w:szCs w:val="22"/>
                      </w:rPr>
                    </w:pPr>
                  </w:p>
                </w:tc>
              </w:tr>
              <w:tr>
                <w:trPr>
                  <w:jc w:val="center"/>
                </w:trPr>
                <w:tc>
                  <w:tcPr>
                    <w:tcW w:w="570" w:type="dxa"/>
                  </w:tcPr>
                  <w:p>
                    <w:pPr>
                      <w:jc w:val="center"/>
                      <w:rPr>
                        <w:bCs/>
                        <w:sz w:val="22"/>
                        <w:szCs w:val="22"/>
                      </w:rPr>
                    </w:pPr>
                    <w:r>
                      <w:rPr>
                        <w:bCs/>
                        <w:sz w:val="22"/>
                        <w:szCs w:val="22"/>
                      </w:rPr>
                      <w:t>2.</w:t>
                    </w:r>
                  </w:p>
                </w:tc>
                <w:tc>
                  <w:tcPr>
                    <w:tcW w:w="2297" w:type="dxa"/>
                  </w:tcPr>
                  <w:p>
                    <w:pPr>
                      <w:jc w:val="both"/>
                      <w:rPr>
                        <w:bCs/>
                        <w:sz w:val="22"/>
                        <w:szCs w:val="22"/>
                      </w:rPr>
                    </w:pPr>
                    <w:r>
                      <w:rPr>
                        <w:bCs/>
                        <w:sz w:val="22"/>
                        <w:szCs w:val="22"/>
                      </w:rPr>
                      <w:t>Seimo kanceliarijos Teisės departamentas</w:t>
                    </w:r>
                  </w:p>
                  <w:p>
                    <w:pPr>
                      <w:jc w:val="both"/>
                      <w:rPr>
                        <w:bCs/>
                        <w:sz w:val="22"/>
                        <w:szCs w:val="22"/>
                      </w:rPr>
                    </w:pPr>
                    <w:r>
                      <w:rPr>
                        <w:bCs/>
                        <w:sz w:val="22"/>
                        <w:szCs w:val="22"/>
                      </w:rPr>
                      <w:t>(2026-06-01)</w:t>
                    </w:r>
                  </w:p>
                </w:tc>
                <w:tc>
                  <w:tcPr>
                    <w:tcW w:w="684" w:type="dxa"/>
                  </w:tcPr>
                  <w:p>
                    <w:pPr>
                      <w:jc w:val="center"/>
                      <w:rPr>
                        <w:b/>
                        <w:bCs/>
                        <w:sz w:val="22"/>
                        <w:szCs w:val="22"/>
                      </w:rPr>
                    </w:pPr>
                    <w:r>
                      <w:rPr>
                        <w:b/>
                        <w:bCs/>
                        <w:sz w:val="22"/>
                        <w:szCs w:val="22"/>
                      </w:rPr>
                      <w:t>8</w:t>
                    </w:r>
                  </w:p>
                  <w:p>
                    <w:pPr>
                      <w:jc w:val="center"/>
                      <w:rPr>
                        <w:b/>
                        <w:bCs/>
                        <w:sz w:val="22"/>
                        <w:szCs w:val="22"/>
                      </w:rPr>
                    </w:pPr>
                    <w:r>
                      <w:rPr>
                        <w:b/>
                        <w:bCs/>
                        <w:sz w:val="22"/>
                        <w:szCs w:val="22"/>
                      </w:rPr>
                      <w:t>(8)</w:t>
                    </w:r>
                  </w:p>
                  <w:p>
                    <w:pPr>
                      <w:jc w:val="center"/>
                      <w:rPr>
                        <w:b/>
                        <w:bCs/>
                        <w:sz w:val="22"/>
                        <w:szCs w:val="22"/>
                      </w:rPr>
                    </w:pPr>
                  </w:p>
                  <w:p>
                    <w:pPr>
                      <w:jc w:val="center"/>
                      <w:rPr>
                        <w:b/>
                        <w:bCs/>
                        <w:sz w:val="22"/>
                        <w:szCs w:val="22"/>
                      </w:rPr>
                    </w:pPr>
                    <w:r>
                      <w:rPr>
                        <w:b/>
                        <w:bCs/>
                        <w:sz w:val="22"/>
                        <w:szCs w:val="22"/>
                      </w:rPr>
                      <w:t>3</w:t>
                    </w:r>
                  </w:p>
                  <w:p>
                    <w:pPr>
                      <w:jc w:val="center"/>
                      <w:rPr>
                        <w:b/>
                        <w:bCs/>
                        <w:sz w:val="22"/>
                        <w:szCs w:val="22"/>
                      </w:rPr>
                    </w:pPr>
                    <w:r>
                      <w:rPr>
                        <w:b/>
                        <w:bCs/>
                        <w:sz w:val="22"/>
                        <w:szCs w:val="22"/>
                      </w:rPr>
                      <w:t>(10)</w:t>
                    </w:r>
                  </w:p>
                  <w:p>
                    <w:pPr>
                      <w:jc w:val="center"/>
                      <w:rPr>
                        <w:b/>
                        <w:bCs/>
                        <w:sz w:val="22"/>
                        <w:szCs w:val="22"/>
                      </w:rPr>
                    </w:pPr>
                  </w:p>
                  <w:p>
                    <w:pPr>
                      <w:jc w:val="center"/>
                      <w:rPr>
                        <w:b/>
                        <w:bCs/>
                        <w:sz w:val="22"/>
                        <w:szCs w:val="22"/>
                      </w:rPr>
                    </w:pPr>
                    <w:r>
                      <w:rPr>
                        <w:b/>
                        <w:bCs/>
                        <w:sz w:val="22"/>
                        <w:szCs w:val="22"/>
                      </w:rPr>
                      <w:t>4</w:t>
                    </w:r>
                  </w:p>
                  <w:p>
                    <w:pPr>
                      <w:jc w:val="center"/>
                      <w:rPr>
                        <w:b/>
                        <w:bCs/>
                        <w:sz w:val="22"/>
                        <w:szCs w:val="22"/>
                      </w:rPr>
                    </w:pPr>
                    <w:r>
                      <w:rPr>
                        <w:b/>
                        <w:bCs/>
                        <w:sz w:val="22"/>
                        <w:szCs w:val="22"/>
                      </w:rPr>
                      <w:t>(13)</w:t>
                    </w:r>
                  </w:p>
                </w:tc>
                <w:tc>
                  <w:tcPr>
                    <w:tcW w:w="684" w:type="dxa"/>
                  </w:tcPr>
                  <w:p>
                    <w:pPr>
                      <w:jc w:val="center"/>
                      <w:rPr>
                        <w:b/>
                        <w:bCs/>
                        <w:sz w:val="22"/>
                        <w:szCs w:val="22"/>
                      </w:rPr>
                    </w:pPr>
                    <w:r>
                      <w:rPr>
                        <w:b/>
                        <w:bCs/>
                        <w:sz w:val="22"/>
                        <w:szCs w:val="22"/>
                      </w:rPr>
                      <w:t>1</w:t>
                    </w:r>
                  </w:p>
                  <w:p>
                    <w:pPr>
                      <w:jc w:val="center"/>
                      <w:rPr>
                        <w:b/>
                        <w:bCs/>
                        <w:sz w:val="22"/>
                        <w:szCs w:val="22"/>
                      </w:rPr>
                    </w:pPr>
                    <w:r>
                      <w:rPr>
                        <w:b/>
                        <w:bCs/>
                        <w:sz w:val="22"/>
                        <w:szCs w:val="22"/>
                      </w:rPr>
                      <w:t>(4)</w:t>
                    </w:r>
                  </w:p>
                  <w:p>
                    <w:pPr>
                      <w:jc w:val="center"/>
                      <w:rPr>
                        <w:b/>
                        <w:bCs/>
                        <w:sz w:val="22"/>
                        <w:szCs w:val="22"/>
                      </w:rPr>
                    </w:pPr>
                  </w:p>
                  <w:p>
                    <w:pPr>
                      <w:jc w:val="center"/>
                      <w:rPr>
                        <w:b/>
                        <w:bCs/>
                        <w:sz w:val="22"/>
                        <w:szCs w:val="22"/>
                      </w:rPr>
                    </w:pPr>
                  </w:p>
                  <w:p>
                    <w:pPr>
                      <w:jc w:val="center"/>
                      <w:rPr>
                        <w:b/>
                        <w:bCs/>
                        <w:sz w:val="22"/>
                        <w:szCs w:val="22"/>
                      </w:rPr>
                    </w:pPr>
                  </w:p>
                  <w:p>
                    <w:pPr>
                      <w:jc w:val="center"/>
                      <w:rPr>
                        <w:b/>
                        <w:bCs/>
                        <w:sz w:val="22"/>
                        <w:szCs w:val="22"/>
                      </w:rPr>
                    </w:pPr>
                  </w:p>
                  <w:p>
                    <w:pPr>
                      <w:jc w:val="center"/>
                      <w:rPr>
                        <w:b/>
                        <w:bCs/>
                        <w:sz w:val="22"/>
                        <w:szCs w:val="22"/>
                      </w:rPr>
                    </w:pPr>
                  </w:p>
                  <w:p>
                    <w:pPr>
                      <w:jc w:val="center"/>
                      <w:rPr>
                        <w:b/>
                        <w:bCs/>
                        <w:sz w:val="22"/>
                        <w:szCs w:val="22"/>
                      </w:rPr>
                    </w:pPr>
                    <w:r>
                      <w:rPr>
                        <w:b/>
                        <w:bCs/>
                        <w:sz w:val="22"/>
                        <w:szCs w:val="22"/>
                      </w:rPr>
                      <w:t>(4)</w:t>
                    </w:r>
                  </w:p>
                </w:tc>
                <w:tc>
                  <w:tcPr>
                    <w:tcW w:w="684" w:type="dxa"/>
                  </w:tcPr>
                  <w:p>
                    <w:pPr>
                      <w:jc w:val="center"/>
                      <w:rPr>
                        <w:b/>
                        <w:bCs/>
                        <w:sz w:val="22"/>
                        <w:szCs w:val="22"/>
                      </w:rPr>
                    </w:pPr>
                  </w:p>
                  <w:p>
                    <w:pPr>
                      <w:jc w:val="center"/>
                      <w:rPr>
                        <w:b/>
                        <w:bCs/>
                        <w:sz w:val="22"/>
                        <w:szCs w:val="22"/>
                      </w:rPr>
                    </w:pPr>
                    <w:r>
                      <w:rPr>
                        <w:b/>
                        <w:bCs/>
                        <w:sz w:val="22"/>
                        <w:szCs w:val="22"/>
                      </w:rPr>
                      <w:t>(11)</w:t>
                    </w:r>
                  </w:p>
                  <w:p>
                    <w:pPr>
                      <w:jc w:val="center"/>
                      <w:rPr>
                        <w:b/>
                        <w:bCs/>
                        <w:sz w:val="22"/>
                        <w:szCs w:val="22"/>
                      </w:rPr>
                    </w:pPr>
                  </w:p>
                  <w:p>
                    <w:pPr>
                      <w:jc w:val="center"/>
                      <w:rPr>
                        <w:b/>
                        <w:bCs/>
                        <w:sz w:val="22"/>
                        <w:szCs w:val="22"/>
                      </w:rPr>
                    </w:pPr>
                  </w:p>
                  <w:p>
                    <w:pPr>
                      <w:jc w:val="center"/>
                      <w:rPr>
                        <w:b/>
                        <w:bCs/>
                        <w:sz w:val="22"/>
                        <w:szCs w:val="22"/>
                      </w:rPr>
                    </w:pPr>
                    <w:r>
                      <w:rPr>
                        <w:b/>
                        <w:bCs/>
                        <w:sz w:val="22"/>
                        <w:szCs w:val="22"/>
                      </w:rPr>
                      <w:t>(2)</w:t>
                    </w:r>
                  </w:p>
                </w:tc>
                <w:tc>
                  <w:tcPr>
                    <w:tcW w:w="5544" w:type="dxa"/>
                  </w:tcPr>
                  <w:p>
                    <w:pPr>
                      <w:ind w:firstLine="227"/>
                      <w:jc w:val="both"/>
                      <w:rPr>
                        <w:bCs/>
                        <w:sz w:val="22"/>
                        <w:szCs w:val="22"/>
                      </w:rPr>
                    </w:pPr>
                    <w:r>
                      <w:rPr>
                        <w:bCs/>
                        <w:sz w:val="22"/>
                        <w:szCs w:val="22"/>
                      </w:rPr>
                      <w:t>2.      Projekto 8 straipsnio 1 dalimi keičiamo įstatymo 8 straipsnio 4 dalies 11 punkto nuostatos „suteikti savivaldybės infrastruktūros valdytojui kitų inžinerinės savivaldybės infrastruktūros </w:t>
                    </w:r>
                    <w:r>
                      <w:rPr>
                        <w:bCs/>
                        <w:i/>
                        <w:iCs/>
                        <w:sz w:val="22"/>
                        <w:szCs w:val="22"/>
                      </w:rPr>
                      <w:t>vartotojų prijungimo </w:t>
                    </w:r>
                    <w:r>
                      <w:rPr>
                        <w:bCs/>
                        <w:sz w:val="22"/>
                        <w:szCs w:val="22"/>
                      </w:rPr>
                      <w:t>teisę“ turinys nėra aiškus, nes neaišku, kas konkrečiai turima omenyje, ar kitiems asmenims (vartotojams) priklausančios infrastruktūros (pavyzdžiui, inžinerinių tinklų ar susisiekimo komunikacijų) prijungimas prie neužbaigtos statyti ir (ar) įrengti inžinerinės savivaldybės infrastruktūros, ar ši nuostata suprantama kaip nors kitaip. Be to, šioje nuostatoje nėra aiškus sąvokos „inžinerinės savivaldybės infrastruktūros vartotojas“ turinys, nes ši sąvoka nėra atskleista nei projekto, nei keičiamo įstatymo nuostatose. Siekiant teisinio aiškumo, projekto nuostatos tikslintinos.</w:t>
                    </w:r>
                  </w:p>
                  <w:p>
                    <w:pPr>
                      <w:ind w:firstLine="227"/>
                      <w:jc w:val="both"/>
                      <w:rPr>
                        <w:bCs/>
                        <w:sz w:val="22"/>
                        <w:szCs w:val="22"/>
                      </w:rPr>
                    </w:pPr>
                    <w:r>
                      <w:rPr>
                        <w:bCs/>
                        <w:sz w:val="22"/>
                        <w:szCs w:val="22"/>
                      </w:rPr>
                      <w:t>Ši pastaba taikytina ir projekto 3 straipsniu keičiamo įstatymo 10 straipsnio 2 punktui, taip pat projekto 4 straipsniu keičiamo įstatymo 13 straipsnio 4 dalies trečiojo ir ketvirtojo sakinių nuostatoms, iš kurių seka, kad statytojai (vystytojai) patys prisijungia prie pastatytos ar įrengtos savivaldybės infrastruktūros, o ne prie šios infrastruktūros prijungiama statytojams (vystytojams) priklausanti infrastruktūra.</w:t>
                    </w:r>
                  </w:p>
                  <w:p>
                    <w:pPr>
                      <w:ind w:firstLine="227"/>
                      <w:jc w:val="both"/>
                      <w:rPr>
                        <w:bCs/>
                        <w:sz w:val="22"/>
                        <w:szCs w:val="22"/>
                      </w:rPr>
                    </w:pPr>
                  </w:p>
                  <w:p>
                    <w:pPr>
                      <w:ind w:firstLine="227"/>
                      <w:jc w:val="both"/>
                      <w:rPr>
                        <w:bCs/>
                        <w:sz w:val="22"/>
                        <w:szCs w:val="22"/>
                      </w:rPr>
                    </w:pPr>
                  </w:p>
                  <w:p>
                    <w:pPr>
                      <w:ind w:firstLine="227"/>
                      <w:jc w:val="both"/>
                      <w:rPr>
                        <w:bCs/>
                        <w:sz w:val="22"/>
                        <w:szCs w:val="22"/>
                      </w:rPr>
                    </w:pPr>
                  </w:p>
                  <w:p>
                    <w:pPr>
                      <w:ind w:firstLine="227"/>
                      <w:jc w:val="both"/>
                      <w:rPr>
                        <w:bCs/>
                        <w:sz w:val="22"/>
                        <w:szCs w:val="22"/>
                      </w:rPr>
                    </w:pPr>
                  </w:p>
                  <w:p>
                    <w:pPr>
                      <w:ind w:firstLine="227"/>
                      <w:jc w:val="both"/>
                      <w:rPr>
                        <w:bCs/>
                        <w:sz w:val="22"/>
                        <w:szCs w:val="22"/>
                      </w:rPr>
                    </w:pPr>
                  </w:p>
                </w:tc>
                <w:tc>
                  <w:tcPr>
                    <w:tcW w:w="1881" w:type="dxa"/>
                  </w:tcPr>
                  <w:p>
                    <w:pPr>
                      <w:jc w:val="center"/>
                      <w:rPr>
                        <w:bCs/>
                        <w:sz w:val="22"/>
                        <w:szCs w:val="22"/>
                      </w:rPr>
                    </w:pPr>
                    <w:r>
                      <w:rPr>
                        <w:bCs/>
                        <w:sz w:val="22"/>
                        <w:szCs w:val="22"/>
                      </w:rPr>
                      <w:t>Pritarti.</w:t>
                    </w:r>
                  </w:p>
                </w:tc>
                <w:tc>
                  <w:tcPr>
                    <w:tcW w:w="2824" w:type="dxa"/>
                  </w:tcPr>
                  <w:p>
                    <w:pPr>
                      <w:rPr>
                        <w:sz w:val="22"/>
                        <w:szCs w:val="22"/>
                      </w:rPr>
                    </w:pPr>
                    <w:r>
                      <w:rPr>
                        <w:sz w:val="22"/>
                        <w:szCs w:val="22"/>
                      </w:rPr>
                      <w:t>Siūloma:</w:t>
                    </w:r>
                  </w:p>
                  <w:p>
                    <w:pPr>
                      <w:rPr>
                        <w:sz w:val="22"/>
                        <w:szCs w:val="22"/>
                      </w:rPr>
                    </w:pPr>
                    <w:r>
                      <w:rPr>
                        <w:sz w:val="22"/>
                        <w:szCs w:val="22"/>
                      </w:rPr>
                      <w:t>1. Papildyti 8 straipsnio 4 dalį 11 punktu:</w:t>
                    </w:r>
                  </w:p>
                  <w:p>
                    <w:pPr>
                      <w:rPr>
                        <w:i/>
                        <w:iCs/>
                        <w:sz w:val="22"/>
                        <w:szCs w:val="22"/>
                        <w:lang w:eastAsia="en-GB"/>
                      </w:rPr>
                    </w:pPr>
                    <w:r>
                      <w:rPr>
                        <w:b/>
                        <w:bCs/>
                        <w:sz w:val="22"/>
                        <w:szCs w:val="22"/>
                        <w:lang w:eastAsia="en-GB"/>
                      </w:rPr>
                      <w:t xml:space="preserve">„11) numatoma ar nenumatoma galimybė naudoti neužbaigtą statyti ir (ar) įrengti inžinerinę savivaldybės infrastruktūrą, jos naudojimo tvarka ir sąlygos; sutikimas suteikti savivaldybės infrastruktūros valdytojui </w:t>
                    </w:r>
                    <w:r>
                      <w:rPr>
                        <w:b/>
                        <w:bCs/>
                        <w:i/>
                        <w:iCs/>
                        <w:sz w:val="22"/>
                        <w:szCs w:val="22"/>
                        <w:lang w:eastAsia="en-GB"/>
                      </w:rPr>
                      <w:t>teisę spręsti dėl kitiems asmenims (vartotojams) priklausančios infrastruktūros (inžinerinių tinklų ar susisiekimo komunikacijų) prijungimo prie neužbaigtos statyti ir (ar) įrengti inžinerinės savivaldybės infrastruktūros</w:t>
                    </w:r>
                    <w:r>
                      <w:rPr>
                        <w:b/>
                        <w:bCs/>
                        <w:sz w:val="22"/>
                        <w:szCs w:val="22"/>
                        <w:lang w:eastAsia="en-GB"/>
                      </w:rPr>
                      <w:t>,</w:t>
                    </w:r>
                  </w:p>
                  <w:p>
                    <w:pPr>
                      <w:ind w:firstLine="57"/>
                      <w:rPr>
                        <w:b/>
                        <w:bCs/>
                        <w:sz w:val="22"/>
                        <w:szCs w:val="22"/>
                        <w:lang w:eastAsia="en-GB"/>
                      </w:rPr>
                    </w:pPr>
                    <w:r>
                      <w:rPr>
                        <w:b/>
                        <w:bCs/>
                        <w:sz w:val="22"/>
                        <w:szCs w:val="22"/>
                        <w:lang w:eastAsia="en-GB"/>
                      </w:rPr>
                      <w:t>kai numatoma galimybė naudoti neužbaigtą statyti ir (ar) įrengti inžinerinę savivaldybės infrastruktūrą.“</w:t>
                    </w:r>
                  </w:p>
                  <w:p>
                    <w:pPr>
                      <w:ind w:firstLine="227"/>
                      <w:rPr>
                        <w:bCs/>
                        <w:sz w:val="22"/>
                        <w:szCs w:val="22"/>
                      </w:rPr>
                    </w:pPr>
                  </w:p>
                </w:tc>
              </w:tr>
              <w:tr>
                <w:trPr>
                  <w:jc w:val="center"/>
                </w:trPr>
                <w:tc>
                  <w:tcPr>
                    <w:tcW w:w="570" w:type="dxa"/>
                  </w:tcPr>
                  <w:p>
                    <w:pPr>
                      <w:jc w:val="center"/>
                      <w:rPr>
                        <w:bCs/>
                        <w:sz w:val="22"/>
                        <w:szCs w:val="22"/>
                      </w:rPr>
                    </w:pPr>
                    <w:r>
                      <w:rPr>
                        <w:bCs/>
                        <w:sz w:val="22"/>
                        <w:szCs w:val="22"/>
                      </w:rPr>
                      <w:t>3.</w:t>
                    </w:r>
                  </w:p>
                </w:tc>
                <w:tc>
                  <w:tcPr>
                    <w:tcW w:w="2297" w:type="dxa"/>
                  </w:tcPr>
                  <w:p>
                    <w:pPr>
                      <w:jc w:val="both"/>
                      <w:rPr>
                        <w:bCs/>
                        <w:sz w:val="22"/>
                        <w:szCs w:val="22"/>
                      </w:rPr>
                    </w:pPr>
                    <w:r>
                      <w:rPr>
                        <w:bCs/>
                        <w:sz w:val="22"/>
                        <w:szCs w:val="22"/>
                      </w:rPr>
                      <w:t>Seimo kanceliarijos Teisės departamentas</w:t>
                    </w:r>
                  </w:p>
                  <w:p>
                    <w:pPr>
                      <w:jc w:val="both"/>
                      <w:rPr>
                        <w:bCs/>
                        <w:sz w:val="22"/>
                        <w:szCs w:val="22"/>
                      </w:rPr>
                    </w:pPr>
                    <w:r>
                      <w:rPr>
                        <w:bCs/>
                        <w:sz w:val="22"/>
                        <w:szCs w:val="22"/>
                      </w:rPr>
                      <w:t>(2026-06-01)</w:t>
                    </w:r>
                  </w:p>
                </w:tc>
                <w:tc>
                  <w:tcPr>
                    <w:tcW w:w="684" w:type="dxa"/>
                  </w:tcPr>
                  <w:p>
                    <w:pPr>
                      <w:jc w:val="center"/>
                      <w:rPr>
                        <w:b/>
                        <w:bCs/>
                        <w:sz w:val="22"/>
                        <w:szCs w:val="22"/>
                      </w:rPr>
                    </w:pPr>
                    <w:r>
                      <w:rPr>
                        <w:b/>
                        <w:bCs/>
                        <w:sz w:val="22"/>
                        <w:szCs w:val="22"/>
                      </w:rPr>
                      <w:t>3</w:t>
                    </w:r>
                  </w:p>
                  <w:p>
                    <w:pPr>
                      <w:jc w:val="center"/>
                      <w:rPr>
                        <w:b/>
                        <w:bCs/>
                        <w:sz w:val="22"/>
                        <w:szCs w:val="22"/>
                      </w:rPr>
                    </w:pPr>
                    <w:r>
                      <w:rPr>
                        <w:b/>
                        <w:bCs/>
                        <w:sz w:val="22"/>
                        <w:szCs w:val="22"/>
                      </w:rPr>
                      <w:t>(10)</w:t>
                    </w:r>
                  </w:p>
                </w:tc>
                <w:tc>
                  <w:tcPr>
                    <w:tcW w:w="684" w:type="dxa"/>
                  </w:tcPr>
                  <w:p>
                    <w:pPr>
                      <w:jc w:val="center"/>
                      <w:rPr>
                        <w:b/>
                        <w:bCs/>
                        <w:sz w:val="22"/>
                        <w:szCs w:val="22"/>
                      </w:rPr>
                    </w:pPr>
                  </w:p>
                </w:tc>
                <w:tc>
                  <w:tcPr>
                    <w:tcW w:w="684" w:type="dxa"/>
                  </w:tcPr>
                  <w:p>
                    <w:pPr>
                      <w:jc w:val="center"/>
                      <w:rPr>
                        <w:b/>
                        <w:bCs/>
                        <w:sz w:val="22"/>
                        <w:szCs w:val="22"/>
                      </w:rPr>
                    </w:pPr>
                  </w:p>
                  <w:p>
                    <w:pPr>
                      <w:jc w:val="center"/>
                      <w:rPr>
                        <w:b/>
                        <w:bCs/>
                        <w:sz w:val="22"/>
                        <w:szCs w:val="22"/>
                      </w:rPr>
                    </w:pPr>
                    <w:r>
                      <w:rPr>
                        <w:b/>
                        <w:bCs/>
                        <w:sz w:val="22"/>
                        <w:szCs w:val="22"/>
                      </w:rPr>
                      <w:t>(2)</w:t>
                    </w:r>
                  </w:p>
                </w:tc>
                <w:tc>
                  <w:tcPr>
                    <w:tcW w:w="5544" w:type="dxa"/>
                  </w:tcPr>
                  <w:p>
                    <w:pPr>
                      <w:ind w:firstLine="227"/>
                      <w:jc w:val="both"/>
                      <w:rPr>
                        <w:bCs/>
                        <w:sz w:val="22"/>
                        <w:szCs w:val="22"/>
                      </w:rPr>
                    </w:pPr>
                    <w:r>
                      <w:rPr>
                        <w:bCs/>
                        <w:sz w:val="22"/>
                        <w:szCs w:val="22"/>
                      </w:rPr>
                      <w:t>3.      Projekto 3 straipsniu keičiamo įstatymo 10 straipsnio 2 punkto antrajame sakinyje reikėtų nurodyti, kokia teise savivaldybės infrastruktūros plėtros iniciatorius perduoda savivaldybės infrastruktūros valdytojams inžinerinę savivaldybės infrastruktūrą, kurios statyba (ar) įrengimas nėra užbaigtas, bet ji gali būti naudojama iki jos statybos (ar) įrengimo užbaigimo.</w:t>
                    </w:r>
                  </w:p>
                  <w:p>
                    <w:pPr>
                      <w:ind w:firstLine="227"/>
                      <w:jc w:val="both"/>
                      <w:rPr>
                        <w:bCs/>
                        <w:sz w:val="22"/>
                        <w:szCs w:val="22"/>
                      </w:rPr>
                    </w:pPr>
                  </w:p>
                  <w:p>
                    <w:pPr>
                      <w:ind w:firstLine="227"/>
                      <w:jc w:val="both"/>
                      <w:rPr>
                        <w:bCs/>
                        <w:sz w:val="22"/>
                        <w:szCs w:val="22"/>
                      </w:rPr>
                    </w:pPr>
                  </w:p>
                  <w:p>
                    <w:pPr>
                      <w:ind w:firstLine="227"/>
                      <w:jc w:val="both"/>
                      <w:rPr>
                        <w:bCs/>
                        <w:sz w:val="22"/>
                        <w:szCs w:val="22"/>
                      </w:rPr>
                    </w:pPr>
                  </w:p>
                  <w:p>
                    <w:pPr>
                      <w:ind w:firstLine="227"/>
                      <w:jc w:val="both"/>
                      <w:rPr>
                        <w:bCs/>
                        <w:sz w:val="22"/>
                        <w:szCs w:val="22"/>
                      </w:rPr>
                    </w:pPr>
                  </w:p>
                  <w:p>
                    <w:pPr>
                      <w:ind w:firstLine="227"/>
                      <w:jc w:val="both"/>
                      <w:rPr>
                        <w:bCs/>
                        <w:sz w:val="22"/>
                        <w:szCs w:val="22"/>
                      </w:rPr>
                    </w:pPr>
                  </w:p>
                  <w:p>
                    <w:pPr>
                      <w:ind w:firstLine="227"/>
                      <w:jc w:val="both"/>
                      <w:rPr>
                        <w:bCs/>
                        <w:sz w:val="22"/>
                        <w:szCs w:val="22"/>
                      </w:rPr>
                    </w:pPr>
                  </w:p>
                </w:tc>
                <w:tc>
                  <w:tcPr>
                    <w:tcW w:w="1881" w:type="dxa"/>
                  </w:tcPr>
                  <w:p>
                    <w:pPr>
                      <w:jc w:val="center"/>
                      <w:rPr>
                        <w:bCs/>
                        <w:sz w:val="22"/>
                        <w:szCs w:val="22"/>
                      </w:rPr>
                    </w:pPr>
                    <w:r>
                      <w:rPr>
                        <w:bCs/>
                        <w:sz w:val="22"/>
                        <w:szCs w:val="22"/>
                      </w:rPr>
                      <w:t>Pritarti.</w:t>
                    </w:r>
                  </w:p>
                </w:tc>
                <w:tc>
                  <w:tcPr>
                    <w:tcW w:w="2824" w:type="dxa"/>
                  </w:tcPr>
                  <w:p>
                    <w:pPr>
                      <w:suppressAutoHyphens/>
                      <w:rPr>
                        <w:b/>
                        <w:bCs/>
                        <w:sz w:val="22"/>
                        <w:szCs w:val="22"/>
                        <w:lang w:eastAsia="en-GB"/>
                      </w:rPr>
                    </w:pPr>
                    <w:r>
                      <w:rPr>
                        <w:sz w:val="22"/>
                        <w:szCs w:val="22"/>
                        <w:lang w:eastAsia="en-GB"/>
                      </w:rPr>
                      <w:t>Siūloma pakeisti 10 straipsnio 2 punktą ir jį išdėstyti taip:</w:t>
                    </w:r>
                  </w:p>
                  <w:p>
                    <w:pPr>
                      <w:rPr>
                        <w:i/>
                        <w:iCs/>
                        <w:szCs w:val="24"/>
                      </w:rPr>
                    </w:pPr>
                    <w:r>
                      <w:rPr>
                        <w:sz w:val="22"/>
                        <w:szCs w:val="22"/>
                        <w:lang w:eastAsia="en-GB"/>
                      </w:rPr>
                      <w:t xml:space="preserve">„2) per savivaldybės infrastruktūros plėtros sutartyje nustatytą terminą, bet ne vėliau kaip iki statinių, kuriems reikalinga infrastruktūros plėtra, statybos užbaigimo (jeigu atliekamos atskirų statinių statybos užbaigimo procedūros – iki pirmojo statinio statybos užbaigimo) Statybos įstatymo nustatyta tvarka pastato ar kitų teisės aktų nustatyta tvarka įrengia ir neatlygintinai perduoda savivaldybės infrastruktūros plėtros sutartyje nurodytą </w:t>
                    </w:r>
                    <w:r>
                      <w:rPr>
                        <w:b/>
                        <w:bCs/>
                        <w:sz w:val="22"/>
                        <w:szCs w:val="22"/>
                        <w:lang w:eastAsia="en-GB"/>
                      </w:rPr>
                      <w:t xml:space="preserve">inžinerinę savivaldybės </w:t>
                    </w:r>
                    <w:r>
                      <w:rPr>
                        <w:sz w:val="22"/>
                        <w:szCs w:val="22"/>
                        <w:lang w:eastAsia="en-GB"/>
                      </w:rPr>
                      <w:t xml:space="preserve">infrastruktūrą šioje sutartyje nurodytiems savivaldybės infrastruktūros valdytojams. </w:t>
                    </w:r>
                    <w:r>
                      <w:rPr>
                        <w:b/>
                        <w:bCs/>
                        <w:sz w:val="22"/>
                        <w:szCs w:val="22"/>
                        <w:lang w:eastAsia="en-GB"/>
                      </w:rPr>
                      <w:t>Kai savivaldybės infrastruktūros plėtros sutartyje nustatyta, kad joje nurodyta inžinerinė savivaldybės infrastruktūra gali būti naudojama iki jos statybos ir (ar) įrengimo užbaigimo</w:t>
                    </w:r>
                    <w:r>
                      <w:rPr>
                        <w:b/>
                        <w:bCs/>
                        <w:i/>
                        <w:iCs/>
                        <w:sz w:val="22"/>
                        <w:szCs w:val="22"/>
                        <w:lang w:eastAsia="en-GB"/>
                      </w:rPr>
                      <w:t>, savivaldybės infrastruktūros plėtros iniciatorius: iki statinių, kuriems reikalinga infrastruktūros plėtra, statybos užbaigimo (jeigu atliekamos atskirų statinių statybos užbaigimo procedūros – iki pirmojo statinio statybos užbaigimo) Statybos įstatymo nustatyta tvarka pastato ar kitų teisės aktų nustatyta tvarka įrengia savivaldybės infrastruktūros plėtros sutartyje nurodytą inžinerinę savivaldybės infrastruktūrą</w:t>
                    </w:r>
                    <w:r>
                      <w:rPr>
                        <w:b/>
                        <w:bCs/>
                        <w:sz w:val="22"/>
                        <w:szCs w:val="22"/>
                        <w:lang w:eastAsia="en-GB"/>
                      </w:rPr>
                      <w:t xml:space="preserve">  ir savivaldybės infrastruktūros valdytojui </w:t>
                    </w:r>
                    <w:r>
                      <w:rPr>
                        <w:b/>
                        <w:bCs/>
                        <w:i/>
                        <w:iCs/>
                        <w:sz w:val="22"/>
                        <w:szCs w:val="22"/>
                        <w:lang w:eastAsia="en-GB"/>
                      </w:rPr>
                      <w:t>perduoda teisę</w:t>
                    </w:r>
                    <w:r>
                      <w:rPr>
                        <w:b/>
                        <w:bCs/>
                        <w:sz w:val="22"/>
                        <w:szCs w:val="22"/>
                        <w:lang w:eastAsia="en-GB"/>
                      </w:rPr>
                      <w:t xml:space="preserve"> priimti sprendimus dėl </w:t>
                    </w:r>
                    <w:r>
                      <w:rPr>
                        <w:b/>
                        <w:bCs/>
                        <w:i/>
                        <w:iCs/>
                        <w:sz w:val="22"/>
                        <w:szCs w:val="22"/>
                        <w:lang w:eastAsia="en-GB"/>
                      </w:rPr>
                      <w:t>kitiems asmenims (vartotojams) priklausančios infrastruktūros (inžinerinių tinklų ar susisiekimo komunikacijų) prijungimo prie neužbaigtos statyti ir (ar) įrengti inžinerinės savivaldybės infrastruktūros; neatlygintinai perduoda savivaldybės infrastruktūros plėtros sutartyje nurodytą užbaigtą statyti ir (ar) įrengti inžinerinę savivaldybės infrastruktūrą šioje sutartyje nurodytiems savivaldybės infrastruktūros valdytojams nurodytais terminais ir sąlygomis</w:t>
                    </w:r>
                    <w:r>
                      <w:rPr>
                        <w:i/>
                        <w:iCs/>
                        <w:sz w:val="22"/>
                        <w:szCs w:val="22"/>
                        <w:lang w:eastAsia="en-GB"/>
                      </w:rPr>
                      <w:t>;“.</w:t>
                    </w:r>
                  </w:p>
                </w:tc>
              </w:tr>
              <w:tr>
                <w:trPr>
                  <w:jc w:val="center"/>
                </w:trPr>
                <w:tc>
                  <w:tcPr>
                    <w:tcW w:w="570" w:type="dxa"/>
                  </w:tcPr>
                  <w:p>
                    <w:pPr>
                      <w:jc w:val="center"/>
                      <w:rPr>
                        <w:bCs/>
                        <w:sz w:val="22"/>
                        <w:szCs w:val="22"/>
                      </w:rPr>
                    </w:pPr>
                    <w:r>
                      <w:rPr>
                        <w:bCs/>
                        <w:sz w:val="22"/>
                        <w:szCs w:val="22"/>
                      </w:rPr>
                      <w:t>4.</w:t>
                    </w:r>
                  </w:p>
                </w:tc>
                <w:tc>
                  <w:tcPr>
                    <w:tcW w:w="2297" w:type="dxa"/>
                  </w:tcPr>
                  <w:p>
                    <w:pPr>
                      <w:jc w:val="both"/>
                      <w:rPr>
                        <w:bCs/>
                        <w:sz w:val="22"/>
                        <w:szCs w:val="22"/>
                      </w:rPr>
                    </w:pPr>
                    <w:r>
                      <w:rPr>
                        <w:bCs/>
                        <w:sz w:val="22"/>
                        <w:szCs w:val="22"/>
                      </w:rPr>
                      <w:t>Seimo kanceliarijos Teisės departamentas</w:t>
                    </w:r>
                  </w:p>
                  <w:p>
                    <w:pPr>
                      <w:jc w:val="both"/>
                      <w:rPr>
                        <w:bCs/>
                        <w:sz w:val="22"/>
                        <w:szCs w:val="22"/>
                      </w:rPr>
                    </w:pPr>
                    <w:r>
                      <w:rPr>
                        <w:bCs/>
                        <w:sz w:val="22"/>
                        <w:szCs w:val="22"/>
                      </w:rPr>
                      <w:t>(2026-06-01)</w:t>
                    </w:r>
                  </w:p>
                </w:tc>
                <w:tc>
                  <w:tcPr>
                    <w:tcW w:w="684" w:type="dxa"/>
                  </w:tcPr>
                  <w:p>
                    <w:pPr>
                      <w:jc w:val="center"/>
                      <w:rPr>
                        <w:b/>
                        <w:bCs/>
                        <w:sz w:val="22"/>
                        <w:szCs w:val="22"/>
                      </w:rPr>
                    </w:pPr>
                    <w:r>
                      <w:rPr>
                        <w:b/>
                        <w:bCs/>
                        <w:sz w:val="22"/>
                        <w:szCs w:val="22"/>
                      </w:rPr>
                      <w:t>4</w:t>
                    </w:r>
                  </w:p>
                  <w:p>
                    <w:pPr>
                      <w:jc w:val="center"/>
                      <w:rPr>
                        <w:b/>
                        <w:bCs/>
                        <w:sz w:val="22"/>
                        <w:szCs w:val="22"/>
                      </w:rPr>
                    </w:pPr>
                    <w:r>
                      <w:rPr>
                        <w:b/>
                        <w:bCs/>
                        <w:sz w:val="22"/>
                        <w:szCs w:val="22"/>
                      </w:rPr>
                      <w:t>(13)</w:t>
                    </w:r>
                  </w:p>
                </w:tc>
                <w:tc>
                  <w:tcPr>
                    <w:tcW w:w="684" w:type="dxa"/>
                  </w:tcPr>
                  <w:p>
                    <w:pPr>
                      <w:jc w:val="center"/>
                      <w:rPr>
                        <w:b/>
                        <w:bCs/>
                        <w:sz w:val="22"/>
                        <w:szCs w:val="22"/>
                      </w:rPr>
                    </w:pPr>
                  </w:p>
                  <w:p>
                    <w:pPr>
                      <w:jc w:val="center"/>
                      <w:rPr>
                        <w:b/>
                        <w:bCs/>
                        <w:sz w:val="22"/>
                        <w:szCs w:val="22"/>
                      </w:rPr>
                    </w:pPr>
                    <w:r>
                      <w:rPr>
                        <w:b/>
                        <w:bCs/>
                        <w:sz w:val="22"/>
                        <w:szCs w:val="22"/>
                      </w:rPr>
                      <w:t>(4)</w:t>
                    </w:r>
                  </w:p>
                </w:tc>
                <w:tc>
                  <w:tcPr>
                    <w:tcW w:w="684" w:type="dxa"/>
                  </w:tcPr>
                  <w:p>
                    <w:pPr>
                      <w:jc w:val="center"/>
                      <w:rPr>
                        <w:b/>
                        <w:bCs/>
                        <w:sz w:val="22"/>
                        <w:szCs w:val="22"/>
                      </w:rPr>
                    </w:pPr>
                  </w:p>
                </w:tc>
                <w:tc>
                  <w:tcPr>
                    <w:tcW w:w="5544" w:type="dxa"/>
                  </w:tcPr>
                  <w:p>
                    <w:pPr>
                      <w:ind w:firstLine="227"/>
                      <w:jc w:val="both"/>
                      <w:rPr>
                        <w:bCs/>
                        <w:sz w:val="22"/>
                        <w:szCs w:val="22"/>
                      </w:rPr>
                    </w:pPr>
                    <w:r>
                      <w:rPr>
                        <w:bCs/>
                        <w:sz w:val="22"/>
                        <w:szCs w:val="22"/>
                      </w:rPr>
                      <w:t>4.      Atsižvelgiant į projekto 2 straipsnio 1 dalimi keičiamo įstatymo 8 straipsnio 4 dalies 11 punkto bei projekto 3 straipsniu keičiamo įstatymo 10 straipsnio 2 punkto nuostatas, svarstytina, ar projekto 4 straipsniu keičiamo įstatymo 13 straipsnio 4 dalies trečiojo sakinio toje apimtyje, kurioje nustatyta, kad statytojai (vystytojai) „prisijungia“ prie pastatytos ar įrengtos savivaldybės infrastruktūros nereikėtų patikslinti nurodant, kad šie asmenys „prisijungia“ prie </w:t>
                    </w:r>
                    <w:r>
                      <w:rPr>
                        <w:bCs/>
                        <w:i/>
                        <w:iCs/>
                        <w:sz w:val="22"/>
                        <w:szCs w:val="22"/>
                      </w:rPr>
                      <w:t>inžinerinės</w:t>
                    </w:r>
                    <w:r>
                      <w:rPr>
                        <w:bCs/>
                        <w:sz w:val="22"/>
                        <w:szCs w:val="22"/>
                      </w:rPr>
                      <w:t> savivaldybės infrastruktūros.</w:t>
                    </w:r>
                  </w:p>
                  <w:p>
                    <w:pPr>
                      <w:ind w:firstLine="227"/>
                      <w:jc w:val="both"/>
                      <w:rPr>
                        <w:bCs/>
                        <w:sz w:val="22"/>
                        <w:szCs w:val="22"/>
                      </w:rPr>
                    </w:pPr>
                    <w:r>
                      <w:rPr>
                        <w:bCs/>
                        <w:sz w:val="22"/>
                        <w:szCs w:val="22"/>
                      </w:rPr>
                      <w:t>Be to, atkreiptinas dėmesys, kad minėtoje projekto nuostatoje esantis jungtukas „ar“ suponuoja tai, kad kompensacijos už neprioritetinės savivaldybės infrastruktūros plėtrą galės būti mokamos iš savivaldybės infrastruktūros plėtros įmokų, kurios surenkamos iš </w:t>
                    </w:r>
                    <w:r>
                      <w:rPr>
                        <w:bCs/>
                        <w:i/>
                        <w:iCs/>
                        <w:sz w:val="22"/>
                        <w:szCs w:val="22"/>
                      </w:rPr>
                      <w:t>statytojų (vystytojų), statančių (rekonstruojančių) statinius </w:t>
                    </w:r>
                    <w:r>
                      <w:rPr>
                        <w:bCs/>
                        <w:sz w:val="22"/>
                        <w:szCs w:val="22"/>
                      </w:rPr>
                      <w:t>šios infrastruktūros aptarnaujamoje teritorijoje, nors pastarieji prie jau pastatytos ar įrengtos savivaldybės infrastruktūros neprisijungs. Pažymėtina, kad pagal keičiamo įstatymo 2 straipsnio 7 dalies nuostatas savivaldybės infrastruktūros plėtros įmoka mokama tik naujo statinio statybos arba esamo statinio rekonstrukcijos atveju, jeigu </w:t>
                    </w:r>
                    <w:r>
                      <w:rPr>
                        <w:bCs/>
                        <w:i/>
                        <w:iCs/>
                        <w:sz w:val="22"/>
                        <w:szCs w:val="22"/>
                      </w:rPr>
                      <w:t>statinys nepriklauso savivaldybės infrastruktūrai</w:t>
                    </w:r>
                    <w:r>
                      <w:rPr>
                        <w:bCs/>
                        <w:sz w:val="22"/>
                        <w:szCs w:val="22"/>
                      </w:rPr>
                      <w:t> ir </w:t>
                    </w:r>
                    <w:r>
                      <w:rPr>
                        <w:bCs/>
                        <w:i/>
                        <w:iCs/>
                        <w:sz w:val="22"/>
                        <w:szCs w:val="22"/>
                      </w:rPr>
                      <w:t>jam reikalinga savivaldybės infrastruktūra</w:t>
                    </w:r>
                    <w:r>
                      <w:rPr>
                        <w:bCs/>
                        <w:sz w:val="22"/>
                        <w:szCs w:val="22"/>
                      </w:rPr>
                      <w:t>. Atsižvelgiant į tai ir siekiant teisinio aiškumo, projekto 4 straipsniu keičiamo įstatymo 13 straipsnio 4 dalies trečiajame sakinyje siūlytina atsisakyti jungtuko „(ar)“.  </w:t>
                    </w:r>
                  </w:p>
                  <w:p>
                    <w:pPr>
                      <w:ind w:firstLine="227"/>
                      <w:jc w:val="both"/>
                      <w:rPr>
                        <w:bCs/>
                        <w:sz w:val="22"/>
                        <w:szCs w:val="22"/>
                      </w:rPr>
                    </w:pPr>
                  </w:p>
                </w:tc>
                <w:tc>
                  <w:tcPr>
                    <w:tcW w:w="1881" w:type="dxa"/>
                  </w:tcPr>
                  <w:p>
                    <w:pPr>
                      <w:jc w:val="center"/>
                      <w:rPr>
                        <w:bCs/>
                        <w:sz w:val="22"/>
                        <w:szCs w:val="22"/>
                      </w:rPr>
                    </w:pPr>
                    <w:r>
                      <w:rPr>
                        <w:bCs/>
                        <w:sz w:val="22"/>
                        <w:szCs w:val="22"/>
                      </w:rPr>
                      <w:t>Pritarti.</w:t>
                    </w:r>
                  </w:p>
                </w:tc>
                <w:tc>
                  <w:tcPr>
                    <w:tcW w:w="2824" w:type="dxa"/>
                  </w:tcPr>
                  <w:p>
                    <w:pPr>
                      <w:rPr>
                        <w:sz w:val="22"/>
                        <w:szCs w:val="22"/>
                      </w:rPr>
                    </w:pPr>
                    <w:r>
                      <w:rPr>
                        <w:sz w:val="22"/>
                        <w:szCs w:val="22"/>
                      </w:rPr>
                      <w:t>Siūloma pakeisti 13 straipsnio 4 dalį ir ją išdėstyti taip:</w:t>
                    </w:r>
                  </w:p>
                  <w:p>
                    <w:pPr>
                      <w:rPr>
                        <w:sz w:val="22"/>
                        <w:szCs w:val="22"/>
                      </w:rPr>
                    </w:pPr>
                    <w:r>
                      <w:rPr>
                        <w:sz w:val="22"/>
                        <w:szCs w:val="22"/>
                      </w:rPr>
                      <w:t>„4. Kompensacijos už prioritetinės savivaldybės infrastruktūros plėtrą pagal teritorijų planavimo dokumentuose nustatytus vystymo etapus, savivaldybės infrastruktūros plėtros sutartyse nustatytas kompensavimo sąlygas, savivaldybės infrastruktūros perdavimo savivaldybės infrastruktūros valdytojui (valdytojams) terminą mokamos iš savivaldybės biudžeto ir (ar) kituose įstatymuose nustatytais atvejais – iš savivaldybės infrastruktūros valdytojo biudžeto, taip pat iš Programos lėšų, sukauptų iš prioritetinės savivaldybės infrastruktūros įmokų. Savivaldybė ir (ar) savivaldybės infrastruktūros valdytojas privalo kompensuoti savivaldybės infrastruktūros plėtros sutartyje numatytas savivaldybės infrastruktūros plėtros iniciatoriaus išlaidas, patirtas įgyvendinant savivaldybės infrastruktūros plėtros sutartyje numatytos prioritetinės savivaldybės infrastruktūros plėtrą. Kompensacijos už neprioritetinės savivaldybės infrastruktūros plėtrą mokamos iš savivaldybės infrastruktūros plėtros įmokų, kurios surenkamos iš statytojų (vystytojų), prisijungiančių prie savivaldybės infrastruktūros plėtros iniciatoriaus pastatytos ar įrengtos savivaldybės infrastruktūros </w:t>
                    </w:r>
                    <w:r>
                      <w:rPr>
                        <w:b/>
                        <w:bCs/>
                        <w:sz w:val="22"/>
                        <w:szCs w:val="22"/>
                      </w:rPr>
                      <w:t>ir (ar) statančių (rekonstruojančių) statinius</w:t>
                    </w:r>
                    <w:r>
                      <w:rPr>
                        <w:b/>
                        <w:bCs/>
                        <w:i/>
                        <w:iCs/>
                        <w:sz w:val="22"/>
                        <w:szCs w:val="22"/>
                      </w:rPr>
                      <w:t xml:space="preserve">, kuriems reikalinga savivaldybės infrastruktūra </w:t>
                    </w:r>
                    <w:r>
                      <w:rPr>
                        <w:b/>
                        <w:bCs/>
                        <w:sz w:val="22"/>
                        <w:szCs w:val="22"/>
                      </w:rPr>
                      <w:t>šios infrastruktūros aptarnaujamoje teritorijoje, nustatytoje teritorijų planavimo dokumentuose ar, kai juose nenustatyta, savivaldybės infrastruktūros valdytojo patvirtintuose dokumentuose</w:t>
                    </w:r>
                    <w:r>
                      <w:rPr>
                        <w:sz w:val="22"/>
                        <w:szCs w:val="22"/>
                      </w:rPr>
                      <w:t xml:space="preserve">. Kompensacijos už neprioritetinės infrastruktūros plėtrą nemokamos, kai prie savivaldybės infrastruktūros plėtros iniciatoriaus pastatytos ar įrengtos savivaldybės infrastruktūros nauji statytojai (vystytojai) neprisijungia </w:t>
                    </w:r>
                    <w:r>
                      <w:rPr>
                        <w:b/>
                        <w:bCs/>
                        <w:i/>
                        <w:iCs/>
                        <w:sz w:val="22"/>
                        <w:szCs w:val="22"/>
                      </w:rPr>
                      <w:t>ir (ar) statomiems (rekonstruojamiems) statiniams savivaldybės infrastruktūra nereikalinga</w:t>
                    </w:r>
                    <w:r>
                      <w:rPr>
                        <w:sz w:val="22"/>
                        <w:szCs w:val="22"/>
                      </w:rPr>
                      <w:t>.“</w:t>
                    </w:r>
                  </w:p>
                  <w:p>
                    <w:pPr>
                      <w:ind w:firstLine="227"/>
                      <w:rPr>
                        <w:bCs/>
                        <w:sz w:val="22"/>
                        <w:szCs w:val="22"/>
                      </w:rPr>
                    </w:pPr>
                  </w:p>
                </w:tc>
              </w:tr>
              <w:tr>
                <w:trPr>
                  <w:jc w:val="center"/>
                </w:trPr>
                <w:tc>
                  <w:tcPr>
                    <w:tcW w:w="570" w:type="dxa"/>
                  </w:tcPr>
                  <w:p>
                    <w:pPr>
                      <w:jc w:val="center"/>
                      <w:rPr>
                        <w:bCs/>
                        <w:sz w:val="22"/>
                        <w:szCs w:val="22"/>
                      </w:rPr>
                    </w:pPr>
                    <w:r>
                      <w:rPr>
                        <w:bCs/>
                        <w:sz w:val="22"/>
                        <w:szCs w:val="22"/>
                      </w:rPr>
                      <w:t>5.</w:t>
                    </w:r>
                  </w:p>
                </w:tc>
                <w:tc>
                  <w:tcPr>
                    <w:tcW w:w="2297" w:type="dxa"/>
                  </w:tcPr>
                  <w:p>
                    <w:pPr>
                      <w:jc w:val="both"/>
                      <w:rPr>
                        <w:bCs/>
                        <w:sz w:val="22"/>
                        <w:szCs w:val="22"/>
                      </w:rPr>
                    </w:pPr>
                    <w:r>
                      <w:rPr>
                        <w:bCs/>
                        <w:sz w:val="22"/>
                        <w:szCs w:val="22"/>
                      </w:rPr>
                      <w:t>Seimo kanceliarijos Teisės departamentas</w:t>
                    </w:r>
                  </w:p>
                  <w:p>
                    <w:pPr>
                      <w:jc w:val="both"/>
                      <w:rPr>
                        <w:bCs/>
                        <w:sz w:val="22"/>
                        <w:szCs w:val="22"/>
                      </w:rPr>
                    </w:pPr>
                    <w:r>
                      <w:rPr>
                        <w:bCs/>
                        <w:sz w:val="22"/>
                        <w:szCs w:val="22"/>
                      </w:rPr>
                      <w:t>(2026-06-01)</w:t>
                    </w:r>
                  </w:p>
                </w:tc>
                <w:tc>
                  <w:tcPr>
                    <w:tcW w:w="684" w:type="dxa"/>
                  </w:tcPr>
                  <w:p>
                    <w:pPr>
                      <w:jc w:val="center"/>
                      <w:rPr>
                        <w:b/>
                        <w:bCs/>
                        <w:sz w:val="22"/>
                        <w:szCs w:val="22"/>
                      </w:rPr>
                    </w:pPr>
                    <w:r>
                      <w:rPr>
                        <w:b/>
                        <w:bCs/>
                        <w:sz w:val="22"/>
                        <w:szCs w:val="22"/>
                      </w:rPr>
                      <w:t>5</w:t>
                    </w:r>
                  </w:p>
                </w:tc>
                <w:tc>
                  <w:tcPr>
                    <w:tcW w:w="684" w:type="dxa"/>
                  </w:tcPr>
                  <w:p>
                    <w:pPr>
                      <w:jc w:val="center"/>
                      <w:rPr>
                        <w:b/>
                        <w:bCs/>
                        <w:sz w:val="22"/>
                        <w:szCs w:val="22"/>
                      </w:rPr>
                    </w:pPr>
                    <w:r>
                      <w:rPr>
                        <w:b/>
                        <w:bCs/>
                        <w:sz w:val="22"/>
                        <w:szCs w:val="22"/>
                      </w:rPr>
                      <w:t>1, 2</w:t>
                    </w:r>
                  </w:p>
                </w:tc>
                <w:tc>
                  <w:tcPr>
                    <w:tcW w:w="684" w:type="dxa"/>
                  </w:tcPr>
                  <w:p>
                    <w:pPr>
                      <w:jc w:val="center"/>
                      <w:rPr>
                        <w:b/>
                        <w:bCs/>
                        <w:sz w:val="22"/>
                        <w:szCs w:val="22"/>
                      </w:rPr>
                    </w:pPr>
                  </w:p>
                </w:tc>
                <w:tc>
                  <w:tcPr>
                    <w:tcW w:w="5544" w:type="dxa"/>
                  </w:tcPr>
                  <w:p>
                    <w:pPr>
                      <w:jc w:val="both"/>
                      <w:rPr>
                        <w:bCs/>
                        <w:sz w:val="22"/>
                        <w:szCs w:val="22"/>
                      </w:rPr>
                    </w:pPr>
                    <w:r>
                      <w:rPr>
                        <w:bCs/>
                        <w:sz w:val="22"/>
                        <w:szCs w:val="22"/>
                      </w:rPr>
                      <w:t>5.     Siekiant teisinio aiškumo, projekto 5 straipsnio 1 ir 2 dalyse nuostatos „pagal ankstesnį teisinį reguliavimą“ ir „vadovaujantis ankstesnio teisinio reguliavimo nuostatomis“ keistinos nuostatomis „pagal iki šio įstatymo įsigaliojimo dienos galiojusį teisinį reguliavimą“ ir „vadovaujantis iki šio įstatymo įsigaliojimo dienos galiojusiomis teisinio reguliavimo nuostatomis“.</w:t>
                    </w:r>
                  </w:p>
                </w:tc>
                <w:tc>
                  <w:tcPr>
                    <w:tcW w:w="1881" w:type="dxa"/>
                  </w:tcPr>
                  <w:p>
                    <w:pPr>
                      <w:jc w:val="center"/>
                      <w:rPr>
                        <w:bCs/>
                        <w:sz w:val="22"/>
                        <w:szCs w:val="22"/>
                      </w:rPr>
                    </w:pPr>
                    <w:r>
                      <w:rPr>
                        <w:bCs/>
                        <w:sz w:val="22"/>
                        <w:szCs w:val="22"/>
                      </w:rPr>
                      <w:t>Pritarti.</w:t>
                    </w:r>
                  </w:p>
                </w:tc>
                <w:tc>
                  <w:tcPr>
                    <w:tcW w:w="2824" w:type="dxa"/>
                  </w:tcPr>
                  <w:p>
                    <w:pPr>
                      <w:rPr>
                        <w:sz w:val="22"/>
                        <w:szCs w:val="22"/>
                      </w:rPr>
                    </w:pPr>
                    <w:r>
                      <w:rPr>
                        <w:sz w:val="22"/>
                        <w:szCs w:val="22"/>
                      </w:rPr>
                      <w:t>Siūloma:</w:t>
                    </w:r>
                  </w:p>
                  <w:p>
                    <w:pPr>
                      <w:ind w:right="-62"/>
                      <w:rPr>
                        <w:b/>
                        <w:bCs/>
                        <w:sz w:val="22"/>
                        <w:szCs w:val="22"/>
                      </w:rPr>
                    </w:pPr>
                    <w:r>
                      <w:rPr>
                        <w:b/>
                        <w:bCs/>
                        <w:sz w:val="22"/>
                        <w:szCs w:val="22"/>
                      </w:rPr>
                      <w:t>5 straipsnis. Įstatymo taikymas</w:t>
                    </w:r>
                  </w:p>
                  <w:p>
                    <w:pPr>
                      <w:ind w:right="-62"/>
                      <w:rPr>
                        <w:b/>
                        <w:bCs/>
                        <w:sz w:val="22"/>
                        <w:szCs w:val="22"/>
                      </w:rPr>
                    </w:pPr>
                    <w:r>
                      <w:rPr>
                        <w:sz w:val="22"/>
                        <w:szCs w:val="22"/>
                        <w:lang w:eastAsia="lt-LT"/>
                      </w:rPr>
                      <w:t xml:space="preserve">1. Savivaldybės infrastruktūros plėtros organizatorius </w:t>
                    </w:r>
                    <w:r>
                      <w:rPr>
                        <w:i/>
                        <w:iCs/>
                        <w:sz w:val="22"/>
                        <w:szCs w:val="22"/>
                      </w:rPr>
                      <w:t>pagal iki šio įstatymo įsigaliojimo dienos galiojusį teisinį reguliavimą</w:t>
                    </w:r>
                    <w:r>
                      <w:rPr>
                        <w:sz w:val="22"/>
                        <w:szCs w:val="22"/>
                        <w:lang w:eastAsia="lt-LT"/>
                      </w:rPr>
                      <w:t xml:space="preserve"> savivaldybės infrastruktūros plėtros iniciatoriaus </w:t>
                    </w:r>
                    <w:r>
                      <w:rPr>
                        <w:sz w:val="22"/>
                        <w:szCs w:val="22"/>
                      </w:rPr>
                      <w:t xml:space="preserve">pateiktą prašymą sudaryti savivaldybės infrastruktūros plėtros sutartį baigia nagrinėti pagal jo pateikimo metu galiojusį teisinį reguliavimą. Ši nuostata netaikoma, kai  prašymo sudaryti savivaldybės infrastruktūros plėtros sutartį nagrinėjimo metu iki savivaldybės infrastruktūros plėtros sutarties pasirašymo šį prašymą pateikęs asmuo raštu, teikiamu savivaldybės infrastruktūros plėtros organizatoriui, nurodo, kad </w:t>
                    </w:r>
                    <w:r>
                      <w:rPr>
                        <w:i/>
                        <w:iCs/>
                        <w:sz w:val="22"/>
                        <w:szCs w:val="22"/>
                      </w:rPr>
                      <w:t>pagal iki šio įstatymo įsigaliojimo dienos galiojusį teisinį reguliavimą</w:t>
                    </w:r>
                    <w:r>
                      <w:rPr>
                        <w:sz w:val="22"/>
                        <w:szCs w:val="22"/>
                      </w:rPr>
                      <w:t xml:space="preserve"> pateikto prašymo nagrinėjimą s</w:t>
                    </w:r>
                    <w:r>
                      <w:rPr>
                        <w:sz w:val="22"/>
                        <w:szCs w:val="22"/>
                        <w:lang w:eastAsia="lt-LT"/>
                      </w:rPr>
                      <w:t xml:space="preserve">avivaldybės infrastruktūros plėtros </w:t>
                    </w:r>
                    <w:r>
                      <w:rPr>
                        <w:sz w:val="22"/>
                        <w:szCs w:val="22"/>
                      </w:rPr>
                      <w:t>organizatorius vykdytų pagal galiojantį teisinį reguliavimą.</w:t>
                    </w:r>
                  </w:p>
                  <w:p>
                    <w:pPr>
                      <w:ind w:right="-62"/>
                      <w:rPr>
                        <w:sz w:val="22"/>
                        <w:szCs w:val="22"/>
                      </w:rPr>
                    </w:pPr>
                    <w:r>
                      <w:rPr>
                        <w:sz w:val="22"/>
                        <w:szCs w:val="22"/>
                      </w:rPr>
                      <w:t xml:space="preserve">2. Savivaldybės infrastruktūros plėtros organizatoriui priimant sprendimą nutraukti </w:t>
                    </w:r>
                    <w:r>
                      <w:rPr>
                        <w:i/>
                        <w:iCs/>
                        <w:sz w:val="22"/>
                        <w:szCs w:val="22"/>
                      </w:rPr>
                      <w:t>vadovaujantis iki šio įstatymo įsigaliojimo dienos galiojusiomis teisinio reguliavimo nuostatomis</w:t>
                    </w:r>
                    <w:r>
                      <w:rPr>
                        <w:sz w:val="22"/>
                        <w:szCs w:val="22"/>
                      </w:rPr>
                      <w:t xml:space="preserve"> sudarytą savivaldybės infrastruktūros plėtros sutartį taikomos </w:t>
                    </w:r>
                    <w:r>
                      <w:rPr>
                        <w:i/>
                        <w:iCs/>
                        <w:sz w:val="22"/>
                        <w:szCs w:val="22"/>
                      </w:rPr>
                      <w:t xml:space="preserve">iki šio įstatymo įsigaliojimo dienos galiojusios </w:t>
                    </w:r>
                    <w:r>
                      <w:rPr>
                        <w:sz w:val="22"/>
                        <w:szCs w:val="22"/>
                      </w:rPr>
                      <w:t>teisinio reguliavimo nuostatos.</w:t>
                    </w:r>
                  </w:p>
                  <w:p>
                    <w:pPr>
                      <w:rPr>
                        <w:sz w:val="22"/>
                        <w:szCs w:val="22"/>
                      </w:rPr>
                    </w:pPr>
                  </w:p>
                  <w:p>
                    <w:pPr>
                      <w:ind w:right="-64"/>
                      <w:rPr>
                        <w:sz w:val="22"/>
                        <w:szCs w:val="22"/>
                      </w:rPr>
                    </w:pPr>
                  </w:p>
                </w:tc>
              </w:tr>
            </w:tbl>
            <w:p>
              <w:pPr>
                <w:jc w:val="both"/>
                <w:rPr>
                  <w:sz w:val="20"/>
                  <w:szCs w:val="24"/>
                </w:rPr>
              </w:pPr>
            </w:p>
          </w:sdtContent>
        </w:sdt>
        <w:sdt>
          <w:sdtPr>
            <w:alias w:val="3 p."/>
            <w:tag w:val="part_7fe7820b11ea4d38abaad4ef3bfeec65"/>
            <w:lock w:val="sdtLocked"/>
            <w:richText/>
          </w:sdtPr>
          <w:sdtContent>
            <w:p>
              <w:pPr>
                <w:keepNext/>
                <w:ind w:firstLine="720"/>
                <w:jc w:val="both"/>
                <w:outlineLvl w:val="5"/>
                <w:rPr>
                  <w:b/>
                  <w:bCs/>
                  <w:szCs w:val="24"/>
                </w:rPr>
              </w:pPr>
              <w:sdt>
                <w:sdtPr>
                  <w:alias w:val="Numeris"/>
                  <w:tag w:val="nr_7fe7820b11ea4d38abaad4ef3bfeec65"/>
                  <w:lock w:val="sdtLocked"/>
                  <w:richText/>
                </w:sdtPr>
                <w:sdtContent>
                  <w:r>
                    <w:rPr>
                      <w:b/>
                      <w:bCs/>
                      <w:szCs w:val="24"/>
                    </w:rPr>
                    <w:t>3</w:t>
                  </w:r>
                </w:sdtContent>
              </w:sdt>
              <w:r>
                <w:rPr>
                  <w:b/>
                  <w:bCs/>
                  <w:szCs w:val="24"/>
                </w:rPr>
                <w:t>. Piliečių, asociacijų, politinių partijų, lobistų ir kitų suinteresuotų asmenų pasiūlymai:</w:t>
              </w:r>
            </w:p>
            <w:p>
              <w:pPr>
                <w:jc w:val="both"/>
                <w:rPr>
                  <w:sz w:val="20"/>
                  <w:szCs w:val="24"/>
                </w:rPr>
              </w:pP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284"/>
                <w:gridCol w:w="709"/>
                <w:gridCol w:w="709"/>
                <w:gridCol w:w="709"/>
                <w:gridCol w:w="5512"/>
                <w:gridCol w:w="1870"/>
                <w:gridCol w:w="2808"/>
              </w:tblGrid>
              <w:tr>
                <w:trPr>
                  <w:trHeight w:val="472"/>
                  <w:tblHeader/>
                  <w:jc w:val="center"/>
                </w:trPr>
                <w:tc>
                  <w:tcPr>
                    <w:tcW w:w="567"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2284" w:type="dxa"/>
                    <w:vMerge w:val="restart"/>
                    <w:vAlign w:val="center"/>
                  </w:tcPr>
                  <w:p>
                    <w:pPr>
                      <w:jc w:val="center"/>
                      <w:rPr>
                        <w:sz w:val="22"/>
                        <w:szCs w:val="22"/>
                      </w:rPr>
                    </w:pPr>
                    <w:r>
                      <w:rPr>
                        <w:sz w:val="22"/>
                        <w:szCs w:val="22"/>
                      </w:rPr>
                      <w:t>Pasiūlymo teikėjas, data</w:t>
                    </w:r>
                  </w:p>
                </w:tc>
                <w:tc>
                  <w:tcPr>
                    <w:tcW w:w="2127" w:type="dxa"/>
                    <w:gridSpan w:val="3"/>
                    <w:vAlign w:val="center"/>
                  </w:tcPr>
                  <w:p>
                    <w:pPr>
                      <w:jc w:val="center"/>
                      <w:rPr>
                        <w:sz w:val="22"/>
                        <w:szCs w:val="22"/>
                      </w:rPr>
                    </w:pPr>
                    <w:r>
                      <w:rPr>
                        <w:sz w:val="22"/>
                        <w:szCs w:val="22"/>
                      </w:rPr>
                      <w:t>Siūloma keisti</w:t>
                    </w:r>
                  </w:p>
                </w:tc>
                <w:tc>
                  <w:tcPr>
                    <w:tcW w:w="5512"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1870" w:type="dxa"/>
                    <w:vMerge w:val="restart"/>
                    <w:vAlign w:val="center"/>
                  </w:tcPr>
                  <w:p>
                    <w:pPr>
                      <w:jc w:val="center"/>
                      <w:rPr>
                        <w:sz w:val="22"/>
                        <w:szCs w:val="22"/>
                      </w:rPr>
                    </w:pPr>
                    <w:r>
                      <w:rPr>
                        <w:sz w:val="22"/>
                        <w:szCs w:val="22"/>
                      </w:rPr>
                      <w:t>Komiteto nuomonė</w:t>
                    </w:r>
                  </w:p>
                </w:tc>
                <w:tc>
                  <w:tcPr>
                    <w:tcW w:w="2808"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502"/>
                  <w:tblHeader/>
                  <w:jc w:val="center"/>
                </w:trPr>
                <w:tc>
                  <w:tcPr>
                    <w:tcW w:w="567" w:type="dxa"/>
                    <w:vMerge/>
                  </w:tcPr>
                  <w:p>
                    <w:pPr>
                      <w:rPr>
                        <w:szCs w:val="24"/>
                      </w:rPr>
                    </w:pPr>
                  </w:p>
                </w:tc>
                <w:tc>
                  <w:tcPr>
                    <w:tcW w:w="2284" w:type="dxa"/>
                    <w:vMerge/>
                  </w:tcPr>
                  <w:p>
                    <w:pPr>
                      <w:rPr>
                        <w:szCs w:val="24"/>
                      </w:rPr>
                    </w:pPr>
                  </w:p>
                </w:tc>
                <w:tc>
                  <w:tcPr>
                    <w:tcW w:w="709" w:type="dxa"/>
                    <w:vAlign w:val="center"/>
                  </w:tcPr>
                  <w:p>
                    <w:pPr>
                      <w:jc w:val="center"/>
                      <w:rPr>
                        <w:sz w:val="20"/>
                        <w:szCs w:val="24"/>
                      </w:rPr>
                    </w:pPr>
                    <w:r>
                      <w:rPr>
                        <w:sz w:val="20"/>
                        <w:szCs w:val="24"/>
                      </w:rPr>
                      <w:t>str.</w:t>
                    </w:r>
                  </w:p>
                </w:tc>
                <w:tc>
                  <w:tcPr>
                    <w:tcW w:w="709" w:type="dxa"/>
                    <w:vAlign w:val="center"/>
                  </w:tcPr>
                  <w:p>
                    <w:pPr>
                      <w:jc w:val="center"/>
                      <w:rPr>
                        <w:sz w:val="20"/>
                        <w:szCs w:val="24"/>
                      </w:rPr>
                    </w:pPr>
                    <w:r>
                      <w:rPr>
                        <w:sz w:val="20"/>
                        <w:szCs w:val="24"/>
                      </w:rPr>
                      <w:t>str. d.</w:t>
                    </w:r>
                  </w:p>
                </w:tc>
                <w:tc>
                  <w:tcPr>
                    <w:tcW w:w="709" w:type="dxa"/>
                    <w:vAlign w:val="center"/>
                  </w:tcPr>
                  <w:p>
                    <w:pPr>
                      <w:jc w:val="center"/>
                      <w:rPr>
                        <w:sz w:val="20"/>
                        <w:szCs w:val="24"/>
                      </w:rPr>
                    </w:pPr>
                    <w:r>
                      <w:rPr>
                        <w:sz w:val="20"/>
                        <w:szCs w:val="24"/>
                      </w:rPr>
                      <w:t>p.</w:t>
                    </w:r>
                  </w:p>
                </w:tc>
                <w:tc>
                  <w:tcPr>
                    <w:tcW w:w="5512" w:type="dxa"/>
                    <w:vMerge/>
                  </w:tcPr>
                  <w:p>
                    <w:pPr>
                      <w:rPr>
                        <w:szCs w:val="24"/>
                      </w:rPr>
                    </w:pPr>
                  </w:p>
                </w:tc>
                <w:tc>
                  <w:tcPr>
                    <w:tcW w:w="1870" w:type="dxa"/>
                    <w:vMerge/>
                  </w:tcPr>
                  <w:p>
                    <w:pPr>
                      <w:rPr>
                        <w:szCs w:val="24"/>
                      </w:rPr>
                    </w:pPr>
                  </w:p>
                </w:tc>
                <w:tc>
                  <w:tcPr>
                    <w:tcW w:w="2808" w:type="dxa"/>
                    <w:vMerge/>
                  </w:tcPr>
                  <w:p>
                    <w:pPr>
                      <w:rPr>
                        <w:szCs w:val="24"/>
                      </w:rPr>
                    </w:pPr>
                  </w:p>
                </w:tc>
              </w:tr>
              <w:tr>
                <w:trPr>
                  <w:jc w:val="center"/>
                </w:trPr>
                <w:tc>
                  <w:tcPr>
                    <w:tcW w:w="567" w:type="dxa"/>
                  </w:tcPr>
                  <w:p>
                    <w:pPr>
                      <w:jc w:val="center"/>
                      <w:rPr>
                        <w:bCs/>
                        <w:sz w:val="22"/>
                        <w:szCs w:val="22"/>
                      </w:rPr>
                    </w:pPr>
                    <w:r>
                      <w:rPr>
                        <w:bCs/>
                        <w:sz w:val="22"/>
                        <w:szCs w:val="22"/>
                      </w:rPr>
                      <w:t>1.</w:t>
                    </w:r>
                  </w:p>
                </w:tc>
                <w:tc>
                  <w:tcPr>
                    <w:tcW w:w="2284" w:type="dxa"/>
                  </w:tcPr>
                  <w:p>
                    <w:pPr>
                      <w:rPr>
                        <w:bCs/>
                        <w:sz w:val="22"/>
                        <w:szCs w:val="22"/>
                      </w:rPr>
                    </w:pPr>
                    <w:r>
                      <w:rPr>
                        <w:bCs/>
                        <w:sz w:val="22"/>
                        <w:szCs w:val="22"/>
                      </w:rPr>
                      <w:t>UAB „Vilniaus vandenys“</w:t>
                    </w:r>
                  </w:p>
                  <w:p>
                    <w:pPr>
                      <w:rPr>
                        <w:bCs/>
                        <w:sz w:val="22"/>
                        <w:szCs w:val="22"/>
                      </w:rPr>
                    </w:pPr>
                    <w:r>
                      <w:rPr>
                        <w:bCs/>
                        <w:sz w:val="22"/>
                        <w:szCs w:val="22"/>
                      </w:rPr>
                      <w:t>(2026-06-01)</w:t>
                    </w:r>
                  </w:p>
                </w:tc>
                <w:tc>
                  <w:tcPr>
                    <w:tcW w:w="709" w:type="dxa"/>
                  </w:tcPr>
                  <w:p>
                    <w:pPr>
                      <w:jc w:val="center"/>
                      <w:rPr>
                        <w:b/>
                        <w:bCs/>
                        <w:sz w:val="22"/>
                        <w:szCs w:val="22"/>
                      </w:rPr>
                    </w:pPr>
                    <w:r>
                      <w:rPr>
                        <w:b/>
                        <w:bCs/>
                        <w:sz w:val="22"/>
                        <w:szCs w:val="22"/>
                      </w:rPr>
                      <w:t>2</w:t>
                    </w:r>
                  </w:p>
                  <w:p>
                    <w:pPr>
                      <w:jc w:val="center"/>
                      <w:rPr>
                        <w:b/>
                        <w:bCs/>
                        <w:sz w:val="22"/>
                        <w:szCs w:val="22"/>
                      </w:rPr>
                    </w:pPr>
                    <w:r>
                      <w:rPr>
                        <w:b/>
                        <w:bCs/>
                        <w:sz w:val="22"/>
                        <w:szCs w:val="22"/>
                      </w:rPr>
                      <w:t>(8)</w:t>
                    </w:r>
                  </w:p>
                </w:tc>
                <w:tc>
                  <w:tcPr>
                    <w:tcW w:w="709" w:type="dxa"/>
                  </w:tcPr>
                  <w:p>
                    <w:pPr>
                      <w:jc w:val="center"/>
                      <w:rPr>
                        <w:b/>
                        <w:bCs/>
                        <w:sz w:val="22"/>
                        <w:szCs w:val="22"/>
                      </w:rPr>
                    </w:pPr>
                  </w:p>
                  <w:p>
                    <w:pPr>
                      <w:jc w:val="center"/>
                      <w:rPr>
                        <w:b/>
                        <w:bCs/>
                        <w:sz w:val="22"/>
                        <w:szCs w:val="22"/>
                      </w:rPr>
                    </w:pPr>
                    <w:r>
                      <w:rPr>
                        <w:b/>
                        <w:bCs/>
                        <w:sz w:val="22"/>
                        <w:szCs w:val="22"/>
                      </w:rPr>
                      <w:t>(4)</w:t>
                    </w:r>
                  </w:p>
                </w:tc>
                <w:tc>
                  <w:tcPr>
                    <w:tcW w:w="709" w:type="dxa"/>
                  </w:tcPr>
                  <w:p>
                    <w:pPr>
                      <w:jc w:val="center"/>
                      <w:rPr>
                        <w:b/>
                        <w:bCs/>
                        <w:sz w:val="22"/>
                        <w:szCs w:val="22"/>
                      </w:rPr>
                    </w:pPr>
                  </w:p>
                  <w:p>
                    <w:pPr>
                      <w:jc w:val="center"/>
                      <w:rPr>
                        <w:b/>
                        <w:bCs/>
                        <w:sz w:val="22"/>
                        <w:szCs w:val="22"/>
                      </w:rPr>
                    </w:pPr>
                    <w:r>
                      <w:rPr>
                        <w:b/>
                        <w:bCs/>
                        <w:sz w:val="22"/>
                        <w:szCs w:val="22"/>
                      </w:rPr>
                      <w:t>(11)</w:t>
                    </w:r>
                  </w:p>
                </w:tc>
                <w:tc>
                  <w:tcPr>
                    <w:tcW w:w="5512" w:type="dxa"/>
                  </w:tcPr>
                  <w:p>
                    <w:pPr>
                      <w:ind w:firstLine="175"/>
                      <w:jc w:val="both"/>
                      <w:rPr>
                        <w:bCs/>
                        <w:sz w:val="22"/>
                        <w:szCs w:val="22"/>
                      </w:rPr>
                    </w:pPr>
                    <w:r>
                      <w:rPr>
                        <w:bCs/>
                        <w:sz w:val="22"/>
                        <w:szCs w:val="22"/>
                      </w:rPr>
                      <w:t xml:space="preserve">Išnagrinėję teiktą Lietuvos Respublikos Savivaldybių infrastruktūros plėtros įstatymo Nr. XIII-2895 2, 8, 10 ir 13 straipsnių pakeitimo įstatymo (toliau - SIPĮ) projektą1 (toliau - Projektas), teikiamos šios pastabos ir siūlymai. </w:t>
                    </w:r>
                  </w:p>
                  <w:p>
                    <w:pPr>
                      <w:ind w:firstLine="175"/>
                      <w:jc w:val="both"/>
                      <w:rPr>
                        <w:bCs/>
                        <w:sz w:val="22"/>
                        <w:szCs w:val="22"/>
                      </w:rPr>
                    </w:pPr>
                    <w:r>
                      <w:rPr>
                        <w:bCs/>
                        <w:sz w:val="22"/>
                        <w:szCs w:val="22"/>
                      </w:rPr>
                      <w:t xml:space="preserve">Bendrovė pažymi, kad Projektu siekiama patikslinti ir detalizuoti savivaldybių infrastruktūros plėtros teisinį reguliavimą, sprendžiant praktikoje kilusias teisinio neaiškumo problemas. Tačiau dalis siūlomų pakeitimų, ypač susijusių su neužbaigtos infrastruktūros naudojimo galimybe ir sutarties nutraukimo pagrindais, kelia svarbių klausimų dėl atsakomybės paskirstymo ir tinkamo infrastruktūros veikimo užtikrinimo, ypač vandentvarkos sektoriaus požiūriu. </w:t>
                    </w:r>
                  </w:p>
                  <w:p>
                    <w:pPr>
                      <w:ind w:firstLine="175"/>
                      <w:jc w:val="both"/>
                      <w:rPr>
                        <w:bCs/>
                        <w:sz w:val="22"/>
                        <w:szCs w:val="22"/>
                      </w:rPr>
                    </w:pPr>
                    <w:r>
                      <w:rPr>
                        <w:bCs/>
                        <w:sz w:val="22"/>
                        <w:szCs w:val="22"/>
                      </w:rPr>
                      <w:t xml:space="preserve">Vertinant Projekto 2 straipsniu siūlomą SIPĮ 8 straipsnio 4 dalies papildymą nauju 11 punktu, siūlytina jį patikslinti, aiškiai apibrėžiant sąvoką „naudoti“ neužbaigtą inžinerinę savivaldybės infrastruktūrą. Esama formuluotė vartoja šią sąvoką nenustačius jos turinio: nėra aišku, ar „naudoti“ reiškia eksploatuoti infrastruktūrą įprastine tvarka, ar leisti kitiems vartotojams prie jos prisijungti, kokiomis sąlygomis ir kas priima tokį sprendimą, bei kas yra atsakingas už tinkamą infrastruktūros veikimą naudojimo laikotarpiu – statytojas ar valdytojas. Neapibrėžus šios sąvokos, praktikoje kils skirtingų interpretacijų rizika, kuri gali lemti ginčus tarp sutarties šalių ir netinkamą infrastruktūros eksploatavimą. </w:t>
                    </w:r>
                  </w:p>
                  <w:p>
                    <w:pPr>
                      <w:ind w:firstLine="175"/>
                      <w:jc w:val="both"/>
                      <w:rPr>
                        <w:bCs/>
                        <w:sz w:val="22"/>
                        <w:szCs w:val="22"/>
                      </w:rPr>
                    </w:pPr>
                    <w:r>
                      <w:rPr>
                        <w:bCs/>
                        <w:sz w:val="22"/>
                        <w:szCs w:val="22"/>
                      </w:rPr>
                      <w:t>Ypač atkreiptinas dėmesys, kad siūloma nuostata pirmiausia orientuota į gatvių ir dviračių takų infrastruktūrą, tačiau jos formuluotė yra bendra ir apima visą inžinerinę savivaldybės infrastruktūrą, įskaitant geriamojo vandens tiekimo ir nuotekų tvarkymo tinklus. Vandentvarkos infrastruktūros atveju neužbaigtos statybos naudojimas iš esmės nėra techniškai įmanomas: neužbaigti vandentiekio ar nuotekų tinklai negali tinkamai funkcionuoti, nes jų veikimas priklauso nuo viso projekto sprendinių įgyvendinimo pilna apimtimi. Naudojant neužbaigtą vandentvarkos infrastruktūrą galėtų kilti rimtų aplinkosauginių, visuomenės sveikatos ir techninių pasekmių. Dėl to siūlytina aiškiai apibrėžti, kokių rūšių inžinerinei infrastruktūrai ši nuostata taikytina, arba numatyti išimtį vandentvarkos infrastruktūrai.</w:t>
                    </w:r>
                  </w:p>
                </w:tc>
                <w:tc>
                  <w:tcPr>
                    <w:tcW w:w="1870" w:type="dxa"/>
                  </w:tcPr>
                  <w:p>
                    <w:pPr>
                      <w:jc w:val="center"/>
                      <w:rPr>
                        <w:bCs/>
                        <w:sz w:val="22"/>
                        <w:szCs w:val="22"/>
                      </w:rPr>
                    </w:pPr>
                    <w:r>
                      <w:rPr>
                        <w:bCs/>
                        <w:sz w:val="22"/>
                        <w:szCs w:val="22"/>
                      </w:rPr>
                      <w:t>Pritarti iš dalies.</w:t>
                    </w:r>
                  </w:p>
                </w:tc>
                <w:tc>
                  <w:tcPr>
                    <w:tcW w:w="2808" w:type="dxa"/>
                  </w:tcPr>
                  <w:p>
                    <w:pPr>
                      <w:rPr>
                        <w:sz w:val="22"/>
                        <w:szCs w:val="22"/>
                      </w:rPr>
                    </w:pPr>
                    <w:r>
                      <w:rPr>
                        <w:sz w:val="22"/>
                        <w:szCs w:val="22"/>
                      </w:rPr>
                      <w:t>Nepritarti, kad statinių naudojimo sąvoka ir turinys turi būti reglamentuojami SIPĮ, kadangi tai – Statybos įstatymo reguliavimo sritis. Bendruoju atveju, Statybos įstatymo 2 str. 54 d. numatyta, kad statinio naudojimas yra</w:t>
                    </w:r>
                    <w:r>
                      <w:rPr>
                        <w:b/>
                        <w:bCs/>
                        <w:sz w:val="22"/>
                        <w:szCs w:val="22"/>
                      </w:rPr>
                      <w:t xml:space="preserve"> </w:t>
                    </w:r>
                    <w:r>
                      <w:rPr>
                        <w:sz w:val="22"/>
                        <w:szCs w:val="22"/>
                      </w:rPr>
                      <w:t>esminių statinių reikalavimų pagrindu sukurto statinio panaudojimas statinio naudotojo poreikiams tenkinti. Statybos įstatymo 47 str. įtvirtintos statinio naudotojų pareigos.</w:t>
                    </w:r>
                  </w:p>
                  <w:p>
                    <w:pPr>
                      <w:rPr>
                        <w:color w:val="000000"/>
                        <w:szCs w:val="24"/>
                      </w:rPr>
                    </w:pPr>
                    <w:r>
                      <w:rPr>
                        <w:sz w:val="22"/>
                        <w:szCs w:val="22"/>
                      </w:rPr>
                      <w:t xml:space="preserve">SIPĮ projekto nuostatos dėl teisės naudoti neužbaigtus </w:t>
                    </w:r>
                    <w:r>
                      <w:rPr>
                        <w:color w:val="000000"/>
                        <w:szCs w:val="24"/>
                      </w:rPr>
                      <w:t>inžinerinius tinklus ir susisiekimo komunikacijas suderintos su Statybos įstatymu, kurio 47 str. 2 ir 3 dalyse, įtvirtinta išimtis dėl teisės naudoti ir perleisti minimus statinius nebaigus jų statyti.</w:t>
                    </w:r>
                  </w:p>
                  <w:p>
                    <w:pPr>
                      <w:rPr>
                        <w:color w:val="000000"/>
                        <w:szCs w:val="24"/>
                      </w:rPr>
                    </w:pPr>
                  </w:p>
                  <w:p>
                    <w:pPr>
                      <w:jc w:val="both"/>
                      <w:rPr>
                        <w:bCs/>
                        <w:sz w:val="22"/>
                        <w:szCs w:val="22"/>
                      </w:rPr>
                    </w:pPr>
                    <w:r>
                      <w:rPr>
                        <w:bCs/>
                        <w:sz w:val="22"/>
                        <w:szCs w:val="22"/>
                      </w:rPr>
                      <w:t xml:space="preserve">Atsižvelgus į LRS kanceliarijos Teisės departamento 2 pasiūlymą, pritarti SIPĮ 8 str. 4 d. 11 p. nuostatos patikslinimui dėl </w:t>
                    </w:r>
                    <w:r>
                      <w:rPr>
                        <w:color w:val="000000"/>
                        <w:szCs w:val="24"/>
                      </w:rPr>
                      <w:t xml:space="preserve"> </w:t>
                    </w:r>
                    <w:r>
                      <w:rPr>
                        <w:bCs/>
                        <w:sz w:val="22"/>
                        <w:szCs w:val="22"/>
                      </w:rPr>
                      <w:t>savivaldybės infrastruktūros plėtros sutarties sąlygos aiškesnės formuluotės. Žr. LRS kanceliarijos Teisės departamento</w:t>
                    </w:r>
                  </w:p>
                  <w:p>
                    <w:pPr>
                      <w:ind w:firstLine="57"/>
                      <w:rPr>
                        <w:sz w:val="22"/>
                        <w:szCs w:val="22"/>
                      </w:rPr>
                    </w:pPr>
                    <w:r>
                      <w:rPr>
                        <w:sz w:val="22"/>
                        <w:szCs w:val="22"/>
                      </w:rPr>
                      <w:t>2 pasiūlymą.</w:t>
                    </w:r>
                  </w:p>
                  <w:p>
                    <w:pPr>
                      <w:rPr>
                        <w:szCs w:val="24"/>
                      </w:rPr>
                    </w:pPr>
                  </w:p>
                </w:tc>
              </w:tr>
              <w:tr>
                <w:trPr>
                  <w:jc w:val="center"/>
                </w:trPr>
                <w:tc>
                  <w:tcPr>
                    <w:tcW w:w="567" w:type="dxa"/>
                  </w:tcPr>
                  <w:p>
                    <w:pPr>
                      <w:jc w:val="center"/>
                      <w:rPr>
                        <w:bCs/>
                        <w:sz w:val="22"/>
                        <w:szCs w:val="22"/>
                      </w:rPr>
                    </w:pPr>
                    <w:r>
                      <w:rPr>
                        <w:bCs/>
                        <w:sz w:val="22"/>
                        <w:szCs w:val="22"/>
                      </w:rPr>
                      <w:t>2.</w:t>
                    </w:r>
                  </w:p>
                </w:tc>
                <w:tc>
                  <w:tcPr>
                    <w:tcW w:w="2284" w:type="dxa"/>
                  </w:tcPr>
                  <w:p>
                    <w:pPr>
                      <w:rPr>
                        <w:bCs/>
                        <w:sz w:val="22"/>
                        <w:szCs w:val="22"/>
                      </w:rPr>
                    </w:pPr>
                    <w:r>
                      <w:rPr>
                        <w:bCs/>
                        <w:sz w:val="22"/>
                        <w:szCs w:val="22"/>
                      </w:rPr>
                      <w:t>UAB „Vilniaus vandenys“</w:t>
                    </w:r>
                  </w:p>
                  <w:p>
                    <w:pPr>
                      <w:rPr>
                        <w:bCs/>
                        <w:sz w:val="22"/>
                        <w:szCs w:val="22"/>
                      </w:rPr>
                    </w:pPr>
                    <w:r>
                      <w:rPr>
                        <w:bCs/>
                        <w:sz w:val="22"/>
                        <w:szCs w:val="22"/>
                      </w:rPr>
                      <w:t>(2026-06-01)</w:t>
                    </w:r>
                  </w:p>
                </w:tc>
                <w:tc>
                  <w:tcPr>
                    <w:tcW w:w="709" w:type="dxa"/>
                  </w:tcPr>
                  <w:p>
                    <w:pPr>
                      <w:jc w:val="center"/>
                      <w:rPr>
                        <w:b/>
                        <w:bCs/>
                        <w:sz w:val="22"/>
                        <w:szCs w:val="22"/>
                      </w:rPr>
                    </w:pPr>
                    <w:r>
                      <w:rPr>
                        <w:b/>
                        <w:bCs/>
                        <w:sz w:val="22"/>
                        <w:szCs w:val="22"/>
                      </w:rPr>
                      <w:t>2</w:t>
                    </w:r>
                  </w:p>
                  <w:p>
                    <w:pPr>
                      <w:jc w:val="center"/>
                      <w:rPr>
                        <w:b/>
                        <w:bCs/>
                        <w:sz w:val="22"/>
                        <w:szCs w:val="22"/>
                      </w:rPr>
                    </w:pPr>
                    <w:r>
                      <w:rPr>
                        <w:b/>
                        <w:bCs/>
                        <w:sz w:val="22"/>
                        <w:szCs w:val="22"/>
                      </w:rPr>
                      <w:t>(8)</w:t>
                    </w:r>
                  </w:p>
                </w:tc>
                <w:tc>
                  <w:tcPr>
                    <w:tcW w:w="709" w:type="dxa"/>
                  </w:tcPr>
                  <w:p>
                    <w:pPr>
                      <w:jc w:val="center"/>
                      <w:rPr>
                        <w:b/>
                        <w:bCs/>
                        <w:sz w:val="22"/>
                        <w:szCs w:val="22"/>
                      </w:rPr>
                    </w:pPr>
                  </w:p>
                  <w:p>
                    <w:pPr>
                      <w:jc w:val="center"/>
                      <w:rPr>
                        <w:b/>
                        <w:bCs/>
                        <w:sz w:val="22"/>
                        <w:szCs w:val="22"/>
                      </w:rPr>
                    </w:pPr>
                    <w:r>
                      <w:rPr>
                        <w:b/>
                        <w:bCs/>
                        <w:sz w:val="22"/>
                        <w:szCs w:val="22"/>
                      </w:rPr>
                      <w:t>(9)</w:t>
                    </w:r>
                  </w:p>
                </w:tc>
                <w:tc>
                  <w:tcPr>
                    <w:tcW w:w="709" w:type="dxa"/>
                  </w:tcPr>
                  <w:p>
                    <w:pPr>
                      <w:jc w:val="center"/>
                      <w:rPr>
                        <w:b/>
                        <w:bCs/>
                        <w:sz w:val="22"/>
                        <w:szCs w:val="22"/>
                      </w:rPr>
                    </w:pPr>
                  </w:p>
                  <w:p>
                    <w:pPr>
                      <w:jc w:val="center"/>
                      <w:rPr>
                        <w:b/>
                        <w:bCs/>
                        <w:sz w:val="22"/>
                        <w:szCs w:val="22"/>
                      </w:rPr>
                    </w:pPr>
                    <w:r>
                      <w:rPr>
                        <w:b/>
                        <w:bCs/>
                        <w:sz w:val="22"/>
                        <w:szCs w:val="22"/>
                      </w:rPr>
                      <w:t>(3)</w:t>
                    </w:r>
                  </w:p>
                </w:tc>
                <w:tc>
                  <w:tcPr>
                    <w:tcW w:w="5512" w:type="dxa"/>
                  </w:tcPr>
                  <w:p>
                    <w:pPr>
                      <w:ind w:firstLine="175"/>
                      <w:jc w:val="both"/>
                      <w:rPr>
                        <w:bCs/>
                        <w:sz w:val="22"/>
                        <w:szCs w:val="22"/>
                      </w:rPr>
                    </w:pPr>
                    <w:r>
                      <w:rPr>
                        <w:bCs/>
                        <w:sz w:val="22"/>
                        <w:szCs w:val="22"/>
                      </w:rPr>
                      <w:t>Taip pat siūlytina patikslinti Projekto 2 straipsniu siūlomą SIPĮ 8 straipsnio 9 dalies 3 punktą, numatantį savivaldybės infrastruktūros plėtros sutarties nutraukimą, kai inžinerinės savivaldybės infrastruktūros statybos darbai nepradedami per 3 metus nuo statybą leidžiančio dokumento (toliau – SLD) išdavimo. Projekto nuostata nekoreliuoja su Statybos įstatymo pakeitimais, pagal kuriuos SLD galiojimas nustatomas 10 metų. Esant tokiai situacijai, kyla svarbus klausimas: jeigu savivaldybės infrastruktūros plėtros sutartis nutraukiama, nes statybos darbai nepradėti per 3 metus, tačiau SLD vis dar galioja, kokios yra statytojo teisės toliau vykdyti statybos darbus nesant galiojančios savivaldybės infrastruktūros plėtros sutarties. Projektas šios teisinės kolizijos neišsprendžia, todėl siūlytina papildomai nustatyti, kaip tokiu atveju sprendžiama dėl statytojo teisės tęsti statybą ir ar sutarties nutraukimas automatiškai lemia SLD galiojimo apribojimą.</w:t>
                    </w:r>
                  </w:p>
                </w:tc>
                <w:tc>
                  <w:tcPr>
                    <w:tcW w:w="1870" w:type="dxa"/>
                  </w:tcPr>
                  <w:p>
                    <w:pPr>
                      <w:jc w:val="center"/>
                      <w:rPr>
                        <w:bCs/>
                        <w:sz w:val="22"/>
                        <w:szCs w:val="22"/>
                      </w:rPr>
                    </w:pPr>
                    <w:r>
                      <w:rPr>
                        <w:bCs/>
                        <w:sz w:val="22"/>
                        <w:szCs w:val="22"/>
                      </w:rPr>
                      <w:t>Nepritarti.</w:t>
                    </w:r>
                  </w:p>
                </w:tc>
                <w:tc>
                  <w:tcPr>
                    <w:tcW w:w="2808" w:type="dxa"/>
                  </w:tcPr>
                  <w:p>
                    <w:pPr>
                      <w:suppressAutoHyphens/>
                      <w:rPr>
                        <w:sz w:val="22"/>
                        <w:szCs w:val="22"/>
                        <w:lang w:eastAsia="en-GB"/>
                      </w:rPr>
                    </w:pPr>
                    <w:r>
                      <w:rPr>
                        <w:sz w:val="22"/>
                        <w:szCs w:val="22"/>
                        <w:lang w:val="en-GB" w:eastAsia="en-GB"/>
                      </w:rPr>
                      <w:t xml:space="preserve">SIPĮ nenustatomi terminai SLD galiojimui, todėl jis neprieštarauja Statybos įstatymui. SIPĮ  8 str. 9 d. 3 p. siūloma nustatyti, kad </w:t>
                    </w:r>
                    <w:r>
                      <w:rPr>
                        <w:b/>
                        <w:bCs/>
                        <w:sz w:val="22"/>
                        <w:szCs w:val="22"/>
                        <w:lang w:val="en-GB" w:eastAsia="en-GB"/>
                      </w:rPr>
                      <w:t>„</w:t>
                    </w:r>
                    <w:r>
                      <w:rPr>
                        <w:sz w:val="22"/>
                        <w:szCs w:val="22"/>
                        <w:lang w:val="en-GB" w:eastAsia="en-GB"/>
                      </w:rPr>
                      <w:t>S</w:t>
                    </w:r>
                    <w:r>
                      <w:rPr>
                        <w:sz w:val="22"/>
                        <w:szCs w:val="22"/>
                        <w:lang w:eastAsia="en-GB"/>
                      </w:rPr>
                      <w:t xml:space="preserve">avivaldybės </w:t>
                    </w:r>
                    <w:r>
                      <w:rPr>
                        <w:i/>
                        <w:iCs/>
                        <w:sz w:val="22"/>
                        <w:szCs w:val="22"/>
                        <w:lang w:eastAsia="en-GB"/>
                      </w:rPr>
                      <w:t xml:space="preserve">infrastruktūros plėtros sutartis </w:t>
                    </w:r>
                    <w:r>
                      <w:rPr>
                        <w:sz w:val="22"/>
                        <w:szCs w:val="22"/>
                        <w:lang w:eastAsia="en-GB"/>
                      </w:rPr>
                      <w:t>nutraukiama savivaldybės infrastruktūros plėtros organizatoriaus sprendimu, kai:</w:t>
                    </w:r>
                    <w:r>
                      <w:rPr>
                        <w:b/>
                        <w:bCs/>
                        <w:sz w:val="22"/>
                        <w:szCs w:val="22"/>
                        <w:lang w:val="en-GB" w:eastAsia="en-GB"/>
                      </w:rPr>
                      <w:t xml:space="preserve"> </w:t>
                    </w:r>
                    <w:r>
                      <w:rPr>
                        <w:b/>
                        <w:bCs/>
                        <w:i/>
                        <w:iCs/>
                        <w:sz w:val="22"/>
                        <w:szCs w:val="22"/>
                        <w:lang w:eastAsia="en-GB"/>
                      </w:rPr>
                      <w:t>inžinerinės savivaldybės infrastruktūros</w:t>
                    </w:r>
                    <w:r>
                      <w:rPr>
                        <w:sz w:val="22"/>
                        <w:szCs w:val="22"/>
                        <w:lang w:eastAsia="en-GB"/>
                      </w:rPr>
                      <w:t xml:space="preserve"> statybos darbai nuo statybą leidžiančio dokumento išdavimo dienos </w:t>
                    </w:r>
                    <w:r>
                      <w:rPr>
                        <w:b/>
                        <w:bCs/>
                        <w:i/>
                        <w:iCs/>
                        <w:sz w:val="22"/>
                        <w:szCs w:val="22"/>
                        <w:lang w:eastAsia="en-GB"/>
                      </w:rPr>
                      <w:t>arba nuo savivaldybės infrastruktūros plėtros sutarties sudarymo dienos, kai Statybos įstatymo nustatytais atvejais statybą leidžiantis dokumentas neprivalomas</w:t>
                    </w:r>
                    <w:r>
                      <w:rPr>
                        <w:b/>
                        <w:bCs/>
                        <w:sz w:val="22"/>
                        <w:szCs w:val="22"/>
                        <w:lang w:eastAsia="en-GB"/>
                      </w:rPr>
                      <w:t>,</w:t>
                    </w:r>
                    <w:r>
                      <w:rPr>
                        <w:sz w:val="22"/>
                        <w:szCs w:val="22"/>
                        <w:lang w:eastAsia="en-GB"/>
                      </w:rPr>
                      <w:t xml:space="preserve"> nepradedami per 3 metus.“</w:t>
                    </w:r>
                  </w:p>
                  <w:p>
                    <w:pPr>
                      <w:suppressAutoHyphens/>
                      <w:rPr>
                        <w:szCs w:val="24"/>
                        <w:lang w:val="en-GB" w:eastAsia="en-GB"/>
                      </w:rPr>
                    </w:pPr>
                  </w:p>
                </w:tc>
              </w:tr>
              <w:tr>
                <w:trPr>
                  <w:jc w:val="center"/>
                </w:trPr>
                <w:tc>
                  <w:tcPr>
                    <w:tcW w:w="567" w:type="dxa"/>
                  </w:tcPr>
                  <w:p>
                    <w:pPr>
                      <w:jc w:val="center"/>
                      <w:rPr>
                        <w:bCs/>
                        <w:sz w:val="22"/>
                        <w:szCs w:val="22"/>
                      </w:rPr>
                    </w:pPr>
                    <w:r>
                      <w:rPr>
                        <w:bCs/>
                        <w:sz w:val="22"/>
                        <w:szCs w:val="22"/>
                      </w:rPr>
                      <w:t>3.</w:t>
                    </w:r>
                  </w:p>
                </w:tc>
                <w:tc>
                  <w:tcPr>
                    <w:tcW w:w="2284" w:type="dxa"/>
                  </w:tcPr>
                  <w:p>
                    <w:pPr>
                      <w:rPr>
                        <w:bCs/>
                        <w:sz w:val="22"/>
                        <w:szCs w:val="22"/>
                      </w:rPr>
                    </w:pPr>
                    <w:r>
                      <w:rPr>
                        <w:bCs/>
                        <w:sz w:val="22"/>
                        <w:szCs w:val="22"/>
                      </w:rPr>
                      <w:t>UAB „Vilniaus vandenys“</w:t>
                    </w:r>
                  </w:p>
                  <w:p>
                    <w:pPr>
                      <w:jc w:val="both"/>
                      <w:rPr>
                        <w:bCs/>
                        <w:sz w:val="22"/>
                        <w:szCs w:val="22"/>
                      </w:rPr>
                    </w:pPr>
                    <w:r>
                      <w:rPr>
                        <w:bCs/>
                        <w:sz w:val="22"/>
                        <w:szCs w:val="22"/>
                      </w:rPr>
                      <w:t>(2026-06-01)</w:t>
                    </w:r>
                  </w:p>
                </w:tc>
                <w:tc>
                  <w:tcPr>
                    <w:tcW w:w="709" w:type="dxa"/>
                  </w:tcPr>
                  <w:p>
                    <w:pPr>
                      <w:jc w:val="center"/>
                      <w:rPr>
                        <w:b/>
                        <w:bCs/>
                        <w:sz w:val="22"/>
                        <w:szCs w:val="22"/>
                      </w:rPr>
                    </w:pPr>
                    <w:r>
                      <w:rPr>
                        <w:b/>
                        <w:bCs/>
                        <w:sz w:val="22"/>
                        <w:szCs w:val="22"/>
                      </w:rPr>
                      <w:t>3</w:t>
                    </w:r>
                  </w:p>
                  <w:p>
                    <w:pPr>
                      <w:jc w:val="center"/>
                      <w:rPr>
                        <w:b/>
                        <w:bCs/>
                        <w:sz w:val="22"/>
                        <w:szCs w:val="22"/>
                      </w:rPr>
                    </w:pPr>
                    <w:r>
                      <w:rPr>
                        <w:b/>
                        <w:bCs/>
                        <w:sz w:val="22"/>
                        <w:szCs w:val="22"/>
                      </w:rPr>
                      <w:t>(10)</w:t>
                    </w:r>
                  </w:p>
                </w:tc>
                <w:tc>
                  <w:tcPr>
                    <w:tcW w:w="709" w:type="dxa"/>
                  </w:tcPr>
                  <w:p>
                    <w:pPr>
                      <w:jc w:val="center"/>
                      <w:rPr>
                        <w:b/>
                        <w:bCs/>
                        <w:sz w:val="22"/>
                        <w:szCs w:val="22"/>
                      </w:rPr>
                    </w:pPr>
                  </w:p>
                  <w:p>
                    <w:pPr>
                      <w:jc w:val="center"/>
                      <w:rPr>
                        <w:b/>
                        <w:bCs/>
                        <w:sz w:val="22"/>
                        <w:szCs w:val="22"/>
                      </w:rPr>
                    </w:pPr>
                  </w:p>
                </w:tc>
                <w:tc>
                  <w:tcPr>
                    <w:tcW w:w="709" w:type="dxa"/>
                  </w:tcPr>
                  <w:p>
                    <w:pPr>
                      <w:jc w:val="center"/>
                      <w:rPr>
                        <w:b/>
                        <w:bCs/>
                        <w:sz w:val="22"/>
                        <w:szCs w:val="22"/>
                      </w:rPr>
                    </w:pPr>
                  </w:p>
                  <w:p>
                    <w:pPr>
                      <w:jc w:val="center"/>
                      <w:rPr>
                        <w:b/>
                        <w:bCs/>
                        <w:sz w:val="22"/>
                        <w:szCs w:val="22"/>
                      </w:rPr>
                    </w:pPr>
                    <w:r>
                      <w:rPr>
                        <w:b/>
                        <w:bCs/>
                        <w:sz w:val="22"/>
                        <w:szCs w:val="22"/>
                      </w:rPr>
                      <w:t>(2)</w:t>
                    </w:r>
                  </w:p>
                </w:tc>
                <w:tc>
                  <w:tcPr>
                    <w:tcW w:w="5512" w:type="dxa"/>
                  </w:tcPr>
                  <w:p>
                    <w:pPr>
                      <w:ind w:firstLine="175"/>
                      <w:jc w:val="both"/>
                      <w:rPr>
                        <w:bCs/>
                        <w:sz w:val="22"/>
                        <w:szCs w:val="22"/>
                      </w:rPr>
                    </w:pPr>
                    <w:r>
                      <w:rPr>
                        <w:bCs/>
                        <w:sz w:val="22"/>
                        <w:szCs w:val="22"/>
                      </w:rPr>
                      <w:t xml:space="preserve">Toliau, atsižvelgiant į tai, kad Projekto 3 straipsniu siūlomas SIPĮ 10 straipsnio 2 punkto pakeitimas numato galimybę perduoti neužbaigtą inžinerinę savivaldybės infrastruktūrą valdytojui, siūlytina šią nuostatą papildyti aiškiu atsakomybės paskirstymo mechanizmu. Esama Projekto formuluotė nenustato, kas kontroliuoja, kad statiniai nebūtų priduodami eksploatuoti neužbaigus infrastruktūros įrengimo, kas yra atsakingas už nebaigtos infrastruktūros tinkamą funkcionavimą bei jos statybos užbaigimą po perdavimo valdytojui ir ar statytojui išlieka pareiga užbaigti infrastruktūros statybą, ar ši pareiga pereina valdytojui. </w:t>
                    </w:r>
                  </w:p>
                  <w:p>
                    <w:pPr>
                      <w:ind w:firstLine="175"/>
                      <w:jc w:val="both"/>
                      <w:rPr>
                        <w:bCs/>
                        <w:sz w:val="22"/>
                        <w:szCs w:val="22"/>
                      </w:rPr>
                    </w:pPr>
                    <w:r>
                      <w:rPr>
                        <w:bCs/>
                        <w:sz w:val="22"/>
                        <w:szCs w:val="22"/>
                      </w:rPr>
                      <w:t xml:space="preserve">Vandentvarkos infrastruktūros atveju tai ypač svarbu, nes neužbaigta infrastruktūra negali užtikrinti tinkamo vandens tiekimo ar nuotekų surinkimo, o valdytojas, perėmęs tokią infrastruktūrą, gali patekti į situaciją, kai privalo vykdyti technines ir teisines pareigas, tačiau infrastruktūra tam nėra parengta. Dėl to siūlytina Projektą papildyti nuostata, aiškiai paskirstančia atsakomybę tarp statytojo ir valdytojo neužbaigtos infrastruktūros naudojimo ir užbaigimo laikotarpiu, bei nustatančia kontrolės ir priežiūros mechanizmą, atsakingą subjektą ir jo įgaliojimus. </w:t>
                    </w:r>
                  </w:p>
                  <w:p>
                    <w:pPr>
                      <w:ind w:firstLine="175"/>
                      <w:jc w:val="both"/>
                      <w:rPr>
                        <w:bCs/>
                        <w:sz w:val="22"/>
                        <w:szCs w:val="22"/>
                      </w:rPr>
                    </w:pPr>
                    <w:r>
                      <w:rPr>
                        <w:bCs/>
                        <w:sz w:val="22"/>
                        <w:szCs w:val="22"/>
                      </w:rPr>
                      <w:t xml:space="preserve">Pažymėtina ir tai, kad savivaldybės infrastruktūros plėtros sutartyje (toliau – SIPS) nėra numatyto jokio efektyvaus mechanizmo, kontroliuojančio SIPS vykdymą statybos užbaigimo procedūrų kontekste. Pagal galiojantį teisinį reguliavimą savivaldybės infrastruktūros plėtros iniciatorius privalo perduoti sutartyje nurodytą infrastruktūrą valdytojui ne vėliau kaip iki statinių statybos užbaigimo. Tačiau praktikoje statybos užbaigimo deklaracijos išduodamos neužtikrinus, kad infrastruktūra iki to momento yra faktiškai perduota infrastruktūros valdytojui. Nei statybos valstybinės priežiūros institucija, nei savivaldybė, nei infrastruktūros valdytojas šiuo metu neturi aiškiai apibrėžtos pareigos ir įgaliojimų sustabdyti statybos užbaigimo procedūrą tol, kol infrastruktūros perdavimas nėra įvykdytas. Dėl to susidaro situacija, kai teisės aktas nustato pareigą, tačiau nesukuria jos vykdymą užtikrinančio mechanizmo. </w:t>
                    </w:r>
                  </w:p>
                  <w:p>
                    <w:pPr>
                      <w:ind w:firstLine="175"/>
                      <w:jc w:val="both"/>
                      <w:rPr>
                        <w:bCs/>
                        <w:sz w:val="22"/>
                        <w:szCs w:val="22"/>
                      </w:rPr>
                    </w:pPr>
                    <w:r>
                      <w:rPr>
                        <w:bCs/>
                        <w:sz w:val="22"/>
                        <w:szCs w:val="22"/>
                      </w:rPr>
                      <w:t>Siūlytina SIPĮ papildyti nuostata, įpareigojančia statybos užbaigimo procedūras atliekančią instituciją patikrinti, ar SIPS nurodyta infrastruktūra yra perduota valdytojui, ir nenagrinėti statybos užbaigimo deklaracijos tol, kol šis reikalavimas nėra įvykdytas arba kol savivaldybės infrastruktūros plėtros organizatorius nepatvirtina, kad perdavimas įvykdytas ar teisėtai atidėtas. Tokiu būdu būtų užtikrintas realus SIPĮ nuostatų vykdymas praktikoje.</w:t>
                    </w:r>
                  </w:p>
                </w:tc>
                <w:tc>
                  <w:tcPr>
                    <w:tcW w:w="1870" w:type="dxa"/>
                  </w:tcPr>
                  <w:p>
                    <w:pPr>
                      <w:jc w:val="center"/>
                      <w:rPr>
                        <w:bCs/>
                        <w:sz w:val="22"/>
                        <w:szCs w:val="22"/>
                      </w:rPr>
                    </w:pPr>
                    <w:r>
                      <w:rPr>
                        <w:bCs/>
                        <w:sz w:val="22"/>
                        <w:szCs w:val="22"/>
                      </w:rPr>
                      <w:t>Pritarti.</w:t>
                    </w:r>
                  </w:p>
                </w:tc>
                <w:tc>
                  <w:tcPr>
                    <w:tcW w:w="2808" w:type="dxa"/>
                  </w:tcPr>
                  <w:p>
                    <w:pPr>
                      <w:rPr>
                        <w:sz w:val="22"/>
                        <w:szCs w:val="22"/>
                        <w:lang w:eastAsia="en-GB"/>
                      </w:rPr>
                    </w:pPr>
                    <w:r>
                      <w:rPr>
                        <w:sz w:val="22"/>
                        <w:szCs w:val="22"/>
                      </w:rPr>
                      <w:t xml:space="preserve">Siūloma pakeisti SIPĮ 10 straipsnio 2 punktą. </w:t>
                    </w:r>
                  </w:p>
                  <w:p>
                    <w:pPr>
                      <w:rPr>
                        <w:sz w:val="22"/>
                        <w:szCs w:val="22"/>
                      </w:rPr>
                    </w:pPr>
                  </w:p>
                  <w:p>
                    <w:pPr>
                      <w:rPr>
                        <w:sz w:val="22"/>
                        <w:szCs w:val="22"/>
                        <w:lang w:eastAsia="en-GB"/>
                      </w:rPr>
                    </w:pPr>
                    <w:r>
                      <w:rPr>
                        <w:sz w:val="22"/>
                        <w:szCs w:val="22"/>
                      </w:rPr>
                      <w:t xml:space="preserve">Formuluotę žr. prie LRS </w:t>
                    </w:r>
                    <w:r>
                      <w:rPr>
                        <w:szCs w:val="24"/>
                      </w:rPr>
                      <w:t>kanceliarijos Teisės departamento</w:t>
                    </w:r>
                    <w:r>
                      <w:rPr>
                        <w:sz w:val="22"/>
                        <w:szCs w:val="22"/>
                      </w:rPr>
                      <w:t xml:space="preserve"> 3 pastabos. </w:t>
                    </w:r>
                  </w:p>
                  <w:p>
                    <w:pPr>
                      <w:ind w:firstLine="227"/>
                      <w:rPr>
                        <w:bCs/>
                        <w:sz w:val="22"/>
                        <w:szCs w:val="22"/>
                      </w:rPr>
                    </w:pPr>
                  </w:p>
                </w:tc>
              </w:tr>
              <w:tr>
                <w:trPr>
                  <w:jc w:val="center"/>
                </w:trPr>
                <w:tc>
                  <w:tcPr>
                    <w:tcW w:w="567" w:type="dxa"/>
                  </w:tcPr>
                  <w:p>
                    <w:pPr>
                      <w:jc w:val="center"/>
                      <w:rPr>
                        <w:bCs/>
                        <w:sz w:val="22"/>
                        <w:szCs w:val="22"/>
                      </w:rPr>
                    </w:pPr>
                    <w:r>
                      <w:rPr>
                        <w:bCs/>
                        <w:sz w:val="22"/>
                        <w:szCs w:val="22"/>
                      </w:rPr>
                      <w:t>4.</w:t>
                    </w:r>
                  </w:p>
                </w:tc>
                <w:tc>
                  <w:tcPr>
                    <w:tcW w:w="2284" w:type="dxa"/>
                  </w:tcPr>
                  <w:p>
                    <w:pPr>
                      <w:rPr>
                        <w:bCs/>
                        <w:sz w:val="22"/>
                        <w:szCs w:val="22"/>
                      </w:rPr>
                    </w:pPr>
                    <w:r>
                      <w:rPr>
                        <w:bCs/>
                        <w:sz w:val="22"/>
                        <w:szCs w:val="22"/>
                      </w:rPr>
                      <w:t>UAB „Vilniaus vandenys“</w:t>
                    </w:r>
                  </w:p>
                  <w:p>
                    <w:pPr>
                      <w:rPr>
                        <w:bCs/>
                        <w:sz w:val="22"/>
                        <w:szCs w:val="22"/>
                      </w:rPr>
                    </w:pPr>
                    <w:r>
                      <w:rPr>
                        <w:bCs/>
                        <w:sz w:val="22"/>
                        <w:szCs w:val="22"/>
                      </w:rPr>
                      <w:t>(2026-06-01)</w:t>
                    </w:r>
                  </w:p>
                </w:tc>
                <w:tc>
                  <w:tcPr>
                    <w:tcW w:w="709" w:type="dxa"/>
                  </w:tcPr>
                  <w:p>
                    <w:pPr>
                      <w:jc w:val="center"/>
                      <w:rPr>
                        <w:b/>
                        <w:bCs/>
                        <w:sz w:val="22"/>
                        <w:szCs w:val="22"/>
                      </w:rPr>
                    </w:pPr>
                  </w:p>
                  <w:p>
                    <w:pPr>
                      <w:jc w:val="center"/>
                      <w:rPr>
                        <w:b/>
                        <w:bCs/>
                        <w:sz w:val="22"/>
                        <w:szCs w:val="22"/>
                      </w:rPr>
                    </w:pPr>
                    <w:r>
                      <w:rPr>
                        <w:b/>
                        <w:bCs/>
                        <w:sz w:val="22"/>
                        <w:szCs w:val="22"/>
                      </w:rPr>
                      <w:t>(8)</w:t>
                    </w:r>
                  </w:p>
                </w:tc>
                <w:tc>
                  <w:tcPr>
                    <w:tcW w:w="709" w:type="dxa"/>
                  </w:tcPr>
                  <w:p>
                    <w:pPr>
                      <w:jc w:val="center"/>
                      <w:rPr>
                        <w:b/>
                        <w:bCs/>
                        <w:sz w:val="22"/>
                        <w:szCs w:val="22"/>
                      </w:rPr>
                    </w:pPr>
                  </w:p>
                  <w:p>
                    <w:pPr>
                      <w:jc w:val="center"/>
                      <w:rPr>
                        <w:b/>
                        <w:bCs/>
                        <w:sz w:val="22"/>
                        <w:szCs w:val="22"/>
                      </w:rPr>
                    </w:pPr>
                    <w:r>
                      <w:rPr>
                        <w:b/>
                        <w:bCs/>
                        <w:sz w:val="22"/>
                        <w:szCs w:val="22"/>
                      </w:rPr>
                      <w:t>(3)</w:t>
                    </w:r>
                  </w:p>
                </w:tc>
                <w:tc>
                  <w:tcPr>
                    <w:tcW w:w="709" w:type="dxa"/>
                  </w:tcPr>
                  <w:p>
                    <w:pPr>
                      <w:jc w:val="center"/>
                      <w:rPr>
                        <w:b/>
                        <w:bCs/>
                        <w:sz w:val="22"/>
                        <w:szCs w:val="22"/>
                      </w:rPr>
                    </w:pPr>
                  </w:p>
                </w:tc>
                <w:tc>
                  <w:tcPr>
                    <w:tcW w:w="5512" w:type="dxa"/>
                  </w:tcPr>
                  <w:p>
                    <w:pPr>
                      <w:ind w:firstLine="175"/>
                      <w:jc w:val="both"/>
                      <w:rPr>
                        <w:bCs/>
                        <w:sz w:val="22"/>
                        <w:szCs w:val="22"/>
                      </w:rPr>
                    </w:pPr>
                    <w:r>
                      <w:rPr>
                        <w:bCs/>
                        <w:sz w:val="22"/>
                        <w:szCs w:val="22"/>
                      </w:rPr>
                      <w:t xml:space="preserve">Taip pat siūlytume tikslinti Lietuvos Respublikos savivaldybių SIPĮ nuostatas, reglamentuojančias SIPS sudarymą. Pagal galiojančio SIPĮ 8 straipsnio 3 dalį SIPS sudarymas siejamas su naujo statinio statyba ar esamo statinio rekonstravimu, taip pat papildomai reglamentuojami atvejai, kai infrastruktūra nėra suplanuota teritorijų planavimo dokumentuose. Tuo tarpu Lietuvos Respublikos geriamojo vandens tiekimo ir nuotekų tvarkymo įstatymo (toliau – GVTNTĮ) 16 straipsnio 2 dalis imperatyviai nustato, kad geriamojo vandens tiekimo ir nuotekų tvarkymo infrastruktūros objektų statyba, kai statytojas nėra viešasis vandens tiekėjas ar savivaldybės institucija, galima tik esant sudarytai SIPS. </w:t>
                    </w:r>
                  </w:p>
                  <w:p>
                    <w:pPr>
                      <w:ind w:firstLine="175"/>
                      <w:jc w:val="both"/>
                      <w:rPr>
                        <w:bCs/>
                        <w:sz w:val="22"/>
                        <w:szCs w:val="22"/>
                      </w:rPr>
                    </w:pPr>
                    <w:r>
                      <w:rPr>
                        <w:bCs/>
                        <w:sz w:val="22"/>
                        <w:szCs w:val="22"/>
                      </w:rPr>
                      <w:t xml:space="preserve">Bendrovės vertinimu, toks teisinis reguliavimas nėra pakankamai nuoseklus ir sukuria normų koliziją bei teisinio reguliavimo spragą. Viena vertus, specialusis įstatymas (GVTNTĮ) nustato privalomą SIPS sudarymo reikalavimą infrastruktūros statybai, kita vertus, SIPĮ 8 straipsnio 3 dalies reguliavimas neapima visų praktikoje susiklostančių situacijų, ypač kai infrastruktūra plėtojama ne dėl naujos statybos ar rekonstravimo, o siekiant prijungti esamus ir (ar) būsimus statinius prie centralizuotų vandentiekio ir (ar) nuotekų tinklų. </w:t>
                    </w:r>
                  </w:p>
                  <w:p>
                    <w:pPr>
                      <w:ind w:firstLine="175"/>
                      <w:jc w:val="both"/>
                      <w:rPr>
                        <w:bCs/>
                        <w:sz w:val="22"/>
                        <w:szCs w:val="22"/>
                      </w:rPr>
                    </w:pPr>
                    <w:r>
                      <w:rPr>
                        <w:bCs/>
                        <w:sz w:val="22"/>
                        <w:szCs w:val="22"/>
                      </w:rPr>
                      <w:t>Dėl šios priežasties praktikoje susidaro situacijos, kai infrastruktūros plėtra yra numatyta teritorijų planavimo dokumentuose ir egzistuoja aiškus viešasis interesas (aplinkosaugos, visuomenės sveikatos bei centralizuotų paslaugų plėtros srityse), tačiau nėra aiškaus ir vienareikšmio teisinio pagrindo sudaryti SIPS. Tai lemia reguliacinį neapibrėžtumą, sudaro prielaidas skirtingai teisės normų taikymo praktikai savivaldybėse bei riboja galimybę efektyviai įgyvendinti GVTNTĮ tikslus, susijusius su centralizuoto vandens tiekimo ir nuotekų tvarkymo plėtra.</w:t>
                    </w:r>
                  </w:p>
                  <w:p>
                    <w:pPr>
                      <w:ind w:firstLine="175"/>
                      <w:jc w:val="both"/>
                      <w:rPr>
                        <w:bCs/>
                        <w:sz w:val="22"/>
                        <w:szCs w:val="22"/>
                      </w:rPr>
                    </w:pPr>
                    <w:r>
                      <w:rPr>
                        <w:bCs/>
                        <w:sz w:val="22"/>
                        <w:szCs w:val="22"/>
                      </w:rPr>
                      <w:t xml:space="preserve">Pažymėtina, kad toks teisinis reguliavimas neatitinka Lietuvos Respublikos teisėkūros pagrindų įstatymo (toliau - TPĮ) 3 straipsnio 2 dalyje įtvirtintų teisėkūros principų. Galiojantis reguliavimas neatitinka aiškumo principo (6 punktas), kadangi nėra pakankamai tikslus ir nedviprasmiškas, taip pat sistemiškumo principo (7 punktas), nes nėra suderintas su GVTNTĮ nuostatomis. Be to, toks reguliavimas riboja efektyvumo principo (5 punktas) įgyvendinimą, kadangi nesudaro sąlygų pasirinkti veiksmingiausias priemones viešojo intereso tikslams pasiekti, bei neatitinka proporcingumo principo (2 punktas), nes gali lemti perteklinius ribojimus asmenims, siekiantiems prisijungti prie centralizuotų tinklų. </w:t>
                    </w:r>
                  </w:p>
                  <w:p>
                    <w:pPr>
                      <w:ind w:firstLine="175"/>
                      <w:jc w:val="both"/>
                      <w:rPr>
                        <w:bCs/>
                        <w:sz w:val="22"/>
                        <w:szCs w:val="22"/>
                      </w:rPr>
                    </w:pPr>
                    <w:r>
                      <w:rPr>
                        <w:bCs/>
                        <w:sz w:val="22"/>
                        <w:szCs w:val="22"/>
                      </w:rPr>
                      <w:t xml:space="preserve">Atsižvelgiant į tai, darytina išvada, kad esamas teisinis reguliavimas nėra pakankamai aiškus, nuoseklus ir sistemiškai suderintas, todėl neužtikrina efektyvaus jo taikymo praktikoje. </w:t>
                    </w:r>
                  </w:p>
                  <w:p>
                    <w:pPr>
                      <w:ind w:firstLine="175"/>
                      <w:jc w:val="both"/>
                      <w:rPr>
                        <w:bCs/>
                        <w:sz w:val="22"/>
                        <w:szCs w:val="22"/>
                      </w:rPr>
                    </w:pPr>
                    <w:r>
                      <w:rPr>
                        <w:bCs/>
                        <w:sz w:val="22"/>
                        <w:szCs w:val="22"/>
                      </w:rPr>
                      <w:t xml:space="preserve">Remiantis išdėstytu, Bendrovė siūlo patikslinti SIPĮ 8 straipsnio 3 dalį ir ją išdėstyti sekančiai: </w:t>
                    </w:r>
                  </w:p>
                  <w:p>
                    <w:pPr>
                      <w:ind w:firstLine="175"/>
                      <w:jc w:val="both"/>
                      <w:rPr>
                        <w:bCs/>
                        <w:i/>
                        <w:sz w:val="22"/>
                        <w:szCs w:val="22"/>
                      </w:rPr>
                    </w:pPr>
                    <w:r>
                      <w:rPr>
                        <w:bCs/>
                        <w:i/>
                        <w:sz w:val="22"/>
                        <w:szCs w:val="22"/>
                      </w:rPr>
                      <w:t xml:space="preserve">„Savivaldybės infrastruktūros plėtros sutartis sudaroma, kai planuojama statyti naują ir (ar) rekonstruoti esamą pastatą, inžinerinį statinį, kuris nepriklauso savivaldybės infrastruktūrai, ir (ar) esamą inžinerinį statinį rekonstruoti į pastatą, kuriems naudoti reikalinga savivaldybės infrastruktūros plėtra, </w:t>
                    </w:r>
                    <w:r>
                      <w:rPr>
                        <w:b/>
                        <w:bCs/>
                        <w:i/>
                        <w:sz w:val="22"/>
                        <w:szCs w:val="22"/>
                      </w:rPr>
                      <w:t xml:space="preserve">taip pat kai planuojama įrengti savivaldybės infrastruktūrą ar geriamojo vandens tiekimo ir (ar) nuotekų tvarkymo infrastruktūros objektus, reikalingus esamų  ir (ar) busimų statinių prijungimui prie centralizuotų tinklų, kai tokia infrastruktūra numatyta teritorijų planavimo dokumentuose</w:t>
                    </w:r>
                    <w:r>
                      <w:rPr>
                        <w:bCs/>
                        <w:i/>
                        <w:sz w:val="22"/>
                        <w:szCs w:val="22"/>
                      </w:rPr>
                      <w:t xml:space="preserve">. Savivaldybės infrastruktūros plėtros sutartis turi apimti savivaldybės infrastruktūros, reikalingos planuojamam statyti naujam ir (ar) rekonstruoti esamam pastatui, inžineriniam statiniui, kuris nepriklauso savivaldybės infrastruktūrai, ir (ar) esamam inžineriniam statiniui rekonstruoti į pastatą, kuriems naudoti reikalinga savivaldybės infrastruktūros plėtra, </w:t>
                    </w:r>
                    <w:r>
                      <w:rPr>
                        <w:b/>
                        <w:bCs/>
                        <w:i/>
                        <w:sz w:val="22"/>
                        <w:szCs w:val="22"/>
                      </w:rPr>
                      <w:t>taip pat esamų ir (ar) busimų statinių prijungimui prie centralizuotų tinklų reikalingos infrastruktūros</w:t>
                    </w:r>
                    <w:r>
                      <w:rPr>
                        <w:bCs/>
                        <w:i/>
                        <w:sz w:val="22"/>
                        <w:szCs w:val="22"/>
                      </w:rPr>
                      <w:t>, projektavimą, įrengimą ir (ar) statybą. Savivaldybės infrastruktūros plėtros sutartis nesudaroma, kai: 1) savivaldybės infrastruktūros plėtra nesusijusi su konkretaus statytojo (vystytojo) reikmėmis ir ją savo lėšomis įgyvendina savivaldybės infrastruktūros valdytojai; 2) savivaldybės infrastruktūros plėtrą įgyvendina kiti savivaldybės infrastruktūros plėtros iniciatoriai; 3) siekiama įrengti ar pastatyti naują kompleksinio ir (ar) specialiojo teritorijų planavimo dokumentuose nesuplanuotą savivaldybės infrastruktūrą. Šiuo atveju savivaldybės infrastruktūros plėtros sutartis sudaroma tik po to, kai savivaldybės infrastruktūros plėtros iniciatorius, vadovaudamasis Teritorijų planavimo įstatymo 6 straipsnio 3 dalies nuostatomis, sudaro teritorijų planavimo proceso inicijavimo sutartį, parengiamas atitinkamas vietovės lygmens teritorijų planavimo dokumentas ir tam įgaliota institucija šį dokumentą patvirtina.“</w:t>
                    </w:r>
                  </w:p>
                </w:tc>
                <w:tc>
                  <w:tcPr>
                    <w:tcW w:w="1870" w:type="dxa"/>
                  </w:tcPr>
                  <w:p>
                    <w:pPr>
                      <w:jc w:val="center"/>
                      <w:rPr>
                        <w:bCs/>
                        <w:sz w:val="22"/>
                        <w:szCs w:val="22"/>
                      </w:rPr>
                    </w:pPr>
                    <w:r>
                      <w:rPr>
                        <w:bCs/>
                        <w:sz w:val="22"/>
                        <w:szCs w:val="22"/>
                      </w:rPr>
                      <w:t>Nepritarti.</w:t>
                    </w:r>
                  </w:p>
                </w:tc>
                <w:tc>
                  <w:tcPr>
                    <w:tcW w:w="2808" w:type="dxa"/>
                  </w:tcPr>
                  <w:p>
                    <w:pPr>
                      <w:ind w:right="-64"/>
                      <w:rPr>
                        <w:sz w:val="22"/>
                        <w:szCs w:val="22"/>
                      </w:rPr>
                    </w:pPr>
                    <w:r>
                      <w:rPr>
                        <w:sz w:val="22"/>
                        <w:szCs w:val="22"/>
                      </w:rPr>
                      <w:t>Pasiūlymas nesusijęs su SIPĮ projektu</w:t>
                    </w:r>
                    <w:r>
                      <w:rPr>
                        <w:szCs w:val="24"/>
                      </w:rPr>
                      <w:t>.</w:t>
                    </w:r>
                    <w:r>
                      <w:rPr>
                        <w:sz w:val="22"/>
                        <w:szCs w:val="22"/>
                      </w:rPr>
                      <w:t xml:space="preserve"> Pateiktas pasiūlymas sietinas su Lietuvos Respublikos geriamojo vandens tiekimo ir nuotekų tvarkymo įstatymo (toliau – GVTNTĮ) nuostatomis, o ne su SIPĮ teisiniu reglamentavimu.</w:t>
                    </w:r>
                  </w:p>
                  <w:p>
                    <w:pPr>
                      <w:rPr>
                        <w:sz w:val="22"/>
                        <w:szCs w:val="22"/>
                      </w:rPr>
                    </w:pPr>
                    <w:r>
                      <w:rPr>
                        <w:sz w:val="22"/>
                        <w:szCs w:val="22"/>
                      </w:rPr>
                      <w:t>SIPĮ ir GVTNĮ numato 2 savivaldybės infrastruktūros vystymo būdus:</w:t>
                    </w:r>
                  </w:p>
                  <w:p>
                    <w:pPr>
                      <w:rPr>
                        <w:sz w:val="22"/>
                        <w:szCs w:val="22"/>
                      </w:rPr>
                    </w:pPr>
                    <w:r>
                      <w:rPr>
                        <w:sz w:val="22"/>
                        <w:szCs w:val="22"/>
                      </w:rPr>
                      <w:t>1) bendrąjį, kai savivaldybės infrastruktūrą vysto valdytojas (tam nereikia sutarčių ir tai nustatyta SIPĮ 8 str. 3 d. 1 p. ir GVTNTĮ 16 str. 1 d.);</w:t>
                    </w:r>
                  </w:p>
                  <w:p>
                    <w:pPr>
                      <w:rPr>
                        <w:sz w:val="22"/>
                        <w:szCs w:val="22"/>
                      </w:rPr>
                    </w:pPr>
                    <w:r>
                      <w:rPr>
                        <w:sz w:val="22"/>
                        <w:szCs w:val="22"/>
                      </w:rPr>
                      <w:t>2) papildomą (išimtinį) atvejį, kai savivaldybės infrastruktūrą vysto iniciatorius ir ši išimtis taikytina tik tais atvejais, kai iniciatorius yra statinių (</w:t>
                    </w:r>
                    <w:r>
                      <w:rPr>
                        <w:i/>
                        <w:iCs/>
                        <w:sz w:val="22"/>
                        <w:szCs w:val="22"/>
                      </w:rPr>
                      <w:t>ne tik pastatų</w:t>
                    </w:r>
                    <w:r>
                      <w:rPr>
                        <w:sz w:val="22"/>
                        <w:szCs w:val="22"/>
                      </w:rPr>
                      <w:t xml:space="preserve">), kuriems reikalinga infrastruktūra statytojas.  </w:t>
                    </w:r>
                  </w:p>
                  <w:p>
                    <w:pPr>
                      <w:rPr>
                        <w:sz w:val="22"/>
                        <w:szCs w:val="22"/>
                      </w:rPr>
                    </w:pPr>
                    <w:r>
                      <w:rPr>
                        <w:sz w:val="22"/>
                        <w:szCs w:val="22"/>
                      </w:rPr>
                      <w:t xml:space="preserve">Pagal GVTNĮ 3 str. 57 d. savivaldybės institucijos </w:t>
                    </w:r>
                    <w:r>
                      <w:rPr>
                        <w:i/>
                        <w:iCs/>
                        <w:sz w:val="22"/>
                        <w:szCs w:val="22"/>
                      </w:rPr>
                      <w:t>privalo organizuoti ir užtikrinti viešąjį geriamojo vandens tiekimą ir (arba) nuotekų tvarkymą</w:t>
                    </w:r>
                    <w:r>
                      <w:rPr>
                        <w:sz w:val="22"/>
                        <w:szCs w:val="22"/>
                      </w:rPr>
                      <w:t xml:space="preserve">. GVTNĮ 26 str. 1 d. 2 p. nustatyta, kad geriamojo vandens tiekėjas privalo užtikrinti geriamojo vandens tiekimo ir (arba) nuotekų tvarkymo </w:t>
                    </w:r>
                    <w:r>
                      <w:rPr>
                        <w:i/>
                        <w:iCs/>
                        <w:sz w:val="22"/>
                        <w:szCs w:val="22"/>
                      </w:rPr>
                      <w:t>infrastruktūros plėtrą</w:t>
                    </w:r>
                    <w:r>
                      <w:rPr>
                        <w:sz w:val="22"/>
                        <w:szCs w:val="22"/>
                      </w:rPr>
                      <w:t xml:space="preserve"> pagal infrastruktūros plėtros plane numatytas geriamojo vandens tiekimo ir nuotekų tvarkymo infrastruktūros plėtros kryptis ir etapus, </w:t>
                    </w:r>
                    <w:r>
                      <w:rPr>
                        <w:b/>
                        <w:bCs/>
                        <w:i/>
                        <w:iCs/>
                        <w:sz w:val="22"/>
                        <w:szCs w:val="22"/>
                      </w:rPr>
                      <w:t>prijungti savo prižiūrimoje viešojo geriamojo vandens tiekimo teritorijoje esančius abonentų ir vartotojų įrenginius prie geriamojo vandens tiekimo ir nuotekų tvarkymo tinklų</w:t>
                    </w:r>
                    <w:r>
                      <w:rPr>
                        <w:sz w:val="22"/>
                        <w:szCs w:val="22"/>
                      </w:rPr>
                      <w:t xml:space="preserve">, vadovaudamiesi aplinkos ministro tvirtinamose geriamojo vandens tiekimo ir nuotekų tvarkymo infrastruktūros naudojimo ir priežiūros taisyklėse nustatytais reikalavimais ir aplinkos ministro nustatytais naujų abonentų ir vartotojų prijungimo prie geriamojo vandens tiekimo ir nuotekų tvarkymo infrastruktūros reikalavimais. </w:t>
                    </w:r>
                  </w:p>
                  <w:p>
                    <w:pPr>
                      <w:rPr>
                        <w:sz w:val="22"/>
                        <w:szCs w:val="22"/>
                      </w:rPr>
                    </w:pPr>
                    <w:r>
                      <w:rPr>
                        <w:sz w:val="22"/>
                        <w:szCs w:val="22"/>
                      </w:rPr>
                      <w:t xml:space="preserve">Pagal GVTNĮ 16 str. 19 d. geriamojo vandens tiekimo ir nuotekų tvarkymo infrastruktūra, vandentiekio įvadai ir (arba) nuotekų išvadai įrengiami viešojo geriamojo vandens tiekimo teritorijoje (valstybės ar savivaldybės teisėtais pagrindais naudojamoje teritorijoje) iki abonentui ir (arba) vartotojui nuosavybės teise priklausančio ar kitaip valdomo ir (arba) naudojamo turto ribos (vandentiekio šulinys, nuotekų priėmimo šulinys, nuotekų siurblinė (kai yra slėginė nuotekų linija), individualaus namo nuotekų valykla, žemės sklypo riba ar statinio arba daugiabučio namo įvadas, nuotekų išvadas), esantys arčiausiai prie geriamojo vandens tiekėjo nuosavybės teise ar kitaip valdomos ir (arba) naudojamos geriamojo vandens tiekimo ir (arba) nuotekų tvarkymo infrastruktūros. Abonentui ir (arba) vartotojui nuosavybės teise priklausančio ar kitaip valdomo ir (arba) naudojamo turto ribos nurodomos sudarant viešąją sutartį. Su </w:t>
                    </w:r>
                    <w:r>
                      <w:rPr>
                        <w:b/>
                        <w:bCs/>
                        <w:sz w:val="22"/>
                        <w:szCs w:val="22"/>
                      </w:rPr>
                      <w:t>prioritetinės</w:t>
                    </w:r>
                    <w:r>
                      <w:rPr>
                        <w:sz w:val="22"/>
                        <w:szCs w:val="22"/>
                      </w:rPr>
                      <w:t xml:space="preserve"> savivaldybės infrastruktūros reikalavimus atitinkančios geriamojo vandens tiekimo ir nuotekų tvarkymo infrastruktūros, suplanuotos teritorijų planavimo dokumentuose,</w:t>
                    </w:r>
                    <w:r>
                      <w:rPr>
                        <w:b/>
                        <w:bCs/>
                        <w:sz w:val="22"/>
                        <w:szCs w:val="22"/>
                      </w:rPr>
                      <w:t xml:space="preserve"> </w:t>
                    </w:r>
                    <w:r>
                      <w:rPr>
                        <w:sz w:val="22"/>
                        <w:szCs w:val="22"/>
                      </w:rPr>
                      <w:t>vandentiekio įvadų ir (arba) nuotekų išvadų įrengimu iki abonentui ir (arba) vartotojui nuosavybės teise priklausančio ar kitaip valdomo ir (arba) naudojamo turto ribų, abonentų ir vartotojų vandentiekio įvadų ir (arba) nuotekų išvadų prijungimu prie geriamojo vandens tiekėjui nuosavybės teise priklausančios ar kitaip valdomos ir (arba) naudojamos geriamojo vandens tiekimo ir nuotekų tvarkymo infrastruktūros susijusias išlaidas, vadovaujantis šio įstatymo 33 straipsnio 4 dalyje nurodytais dokumentais,</w:t>
                    </w:r>
                    <w:r>
                      <w:rPr>
                        <w:b/>
                        <w:bCs/>
                        <w:sz w:val="22"/>
                        <w:szCs w:val="22"/>
                      </w:rPr>
                      <w:t xml:space="preserve"> </w:t>
                    </w:r>
                    <w:r>
                      <w:rPr>
                        <w:b/>
                        <w:bCs/>
                        <w:i/>
                        <w:iCs/>
                        <w:sz w:val="22"/>
                        <w:szCs w:val="22"/>
                      </w:rPr>
                      <w:t>apmoka geriamojo vandens tiekėjai</w:t>
                    </w:r>
                    <w:r>
                      <w:rPr>
                        <w:sz w:val="22"/>
                        <w:szCs w:val="22"/>
                      </w:rPr>
                      <w:t xml:space="preserve">. Vandentiekio įvadų, nuotekų išvadų įrengimo ir prijungimo sąnaudos (jų sudedamosios dalys) nustatomos vadovaujantis Valstybinės energetikos reguliavimo tarybos patvirtinta geriamojo vandens tiekimo ir nuotekų tvarkymo paslaugų kainų nustatymo metodika ir įtraukiamos į geriamojo vandens tiekimo ir nuotekų tvarkymo paslaugų kainą. Už </w:t>
                    </w:r>
                    <w:r>
                      <w:rPr>
                        <w:b/>
                        <w:bCs/>
                        <w:sz w:val="22"/>
                        <w:szCs w:val="22"/>
                      </w:rPr>
                      <w:t>neprioritetinės</w:t>
                    </w:r>
                    <w:r>
                      <w:rPr>
                        <w:sz w:val="22"/>
                        <w:szCs w:val="22"/>
                      </w:rPr>
                      <w:t xml:space="preserve"> savivaldybės infrastruktūros reikalavimus atitinkančios geriamojo vandens tiekimo ir nuotekų tvarkymo infrastruktūros plėtrą kompensuojama SIPĮ nustatyta tvarka ir atvejais. Pagal GVTNĮ 16 str. 2 d. geriamojo vandens tiekimo ir nuotekų tvarkymo infrastruktūros objektų statyba, jeigu objektų statytojas (užsakovas) nėra viešasis vandens tiekėjas, regioninis viešasis vandens tiekėjas ar savivaldybės institucija, galima, kai šių objektų statyba numatyta infrastruktūros plėtros plane arba savivaldybės ir (ar) vietovės lygmens kompleksinio teritorijų planavimo dokumente ir, kai yra sudaryta trišalė ar daugiašalė savivaldybės institucijos, viešojo vandens tiekėjo arba regioninio viešojo vandens tiekėjo, objekto statytojo (užsakovo) ir (ar) kito savivaldybės infrastruktūros valdytojo savivaldybės infrastruktūros plėtros sutartis, kuri sudaroma, keičiama ir nutraukiama vadovaujantis SIPĮ 8 str. nustatyta tvarka ir CK. </w:t>
                    </w:r>
                  </w:p>
                  <w:p>
                    <w:pPr>
                      <w:ind w:right="-64"/>
                      <w:rPr>
                        <w:sz w:val="22"/>
                        <w:szCs w:val="22"/>
                      </w:rPr>
                    </w:pPr>
                    <w:r>
                      <w:rPr>
                        <w:sz w:val="22"/>
                        <w:szCs w:val="22"/>
                      </w:rPr>
                      <w:t xml:space="preserve">Mūsų nuomone, </w:t>
                    </w:r>
                    <w:r>
                      <w:rPr>
                        <w:i/>
                        <w:iCs/>
                        <w:sz w:val="22"/>
                        <w:szCs w:val="22"/>
                      </w:rPr>
                      <w:t>pasiūlymas prieštarauja</w:t>
                    </w:r>
                    <w:r>
                      <w:rPr>
                        <w:sz w:val="22"/>
                        <w:szCs w:val="22"/>
                      </w:rPr>
                      <w:t xml:space="preserve"> </w:t>
                    </w:r>
                    <w:r>
                      <w:rPr>
                        <w:i/>
                        <w:iCs/>
                        <w:sz w:val="22"/>
                        <w:szCs w:val="22"/>
                      </w:rPr>
                      <w:t>savivaldybės infrastruktūros plėtros politikai ir</w:t>
                    </w:r>
                    <w:r>
                      <w:rPr>
                        <w:sz w:val="22"/>
                        <w:szCs w:val="22"/>
                      </w:rPr>
                      <w:t xml:space="preserve"> </w:t>
                    </w:r>
                    <w:r>
                      <w:rPr>
                        <w:i/>
                        <w:iCs/>
                        <w:sz w:val="22"/>
                        <w:szCs w:val="22"/>
                      </w:rPr>
                      <w:t>vartotojo interesams</w:t>
                    </w:r>
                    <w:r>
                      <w:rPr>
                        <w:sz w:val="22"/>
                        <w:szCs w:val="22"/>
                      </w:rPr>
                      <w:t xml:space="preserve">, viešojo vandens tiekimo infrastruktūros plėtrą permetant privatiems asmenims (esamiems vartotojams), kuriuos reikėtų tik prijungti prie savivaldybės infrastruktūros pagal faktą (kai privatūs asmenys (esami vartotojai) nieko nestato), t. y. šiuo atveju savivaldybės infrastruktūros plėtros sutartis neturėtų būti pasirašoma, viešąją vandens tiekimo infrastruktūrą bendruoju atveju turėtų vystyti tiekėjas. SIPĮ ir GVTNTĮ įtvirtinta aukščiau minėta išimtis – kai dėl statytojo planuojamos statybos reikalinga infrastruktūros plėtra. Šiuo atveju, taikant išimtį, savivaldybės infrastruktūros plėtros sutarties pagrindu sukuriama  savivaldybės infrastruktūra ir perduodama valdytojui (gavus kompensaciją).</w:t>
                    </w:r>
                  </w:p>
                  <w:p>
                    <w:pPr>
                      <w:ind w:firstLine="227"/>
                      <w:jc w:val="both"/>
                      <w:rPr>
                        <w:bCs/>
                        <w:sz w:val="22"/>
                        <w:szCs w:val="22"/>
                      </w:rPr>
                    </w:pPr>
                  </w:p>
                </w:tc>
              </w:tr>
              <w:tr>
                <w:trPr>
                  <w:jc w:val="center"/>
                </w:trPr>
                <w:tc>
                  <w:tcPr>
                    <w:tcW w:w="567" w:type="dxa"/>
                  </w:tcPr>
                  <w:p>
                    <w:pPr>
                      <w:jc w:val="center"/>
                      <w:rPr>
                        <w:bCs/>
                        <w:sz w:val="22"/>
                        <w:szCs w:val="22"/>
                      </w:rPr>
                    </w:pPr>
                    <w:r>
                      <w:rPr>
                        <w:bCs/>
                        <w:sz w:val="22"/>
                        <w:szCs w:val="22"/>
                      </w:rPr>
                      <w:t>5.</w:t>
                    </w:r>
                  </w:p>
                </w:tc>
                <w:tc>
                  <w:tcPr>
                    <w:tcW w:w="2284" w:type="dxa"/>
                  </w:tcPr>
                  <w:p>
                    <w:pPr>
                      <w:rPr>
                        <w:bCs/>
                        <w:sz w:val="22"/>
                        <w:szCs w:val="22"/>
                      </w:rPr>
                    </w:pPr>
                    <w:r>
                      <w:rPr>
                        <w:bCs/>
                        <w:sz w:val="22"/>
                        <w:szCs w:val="22"/>
                      </w:rPr>
                      <w:t>UAB „Vilniaus vandenys“</w:t>
                    </w:r>
                  </w:p>
                  <w:p>
                    <w:pPr>
                      <w:rPr>
                        <w:bCs/>
                        <w:sz w:val="22"/>
                        <w:szCs w:val="22"/>
                      </w:rPr>
                    </w:pPr>
                    <w:r>
                      <w:rPr>
                        <w:bCs/>
                        <w:sz w:val="22"/>
                        <w:szCs w:val="22"/>
                      </w:rPr>
                      <w:t>(2026-06-01)</w:t>
                    </w:r>
                  </w:p>
                </w:tc>
                <w:tc>
                  <w:tcPr>
                    <w:tcW w:w="709" w:type="dxa"/>
                  </w:tcPr>
                  <w:p>
                    <w:pPr>
                      <w:jc w:val="center"/>
                      <w:rPr>
                        <w:b/>
                        <w:bCs/>
                        <w:sz w:val="22"/>
                        <w:szCs w:val="22"/>
                      </w:rPr>
                    </w:pPr>
                  </w:p>
                  <w:p>
                    <w:pPr>
                      <w:jc w:val="center"/>
                      <w:rPr>
                        <w:b/>
                        <w:bCs/>
                        <w:sz w:val="22"/>
                        <w:szCs w:val="22"/>
                      </w:rPr>
                    </w:pPr>
                    <w:r>
                      <w:rPr>
                        <w:b/>
                        <w:bCs/>
                        <w:sz w:val="22"/>
                        <w:szCs w:val="22"/>
                      </w:rPr>
                      <w:t>(13)</w:t>
                    </w:r>
                  </w:p>
                </w:tc>
                <w:tc>
                  <w:tcPr>
                    <w:tcW w:w="709" w:type="dxa"/>
                  </w:tcPr>
                  <w:p>
                    <w:pPr>
                      <w:jc w:val="center"/>
                      <w:rPr>
                        <w:b/>
                        <w:bCs/>
                        <w:sz w:val="22"/>
                        <w:szCs w:val="22"/>
                      </w:rPr>
                    </w:pPr>
                  </w:p>
                  <w:p>
                    <w:pPr>
                      <w:jc w:val="center"/>
                      <w:rPr>
                        <w:b/>
                        <w:bCs/>
                        <w:sz w:val="22"/>
                        <w:szCs w:val="22"/>
                      </w:rPr>
                    </w:pPr>
                    <w:r>
                      <w:rPr>
                        <w:b/>
                        <w:bCs/>
                        <w:sz w:val="22"/>
                        <w:szCs w:val="22"/>
                      </w:rPr>
                      <w:t>(4)</w:t>
                    </w:r>
                  </w:p>
                </w:tc>
                <w:tc>
                  <w:tcPr>
                    <w:tcW w:w="709" w:type="dxa"/>
                  </w:tcPr>
                  <w:p>
                    <w:pPr>
                      <w:jc w:val="center"/>
                      <w:rPr>
                        <w:b/>
                        <w:bCs/>
                        <w:sz w:val="22"/>
                        <w:szCs w:val="22"/>
                      </w:rPr>
                    </w:pPr>
                  </w:p>
                </w:tc>
                <w:tc>
                  <w:tcPr>
                    <w:tcW w:w="5512" w:type="dxa"/>
                  </w:tcPr>
                  <w:p>
                    <w:pPr>
                      <w:ind w:firstLine="175"/>
                      <w:jc w:val="both"/>
                      <w:rPr>
                        <w:bCs/>
                        <w:sz w:val="22"/>
                        <w:szCs w:val="22"/>
                      </w:rPr>
                    </w:pPr>
                    <w:r>
                      <w:rPr>
                        <w:bCs/>
                        <w:sz w:val="22"/>
                        <w:szCs w:val="22"/>
                      </w:rPr>
                      <w:t xml:space="preserve">Papildomai pažymėtina, kad Projektu siūlomas SIPĮ 13 straipsnio 4 dalies pakeitimas tik iš dalies sprendžia anksčiau Bendrovės nurodytas problemas dėl kompensavimo mechanizmo. Lyginant galiojantį ir siūlomą reguliavimą, vienintelis pakeitimas yra tas, kad neprioritetinės infrastruktūros kompensavimo sakinys papildomas nuostata, jog įmokos surenkamos ne tik iš statytojų (vystytojų), prisijungiančių prie infrastruktūros, bet ir iš statančių (rekonstruojančių) statinius šios infrastruktūros aptarnaujamoje teritorijoje, nustatytoje teritorijų planavimo dokumentuose ar savivaldybės infrastruktūros valdytojo patvirtintuose dokumentuose. Tai yra žingsnis tinkama linkme, tačiau esminė problema išlieka neišspręsta: nei galiojantis, nei siūlomas reguliavimas neapima atvejų, kai prie infrastruktūros prisijungia asmenys, nevykdantys jokios naujos statybos ar rekonstravimo – t. y. naudojantys jau esamus statinius ir siekiantys prisijungti prie centralizuotų tinklų. Tokiu atveju kompensavimo mechanizmo taikymas lieka teisiškai neapibrėžtas, o tai yra ta pati spraga, dėl kurios Bendrovė jau yra teikusi pastabas (2026-04-01 buvo pateikusi raštą „Dėl Savivaldybių infrastruktūros plėtros įstatymo pakeitimo projekto“). </w:t>
                    </w:r>
                  </w:p>
                  <w:p>
                    <w:pPr>
                      <w:ind w:firstLine="175"/>
                      <w:jc w:val="both"/>
                      <w:rPr>
                        <w:bCs/>
                        <w:sz w:val="22"/>
                        <w:szCs w:val="22"/>
                      </w:rPr>
                    </w:pPr>
                    <w:r>
                      <w:rPr>
                        <w:bCs/>
                        <w:sz w:val="22"/>
                        <w:szCs w:val="22"/>
                      </w:rPr>
                      <w:t xml:space="preserve">Praktikoje tai lemia situacijas, kai infrastruktūros plėtros iniciatorius, savo lėšomis įrengęs bendro naudojimo tinklus, prisiima visą finansinę naštą, nors infrastruktūra faktiškai naudojasi ar naudosis platesnis asmenų ratas, tarp jų ir tie, kurie prisijungia nevykdydami jokios statybos ar rekonstravimo. Toks reguliavimas neatitinka proporcingumo, sistemiškumo ir efektyvumo principų bei iškraipo infrastruktūros plėtros finansavimo modelį. </w:t>
                    </w:r>
                  </w:p>
                  <w:p>
                    <w:pPr>
                      <w:ind w:firstLine="175"/>
                      <w:jc w:val="both"/>
                      <w:rPr>
                        <w:bCs/>
                        <w:sz w:val="22"/>
                        <w:szCs w:val="22"/>
                      </w:rPr>
                    </w:pPr>
                    <w:r>
                      <w:rPr>
                        <w:bCs/>
                        <w:sz w:val="22"/>
                        <w:szCs w:val="22"/>
                      </w:rPr>
                      <w:t xml:space="preserve">Atsižvelgiant į tai, pakartotinai teikiame siūlymą papildomai patikslinti  SIPĮ 13 straipsnio 4 dalį, numatant, kad kompensacijos mokamos iš įmokų, surinktų iš visų asmenų, prisijungiančių prie infrastruktūros, nepriklausomai nuo to, ar jie vykdo statybą, rekonstravimą ar prisijungia naudodami esamus statinius.</w:t>
                    </w:r>
                  </w:p>
                  <w:p>
                    <w:pPr>
                      <w:ind w:firstLine="175"/>
                      <w:jc w:val="both"/>
                      <w:rPr>
                        <w:bCs/>
                        <w:sz w:val="22"/>
                        <w:szCs w:val="22"/>
                      </w:rPr>
                    </w:pPr>
                    <w:r>
                      <w:rPr>
                        <w:bCs/>
                        <w:sz w:val="22"/>
                        <w:szCs w:val="22"/>
                      </w:rPr>
                      <w:t xml:space="preserve">Remiantis išdėstytu darytina išvada, kad Projektu siūlomas reguliavimas neužtikrina pakankamai aiškaus, nuoseklaus ir sistemiškai suderinto savivaldybių infrastruktūros plėtros teisinio reguliavimo. Projektu sprendžiami tik atskiri techniniai SIPS taikymo aspektai, tačiau lieka neišspręstos esminės sisteminės problemos, susijusios su neužbaigtos infrastruktūros naudojimo ribomis, atsakomybės paskirstymu, SIPS vykdymo kontrole, SIPS sudarymo pagrindais esamų statinių prijungimo atvejais bei kompensavimo mechanizmo taikymu asmenims, prisijungiantiems prie infrastruktūros nevykdant statybos ar rekonstravimo darbų. Be to, siūlomas reguliavimas nepakankamai atsižvelgia į vandentvarkos infrastruktūros techninius ir funkcinius ypatumus, todėl praktikoje gali kilti reikšmingų teisinių ir veiklos organizavimo problemų tiek statytojams, tiek infrastruktūros valdytojams, tiek galutiniams paslaugų vartotojams. </w:t>
                    </w:r>
                  </w:p>
                  <w:p>
                    <w:pPr>
                      <w:ind w:firstLine="175"/>
                      <w:jc w:val="both"/>
                      <w:rPr>
                        <w:bCs/>
                        <w:sz w:val="22"/>
                        <w:szCs w:val="22"/>
                      </w:rPr>
                    </w:pPr>
                    <w:r>
                      <w:rPr>
                        <w:bCs/>
                        <w:sz w:val="22"/>
                        <w:szCs w:val="22"/>
                      </w:rPr>
                      <w:t>Apibendrinant pažymėtina, kad Bendrovės siūlomi Projekto patikslinimai – aiškus sąvokos „naudoti“ apibrėžimas, infrastruktūros rūšims taikytinų išimčių nustatymas, SLD ir SIPS nutraukimo terminų suderinimas, aiškaus atsakomybės paskirstymo bei SIPS vykdymo kontrolės mechanizmo įtvirtinimas, taip pat SIPS sudarymo ir kompensavimo reguliavimo išplėtimas esamų statinių prijungimo atvejams – sudarytų prielaidas užtikrinti SIPĮ suderinamumą su GVTNTĮ ir kitais susijusiais teisės aktais, sumažintų galiojančio reguliavimo neaiškumus bei sukurtų veiksmingą, sistemiškai nuoseklų ir praktikoje efektyviai taikomą savivaldybių infrastruktūros plėtros teisinį reguliavimą.</w:t>
                    </w:r>
                  </w:p>
                </w:tc>
                <w:tc>
                  <w:tcPr>
                    <w:tcW w:w="1870" w:type="dxa"/>
                  </w:tcPr>
                  <w:p>
                    <w:pPr>
                      <w:jc w:val="center"/>
                      <w:rPr>
                        <w:bCs/>
                        <w:sz w:val="22"/>
                        <w:szCs w:val="22"/>
                      </w:rPr>
                    </w:pPr>
                    <w:r>
                      <w:rPr>
                        <w:bCs/>
                        <w:sz w:val="22"/>
                        <w:szCs w:val="22"/>
                      </w:rPr>
                      <w:t>Nepritarti.</w:t>
                    </w:r>
                  </w:p>
                </w:tc>
                <w:tc>
                  <w:tcPr>
                    <w:tcW w:w="2808" w:type="dxa"/>
                  </w:tcPr>
                  <w:p>
                    <w:pPr>
                      <w:rPr>
                        <w:bCs/>
                        <w:sz w:val="22"/>
                        <w:szCs w:val="24"/>
                        <w:shd w:val="clear" w:color="auto" w:fill="FFFFFF"/>
                      </w:rPr>
                    </w:pPr>
                    <w:r>
                      <w:rPr>
                        <w:bCs/>
                        <w:sz w:val="22"/>
                        <w:szCs w:val="22"/>
                      </w:rPr>
                      <w:t xml:space="preserve">SIPI 13 str. 4 d. nuostatos reglamentuoja prisijungiančių prie savivaldybės infrastruktūros plėtros iniciatoriaus pastatytos ar įrengtos savivaldybės infrastruktūros nuostatas, kai statomi </w:t>
                    </w:r>
                    <w:r>
                      <w:rPr>
                        <w:bCs/>
                        <w:sz w:val="22"/>
                        <w:szCs w:val="24"/>
                        <w:shd w:val="clear" w:color="auto" w:fill="FFFFFF"/>
                      </w:rPr>
                      <w:t>nauji statiniai ar esami rekonstruojami, kuriems reikalinga savivaldybės inžinerinė infrastruktūra.</w:t>
                    </w:r>
                  </w:p>
                  <w:p>
                    <w:pPr>
                      <w:rPr>
                        <w:bCs/>
                        <w:sz w:val="22"/>
                        <w:szCs w:val="24"/>
                        <w:shd w:val="clear" w:color="auto" w:fill="FFFFFF"/>
                      </w:rPr>
                    </w:pPr>
                    <w:r>
                      <w:rPr>
                        <w:bCs/>
                        <w:sz w:val="22"/>
                        <w:szCs w:val="24"/>
                        <w:shd w:val="clear" w:color="auto" w:fill="FFFFFF"/>
                      </w:rPr>
                      <w:t xml:space="preserve">Tačiau, esami statiniai, </w:t>
                    </w:r>
                    <w:r>
                      <w:rPr>
                        <w:bCs/>
                        <w:sz w:val="22"/>
                        <w:szCs w:val="22"/>
                      </w:rPr>
                      <w:t>kuriuos reikėtų tik prijungti prie savivaldybės infrastruktūros pagal faktą (kai privatūs asmenys (esami vartotojai) nieko nestato</w:t>
                    </w:r>
                  </w:p>
                  <w:p>
                    <w:pPr>
                      <w:rPr>
                        <w:bCs/>
                        <w:sz w:val="22"/>
                        <w:szCs w:val="22"/>
                      </w:rPr>
                    </w:pPr>
                    <w:r>
                      <w:rPr>
                        <w:bCs/>
                        <w:sz w:val="22"/>
                        <w:szCs w:val="24"/>
                        <w:shd w:val="clear" w:color="auto" w:fill="FFFFFF"/>
                      </w:rPr>
                      <w:t xml:space="preserve">prijungiami pagal </w:t>
                    </w:r>
                    <w:r>
                      <w:rPr>
                        <w:bCs/>
                        <w:sz w:val="22"/>
                        <w:szCs w:val="22"/>
                      </w:rPr>
                      <w:t xml:space="preserve">GVTNTĮ nuostatas. </w:t>
                    </w:r>
                  </w:p>
                  <w:p>
                    <w:pPr>
                      <w:rPr>
                        <w:bCs/>
                        <w:sz w:val="22"/>
                        <w:szCs w:val="22"/>
                      </w:rPr>
                    </w:pPr>
                    <w:r>
                      <w:rPr>
                        <w:bCs/>
                        <w:sz w:val="22"/>
                        <w:szCs w:val="22"/>
                      </w:rPr>
                      <w:t>Žr. atsakymą į 4 pastabą.</w:t>
                    </w:r>
                  </w:p>
                  <w:p>
                    <w:pPr>
                      <w:jc w:val="both"/>
                      <w:rPr>
                        <w:bCs/>
                        <w:sz w:val="22"/>
                        <w:szCs w:val="22"/>
                      </w:rPr>
                    </w:pPr>
                  </w:p>
                </w:tc>
              </w:tr>
            </w:tbl>
            <w:p>
              <w:pPr>
                <w:jc w:val="both"/>
                <w:rPr>
                  <w:bCs/>
                  <w:sz w:val="18"/>
                  <w:szCs w:val="18"/>
                </w:rPr>
              </w:pPr>
            </w:p>
          </w:sdtContent>
        </w:sdt>
        <w:sdt>
          <w:sdtPr>
            <w:alias w:val="4 p."/>
            <w:tag w:val="part_d6eaffe253854ecd888147c8715b6f10"/>
            <w:lock w:val="sdtLocked"/>
            <w:richText/>
          </w:sdtPr>
          <w:sdtContent>
            <w:p>
              <w:pPr>
                <w:keepNext/>
                <w:ind w:firstLine="720"/>
                <w:jc w:val="both"/>
                <w:outlineLvl w:val="5"/>
                <w:rPr>
                  <w:b/>
                  <w:bCs/>
                  <w:szCs w:val="24"/>
                </w:rPr>
              </w:pPr>
              <w:sdt>
                <w:sdtPr>
                  <w:alias w:val="Numeris"/>
                  <w:tag w:val="nr_d6eaffe253854ecd888147c8715b6f10"/>
                  <w:lock w:val="sdtLocked"/>
                  <w:richText/>
                </w:sdtPr>
                <w:sdtContent>
                  <w:r>
                    <w:rPr>
                      <w:b/>
                      <w:bCs/>
                      <w:szCs w:val="24"/>
                    </w:rPr>
                    <w:t>4</w:t>
                  </w:r>
                </w:sdtContent>
              </w:sdt>
              <w:r>
                <w:rPr>
                  <w:b/>
                  <w:bCs/>
                  <w:szCs w:val="24"/>
                </w:rPr>
                <w:t xml:space="preserve">. Valstybės ir savivaldybių institucijų ir įstaigų pasiūlymai: </w:t>
              </w:r>
              <w:r>
                <w:rPr>
                  <w:bCs/>
                  <w:szCs w:val="24"/>
                </w:rPr>
                <w:t>negauta.</w:t>
              </w:r>
            </w:p>
          </w:sdtContent>
        </w:sdt>
        <w:sdt>
          <w:sdtPr>
            <w:alias w:val="5 p."/>
            <w:tag w:val="part_f51342f68915432d8b1ab2bac44ca43e"/>
            <w:lock w:val="sdtLocked"/>
            <w:richText/>
          </w:sdtPr>
          <w:sdtContent>
            <w:p>
              <w:pPr>
                <w:keepNext/>
                <w:ind w:firstLine="720"/>
                <w:outlineLvl w:val="5"/>
                <w:rPr>
                  <w:b/>
                  <w:bCs/>
                  <w:szCs w:val="24"/>
                </w:rPr>
              </w:pPr>
              <w:sdt>
                <w:sdtPr>
                  <w:alias w:val="Numeris"/>
                  <w:tag w:val="nr_f51342f68915432d8b1ab2bac44ca43e"/>
                  <w:lock w:val="sdtLocked"/>
                  <w:richText/>
                </w:sdtPr>
                <w:sdtContent>
                  <w:r>
                    <w:rPr>
                      <w:b/>
                      <w:bCs/>
                      <w:szCs w:val="24"/>
                    </w:rPr>
                    <w:t>5</w:t>
                  </w:r>
                </w:sdtContent>
              </w:sdt>
              <w:r>
                <w:rPr>
                  <w:b/>
                  <w:bCs/>
                  <w:szCs w:val="24"/>
                </w:rPr>
                <w:t xml:space="preserve">. Subjektų, turinčių įstatymų leidybos iniciatyvos teisę, pasiūlymai: </w:t>
              </w:r>
              <w:r>
                <w:rPr>
                  <w:bCs/>
                  <w:szCs w:val="24"/>
                </w:rPr>
                <w:t>negauta.</w:t>
              </w:r>
            </w:p>
          </w:sdtContent>
        </w:sdt>
        <w:sdt>
          <w:sdtPr>
            <w:alias w:val="6 p."/>
            <w:tag w:val="part_c9a4106511cf4c41bc0777499724da9c"/>
            <w:lock w:val="sdtLocked"/>
            <w:richText/>
          </w:sdtPr>
          <w:sdtContent>
            <w:p>
              <w:pPr>
                <w:keepNext/>
                <w:ind w:firstLine="720"/>
                <w:outlineLvl w:val="5"/>
                <w:rPr>
                  <w:b/>
                  <w:bCs/>
                  <w:szCs w:val="24"/>
                </w:rPr>
              </w:pPr>
              <w:sdt>
                <w:sdtPr>
                  <w:alias w:val="Numeris"/>
                  <w:tag w:val="nr_c9a4106511cf4c41bc0777499724da9c"/>
                  <w:lock w:val="sdtLocked"/>
                  <w:richText/>
                </w:sdtPr>
                <w:sdtContent>
                  <w:r>
                    <w:rPr>
                      <w:b/>
                      <w:bCs/>
                      <w:szCs w:val="24"/>
                    </w:rPr>
                    <w:t>6</w:t>
                  </w:r>
                </w:sdtContent>
              </w:sdt>
              <w:r>
                <w:rPr>
                  <w:b/>
                  <w:bCs/>
                  <w:szCs w:val="24"/>
                </w:rPr>
                <w:t xml:space="preserve">. Seimo paskirtų papildomų komitetų / komisijų pasiūlymai: </w:t>
              </w:r>
              <w:r>
                <w:rPr>
                  <w:bCs/>
                  <w:szCs w:val="24"/>
                </w:rPr>
                <w:t>papildomi komitetai / komisijos nepaskirti.</w:t>
              </w:r>
            </w:p>
          </w:sdtContent>
        </w:sdt>
        <w:sdt>
          <w:sdtPr>
            <w:alias w:val="7 p."/>
            <w:tag w:val="part_45682f8a73264594b5ba7c08c95109f4"/>
            <w:lock w:val="sdtLocked"/>
            <w:richText/>
          </w:sdtPr>
          <w:sdtContent>
            <w:p>
              <w:pPr>
                <w:ind w:firstLine="720"/>
                <w:jc w:val="both"/>
                <w:rPr>
                  <w:szCs w:val="24"/>
                </w:rPr>
              </w:pPr>
              <w:sdt>
                <w:sdtPr>
                  <w:alias w:val="Numeris"/>
                  <w:tag w:val="nr_45682f8a73264594b5ba7c08c95109f4"/>
                  <w:lock w:val="sdtLocked"/>
                  <w:richText/>
                </w:sdtPr>
                <w:sdtContent>
                  <w:r>
                    <w:rPr>
                      <w:b/>
                      <w:bCs/>
                      <w:szCs w:val="24"/>
                    </w:rPr>
                    <w:t>7</w:t>
                  </w:r>
                </w:sdtContent>
              </w:sdt>
              <w:r>
                <w:rPr>
                  <w:b/>
                  <w:bCs/>
                  <w:szCs w:val="24"/>
                </w:rPr>
                <w:t xml:space="preserve">. Komiteto pasiūlymai ir sprendimas: </w:t>
              </w:r>
            </w:p>
            <w:sdt>
              <w:sdtPr>
                <w:alias w:val="7.1 pp."/>
                <w:tag w:val="part_c3c34e49b8b5461fb48627cdfbfe0cda"/>
                <w:lock w:val="sdtLocked"/>
                <w:richText/>
              </w:sdtPr>
              <w:sdtContent>
                <w:p>
                  <w:pPr>
                    <w:ind w:firstLine="720"/>
                    <w:jc w:val="both"/>
                    <w:rPr>
                      <w:szCs w:val="24"/>
                    </w:rPr>
                  </w:pPr>
                  <w:sdt>
                    <w:sdtPr>
                      <w:alias w:val="Numeris"/>
                      <w:tag w:val="nr_c3c34e49b8b5461fb48627cdfbfe0cda"/>
                      <w:lock w:val="sdtLocked"/>
                      <w:richText/>
                    </w:sdtPr>
                    <w:sdtContent>
                      <w:r>
                        <w:rPr>
                          <w:b/>
                          <w:szCs w:val="24"/>
                        </w:rPr>
                        <w:t>7.1</w:t>
                      </w:r>
                    </w:sdtContent>
                  </w:sdt>
                  <w:r>
                    <w:rPr>
                      <w:b/>
                      <w:szCs w:val="24"/>
                    </w:rPr>
                    <w:t xml:space="preserve">. Pasiūlymai: </w:t>
                  </w:r>
                  <w:r>
                    <w:rPr>
                      <w:szCs w:val="24"/>
                    </w:rPr>
                    <w:t>nėra.</w:t>
                  </w:r>
                </w:p>
                <w:p>
                  <w:pPr>
                    <w:jc w:val="both"/>
                    <w:rPr>
                      <w:b/>
                      <w:bCs/>
                      <w:sz w:val="20"/>
                    </w:rPr>
                  </w:pPr>
                </w:p>
              </w:sdtContent>
            </w:sdt>
            <w:sdt>
              <w:sdtPr>
                <w:alias w:val="7.2 pp."/>
                <w:tag w:val="part_14dc331dd08944849b85655579167628"/>
                <w:lock w:val="sdtLocked"/>
                <w:richText/>
              </w:sdtPr>
              <w:sdtContent>
                <w:p>
                  <w:pPr>
                    <w:ind w:firstLine="720"/>
                    <w:jc w:val="both"/>
                    <w:rPr>
                      <w:szCs w:val="24"/>
                      <w:u w:val="single"/>
                    </w:rPr>
                  </w:pPr>
                  <w:sdt>
                    <w:sdtPr>
                      <w:alias w:val="Numeris"/>
                      <w:tag w:val="nr_14dc331dd08944849b85655579167628"/>
                      <w:lock w:val="sdtLocked"/>
                      <w:richText/>
                    </w:sdtPr>
                    <w:sdtContent>
                      <w:r>
                        <w:rPr>
                          <w:b/>
                          <w:szCs w:val="24"/>
                        </w:rPr>
                        <w:t>7.2</w:t>
                      </w:r>
                    </w:sdtContent>
                  </w:sdt>
                  <w:r>
                    <w:rPr>
                      <w:b/>
                      <w:szCs w:val="24"/>
                    </w:rPr>
                    <w:t>. Sprendimas</w:t>
                  </w:r>
                  <w:r>
                    <w:rPr>
                      <w:szCs w:val="24"/>
                    </w:rPr>
                    <w:t xml:space="preserve">: pritarti komiteto patobulintam įstatymo projektui, komiteto išvadoms dėl šio projekto ir teikti </w:t>
                  </w:r>
                  <w:r>
                    <w:rPr>
                      <w:bCs/>
                      <w:szCs w:val="24"/>
                    </w:rPr>
                    <w:t>Lietuvos Respublikos savivaldybių infrastruktūros plėtros įstatymo Nr. XIII-2895 2, 8, 10 ir 13 straipsnių pakeitimo įstatymo projektą Nr. XVP-1533(2), j</w:t>
                  </w:r>
                  <w:r>
                    <w:rPr>
                      <w:szCs w:val="24"/>
                    </w:rPr>
                    <w:t>o lyginamąjį variantą.</w:t>
                  </w:r>
                </w:p>
              </w:sdtContent>
            </w:sdt>
          </w:sdtContent>
        </w:sdt>
        <w:sdt>
          <w:sdtPr>
            <w:alias w:val="8 p."/>
            <w:tag w:val="part_1ea598bb8ccc48b4b4d896d0502fe16e"/>
            <w:lock w:val="sdtLocked"/>
            <w:richText/>
          </w:sdtPr>
          <w:sdtContent>
            <w:p>
              <w:pPr>
                <w:ind w:firstLine="720"/>
                <w:jc w:val="both"/>
                <w:rPr>
                  <w:szCs w:val="24"/>
                </w:rPr>
              </w:pPr>
              <w:sdt>
                <w:sdtPr>
                  <w:alias w:val="Numeris"/>
                  <w:tag w:val="nr_1ea598bb8ccc48b4b4d896d0502fe16e"/>
                  <w:lock w:val="sdtLocked"/>
                  <w:richText/>
                </w:sdtPr>
                <w:sdtContent>
                  <w:r>
                    <w:rPr>
                      <w:b/>
                      <w:szCs w:val="24"/>
                    </w:rPr>
                    <w:t>8</w:t>
                  </w:r>
                </w:sdtContent>
              </w:sdt>
              <w:r>
                <w:rPr>
                  <w:b/>
                  <w:szCs w:val="24"/>
                </w:rPr>
                <w:t>. Balsavimo rezultatai:</w:t>
              </w:r>
              <w:r>
                <w:rPr>
                  <w:szCs w:val="24"/>
                </w:rPr>
                <w:t xml:space="preserve"> už – 6, prieš – 0, susilaikė – 0.</w:t>
              </w:r>
            </w:p>
          </w:sdtContent>
        </w:sdt>
        <w:sdt>
          <w:sdtPr>
            <w:alias w:val="9 p."/>
            <w:tag w:val="part_a19bc54f09d54647b32c261231b1e0ea"/>
            <w:lock w:val="sdtLocked"/>
            <w:richText/>
          </w:sdtPr>
          <w:sdtContent>
            <w:p>
              <w:pPr>
                <w:ind w:firstLine="720"/>
                <w:jc w:val="both"/>
                <w:rPr>
                  <w:szCs w:val="24"/>
                </w:rPr>
              </w:pPr>
              <w:sdt>
                <w:sdtPr>
                  <w:alias w:val="Numeris"/>
                  <w:tag w:val="nr_a19bc54f09d54647b32c261231b1e0ea"/>
                  <w:lock w:val="sdtLocked"/>
                  <w:richText/>
                </w:sdtPr>
                <w:sdtContent>
                  <w:r>
                    <w:rPr>
                      <w:b/>
                      <w:szCs w:val="24"/>
                    </w:rPr>
                    <w:t>9</w:t>
                  </w:r>
                </w:sdtContent>
              </w:sdt>
              <w:r>
                <w:rPr>
                  <w:b/>
                  <w:szCs w:val="24"/>
                </w:rPr>
                <w:t>. Komiteto paskirti pranešėjai:</w:t>
              </w:r>
              <w:r>
                <w:rPr>
                  <w:szCs w:val="24"/>
                </w:rPr>
                <w:t xml:space="preserve"> Ligita Girskienė.</w:t>
              </w:r>
            </w:p>
          </w:sdtContent>
        </w:sdt>
        <w:sdt>
          <w:sdtPr>
            <w:alias w:val="10 p."/>
            <w:tag w:val="part_01be89f392f844219d0af55fc864909e"/>
            <w:lock w:val="sdtLocked"/>
            <w:richText/>
          </w:sdtPr>
          <w:sdtContent>
            <w:p>
              <w:pPr>
                <w:ind w:firstLine="720"/>
                <w:jc w:val="both"/>
                <w:rPr>
                  <w:b/>
                  <w:szCs w:val="24"/>
                </w:rPr>
              </w:pPr>
              <w:sdt>
                <w:sdtPr>
                  <w:alias w:val="Numeris"/>
                  <w:tag w:val="nr_01be89f392f844219d0af55fc864909e"/>
                  <w:lock w:val="sdtLocked"/>
                  <w:richText/>
                </w:sdtPr>
                <w:sdtContent>
                  <w:r>
                    <w:rPr>
                      <w:b/>
                      <w:szCs w:val="24"/>
                    </w:rPr>
                    <w:t>10</w:t>
                  </w:r>
                </w:sdtContent>
              </w:sdt>
              <w:r>
                <w:rPr>
                  <w:b/>
                  <w:szCs w:val="24"/>
                </w:rPr>
                <w:t xml:space="preserve">. Komiteto narių atskiroji nuomonė: </w:t>
              </w:r>
              <w:r>
                <w:rPr>
                  <w:szCs w:val="24"/>
                </w:rPr>
                <w:t>negauta.</w:t>
              </w:r>
            </w:p>
            <w:p>
              <w:pPr>
                <w:ind w:firstLine="720"/>
                <w:jc w:val="both"/>
                <w:rPr>
                  <w:sz w:val="16"/>
                  <w:szCs w:val="24"/>
                </w:rPr>
              </w:pPr>
              <w:r>
                <w:rPr>
                  <w:bCs/>
                  <w:szCs w:val="24"/>
                </w:rPr>
                <w:t xml:space="preserve">PRIDEDAMA. </w:t>
              </w:r>
              <w:r>
                <w:rPr>
                  <w:szCs w:val="24"/>
                </w:rPr>
                <w:t xml:space="preserve">Komiteto siūlomas </w:t>
              </w:r>
              <w:r>
                <w:rPr>
                  <w:bCs/>
                  <w:szCs w:val="24"/>
                </w:rPr>
                <w:t>Lietuvos Respublikos savivaldybių infrastruktūros plėtros įstatymo Nr. XIII-2895 2, 8, 10 ir 13 straipsnių pakeitimo įstatymo projektas Nr. XVP-1533(2)</w:t>
              </w:r>
              <w:r>
                <w:rPr>
                  <w:szCs w:val="24"/>
                </w:rPr>
                <w:t>, jo lyginamasis variantas.</w:t>
              </w:r>
            </w:p>
            <w:p>
              <w:pPr>
                <w:spacing w:line="360" w:lineRule="auto"/>
                <w:ind w:firstLine="720"/>
                <w:jc w:val="both"/>
                <w:rPr>
                  <w:szCs w:val="24"/>
                </w:rPr>
              </w:pPr>
            </w:p>
            <w:p>
              <w:pPr>
                <w:spacing w:line="360" w:lineRule="auto"/>
                <w:ind w:firstLine="720"/>
                <w:jc w:val="both"/>
                <w:rPr>
                  <w:szCs w:val="24"/>
                </w:rPr>
              </w:pPr>
            </w:p>
          </w:sdtContent>
        </w:sdt>
        <w:sdt>
          <w:sdtPr>
            <w:alias w:val="signatura"/>
            <w:tag w:val="part_d8fe312696994953b19501e42e836119"/>
            <w:lock w:val="sdtLocked"/>
            <w:richText/>
          </w:sdtPr>
          <w:sdtContent>
            <w:p>
              <w:pPr>
                <w:jc w:val="both"/>
                <w:rPr>
                  <w:szCs w:val="24"/>
                </w:rPr>
              </w:pPr>
              <w:r>
                <w:rPr>
                  <w:szCs w:val="24"/>
                </w:rPr>
                <w:t>Komiteto pirmininkas</w:t>
                <w:tab/>
                <w:tab/>
                <w:tab/>
                <w:tab/>
                <w:tab/>
                <w:tab/>
                <w:tab/>
                <w:tab/>
                <w:tab/>
                <w:tab/>
                <w:tab/>
                <w:tab/>
                <w:tab/>
                <w:t>Linas Jonauskas</w:t>
              </w:r>
            </w:p>
            <w:p>
              <w:pPr>
                <w:ind w:left="5040" w:firstLine="2160"/>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rPr>
                  <w:szCs w:val="24"/>
                </w:rPr>
              </w:pPr>
              <w:r>
                <w:rPr>
                  <w:sz w:val="20"/>
                  <w:szCs w:val="24"/>
                </w:rPr>
                <w:t>Biuro patarėja G. Ričkutė</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szCs w:val="24"/>
          <w:lang w:val="en-US"/>
        </w:rPr>
      </w:pPr>
      <w:r>
        <w:rPr>
          <w:rFonts w:ascii="TimesLT" w:hAnsi="TimesLT"/>
          <w:szCs w:val="24"/>
          <w:lang w:val="en-US"/>
        </w:rPr>
        <w:separator/>
      </w:r>
    </w:p>
    <w:p>
      <w:pPr>
        <w:rPr>
          <w:szCs w:val="24"/>
        </w:rPr>
      </w:pPr>
    </w:p>
  </w:endnote>
  <w:endnote w:type="continuationSeparator" w:id="0">
    <w:p>
      <w:pPr>
        <w:rPr>
          <w:rFonts w:ascii="TimesLT" w:hAnsi="TimesLT"/>
          <w:szCs w:val="24"/>
          <w:lang w:val="en-US"/>
        </w:rPr>
      </w:pPr>
      <w:r>
        <w:rPr>
          <w:rFonts w:ascii="TimesLT" w:hAnsi="TimesLT"/>
          <w:szCs w:val="24"/>
          <w:lang w:val="en-US"/>
        </w:rPr>
        <w:continuationSeparator/>
      </w:r>
    </w:p>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szCs w:val="24"/>
          <w:lang w:val="en-US"/>
        </w:rPr>
      </w:pPr>
      <w:r>
        <w:rPr>
          <w:rFonts w:ascii="TimesLT" w:hAnsi="TimesLT"/>
          <w:szCs w:val="24"/>
          <w:lang w:val="en-US"/>
        </w:rPr>
        <w:separator/>
      </w:r>
    </w:p>
    <w:p>
      <w:pPr>
        <w:rPr>
          <w:szCs w:val="24"/>
        </w:rPr>
      </w:pPr>
    </w:p>
  </w:footnote>
  <w:footnote w:type="continuationSeparator" w:id="0">
    <w:p>
      <w:pPr>
        <w:rPr>
          <w:rFonts w:ascii="TimesLT" w:hAnsi="TimesLT"/>
          <w:szCs w:val="24"/>
          <w:lang w:val="en-US"/>
        </w:rPr>
      </w:pPr>
      <w:r>
        <w:rPr>
          <w:rFonts w:ascii="TimesLT" w:hAnsi="TimesLT"/>
          <w:szCs w:val="24"/>
          <w:lang w:val="en-US"/>
        </w:rPr>
        <w:continuationSeparator/>
      </w:r>
    </w:p>
    <w:p>
      <w:pPr>
        <w:rPr>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end"/>
    </w:r>
  </w:p>
  <w:p>
    <w:pPr>
      <w:tabs>
        <w:tab w:val="center" w:pos="4153"/>
        <w:tab w:val="right" w:pos="8306"/>
      </w:tabs>
      <w:rPr>
        <w:rFonts w:ascii="TimesLT" w:hAnsi="TimesLT"/>
        <w:szCs w:val="24"/>
        <w:lang w:val="en-US"/>
      </w:rPr>
    </w:pPr>
  </w:p>
  <w:p>
    <w:pPr>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separate"/>
    </w:r>
    <w:r>
      <w:rPr>
        <w:rFonts w:ascii="TimesLT" w:hAnsi="TimesLT"/>
        <w:szCs w:val="24"/>
        <w:lang w:val="en-US"/>
      </w:rPr>
      <w:t>21</w:t>
    </w:r>
    <w:r>
      <w:rPr>
        <w:rFonts w:ascii="TimesLT" w:hAnsi="TimesLT"/>
        <w:szCs w:val="24"/>
        <w:lang w:val="en-US"/>
      </w:rPr>
      <w:fldChar w:fldCharType="end"/>
    </w:r>
  </w:p>
  <w:p>
    <w:pPr>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6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6E36F70-C3EE-4C95-8153-50C5BDB5A97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1878323">
      <w:bodyDiv w:val="1"/>
      <w:marLeft w:val="0"/>
      <w:marRight w:val="0"/>
      <w:marTop w:val="0"/>
      <w:marBottom w:val="0"/>
      <w:divBdr>
        <w:top w:val="none" w:sz="0" w:space="0" w:color="auto"/>
        <w:left w:val="none" w:sz="0" w:space="0" w:color="auto"/>
        <w:bottom w:val="none" w:sz="0" w:space="0" w:color="auto"/>
        <w:right w:val="none" w:sz="0" w:space="0" w:color="auto"/>
      </w:divBdr>
    </w:div>
    <w:div w:id="1376387440">
      <w:bodyDiv w:val="1"/>
      <w:marLeft w:val="0"/>
      <w:marRight w:val="0"/>
      <w:marTop w:val="0"/>
      <w:marBottom w:val="0"/>
      <w:divBdr>
        <w:top w:val="none" w:sz="0" w:space="0" w:color="auto"/>
        <w:left w:val="none" w:sz="0" w:space="0" w:color="auto"/>
        <w:bottom w:val="none" w:sz="0" w:space="0" w:color="auto"/>
        <w:right w:val="none" w:sz="0" w:space="0" w:color="auto"/>
      </w:divBdr>
    </w:div>
    <w:div w:id="1631858605">
      <w:bodyDiv w:val="1"/>
      <w:marLeft w:val="0"/>
      <w:marRight w:val="0"/>
      <w:marTop w:val="0"/>
      <w:marBottom w:val="0"/>
      <w:divBdr>
        <w:top w:val="none" w:sz="0" w:space="0" w:color="auto"/>
        <w:left w:val="none" w:sz="0" w:space="0" w:color="auto"/>
        <w:bottom w:val="none" w:sz="0" w:space="0" w:color="auto"/>
        <w:right w:val="none" w:sz="0" w:space="0" w:color="auto"/>
      </w:divBdr>
    </w:div>
    <w:div w:id="1935088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817589124EA0B45883F270BC54FD783" ma:contentTypeVersion="8" ma:contentTypeDescription="Kurkite naują dokumentą." ma:contentTypeScope="" ma:versionID="13686c42e88d06afcf1aa6577c5abf5a">
  <xsd:schema xmlns:xsd="http://www.w3.org/2001/XMLSchema" xmlns:xs="http://www.w3.org/2001/XMLSchema" xmlns:p="http://schemas.microsoft.com/office/2006/metadata/properties" xmlns:ns2="e6236ba0-43fe-4634-aa80-110abb13d2fa" targetNamespace="http://schemas.microsoft.com/office/2006/metadata/properties" ma:root="true" ma:fieldsID="4621783db231b5ed87a1c38e3f7c341d" ns2:_="">
    <xsd:import namespace="e6236ba0-43fe-4634-aa80-110abb13d2f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236ba0-43fe-4634-aa80-110abb13d2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fb000fd66a9b46c99c4fe282e4a1fb1d" PartId="547e9433786f45d3961bd9adb0fff615">
    <Part Type="punktas" Nr="1" Abbr="1 p." DocPartId="6276424d21df4469a6865707007ec280" PartId="777496bf89274079b8cf90a17c301978"/>
    <Part Type="punktas" Nr="2" Abbr="2 p." DocPartId="12131ff3ddb748d0b6030b606e451171" PartId="09982fee1b7a476daf5ebaff2df3963d"/>
    <Part Type="punktas" Nr="3" Abbr="3 p." DocPartId="bee89a65204445f598fc698f6ca7c695" PartId="7fe7820b11ea4d38abaad4ef3bfeec65"/>
    <Part Type="punktas" Nr="4" Abbr="4 p." DocPartId="37266be90c094afda03c375beb115351" PartId="d6eaffe253854ecd888147c8715b6f10"/>
    <Part Type="punktas" Nr="5" Abbr="5 p." DocPartId="9975cff64c6843f5825c943bcd50464f" PartId="f51342f68915432d8b1ab2bac44ca43e"/>
    <Part Type="punktas" Nr="6" Abbr="6 p." DocPartId="10a414c9b3c14a5d947c3816e33d8a62" PartId="c9a4106511cf4c41bc0777499724da9c"/>
    <Part Type="punktas" Nr="7" Abbr="7 p." DocPartId="0d0444a68ff1440eba4aecaaf12ec62b" PartId="45682f8a73264594b5ba7c08c95109f4">
      <Part Type="papunktis" Nr="7.1" Abbr="7.1 pp." DocPartId="5f8287635c2546a4b5fdb32b01eb0a5f" PartId="c3c34e49b8b5461fb48627cdfbfe0cda"/>
      <Part Type="papunktis" Nr="7.2" Abbr="7.2 pp." DocPartId="f38280d198d048959984e9bb3adbae42" PartId="14dc331dd08944849b85655579167628"/>
    </Part>
    <Part Type="punktas" Nr="8" Abbr="8 p." DocPartId="e46f6f6b56d1426881f3ffb3c4586f85" PartId="1ea598bb8ccc48b4b4d896d0502fe16e"/>
    <Part Type="punktas" Nr="9" Abbr="9 p." DocPartId="28578ab0acd040628b820790421fe98e" PartId="a19bc54f09d54647b32c261231b1e0ea"/>
    <Part Type="punktas" Nr="10" Abbr="10 p." DocPartId="f86a65ea907948f583673c9326c57dc7" PartId="01be89f392f844219d0af55fc864909e"/>
    <Part Type="signatura" DocPartId="1fe92dd9c54c43eaa40358fbcc3d52dc" PartId="d8fe312696994953b19501e42e836119"/>
  </Part>
</Parts>
</file>

<file path=customXml/itemProps1.xml><?xml version="1.0" encoding="utf-8"?>
<ds:datastoreItem xmlns:ds="http://schemas.openxmlformats.org/officeDocument/2006/customXml" ds:itemID="{A34F3796-3BF0-47AD-A1BC-0AD8B8E251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236ba0-43fe-4634-aa80-110abb13d2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EB1B8F-E578-42CC-B229-6EA7A3D57F31}">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e6236ba0-43fe-4634-aa80-110abb13d2fa"/>
    <ds:schemaRef ds:uri="http://www.w3.org/XML/1998/namespace"/>
  </ds:schemaRefs>
</ds:datastoreItem>
</file>

<file path=customXml/itemProps3.xml><?xml version="1.0" encoding="utf-8"?>
<ds:datastoreItem xmlns:ds="http://schemas.openxmlformats.org/officeDocument/2006/customXml" ds:itemID="{23F8B358-B89C-4E7E-A7F2-AA544980E488}">
  <ds:schemaRefs>
    <ds:schemaRef ds:uri="http://schemas.microsoft.com/sharepoint/v3/contenttype/forms"/>
  </ds:schemaRefs>
</ds:datastoreItem>
</file>

<file path=customXml/itemProps4.xml><?xml version="1.0" encoding="utf-8"?>
<ds:datastoreItem xmlns:ds="http://schemas.openxmlformats.org/officeDocument/2006/customXml" ds:itemID="{CC8B4ADA-8F0F-47CD-A82E-B7DD141CA63D}">
  <ds:schemaRefs>
    <ds:schemaRef ds:uri="http://schemas.openxmlformats.org/officeDocument/2006/bibliography"/>
  </ds:schemaRefs>
</ds:datastoreItem>
</file>

<file path=customXml/itemProps5.xml><?xml version="1.0" encoding="utf-8"?>
<ds:datastoreItem xmlns:ds="http://schemas.openxmlformats.org/officeDocument/2006/customXml" ds:itemID="{2C5BB393-2256-478A-9A1F-E2C97795251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4092</Words>
  <Characters>30982</Characters>
  <Application>Microsoft Office Word</Application>
  <DocSecurity>4</DocSecurity>
  <Lines>1147</Lines>
  <Paragraphs>208</Paragraphs>
  <ScaleCrop>false</ScaleCrop>
  <HeadingPairs>
    <vt:vector size="2" baseType="variant">
      <vt:variant>
        <vt:lpstr>Pavadinimas</vt:lpstr>
      </vt:variant>
      <vt:variant>
        <vt:i4>1</vt:i4>
      </vt:variant>
    </vt:vector>
  </HeadingPairs>
  <TitlesOfParts>
    <vt:vector size="1" baseType="lpstr">
      <vt:lpstr/>
    </vt:vector>
  </TitlesOfParts>
  <Company>LR Seimas</Company>
  <LinksUpToDate>false</LinksUpToDate>
  <CharactersWithSpaces>34866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2026-06-15T11:34:00Z</dcterms:created>
  <dc:creator>„Windows“ vartotojas</dc:creator>
  <lastModifiedBy>adlibuser</lastModifiedBy>
  <lastPrinted>2016-08-05T07:32:00Z</lastPrinted>
  <dcterms:modified xsi:type="dcterms:W3CDTF">2026-06-15T11:34:00Z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0x0101003817589124EA0B45883F270BC54FD783</vt:lpwstr>
  </property>
  <property fmtid="{D5CDD505-2E9C-101B-9397-08002B2CF9AE}" pid="3" name="_dlc_DocIdItemGuid">
    <vt:lpwstr>95f49822-2d5f-49d9-b295-f9de526cf62b</vt:lpwstr>
  </property>
  <property fmtid="{D5CDD505-2E9C-101B-9397-08002B2CF9AE}" pid="4" name="docLang">
    <vt:lpwstr>lt</vt:lpwstr>
  </property>
</Properties>
</file>