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ccd0b4a46444bb78277cfd38930f2b8"/>
        <w:lock w:val="sdtLocked"/>
        <w:richText/>
      </w:sdtPr>
      <w:sdtContent>
        <w:p>
          <w:pPr>
            <w:suppressAutoHyphens/>
            <w:spacing w:line="276" w:lineRule="auto"/>
            <w:jc w:val="center"/>
            <w:textAlignment w:val="baseline"/>
            <w:rPr>
              <w:b/>
              <w:szCs w:val="24"/>
              <w:lang w:eastAsia="lt-LT"/>
            </w:rPr>
          </w:pPr>
          <w:r>
            <w:rPr>
              <w:b/>
              <w:szCs w:val="24"/>
              <w:lang w:eastAsia="lt-LT"/>
            </w:rPr>
            <w:t>TEISĖS AKTŲ PROJEKTŲ ANTIKORUPCINIO VERTINIMO PAŽYMA</w:t>
          </w:r>
        </w:p>
        <w:p>
          <w:pPr>
            <w:suppressAutoHyphens/>
            <w:spacing w:line="276" w:lineRule="auto"/>
            <w:textAlignment w:val="baseline"/>
            <w:rPr>
              <w:szCs w:val="24"/>
              <w:lang w:eastAsia="lt-LT"/>
            </w:rPr>
          </w:pPr>
        </w:p>
        <w:sdt>
          <w:sdtPr>
            <w:alias w:val="preambule"/>
            <w:tag w:val="part_714097fdfc2348629d0f33dab7f4a532"/>
            <w:lock w:val="sdtLocked"/>
            <w:richText/>
          </w:sdtPr>
          <w:sdtContent>
            <w:p>
              <w:pPr>
                <w:spacing w:line="259" w:lineRule="auto"/>
                <w:jc w:val="both"/>
                <w:rPr>
                  <w:kern w:val="2"/>
                  <w:sz w:val="22"/>
                  <w:szCs w:val="22"/>
                </w:rPr>
              </w:pPr>
              <w:r>
                <w:rPr>
                  <w:szCs w:val="24"/>
                  <w:lang w:eastAsia="lt-LT"/>
                </w:rPr>
                <w:t>Teisės akto projekto pavadinimas: Lietuvos Respublikos žemės ūkio ministro „Lietuvos Respublikos žemės ūkio ministro 2023 m. vasario 20 d. įsakymu Nr. 3D-92 „Dėl Paramos už žemės ūkio naudmenas ir kitus plotus bei ūkinius gyvūnus paraiškos ir tiesioginių išmokų administravimo bei kontrolės taisyklių patvirtinimo</w:t>
              </w:r>
              <w:r>
                <w:rPr>
                  <w:bCs/>
                  <w:color w:val="000000"/>
                  <w:kern w:val="2"/>
                  <w:szCs w:val="24"/>
                  <w:shd w:val="clear" w:color="auto" w:fill="FFFFFF"/>
                </w:rPr>
                <w:t xml:space="preserve">“ </w:t>
              </w:r>
              <w:r>
                <w:rPr>
                  <w:bCs/>
                  <w:kern w:val="2"/>
                  <w:szCs w:val="24"/>
                  <w:shd w:val="clear" w:color="auto" w:fill="FFFFFF"/>
                </w:rPr>
                <w:t>pakeitimo</w:t>
              </w:r>
              <w:r>
                <w:rPr>
                  <w:bCs/>
                  <w:caps/>
                  <w:kern w:val="2"/>
                  <w:szCs w:val="24"/>
                </w:rPr>
                <w:t xml:space="preserve"> </w:t>
              </w:r>
              <w:r>
                <w:rPr>
                  <w:szCs w:val="24"/>
                  <w:lang w:eastAsia="lt-LT"/>
                </w:rPr>
                <w:t>projekto (toliau – projektas).</w:t>
              </w:r>
            </w:p>
            <w:p>
              <w:pPr>
                <w:rPr>
                  <w:sz w:val="14"/>
                  <w:szCs w:val="14"/>
                </w:rPr>
              </w:pPr>
            </w:p>
          </w:sdtContent>
        </w:sdt>
        <w:sdt>
          <w:sdtPr>
            <w:alias w:val="pastraipa"/>
            <w:tag w:val="part_d932cda33ef24bd398df1e1c80e09abc"/>
            <w:lock w:val="sdtLocked"/>
            <w:richText/>
          </w:sdtPr>
          <w:sdtContent>
            <w:p>
              <w:pPr>
                <w:jc w:val="both"/>
                <w:rPr>
                  <w:szCs w:val="24"/>
                  <w:lang w:eastAsia="lt-LT"/>
                </w:rPr>
              </w:pPr>
              <w:r>
                <w:rPr>
                  <w:szCs w:val="24"/>
                  <w:lang w:eastAsia="lt-LT"/>
                </w:rPr>
                <w:t>Teisės akto projekto tiesioginis rengėjas: Žemės ūkio ministerijos Europos Sąjungos paramos politikos departamento Išmokų už plotus skyriaus patarėja Rolana Miknevičienė</w:t>
              </w:r>
            </w:p>
            <w:p>
              <w:pPr>
                <w:suppressAutoHyphens/>
                <w:spacing w:line="276" w:lineRule="auto"/>
                <w:jc w:val="both"/>
                <w:textAlignment w:val="baseline"/>
                <w:rPr>
                  <w:szCs w:val="24"/>
                  <w:lang w:eastAsia="lt-LT"/>
                </w:rPr>
              </w:pPr>
            </w:p>
            <w:p>
              <w:pPr>
                <w:suppressAutoHyphens/>
                <w:spacing w:line="276" w:lineRule="auto"/>
                <w:textAlignment w:val="baseline"/>
                <w:rPr>
                  <w:color w:val="000000"/>
                </w:rPr>
              </w:pPr>
              <w:r>
                <w:rPr>
                  <w:color w:val="000000"/>
                </w:rPr>
                <w:t>Teisės akto projekto antikorupcinis vertinimas atliktas (</w:t>
              </w:r>
              <w:r>
                <w:rPr>
                  <w:i/>
                  <w:color w:val="000000"/>
                </w:rPr>
                <w:t>pažymėti reikiamą atsakymą</w:t>
              </w:r>
              <w:r>
                <w:rPr>
                  <w:color w:val="000000"/>
                </w:rPr>
                <w:t>):</w:t>
              </w:r>
            </w:p>
            <w:p>
              <w:pPr>
                <w:suppressAutoHyphens/>
                <w:spacing w:line="276" w:lineRule="auto"/>
                <w:ind w:firstLine="1296"/>
                <w:textAlignment w:val="baseline"/>
                <w:rPr>
                  <w:szCs w:val="24"/>
                  <w:lang w:eastAsia="lt-LT"/>
                </w:rPr>
              </w:pP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pPr>
                <w:suppressAutoHyphens/>
                <w:spacing w:line="276" w:lineRule="auto"/>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pPr>
                <w:suppressAutoHyphens/>
                <w:spacing w:line="276" w:lineRule="auto"/>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p>
            <w:p>
              <w:pPr>
                <w:suppressAutoHyphens/>
                <w:spacing w:line="276" w:lineRule="auto"/>
                <w:jc w:val="both"/>
                <w:textAlignment w:val="baseline"/>
              </w:pPr>
              <w:r>
                <w:t>____________________________________________________________________________________________________________________</w:t>
              </w:r>
            </w:p>
            <w:p>
              <w:pPr>
                <w:suppressAutoHyphens/>
                <w:spacing w:line="276" w:lineRule="auto"/>
                <w:jc w:val="both"/>
                <w:textAlignment w:val="baseline"/>
              </w:pPr>
              <w:r>
                <w:rPr>
                  <w:szCs w:val="24"/>
                  <w:lang w:eastAsia="lt-LT"/>
                </w:rPr>
                <w:t>____________________________________________________________________________________________________________________</w:t>
              </w:r>
            </w:p>
            <w:p>
              <w:pPr>
                <w:suppressAutoHyphens/>
                <w:spacing w:line="276" w:lineRule="auto"/>
                <w:jc w:val="both"/>
                <w:textAlignment w:val="baseline"/>
                <w:rPr>
                  <w:szCs w:val="24"/>
                  <w:lang w:eastAsia="lt-LT"/>
                </w:rPr>
              </w:pPr>
            </w:p>
          </w:sdtContent>
        </w:sdt>
        <w:sdt>
          <w:sdtPr>
            <w:alias w:val="lentele"/>
            <w:tag w:val="part_756cedb8370848689ad0655aed01dd53"/>
            <w:lock w:val="sdtLocked"/>
            <w:richText/>
          </w:sdtPr>
          <w:sdtContent>
            <w:tbl>
              <w:tblPr>
                <w:tblW w:w="16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3397"/>
                <w:gridCol w:w="3958"/>
                <w:gridCol w:w="814"/>
                <w:gridCol w:w="2433"/>
                <w:gridCol w:w="565"/>
                <w:gridCol w:w="2697"/>
                <w:gridCol w:w="2420"/>
              </w:tblGrid>
              <w:tr>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spacing w:line="276" w:lineRule="auto"/>
                      <w:jc w:val="center"/>
                      <w:textAlignment w:val="baseline"/>
                      <w:rPr>
                        <w:szCs w:val="24"/>
                        <w:lang w:eastAsia="lt-LT"/>
                      </w:rPr>
                    </w:pPr>
                    <w:r>
                      <w:rPr>
                        <w:szCs w:val="24"/>
                        <w:lang w:eastAsia="lt-LT"/>
                      </w:rPr>
                      <w:t>Eil. Nr.</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spacing w:line="276" w:lineRule="auto"/>
                      <w:jc w:val="center"/>
                      <w:textAlignment w:val="baseline"/>
                      <w:rPr>
                        <w:szCs w:val="24"/>
                        <w:lang w:eastAsia="lt-LT"/>
                      </w:rPr>
                    </w:pPr>
                    <w:r>
                      <w:rPr>
                        <w:szCs w:val="24"/>
                        <w:lang w:eastAsia="lt-LT"/>
                      </w:rPr>
                      <w:t>Kriterijus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spacing w:line="276" w:lineRule="auto"/>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pPr>
                      <w:suppressAutoHyphens/>
                      <w:spacing w:line="276" w:lineRule="auto"/>
                      <w:jc w:val="center"/>
                      <w:textAlignment w:val="baseline"/>
                    </w:pPr>
                    <w:r>
                      <w:rPr>
                        <w:szCs w:val="24"/>
                        <w:lang w:eastAsia="lt-LT"/>
                      </w:rPr>
                      <w:t>(</w:t>
                    </w:r>
                    <w:r>
                      <w:rPr>
                        <w:i/>
                        <w:szCs w:val="24"/>
                        <w:lang w:eastAsia="lt-LT"/>
                      </w:rPr>
                      <w:t>pildo teisės akto projekto antikorupcinį vertinimą atliekantis asmuo)</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uppressAutoHyphens/>
                      <w:spacing w:line="276" w:lineRule="auto"/>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spacing w:line="276" w:lineRule="auto"/>
                      <w:jc w:val="center"/>
                      <w:textAlignment w:val="baseline"/>
                      <w:rPr>
                        <w:szCs w:val="24"/>
                        <w:lang w:eastAsia="lt-LT"/>
                      </w:rPr>
                    </w:pPr>
                    <w:r>
                      <w:rPr>
                        <w:szCs w:val="24"/>
                        <w:lang w:eastAsia="lt-LT"/>
                      </w:rPr>
                      <w:t>Išvada dėl teisės akto projekto pakeitimų arba argumentų, kodėl neatsižvelgta į pastabą</w:t>
                    </w:r>
                  </w:p>
                  <w:p>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jc w:val="center"/>
                      <w:textAlignment w:val="baseline"/>
                      <w:rPr>
                        <w:szCs w:val="24"/>
                        <w:lang w:eastAsia="lt-LT"/>
                      </w:rPr>
                    </w:pPr>
                    <w:r>
                      <w:rPr>
                        <w:szCs w:val="24"/>
                        <w:lang w:eastAsia="lt-LT"/>
                      </w:rPr>
                      <w:t>1.</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b/>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 tenkina</w:t>
                    </w:r>
                  </w:p>
                  <w:p>
                    <w:pPr>
                      <w:suppressAutoHyphens/>
                      <w:spacing w:line="276" w:lineRule="auto"/>
                      <w:textAlignment w:val="baseline"/>
                      <w:rPr>
                        <w:szCs w:val="24"/>
                        <w:lang w:eastAsia="lt-LT"/>
                      </w:rPr>
                    </w:pPr>
                    <w:r>
                      <w:rPr>
                        <w:szCs w:val="24"/>
                        <w:lang w:eastAsia="lt-LT"/>
                      </w:rPr>
                      <w:t>□ netenkina</w:t>
                    </w:r>
                  </w:p>
                </w:tc>
              </w:tr>
              <w:tr>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spacing w:line="276" w:lineRule="auto"/>
                      <w:jc w:val="center"/>
                      <w:textAlignment w:val="baseline"/>
                      <w:rPr>
                        <w:szCs w:val="24"/>
                        <w:lang w:eastAsia="lt-LT"/>
                      </w:rPr>
                    </w:pPr>
                    <w:r>
                      <w:rPr>
                        <w:szCs w:val="24"/>
                        <w:lang w:eastAsia="lt-LT"/>
                      </w:rPr>
                      <w:t>2.</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spacing w:line="276" w:lineRule="auto"/>
                      <w:textAlignment w:val="baseline"/>
                      <w:rPr>
                        <w:szCs w:val="24"/>
                        <w:lang w:eastAsia="lt-LT"/>
                      </w:rPr>
                    </w:pPr>
                    <w:r>
                      <w:rPr>
                        <w:szCs w:val="24"/>
                        <w:lang w:eastAsia="lt-LT"/>
                      </w:rPr>
                      <w:t>Teisės akto projekte nėra spragų ar nuostatų, leisiančių dviprasmiškai aiškinti ir taikyti teisės aktą</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spacing w:line="276" w:lineRule="auto"/>
                      <w:textAlignment w:val="baseline"/>
                      <w:rPr>
                        <w:szCs w:val="24"/>
                        <w:lang w:eastAsia="lt-LT"/>
                      </w:rPr>
                    </w:pPr>
                    <w:r>
                      <w:rPr>
                        <w:szCs w:val="24"/>
                        <w:lang w:eastAsia="lt-LT"/>
                      </w:rPr>
                      <w:t>□ tenkina</w:t>
                    </w:r>
                  </w:p>
                  <w:p>
                    <w:pPr>
                      <w:keepNext/>
                      <w:suppressAutoHyphens/>
                      <w:spacing w:line="276" w:lineRule="auto"/>
                      <w:textAlignment w:val="baseline"/>
                      <w:rPr>
                        <w:szCs w:val="24"/>
                        <w:lang w:eastAsia="lt-LT"/>
                      </w:rPr>
                    </w:pPr>
                    <w:r>
                      <w:rPr>
                        <w:szCs w:val="24"/>
                        <w:lang w:eastAsia="lt-LT"/>
                      </w:rPr>
                      <w:t>□ netenkina</w:t>
                    </w:r>
                  </w:p>
                </w:tc>
              </w:tr>
              <w:tr>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jc w:val="center"/>
                      <w:textAlignment w:val="baseline"/>
                      <w:rPr>
                        <w:szCs w:val="24"/>
                        <w:lang w:eastAsia="lt-LT"/>
                      </w:rPr>
                    </w:pPr>
                    <w:r>
                      <w:rPr>
                        <w:szCs w:val="24"/>
                        <w:lang w:eastAsia="lt-LT"/>
                      </w:rPr>
                      <w:t>3.</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r>
                      <w:rPr>
                        <w:bCs/>
                      </w:rPr>
                      <w:t>Kriterijų atitinka</w:t>
                    </w:r>
                  </w:p>
                  <w:p>
                    <w:pPr>
                      <w:suppressAutoHyphens/>
                      <w:textAlignment w:val="baseline"/>
                      <w:rPr>
                        <w:szCs w:val="24"/>
                        <w:lang w:eastAsia="lt-LT"/>
                      </w:rPr>
                    </w:pPr>
                  </w:p>
                  <w:p>
                    <w:pPr>
                      <w:suppressAutoHyphens/>
                      <w:textAlignment w:val="baseline"/>
                      <w:rPr>
                        <w:szCs w:val="24"/>
                        <w:lang w:eastAsia="lt-LT"/>
                      </w:rPr>
                    </w:pPr>
                  </w:p>
                  <w:p>
                    <w:pPr>
                      <w:suppressAutoHyphens/>
                      <w:ind w:firstLine="1296"/>
                      <w:textAlignment w:val="baseline"/>
                      <w:rPr>
                        <w:szCs w:val="24"/>
                        <w:lang w:eastAsia="lt-LT"/>
                      </w:rPr>
                    </w:pP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 tenkina</w:t>
                    </w:r>
                  </w:p>
                  <w:p>
                    <w:pPr>
                      <w:suppressAutoHyphens/>
                      <w:spacing w:line="276" w:lineRule="auto"/>
                      <w:textAlignment w:val="baseline"/>
                      <w:rPr>
                        <w:szCs w:val="24"/>
                        <w:lang w:eastAsia="lt-LT"/>
                      </w:rPr>
                    </w:pPr>
                    <w:r>
                      <w:rPr>
                        <w:szCs w:val="24"/>
                        <w:lang w:eastAsia="lt-LT"/>
                      </w:rPr>
                      <w:t>□ netenkina</w:t>
                    </w:r>
                  </w:p>
                </w:tc>
              </w:tr>
              <w:tr>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jc w:val="center"/>
                      <w:textAlignment w:val="baseline"/>
                      <w:rPr>
                        <w:szCs w:val="24"/>
                        <w:lang w:eastAsia="lt-LT"/>
                      </w:rPr>
                    </w:pPr>
                    <w:r>
                      <w:rPr>
                        <w:szCs w:val="24"/>
                        <w:lang w:eastAsia="lt-LT"/>
                      </w:rPr>
                      <w:t>4.</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Teisės akto projekte nustatyti subjekto įgaliojimai (teisės) atitinka subjekto atliekamas funkcijas (pareigas)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 tenkina</w:t>
                    </w:r>
                  </w:p>
                  <w:p>
                    <w:pPr>
                      <w:suppressAutoHyphens/>
                      <w:spacing w:line="276" w:lineRule="auto"/>
                      <w:textAlignment w:val="baseline"/>
                      <w:rPr>
                        <w:szCs w:val="24"/>
                        <w:lang w:eastAsia="lt-LT"/>
                      </w:rPr>
                    </w:pPr>
                    <w:r>
                      <w:rPr>
                        <w:szCs w:val="24"/>
                        <w:lang w:eastAsia="lt-LT"/>
                      </w:rPr>
                      <w:t>□ netenkina</w:t>
                    </w:r>
                  </w:p>
                </w:tc>
              </w:tr>
              <w:tr>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jc w:val="center"/>
                      <w:textAlignment w:val="baseline"/>
                      <w:rPr>
                        <w:szCs w:val="24"/>
                        <w:lang w:eastAsia="lt-LT"/>
                      </w:rPr>
                    </w:pPr>
                    <w:r>
                      <w:rPr>
                        <w:szCs w:val="24"/>
                        <w:lang w:eastAsia="lt-LT"/>
                      </w:rPr>
                      <w:t>5.</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Teisės akto projekte nustatytas baigtinis sprendimų priėmimo kriterijų (atvejų) sąrašas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 tenkina</w:t>
                    </w:r>
                  </w:p>
                  <w:p>
                    <w:pPr>
                      <w:suppressAutoHyphens/>
                      <w:spacing w:line="276" w:lineRule="auto"/>
                      <w:textAlignment w:val="baseline"/>
                      <w:rPr>
                        <w:szCs w:val="24"/>
                        <w:lang w:eastAsia="lt-LT"/>
                      </w:rPr>
                    </w:pPr>
                    <w:r>
                      <w:rPr>
                        <w:szCs w:val="24"/>
                        <w:lang w:eastAsia="lt-LT"/>
                      </w:rPr>
                      <w:t>□ netenkina</w:t>
                    </w:r>
                  </w:p>
                </w:tc>
              </w:tr>
              <w:tr>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jc w:val="center"/>
                      <w:textAlignment w:val="baseline"/>
                      <w:rPr>
                        <w:szCs w:val="24"/>
                        <w:lang w:eastAsia="lt-LT"/>
                      </w:rPr>
                    </w:pPr>
                    <w:r>
                      <w:rPr>
                        <w:szCs w:val="24"/>
                        <w:lang w:eastAsia="lt-LT"/>
                      </w:rPr>
                      <w:t>6.</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 tenkina</w:t>
                    </w:r>
                  </w:p>
                  <w:p>
                    <w:pPr>
                      <w:suppressAutoHyphens/>
                      <w:spacing w:line="276" w:lineRule="auto"/>
                      <w:textAlignment w:val="baseline"/>
                      <w:rPr>
                        <w:szCs w:val="24"/>
                        <w:lang w:eastAsia="lt-LT"/>
                      </w:rPr>
                    </w:pPr>
                    <w:r>
                      <w:rPr>
                        <w:szCs w:val="24"/>
                        <w:lang w:eastAsia="lt-LT"/>
                      </w:rPr>
                      <w:t>□ netenkina</w:t>
                    </w:r>
                  </w:p>
                </w:tc>
              </w:tr>
              <w:tr>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jc w:val="center"/>
                      <w:textAlignment w:val="baseline"/>
                      <w:rPr>
                        <w:szCs w:val="24"/>
                        <w:lang w:eastAsia="lt-LT"/>
                      </w:rPr>
                    </w:pPr>
                    <w:r>
                      <w:rPr>
                        <w:szCs w:val="24"/>
                        <w:lang w:eastAsia="lt-LT"/>
                      </w:rPr>
                      <w:t>7.</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 xml:space="preserve">Teisės akto projekte nustatyta sprendimų priėmimo, įforminimo ir viešinimo tvarka </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 tenkina</w:t>
                    </w:r>
                  </w:p>
                  <w:p>
                    <w:pPr>
                      <w:suppressAutoHyphens/>
                      <w:spacing w:line="276" w:lineRule="auto"/>
                      <w:textAlignment w:val="baseline"/>
                      <w:rPr>
                        <w:szCs w:val="24"/>
                        <w:lang w:eastAsia="lt-LT"/>
                      </w:rPr>
                    </w:pPr>
                    <w:r>
                      <w:rPr>
                        <w:szCs w:val="24"/>
                        <w:lang w:eastAsia="lt-LT"/>
                      </w:rPr>
                      <w:t>□ netenkina</w:t>
                    </w:r>
                  </w:p>
                </w:tc>
              </w:tr>
              <w:tr>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pPr>
                    <w:r>
                      <w:t>8.</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t xml:space="preserve">Teisės akto projekte nustatyti sprendimų dėl mažareikšmiškumo kriterijai ir priėmimo tvarka </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b/>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 tenkina</w:t>
                    </w:r>
                  </w:p>
                  <w:p>
                    <w:pPr>
                      <w:suppressAutoHyphens/>
                      <w:spacing w:line="276" w:lineRule="auto"/>
                      <w:textAlignment w:val="baseline"/>
                      <w:rPr>
                        <w:szCs w:val="24"/>
                        <w:lang w:eastAsia="lt-LT"/>
                      </w:rPr>
                    </w:pPr>
                    <w:r>
                      <w:rPr>
                        <w:szCs w:val="24"/>
                        <w:lang w:eastAsia="lt-LT"/>
                      </w:rPr>
                      <w:t>□ netenkina</w:t>
                    </w:r>
                  </w:p>
                </w:tc>
              </w:tr>
              <w:tr>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jc w:val="center"/>
                      <w:textAlignment w:val="baseline"/>
                      <w:rPr>
                        <w:szCs w:val="24"/>
                        <w:lang w:eastAsia="lt-LT"/>
                      </w:rPr>
                    </w:pPr>
                    <w:r>
                      <w:rPr>
                        <w:szCs w:val="24"/>
                        <w:lang w:eastAsia="lt-LT"/>
                      </w:rPr>
                      <w:t>9.</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pPr>
                      <w:suppressAutoHyphens/>
                      <w:spacing w:line="276" w:lineRule="auto"/>
                      <w:ind w:left="33"/>
                      <w:textAlignment w:val="baseline"/>
                      <w:rPr>
                        <w:szCs w:val="24"/>
                      </w:rPr>
                    </w:pPr>
                    <w:r>
                      <w:rPr>
                        <w:szCs w:val="24"/>
                      </w:rPr>
                      <w:t>9.1. konkretus narių skaičius, užtikrinantis kolegialaus sprendimus priimančio subjekto veiklos objektyvumą</w:t>
                    </w:r>
                  </w:p>
                  <w:p>
                    <w:pPr>
                      <w:suppressAutoHyphens/>
                      <w:spacing w:line="276" w:lineRule="auto"/>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pPr>
                      <w:suppressAutoHyphens/>
                      <w:spacing w:line="276" w:lineRule="auto"/>
                      <w:textAlignment w:val="baseline"/>
                    </w:pPr>
                    <w:r>
                      <w:rPr>
                        <w:szCs w:val="24"/>
                        <w:lang w:eastAsia="lt-LT"/>
                      </w:rPr>
                      <w:t>9.3</w:t>
                    </w:r>
                    <w:r>
                      <w:rPr>
                        <w:spacing w:val="-4"/>
                        <w:szCs w:val="24"/>
                        <w:lang w:eastAsia="lt-LT"/>
                      </w:rPr>
                      <w:t>. narių skyrimo mechanizmas</w:t>
                    </w:r>
                  </w:p>
                  <w:p>
                    <w:pPr>
                      <w:suppressAutoHyphens/>
                      <w:spacing w:line="276" w:lineRule="auto"/>
                      <w:textAlignment w:val="baseline"/>
                      <w:rPr>
                        <w:szCs w:val="24"/>
                        <w:lang w:eastAsia="lt-LT"/>
                      </w:rPr>
                    </w:pPr>
                    <w:r>
                      <w:rPr>
                        <w:szCs w:val="24"/>
                        <w:lang w:eastAsia="lt-LT"/>
                      </w:rPr>
                      <w:t>9.4. narių rotacija ir kadencijų skaičius ir trukmė</w:t>
                    </w:r>
                  </w:p>
                  <w:p>
                    <w:pPr>
                      <w:suppressAutoHyphens/>
                      <w:spacing w:line="276" w:lineRule="auto"/>
                      <w:textAlignment w:val="baseline"/>
                      <w:rPr>
                        <w:szCs w:val="24"/>
                      </w:rPr>
                    </w:pPr>
                    <w:r>
                      <w:rPr>
                        <w:szCs w:val="24"/>
                      </w:rPr>
                      <w:t>9.5. veiklos pobūdis laiko atžvilgiu</w:t>
                    </w:r>
                  </w:p>
                  <w:p>
                    <w:pPr>
                      <w:suppressAutoHyphens/>
                      <w:spacing w:line="276" w:lineRule="auto"/>
                      <w:textAlignment w:val="baseline"/>
                      <w:rPr>
                        <w:szCs w:val="24"/>
                        <w:lang w:eastAsia="lt-LT"/>
                      </w:rPr>
                    </w:pPr>
                    <w:r>
                      <w:rPr>
                        <w:szCs w:val="24"/>
                        <w:lang w:eastAsia="lt-LT"/>
                      </w:rPr>
                      <w:t>9.6. asmeninė narių atsakomybė</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i/>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 tenkina</w:t>
                    </w:r>
                  </w:p>
                  <w:p>
                    <w:pPr>
                      <w:suppressAutoHyphens/>
                      <w:spacing w:line="276" w:lineRule="auto"/>
                      <w:textAlignment w:val="baseline"/>
                      <w:rPr>
                        <w:szCs w:val="24"/>
                        <w:lang w:eastAsia="lt-LT"/>
                      </w:rPr>
                    </w:pPr>
                    <w:r>
                      <w:rPr>
                        <w:szCs w:val="24"/>
                        <w:lang w:eastAsia="lt-LT"/>
                      </w:rPr>
                      <w:t>□ netenkina</w:t>
                    </w:r>
                  </w:p>
                </w:tc>
              </w:tr>
              <w:tr>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jc w:val="center"/>
                      <w:textAlignment w:val="baseline"/>
                      <w:rPr>
                        <w:szCs w:val="24"/>
                        <w:lang w:eastAsia="lt-LT"/>
                      </w:rPr>
                    </w:pPr>
                    <w:r>
                      <w:rPr>
                        <w:szCs w:val="24"/>
                        <w:lang w:eastAsia="lt-LT"/>
                      </w:rPr>
                      <w:t>10.</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 tenkina</w:t>
                    </w:r>
                  </w:p>
                  <w:p>
                    <w:pPr>
                      <w:suppressAutoHyphens/>
                      <w:spacing w:line="276" w:lineRule="auto"/>
                      <w:textAlignment w:val="baseline"/>
                      <w:rPr>
                        <w:szCs w:val="24"/>
                        <w:lang w:eastAsia="lt-LT"/>
                      </w:rPr>
                    </w:pPr>
                    <w:r>
                      <w:rPr>
                        <w:szCs w:val="24"/>
                        <w:lang w:eastAsia="lt-LT"/>
                      </w:rPr>
                      <w:t>□ netenkina</w:t>
                    </w:r>
                  </w:p>
                </w:tc>
              </w:tr>
              <w:tr>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spacing w:line="276" w:lineRule="auto"/>
                      <w:jc w:val="center"/>
                      <w:textAlignment w:val="baseline"/>
                      <w:rPr>
                        <w:szCs w:val="24"/>
                        <w:lang w:eastAsia="lt-LT"/>
                      </w:rPr>
                    </w:pPr>
                    <w:r>
                      <w:rPr>
                        <w:szCs w:val="24"/>
                        <w:lang w:eastAsia="lt-LT"/>
                      </w:rPr>
                      <w:t>11.</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spacing w:line="276" w:lineRule="auto"/>
                      <w:textAlignment w:val="baseline"/>
                    </w:pPr>
                    <w:r>
                      <w:rPr>
                        <w:szCs w:val="24"/>
                        <w:lang w:eastAsia="lt-LT"/>
                      </w:rPr>
                      <w:t>Teisės akto projekte nustatytas baigtinis motyvuotų atvejų, kai nustatoma procedūra netaikoma, sąrašas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spacing w:line="276" w:lineRule="auto"/>
                      <w:textAlignment w:val="baseline"/>
                      <w:rPr>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spacing w:line="276" w:lineRule="auto"/>
                      <w:textAlignment w:val="baseline"/>
                      <w:rPr>
                        <w:szCs w:val="24"/>
                        <w:lang w:eastAsia="lt-LT"/>
                      </w:rPr>
                    </w:pPr>
                    <w:r>
                      <w:rPr>
                        <w:szCs w:val="24"/>
                        <w:lang w:eastAsia="lt-LT"/>
                      </w:rPr>
                      <w:t>□ tenkina</w:t>
                    </w:r>
                  </w:p>
                  <w:p>
                    <w:pPr>
                      <w:keepNext/>
                      <w:suppressAutoHyphens/>
                      <w:spacing w:line="276" w:lineRule="auto"/>
                      <w:textAlignment w:val="baseline"/>
                      <w:rPr>
                        <w:szCs w:val="24"/>
                        <w:lang w:eastAsia="lt-LT"/>
                      </w:rPr>
                    </w:pPr>
                    <w:r>
                      <w:rPr>
                        <w:szCs w:val="24"/>
                        <w:lang w:eastAsia="lt-LT"/>
                      </w:rPr>
                      <w:t>□ netenkina</w:t>
                    </w:r>
                  </w:p>
                </w:tc>
              </w:tr>
              <w:tr>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jc w:val="center"/>
                      <w:textAlignment w:val="baseline"/>
                      <w:rPr>
                        <w:szCs w:val="24"/>
                        <w:lang w:eastAsia="lt-LT"/>
                      </w:rPr>
                    </w:pPr>
                    <w:r>
                      <w:rPr>
                        <w:szCs w:val="24"/>
                        <w:lang w:eastAsia="lt-LT"/>
                      </w:rPr>
                      <w:t>12.</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pPr>
                    <w:r>
                      <w:rPr>
                        <w:szCs w:val="24"/>
                        <w:lang w:eastAsia="lt-LT"/>
                      </w:rPr>
                      <w:t>Teisės akto projektas nustato jo nuostatoms įgyvendinti numatytų procedūrų ir sprendimų priėmimo konkrečius terminus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 tenkina</w:t>
                    </w:r>
                  </w:p>
                  <w:p>
                    <w:pPr>
                      <w:suppressAutoHyphens/>
                      <w:spacing w:line="276" w:lineRule="auto"/>
                      <w:textAlignment w:val="baseline"/>
                      <w:rPr>
                        <w:szCs w:val="24"/>
                        <w:lang w:eastAsia="lt-LT"/>
                      </w:rPr>
                    </w:pPr>
                    <w:r>
                      <w:rPr>
                        <w:szCs w:val="24"/>
                        <w:lang w:eastAsia="lt-LT"/>
                      </w:rPr>
                      <w:t>□ netenkina</w:t>
                    </w:r>
                  </w:p>
                </w:tc>
              </w:tr>
              <w:tr>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jc w:val="center"/>
                      <w:textAlignment w:val="baseline"/>
                      <w:rPr>
                        <w:szCs w:val="24"/>
                        <w:lang w:eastAsia="lt-LT"/>
                      </w:rPr>
                    </w:pPr>
                    <w:r>
                      <w:rPr>
                        <w:szCs w:val="24"/>
                        <w:lang w:eastAsia="lt-LT"/>
                      </w:rPr>
                      <w:t>13.</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Teisės akto projektas nustato motyvuotas terminų sustabdymo ir pratęsimo galimybes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 tenkina</w:t>
                    </w:r>
                  </w:p>
                  <w:p>
                    <w:pPr>
                      <w:suppressAutoHyphens/>
                      <w:spacing w:line="276" w:lineRule="auto"/>
                      <w:textAlignment w:val="baseline"/>
                      <w:rPr>
                        <w:szCs w:val="24"/>
                        <w:lang w:eastAsia="lt-LT"/>
                      </w:rPr>
                    </w:pPr>
                    <w:r>
                      <w:rPr>
                        <w:szCs w:val="24"/>
                        <w:lang w:eastAsia="lt-LT"/>
                      </w:rPr>
                      <w:t>□ netenkina</w:t>
                    </w:r>
                  </w:p>
                </w:tc>
              </w:tr>
              <w:tr>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jc w:val="center"/>
                      <w:textAlignment w:val="baseline"/>
                      <w:rPr>
                        <w:szCs w:val="24"/>
                        <w:lang w:eastAsia="lt-LT"/>
                      </w:rPr>
                    </w:pPr>
                    <w:r>
                      <w:rPr>
                        <w:szCs w:val="24"/>
                        <w:lang w:eastAsia="lt-LT"/>
                      </w:rPr>
                      <w:t>14.</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b/>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 tenkina</w:t>
                    </w:r>
                  </w:p>
                  <w:p>
                    <w:pPr>
                      <w:suppressAutoHyphens/>
                      <w:spacing w:line="276" w:lineRule="auto"/>
                      <w:textAlignment w:val="baseline"/>
                      <w:rPr>
                        <w:szCs w:val="24"/>
                        <w:lang w:eastAsia="lt-LT"/>
                      </w:rPr>
                    </w:pPr>
                    <w:r>
                      <w:rPr>
                        <w:szCs w:val="24"/>
                        <w:lang w:eastAsia="lt-LT"/>
                      </w:rPr>
                      <w:t>□ netenkina</w:t>
                    </w:r>
                  </w:p>
                </w:tc>
              </w:tr>
              <w:tr>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jc w:val="center"/>
                      <w:textAlignment w:val="baseline"/>
                      <w:rPr>
                        <w:szCs w:val="24"/>
                        <w:lang w:eastAsia="lt-LT"/>
                      </w:rPr>
                    </w:pPr>
                    <w:r>
                      <w:rPr>
                        <w:szCs w:val="24"/>
                        <w:lang w:eastAsia="lt-LT"/>
                      </w:rPr>
                      <w:t>15.</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 tenkina</w:t>
                    </w:r>
                  </w:p>
                  <w:p>
                    <w:pPr>
                      <w:suppressAutoHyphens/>
                      <w:spacing w:line="276" w:lineRule="auto"/>
                      <w:textAlignment w:val="baseline"/>
                      <w:rPr>
                        <w:szCs w:val="24"/>
                        <w:lang w:eastAsia="lt-LT"/>
                      </w:rPr>
                    </w:pPr>
                    <w:r>
                      <w:rPr>
                        <w:szCs w:val="24"/>
                        <w:lang w:eastAsia="lt-LT"/>
                      </w:rPr>
                      <w:t>□ netenkina</w:t>
                    </w:r>
                  </w:p>
                </w:tc>
              </w:tr>
              <w:tr>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jc w:val="center"/>
                      <w:textAlignment w:val="baseline"/>
                      <w:rPr>
                        <w:szCs w:val="24"/>
                        <w:lang w:eastAsia="lt-LT"/>
                      </w:rPr>
                    </w:pPr>
                    <w:r>
                      <w:rPr>
                        <w:szCs w:val="24"/>
                        <w:lang w:eastAsia="lt-LT"/>
                      </w:rPr>
                      <w:t>16.</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rPr>
                    </w:pPr>
                    <w:r>
                      <w:rPr>
                        <w:szCs w:val="24"/>
                        <w:lang w:eastAsia="lt-LT"/>
                      </w:rPr>
                      <w:t>Teisės akto projekte nustatyta subjektų, su kuriais susijęs teisės akto projekto nuostatų įgyvendinimas, atsakomybė</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 tenkina</w:t>
                    </w:r>
                  </w:p>
                  <w:p>
                    <w:pPr>
                      <w:suppressAutoHyphens/>
                      <w:spacing w:line="276" w:lineRule="auto"/>
                      <w:textAlignment w:val="baseline"/>
                      <w:rPr>
                        <w:szCs w:val="24"/>
                        <w:lang w:eastAsia="lt-LT"/>
                      </w:rPr>
                    </w:pPr>
                    <w:r>
                      <w:rPr>
                        <w:szCs w:val="24"/>
                        <w:lang w:eastAsia="lt-LT"/>
                      </w:rPr>
                      <w:t>□ netenkina</w:t>
                    </w:r>
                  </w:p>
                </w:tc>
              </w:tr>
              <w:tr>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spacing w:line="276" w:lineRule="auto"/>
                      <w:jc w:val="center"/>
                      <w:textAlignment w:val="baseline"/>
                      <w:rPr>
                        <w:szCs w:val="24"/>
                        <w:lang w:eastAsia="lt-LT"/>
                      </w:rPr>
                    </w:pPr>
                    <w:r>
                      <w:rPr>
                        <w:szCs w:val="24"/>
                        <w:lang w:eastAsia="lt-LT"/>
                      </w:rPr>
                      <w:t>17.</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spacing w:line="276" w:lineRule="auto"/>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spacing w:line="276" w:lineRule="auto"/>
                      <w:textAlignment w:val="baseline"/>
                      <w:rPr>
                        <w:b/>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spacing w:line="276" w:lineRule="auto"/>
                      <w:textAlignment w:val="baseline"/>
                      <w:rPr>
                        <w:szCs w:val="24"/>
                        <w:lang w:eastAsia="lt-LT"/>
                      </w:rPr>
                    </w:pPr>
                    <w:r>
                      <w:rPr>
                        <w:szCs w:val="24"/>
                        <w:lang w:eastAsia="lt-LT"/>
                      </w:rPr>
                      <w:t>□ tenkina</w:t>
                    </w:r>
                  </w:p>
                  <w:p>
                    <w:pPr>
                      <w:keepNext/>
                      <w:suppressAutoHyphens/>
                      <w:spacing w:line="276" w:lineRule="auto"/>
                      <w:textAlignment w:val="baseline"/>
                      <w:rPr>
                        <w:szCs w:val="24"/>
                        <w:lang w:eastAsia="lt-LT"/>
                      </w:rPr>
                    </w:pPr>
                    <w:r>
                      <w:rPr>
                        <w:szCs w:val="24"/>
                        <w:lang w:eastAsia="lt-LT"/>
                      </w:rPr>
                      <w:t>□ netenkina</w:t>
                    </w:r>
                  </w:p>
                </w:tc>
              </w:tr>
              <w:tr>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jc w:val="center"/>
                      <w:textAlignment w:val="baseline"/>
                      <w:rPr>
                        <w:szCs w:val="24"/>
                        <w:lang w:eastAsia="lt-LT"/>
                      </w:rPr>
                    </w:pPr>
                    <w:r>
                      <w:rPr>
                        <w:szCs w:val="24"/>
                        <w:lang w:eastAsia="lt-LT"/>
                      </w:rPr>
                      <w:t>18.</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 tenkina</w:t>
                    </w:r>
                  </w:p>
                  <w:p>
                    <w:pPr>
                      <w:suppressAutoHyphens/>
                      <w:spacing w:line="276" w:lineRule="auto"/>
                      <w:textAlignment w:val="baseline"/>
                      <w:rPr>
                        <w:szCs w:val="24"/>
                        <w:lang w:eastAsia="lt-LT"/>
                      </w:rPr>
                    </w:pPr>
                    <w:r>
                      <w:rPr>
                        <w:szCs w:val="24"/>
                        <w:lang w:eastAsia="lt-LT"/>
                      </w:rPr>
                      <w:t>□ netenkina</w:t>
                    </w:r>
                  </w:p>
                </w:tc>
              </w:tr>
              <w:tr>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jc w:val="center"/>
                      <w:textAlignment w:val="baseline"/>
                      <w:rPr>
                        <w:szCs w:val="24"/>
                        <w:lang w:eastAsia="lt-LT"/>
                      </w:rPr>
                    </w:pPr>
                    <w:r>
                      <w:rPr>
                        <w:szCs w:val="24"/>
                        <w:lang w:eastAsia="lt-LT"/>
                      </w:rPr>
                      <w:t>19.</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pPr>
                    <w:r>
                      <w:rPr>
                        <w:szCs w:val="24"/>
                        <w:lang w:eastAsia="lt-LT"/>
                      </w:rPr>
                      <w:t>Kiti svarbūs kriterijai</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r>
                      <w:rPr>
                        <w:szCs w:val="24"/>
                        <w:lang w:eastAsia="lt-LT"/>
                      </w:rPr>
                      <w:t xml:space="preserve">Nėra </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76" w:lineRule="auto"/>
                      <w:textAlignment w:val="baseline"/>
                      <w:rPr>
                        <w:szCs w:val="24"/>
                        <w:lang w:eastAsia="lt-LT"/>
                      </w:rPr>
                    </w:pPr>
                    <w:r>
                      <w:rPr>
                        <w:szCs w:val="24"/>
                        <w:lang w:eastAsia="lt-LT"/>
                      </w:rPr>
                      <w:t>□ tenkina</w:t>
                    </w:r>
                  </w:p>
                  <w:p>
                    <w:pPr>
                      <w:suppressAutoHyphens/>
                      <w:spacing w:line="276" w:lineRule="auto"/>
                      <w:textAlignment w:val="baseline"/>
                      <w:rPr>
                        <w:szCs w:val="24"/>
                        <w:lang w:eastAsia="lt-LT"/>
                      </w:rPr>
                    </w:pPr>
                    <w:r>
                      <w:rPr>
                        <w:szCs w:val="24"/>
                        <w:lang w:eastAsia="lt-LT"/>
                      </w:rPr>
                      <w:t>□ netenkina</w:t>
                    </w:r>
                  </w:p>
                </w:tc>
              </w:tr>
              <w:tr>
                <w:trPr>
                  <w:gridBefore w:val="1"/>
                  <w:wBefore w:w="103" w:type="dxa"/>
                  <w:trHeight w:val="23"/>
                </w:trPr>
                <w:tc>
                  <w:tcPr>
                    <w:tcW w:w="4002" w:type="dxa"/>
                    <w:gridSpan w:val="2"/>
                    <w:tcBorders>
                      <w:top w:val="nil"/>
                      <w:left w:val="nil"/>
                      <w:bottom w:val="nil"/>
                      <w:right w:val="nil"/>
                    </w:tcBorders>
                    <w:tcMar>
                      <w:top w:w="0" w:type="dxa"/>
                      <w:left w:w="108" w:type="dxa"/>
                      <w:bottom w:w="0" w:type="dxa"/>
                      <w:right w:w="108" w:type="dxa"/>
                    </w:tcMar>
                  </w:tcPr>
                  <w:p>
                    <w:pPr>
                      <w:suppressAutoHyphens/>
                      <w:spacing w:line="276" w:lineRule="auto"/>
                      <w:textAlignment w:val="baseline"/>
                      <w:rPr>
                        <w:szCs w:val="24"/>
                      </w:rPr>
                    </w:pPr>
                  </w:p>
                </w:tc>
                <w:tc>
                  <w:tcPr>
                    <w:tcW w:w="4772" w:type="dxa"/>
                    <w:gridSpan w:val="2"/>
                    <w:tcBorders>
                      <w:top w:val="nil"/>
                      <w:left w:val="nil"/>
                      <w:bottom w:val="nil"/>
                      <w:right w:val="nil"/>
                    </w:tcBorders>
                    <w:tcMar>
                      <w:top w:w="0" w:type="dxa"/>
                      <w:left w:w="108" w:type="dxa"/>
                      <w:bottom w:w="0" w:type="dxa"/>
                      <w:right w:w="108" w:type="dxa"/>
                    </w:tcMar>
                  </w:tcPr>
                  <w:p>
                    <w:pPr>
                      <w:suppressAutoHyphens/>
                      <w:spacing w:line="276" w:lineRule="auto"/>
                      <w:textAlignment w:val="baseline"/>
                      <w:rPr>
                        <w:szCs w:val="24"/>
                      </w:rPr>
                    </w:pPr>
                  </w:p>
                  <w:p>
                    <w:pPr>
                      <w:suppressAutoHyphens/>
                      <w:spacing w:line="276" w:lineRule="auto"/>
                      <w:ind w:firstLine="3596"/>
                      <w:textAlignment w:val="baseline"/>
                      <w:rPr>
                        <w:szCs w:val="24"/>
                      </w:rPr>
                    </w:pPr>
                  </w:p>
                  <w:p>
                    <w:pPr>
                      <w:suppressAutoHyphens/>
                      <w:spacing w:line="276" w:lineRule="auto"/>
                      <w:textAlignment w:val="baseline"/>
                      <w:rPr>
                        <w:szCs w:val="24"/>
                      </w:rPr>
                    </w:pPr>
                  </w:p>
                </w:tc>
                <w:tc>
                  <w:tcPr>
                    <w:tcW w:w="2433" w:type="dxa"/>
                    <w:tcBorders>
                      <w:top w:val="nil"/>
                      <w:left w:val="nil"/>
                      <w:bottom w:val="nil"/>
                      <w:right w:val="nil"/>
                    </w:tcBorders>
                    <w:tcMar>
                      <w:top w:w="0" w:type="dxa"/>
                      <w:left w:w="108" w:type="dxa"/>
                      <w:bottom w:w="0" w:type="dxa"/>
                      <w:right w:w="108" w:type="dxa"/>
                    </w:tcMar>
                  </w:tcPr>
                  <w:p>
                    <w:pPr>
                      <w:suppressAutoHyphens/>
                      <w:spacing w:line="276" w:lineRule="auto"/>
                      <w:textAlignment w:val="baseline"/>
                      <w:rPr>
                        <w:szCs w:val="24"/>
                      </w:rPr>
                    </w:pPr>
                  </w:p>
                </w:tc>
                <w:tc>
                  <w:tcPr>
                    <w:tcW w:w="5682" w:type="dxa"/>
                    <w:gridSpan w:val="3"/>
                    <w:tcBorders>
                      <w:top w:val="nil"/>
                      <w:left w:val="nil"/>
                      <w:bottom w:val="nil"/>
                      <w:right w:val="nil"/>
                    </w:tcBorders>
                    <w:tcMar>
                      <w:top w:w="0" w:type="dxa"/>
                      <w:left w:w="108" w:type="dxa"/>
                      <w:bottom w:w="0" w:type="dxa"/>
                      <w:right w:w="108" w:type="dxa"/>
                    </w:tcMar>
                  </w:tcPr>
                  <w:p>
                    <w:pPr>
                      <w:suppressAutoHyphens/>
                      <w:spacing w:line="276" w:lineRule="auto"/>
                      <w:textAlignment w:val="baseline"/>
                      <w:rPr>
                        <w:szCs w:val="24"/>
                      </w:rPr>
                    </w:pPr>
                  </w:p>
                  <w:p>
                    <w:pPr>
                      <w:suppressAutoHyphens/>
                      <w:spacing w:line="276" w:lineRule="auto"/>
                      <w:textAlignment w:val="baseline"/>
                      <w:rPr>
                        <w:szCs w:val="24"/>
                      </w:rPr>
                    </w:pPr>
                    <w:r>
                      <w:rPr>
                        <w:szCs w:val="24"/>
                      </w:rPr>
                      <w:t xml:space="preserve">Teisės akto projekto vertintojas:  </w:t>
                    </w:r>
                  </w:p>
                  <w:p>
                    <w:pPr>
                      <w:suppressAutoHyphens/>
                      <w:spacing w:line="276" w:lineRule="auto"/>
                      <w:textAlignment w:val="baseline"/>
                      <w:rPr>
                        <w:szCs w:val="24"/>
                      </w:rPr>
                    </w:pPr>
                    <w:r>
                      <w:rPr>
                        <w:szCs w:val="24"/>
                      </w:rPr>
                      <w:t xml:space="preserve">Teisėkūros ir atstovavimo skyriaus </w:t>
                    </w:r>
                  </w:p>
                  <w:p>
                    <w:pPr>
                      <w:suppressAutoHyphens/>
                      <w:spacing w:line="276" w:lineRule="auto"/>
                      <w:textAlignment w:val="baseline"/>
                      <w:rPr>
                        <w:szCs w:val="24"/>
                      </w:rPr>
                    </w:pPr>
                    <w:r>
                      <w:rPr>
                        <w:szCs w:val="24"/>
                      </w:rPr>
                      <w:t xml:space="preserve">patarėja Vaida Lisauskienė </w:t>
                    </w:r>
                  </w:p>
                  <w:p>
                    <w:pPr>
                      <w:suppressAutoHyphens/>
                      <w:spacing w:line="276" w:lineRule="auto"/>
                      <w:textAlignment w:val="baseline"/>
                      <w:rPr>
                        <w:szCs w:val="24"/>
                      </w:rPr>
                    </w:pPr>
                  </w:p>
                </w:tc>
              </w:tr>
              <w:tr>
                <w:trPr>
                  <w:gridBefore w:val="1"/>
                  <w:wBefore w:w="103" w:type="dxa"/>
                  <w:trHeight w:val="23"/>
                </w:trPr>
                <w:tc>
                  <w:tcPr>
                    <w:tcW w:w="4002" w:type="dxa"/>
                    <w:gridSpan w:val="2"/>
                    <w:tcBorders>
                      <w:top w:val="nil"/>
                      <w:left w:val="nil"/>
                      <w:bottom w:val="nil"/>
                      <w:right w:val="nil"/>
                    </w:tcBorders>
                    <w:tcMar>
                      <w:top w:w="0" w:type="dxa"/>
                      <w:left w:w="108" w:type="dxa"/>
                      <w:bottom w:w="0" w:type="dxa"/>
                      <w:right w:w="108" w:type="dxa"/>
                    </w:tcMar>
                  </w:tcPr>
                  <w:p>
                    <w:pPr>
                      <w:suppressAutoHyphens/>
                      <w:spacing w:line="276" w:lineRule="auto"/>
                      <w:textAlignment w:val="baseline"/>
                      <w:rPr>
                        <w:szCs w:val="24"/>
                      </w:rPr>
                    </w:pPr>
                  </w:p>
                </w:tc>
                <w:tc>
                  <w:tcPr>
                    <w:tcW w:w="4772" w:type="dxa"/>
                    <w:gridSpan w:val="2"/>
                    <w:tcBorders>
                      <w:top w:val="nil"/>
                      <w:left w:val="nil"/>
                      <w:bottom w:val="nil"/>
                      <w:right w:val="nil"/>
                    </w:tcBorders>
                    <w:tcMar>
                      <w:top w:w="0" w:type="dxa"/>
                      <w:left w:w="108" w:type="dxa"/>
                      <w:bottom w:w="0" w:type="dxa"/>
                      <w:right w:w="108" w:type="dxa"/>
                    </w:tcMar>
                    <w:hideMark/>
                  </w:tcPr>
                  <w:p>
                    <w:pPr>
                      <w:suppressAutoHyphens/>
                      <w:spacing w:line="276" w:lineRule="auto"/>
                      <w:textAlignment w:val="baseline"/>
                      <w:rPr>
                        <w:szCs w:val="24"/>
                      </w:rPr>
                    </w:pPr>
                  </w:p>
                </w:tc>
                <w:tc>
                  <w:tcPr>
                    <w:tcW w:w="2433" w:type="dxa"/>
                    <w:tcBorders>
                      <w:top w:val="nil"/>
                      <w:left w:val="nil"/>
                      <w:bottom w:val="nil"/>
                      <w:right w:val="nil"/>
                    </w:tcBorders>
                    <w:tcMar>
                      <w:top w:w="0" w:type="dxa"/>
                      <w:left w:w="108" w:type="dxa"/>
                      <w:bottom w:w="0" w:type="dxa"/>
                      <w:right w:w="108" w:type="dxa"/>
                    </w:tcMar>
                  </w:tcPr>
                  <w:p>
                    <w:pPr>
                      <w:suppressAutoHyphens/>
                      <w:spacing w:line="276" w:lineRule="auto"/>
                      <w:textAlignment w:val="baseline"/>
                      <w:rPr>
                        <w:szCs w:val="24"/>
                      </w:rPr>
                    </w:pPr>
                  </w:p>
                </w:tc>
                <w:tc>
                  <w:tcPr>
                    <w:tcW w:w="5682" w:type="dxa"/>
                    <w:gridSpan w:val="3"/>
                    <w:tcBorders>
                      <w:top w:val="nil"/>
                      <w:left w:val="nil"/>
                      <w:bottom w:val="nil"/>
                      <w:right w:val="nil"/>
                    </w:tcBorders>
                    <w:tcMar>
                      <w:top w:w="0" w:type="dxa"/>
                      <w:left w:w="108" w:type="dxa"/>
                      <w:bottom w:w="0" w:type="dxa"/>
                      <w:right w:w="108" w:type="dxa"/>
                    </w:tcMar>
                  </w:tcPr>
                  <w:p>
                    <w:pPr>
                      <w:suppressAutoHyphens/>
                      <w:spacing w:line="276" w:lineRule="auto"/>
                      <w:textAlignment w:val="baseline"/>
                      <w:rPr>
                        <w:szCs w:val="24"/>
                      </w:rPr>
                    </w:pPr>
                    <w:r>
                      <w:rPr>
                        <w:szCs w:val="24"/>
                      </w:rPr>
                      <w:t>(pareigos) (vardas ir pavardė)</w:t>
                    </w:r>
                  </w:p>
                </w:tc>
              </w:tr>
              <w:tr>
                <w:trPr>
                  <w:gridBefore w:val="1"/>
                  <w:wBefore w:w="103" w:type="dxa"/>
                  <w:trHeight w:val="23"/>
                </w:trPr>
                <w:tc>
                  <w:tcPr>
                    <w:tcW w:w="4002" w:type="dxa"/>
                    <w:gridSpan w:val="2"/>
                    <w:tcBorders>
                      <w:top w:val="nil"/>
                      <w:left w:val="nil"/>
                      <w:bottom w:val="nil"/>
                      <w:right w:val="nil"/>
                    </w:tcBorders>
                    <w:tcMar>
                      <w:top w:w="0" w:type="dxa"/>
                      <w:left w:w="108" w:type="dxa"/>
                      <w:bottom w:w="0" w:type="dxa"/>
                      <w:right w:w="108" w:type="dxa"/>
                    </w:tcMar>
                  </w:tcPr>
                  <w:p>
                    <w:pPr>
                      <w:suppressAutoHyphens/>
                      <w:spacing w:line="276" w:lineRule="auto"/>
                      <w:textAlignment w:val="baseline"/>
                      <w:rPr>
                        <w:szCs w:val="24"/>
                      </w:rPr>
                    </w:pPr>
                  </w:p>
                </w:tc>
                <w:tc>
                  <w:tcPr>
                    <w:tcW w:w="4772" w:type="dxa"/>
                    <w:gridSpan w:val="2"/>
                    <w:tcBorders>
                      <w:top w:val="nil"/>
                      <w:left w:val="nil"/>
                      <w:bottom w:val="nil"/>
                      <w:right w:val="nil"/>
                    </w:tcBorders>
                    <w:tcMar>
                      <w:top w:w="0" w:type="dxa"/>
                      <w:left w:w="108" w:type="dxa"/>
                      <w:bottom w:w="0" w:type="dxa"/>
                      <w:right w:w="108" w:type="dxa"/>
                    </w:tcMar>
                  </w:tcPr>
                  <w:p>
                    <w:pPr>
                      <w:suppressAutoHyphens/>
                      <w:spacing w:line="276" w:lineRule="auto"/>
                      <w:textAlignment w:val="baseline"/>
                      <w:rPr>
                        <w:szCs w:val="24"/>
                      </w:rPr>
                    </w:pPr>
                  </w:p>
                </w:tc>
                <w:tc>
                  <w:tcPr>
                    <w:tcW w:w="2433" w:type="dxa"/>
                    <w:tcBorders>
                      <w:top w:val="nil"/>
                      <w:left w:val="nil"/>
                      <w:bottom w:val="nil"/>
                      <w:right w:val="nil"/>
                    </w:tcBorders>
                    <w:tcMar>
                      <w:top w:w="0" w:type="dxa"/>
                      <w:left w:w="108" w:type="dxa"/>
                      <w:bottom w:w="0" w:type="dxa"/>
                      <w:right w:w="108" w:type="dxa"/>
                    </w:tcMar>
                  </w:tcPr>
                  <w:p>
                    <w:pPr>
                      <w:suppressAutoHyphens/>
                      <w:spacing w:line="276" w:lineRule="auto"/>
                      <w:textAlignment w:val="baseline"/>
                      <w:rPr>
                        <w:szCs w:val="24"/>
                      </w:rPr>
                    </w:pPr>
                  </w:p>
                </w:tc>
                <w:tc>
                  <w:tcPr>
                    <w:tcW w:w="5682" w:type="dxa"/>
                    <w:gridSpan w:val="3"/>
                    <w:tcBorders>
                      <w:top w:val="nil"/>
                      <w:left w:val="nil"/>
                      <w:bottom w:val="nil"/>
                      <w:right w:val="nil"/>
                    </w:tcBorders>
                    <w:tcMar>
                      <w:top w:w="0" w:type="dxa"/>
                      <w:left w:w="108" w:type="dxa"/>
                      <w:bottom w:w="0" w:type="dxa"/>
                      <w:right w:w="108" w:type="dxa"/>
                    </w:tcMar>
                  </w:tcPr>
                  <w:p>
                    <w:pPr>
                      <w:suppressAutoHyphens/>
                      <w:spacing w:line="276" w:lineRule="auto"/>
                      <w:textAlignment w:val="baseline"/>
                      <w:rPr>
                        <w:szCs w:val="24"/>
                      </w:rPr>
                    </w:pPr>
                  </w:p>
                </w:tc>
              </w:tr>
              <w:tr>
                <w:trPr>
                  <w:gridBefore w:val="1"/>
                  <w:wBefore w:w="103" w:type="dxa"/>
                  <w:trHeight w:val="555"/>
                </w:trPr>
                <w:tc>
                  <w:tcPr>
                    <w:tcW w:w="4002" w:type="dxa"/>
                    <w:gridSpan w:val="2"/>
                    <w:tcBorders>
                      <w:top w:val="nil"/>
                      <w:left w:val="nil"/>
                      <w:bottom w:val="nil"/>
                      <w:right w:val="nil"/>
                    </w:tcBorders>
                    <w:tcMar>
                      <w:top w:w="0" w:type="dxa"/>
                      <w:left w:w="108" w:type="dxa"/>
                      <w:bottom w:w="0" w:type="dxa"/>
                      <w:right w:w="108" w:type="dxa"/>
                    </w:tcMar>
                  </w:tcPr>
                  <w:p>
                    <w:pPr>
                      <w:suppressAutoHyphens/>
                      <w:spacing w:line="276" w:lineRule="auto"/>
                      <w:textAlignment w:val="baseline"/>
                      <w:rPr>
                        <w:szCs w:val="24"/>
                      </w:rPr>
                    </w:pPr>
                  </w:p>
                </w:tc>
                <w:tc>
                  <w:tcPr>
                    <w:tcW w:w="4772" w:type="dxa"/>
                    <w:gridSpan w:val="2"/>
                    <w:tcBorders>
                      <w:top w:val="nil"/>
                      <w:left w:val="nil"/>
                      <w:bottom w:val="nil"/>
                      <w:right w:val="nil"/>
                    </w:tcBorders>
                    <w:tcMar>
                      <w:top w:w="0" w:type="dxa"/>
                      <w:left w:w="108" w:type="dxa"/>
                      <w:bottom w:w="0" w:type="dxa"/>
                      <w:right w:w="108" w:type="dxa"/>
                    </w:tcMar>
                  </w:tcPr>
                  <w:p>
                    <w:pPr>
                      <w:suppressAutoHyphens/>
                      <w:spacing w:line="276" w:lineRule="auto"/>
                      <w:textAlignment w:val="baseline"/>
                      <w:rPr>
                        <w:szCs w:val="24"/>
                      </w:rPr>
                    </w:pPr>
                  </w:p>
                </w:tc>
                <w:tc>
                  <w:tcPr>
                    <w:tcW w:w="2433" w:type="dxa"/>
                    <w:tcBorders>
                      <w:top w:val="nil"/>
                      <w:left w:val="nil"/>
                      <w:bottom w:val="nil"/>
                      <w:right w:val="nil"/>
                    </w:tcBorders>
                    <w:tcMar>
                      <w:top w:w="0" w:type="dxa"/>
                      <w:left w:w="108" w:type="dxa"/>
                      <w:bottom w:w="0" w:type="dxa"/>
                      <w:right w:w="108" w:type="dxa"/>
                    </w:tcMar>
                  </w:tcPr>
                  <w:p>
                    <w:pPr>
                      <w:suppressAutoHyphens/>
                      <w:spacing w:line="276" w:lineRule="auto"/>
                      <w:textAlignment w:val="baseline"/>
                      <w:rPr>
                        <w:szCs w:val="24"/>
                      </w:rPr>
                    </w:pPr>
                  </w:p>
                </w:tc>
                <w:tc>
                  <w:tcPr>
                    <w:tcW w:w="5682" w:type="dxa"/>
                    <w:gridSpan w:val="3"/>
                    <w:tcBorders>
                      <w:top w:val="nil"/>
                      <w:left w:val="nil"/>
                      <w:bottom w:val="nil"/>
                      <w:right w:val="nil"/>
                    </w:tcBorders>
                    <w:tcMar>
                      <w:top w:w="0" w:type="dxa"/>
                      <w:left w:w="108" w:type="dxa"/>
                      <w:bottom w:w="0" w:type="dxa"/>
                      <w:right w:w="108" w:type="dxa"/>
                    </w:tcMar>
                  </w:tcPr>
                  <w:p>
                    <w:pPr>
                      <w:suppressAutoHyphens/>
                      <w:spacing w:line="276" w:lineRule="auto"/>
                      <w:ind w:firstLine="62"/>
                      <w:textAlignment w:val="baseline"/>
                      <w:rPr>
                        <w:szCs w:val="24"/>
                      </w:rPr>
                    </w:pPr>
                    <w:r>
                      <w:rPr>
                        <w:szCs w:val="24"/>
                      </w:rPr>
                      <w:t>(parašas) (data)</w:t>
                    </w:r>
                  </w:p>
                </w:tc>
              </w:tr>
            </w:tbl>
            <w:p/>
          </w:sdtContent>
        </w:sdt>
        <w:sdt>
          <w:sdtPr>
            <w:alias w:val="signatura"/>
            <w:tag w:val="part_fd1a13e44579423cbc2168efda55f858"/>
            <w:lock w:val="sdtLocked"/>
            <w:richText/>
          </w:sdtPr>
          <w:sdtContent>
            <w:p>
              <w:pPr>
                <w:suppressAutoHyphens/>
                <w:spacing w:line="276" w:lineRule="auto"/>
                <w:jc w:val="center"/>
                <w:textAlignment w:val="baseline"/>
                <w:rPr>
                  <w:szCs w:val="24"/>
                </w:rPr>
              </w:pPr>
              <w:r>
                <w:rPr>
                  <w:szCs w:val="24"/>
                </w:rPr>
                <w:t>___________________________</w:t>
              </w:r>
            </w:p>
            <w:p/>
            <w:p/>
            <w:p/>
            <w:p/>
            <w:p/>
            <w:p>
              <w:pPr>
                <w:spacing w:line="259" w:lineRule="auto"/>
                <w:rPr>
                  <w:kern w:val="2"/>
                  <w:sz w:val="22"/>
                  <w:szCs w:val="22"/>
                </w:rPr>
              </w:pPr>
            </w:p>
            <w:p>
              <w:pPr>
                <w:rPr>
                  <w:sz w:val="14"/>
                  <w:szCs w:val="14"/>
                </w:rPr>
              </w:pPr>
            </w:p>
            <w:p>
              <w:pPr>
                <w:spacing w:line="259" w:lineRule="auto"/>
                <w:rPr>
                  <w:kern w:val="2"/>
                  <w:sz w:val="22"/>
                  <w:szCs w:val="22"/>
                </w:rPr>
              </w:pPr>
            </w:p>
            <w:p>
              <w:pPr>
                <w:rPr>
                  <w:sz w:val="14"/>
                  <w:szCs w:val="14"/>
                </w:rPr>
              </w:pPr>
            </w:p>
            <w:p>
              <w:pPr>
                <w:spacing w:line="259" w:lineRule="auto"/>
                <w:rPr>
                  <w:kern w:val="2"/>
                  <w:sz w:val="22"/>
                  <w:szCs w:val="22"/>
                </w:rPr>
              </w:pPr>
            </w:p>
            <w:p>
              <w:pPr>
                <w:rPr>
                  <w:sz w:val="14"/>
                  <w:szCs w:val="14"/>
                </w:rPr>
              </w:pPr>
            </w:p>
            <w:p>
              <w:pPr>
                <w:spacing w:line="259" w:lineRule="auto"/>
                <w:rPr>
                  <w:kern w:val="2"/>
                  <w:sz w:val="22"/>
                  <w:szCs w:val="22"/>
                </w:rPr>
              </w:pPr>
            </w:p>
            <w:p>
              <w:pPr>
                <w:rPr>
                  <w:sz w:val="14"/>
                  <w:szCs w:val="14"/>
                </w:rPr>
              </w:pPr>
            </w:p>
            <w:p>
              <w:pPr>
                <w:spacing w:line="259" w:lineRule="auto"/>
                <w:rPr>
                  <w:kern w:val="2"/>
                  <w:sz w:val="22"/>
                  <w:szCs w:val="22"/>
                </w:rPr>
              </w:pPr>
            </w:p>
            <w:p>
              <w:pPr>
                <w:rPr>
                  <w:sz w:val="14"/>
                  <w:szCs w:val="14"/>
                </w:rPr>
              </w:pPr>
            </w:p>
            <w:p/>
          </w:sdtContent>
        </w:sdt>
      </w:sdtContent>
    </w:sdt>
    <w:sectPr>
      <w:headerReference w:type="default" r:id="rId6"/>
      <w:pgSz w:w="16838" w:h="11906" w:orient="landscape"/>
      <w:pgMar w:top="1701" w:right="1701" w:bottom="567" w:left="1134"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Cs w:val="24"/>
        </w:rPr>
      </w:pPr>
      <w:r>
        <w:rPr>
          <w:kern w:val="2"/>
          <w:szCs w:val="24"/>
        </w:rPr>
        <w:separator/>
      </w:r>
    </w:p>
  </w:endnote>
  <w:endnote w:type="continuationSeparator" w:id="0">
    <w:p>
      <w:pPr>
        <w:rPr>
          <w:kern w:val="2"/>
          <w:szCs w:val="24"/>
        </w:rPr>
      </w:pPr>
      <w:r>
        <w:rPr>
          <w:kern w:val="2"/>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Cs w:val="24"/>
        </w:rPr>
      </w:pPr>
      <w:r>
        <w:rPr>
          <w:kern w:val="2"/>
          <w:szCs w:val="24"/>
        </w:rPr>
        <w:separator/>
      </w:r>
    </w:p>
  </w:footnote>
  <w:footnote w:type="continuationSeparator" w:id="0">
    <w:p>
      <w:pPr>
        <w:rPr>
          <w:kern w:val="2"/>
          <w:szCs w:val="24"/>
        </w:rPr>
      </w:pPr>
      <w:r>
        <w:rPr>
          <w:kern w:val="2"/>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kern w:val="2"/>
        <w:sz w:val="22"/>
        <w:szCs w:val="22"/>
      </w:rPr>
    </w:pPr>
  </w:p>
  <w:p>
    <w:pPr>
      <w:tabs>
        <w:tab w:val="center" w:pos="4819"/>
        <w:tab w:val="right" w:pos="9638"/>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29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CCB3934-42C1-4E2D-9656-7CEE54104A4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1f967d9190649208c96f297a2481604" PartId="fccd0b4a46444bb78277cfd38930f2b8">
    <Part Type="preambule" DocPartId="221449931f4e4df79f197ad89b125f9f" PartId="714097fdfc2348629d0f33dab7f4a532"/>
    <Part Type="pastraipa" DocPartId="6900134e95be429081681caa801c04be" PartId="d932cda33ef24bd398df1e1c80e09abc"/>
    <Part Type="lentele" DocPartId="81abca0e5f58438cbaeb285826130973" PartId="756cedb8370848689ad0655aed01dd53"/>
    <Part Type="signatura" DocPartId="7eca17abb4f14b33ac84c267f2d6321d" PartId="fd1a13e44579423cbc2168efda55f858"/>
  </Part>
</Parts>
</file>

<file path=customXml/itemProps1.xml><?xml version="1.0" encoding="utf-8"?>
<ds:datastoreItem xmlns:ds="http://schemas.openxmlformats.org/officeDocument/2006/customXml" ds:itemID="{A24E340E-1B34-4039-8195-98B06E67EE0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875</Words>
  <Characters>6456</Characters>
  <Application>Microsoft Office Word</Application>
  <DocSecurity>4</DocSecurity>
  <Lines>322</Lines>
  <Paragraphs>140</Paragraphs>
  <ScaleCrop>false</ScaleCrop>
  <Company/>
  <LinksUpToDate>false</LinksUpToDate>
  <CharactersWithSpaces>7191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2026-02-19T13:47:00Z</dcterms:created>
  <dc:creator>Vaida Lisauskienė</dc:creator>
  <lastModifiedBy>adlibuser</lastModifiedBy>
  <dcterms:modified xsi:type="dcterms:W3CDTF">2026-02-19T13:47:00Z</dcterms:modified>
  <revision>2</revision>
</coreProperties>
</file>