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2beb3c5792544a6a9c7da8dd8949dbe"/>
        <w:lock w:val="sdtLocked"/>
        <w:richText/>
      </w:sdtPr>
      <w:sdtContent>
        <w:tbl>
          <w:tblPr>
            <w:tblW w:w="0" w:type="auto"/>
            <w:tblLayout w:type="fixed"/>
            <w:tblLook w:val="06A0" w:firstRow="1" w:lastRow="0" w:firstColumn="1" w:lastColumn="0" w:noHBand="1" w:noVBand="1"/>
          </w:tblPr>
          <w:tblGrid>
            <w:gridCol w:w="3390"/>
            <w:gridCol w:w="3390"/>
            <w:gridCol w:w="3390"/>
          </w:tblGrid>
          <w:tr>
            <w:trPr>
              <w:trHeight w:val="300"/>
            </w:trPr>
            <w:tc>
              <w:tcPr>
                <w:tcW w:w="3390" w:type="dxa"/>
              </w:tcPr>
              <w:p>
                <w:pPr>
                  <w:framePr w:hSpace="180" w:wrap="auto" w:vAnchor="text" w:hAnchor="page" w:x="2881" w:y="-271"/>
                  <w:tabs>
                    <w:tab w:val="center" w:pos="4153"/>
                    <w:tab w:val="right" w:pos="8306"/>
                  </w:tabs>
                  <w:overflowPunct w:val="0"/>
                  <w:ind w:left="-115"/>
                  <w:textAlignment w:val="baseline"/>
                  <w:rPr>
                    <w:rFonts w:ascii="TimesLT" w:hAnsi="TimesLT"/>
                    <w:lang w:val="en-GB"/>
                  </w:rPr>
                </w:pPr>
              </w:p>
            </w:tc>
            <w:tc>
              <w:tcPr>
                <w:tcW w:w="3390" w:type="dxa"/>
              </w:tcPr>
              <w:p>
                <w:pPr>
                  <w:framePr w:hSpace="180" w:wrap="auto" w:vAnchor="text" w:hAnchor="page" w:x="2881" w:y="-271"/>
                  <w:tabs>
                    <w:tab w:val="center" w:pos="4153"/>
                    <w:tab w:val="right" w:pos="8306"/>
                  </w:tabs>
                  <w:overflowPunct w:val="0"/>
                  <w:jc w:val="center"/>
                  <w:textAlignment w:val="baseline"/>
                  <w:rPr>
                    <w:rFonts w:ascii="TimesLT" w:hAnsi="TimesLT"/>
                    <w:lang w:val="en-GB"/>
                  </w:rPr>
                </w:pPr>
              </w:p>
            </w:tc>
            <w:tc>
              <w:tcPr>
                <w:tcW w:w="3390" w:type="dxa"/>
              </w:tcPr>
              <w:p>
                <w:pPr>
                  <w:framePr w:hSpace="180" w:wrap="auto" w:vAnchor="text" w:hAnchor="page" w:x="2881" w:y="-271"/>
                  <w:tabs>
                    <w:tab w:val="center" w:pos="4153"/>
                    <w:tab w:val="right" w:pos="8306"/>
                  </w:tabs>
                  <w:overflowPunct w:val="0"/>
                  <w:ind w:right="-115"/>
                  <w:jc w:val="right"/>
                  <w:textAlignment w:val="baseline"/>
                  <w:rPr>
                    <w:rFonts w:ascii="TimesLT" w:hAnsi="TimesLT"/>
                    <w:lang w:val="en-GB"/>
                  </w:rPr>
                </w:pPr>
              </w:p>
            </w:tc>
          </w:tr>
        </w:tbl>
        <w:p>
          <w:pPr>
            <w:framePr w:hSpace="180" w:wrap="auto" w:vAnchor="text" w:hAnchor="page" w:x="2881" w:y="-271"/>
            <w:tabs>
              <w:tab w:val="center" w:pos="4153"/>
              <w:tab w:val="right" w:pos="8306"/>
            </w:tabs>
            <w:overflowPunct w:val="0"/>
            <w:textAlignment w:val="baseline"/>
            <w:rPr>
              <w:rFonts w:ascii="TimesLT" w:hAnsi="TimesLT"/>
              <w:lang w:val="en-GB"/>
            </w:rPr>
          </w:pPr>
        </w:p>
        <w:p>
          <w:pPr>
            <w:framePr w:hSpace="180" w:wrap="auto" w:vAnchor="text" w:hAnchor="page" w:x="2881" w:y="-271"/>
            <w:overflowPunct w:val="0"/>
            <w:jc w:val="both"/>
            <w:textAlignment w:val="baseline"/>
            <w:rPr>
              <w:sz w:val="8"/>
            </w:rPr>
          </w:pPr>
        </w:p>
        <w:p>
          <w:pPr>
            <w:overflowPunct w:val="0"/>
            <w:jc w:val="center"/>
            <w:textAlignment w:val="baseline"/>
            <w:rPr>
              <w:b/>
              <w:sz w:val="28"/>
              <w:lang w:val="en-GB"/>
            </w:rPr>
          </w:pPr>
          <w:r>
            <w:rPr>
              <w:rFonts w:ascii="TimesLT" w:hAnsi="TimesLT"/>
              <w:lang w:val="en-US"/>
            </w:rPr>
            <w:drawing>
              <wp:inline distT="0" distB="0" distL="0" distR="0" wp14:anchorId="71438CCF" wp14:editId="71438CD0">
                <wp:extent cx="1000125" cy="684530"/>
                <wp:effectExtent l="0" t="0" r="9525" b="1270"/>
                <wp:docPr id="1" name="Paveikslėlis 3" descr="Paveikslėlis, kuriame yra eskizas, piešimas, Linijinis piešimas, iliustrac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000125" cy="684530"/>
                        </a:xfrm>
                        <a:prstGeom prst="rect">
                          <a:avLst/>
                        </a:prstGeom>
                      </pic:spPr>
                    </pic:pic>
                  </a:graphicData>
                </a:graphic>
              </wp:inline>
            </w:drawing>
          </w:r>
        </w:p>
        <w:sdt>
          <w:sdtPr>
            <w:alias w:val="skirsnis"/>
            <w:tag w:val="part_659849084efe4674a7147df9876caabe"/>
            <w:lock w:val="sdtLocked"/>
            <w:richText/>
          </w:sdtPr>
          <w:sdtContent>
            <w:p>
              <w:pPr>
                <w:overflowPunct w:val="0"/>
                <w:jc w:val="center"/>
                <w:textAlignment w:val="baseline"/>
                <w:rPr>
                  <w:b/>
                </w:rPr>
              </w:pPr>
              <w:sdt>
                <w:sdtPr>
                  <w:alias w:val="Pavadinimas"/>
                  <w:tag w:val="title_659849084efe4674a7147df9876caabe"/>
                  <w:lock w:val="sdtLocked"/>
                  <w:richText/>
                </w:sdtPr>
                <w:sdtContent>
                  <w:r>
                    <w:rPr>
                      <w:b/>
                      <w:sz w:val="28"/>
                      <w:lang w:val="en-GB"/>
                    </w:rPr>
                    <w:t>LIETUVOS RESPUBLIKOS ŽEMĖS ŪKIO MINISTERIJA</w:t>
                  </w:r>
                </w:sdtContent>
              </w:sdt>
            </w:p>
            <w:p>
              <w:pPr>
                <w:overflowPunct w:val="0"/>
                <w:jc w:val="center"/>
                <w:textAlignment w:val="baseline"/>
              </w:pPr>
            </w:p>
            <w:p>
              <w:pPr>
                <w:overflowPunct w:val="0"/>
                <w:jc w:val="center"/>
                <w:textAlignment w:val="baseline"/>
                <w:rPr>
                  <w:sz w:val="18"/>
                  <w:szCs w:val="18"/>
                </w:rPr>
              </w:pPr>
              <w:r>
                <w:rPr>
                  <w:sz w:val="18"/>
                  <w:szCs w:val="18"/>
                </w:rPr>
                <w:t>Biudžetinė įstaiga,</w:t>
              </w:r>
            </w:p>
            <w:p>
              <w:pPr>
                <w:overflowPunct w:val="0"/>
                <w:jc w:val="center"/>
                <w:textAlignment w:val="baseline"/>
                <w:rPr>
                  <w:sz w:val="18"/>
                  <w:szCs w:val="18"/>
                </w:rPr>
              </w:pPr>
              <w:r>
                <w:rPr>
                  <w:sz w:val="18"/>
                  <w:szCs w:val="18"/>
                </w:rPr>
                <w:t>Gedimino pr. 19, 01103 Vilnius, tel. +370 5 239 1001,</w:t>
              </w:r>
            </w:p>
            <w:p>
              <w:pPr>
                <w:overflowPunct w:val="0"/>
                <w:jc w:val="center"/>
                <w:textAlignment w:val="baseline"/>
                <w:rPr>
                  <w:sz w:val="18"/>
                  <w:szCs w:val="18"/>
                </w:rPr>
              </w:pPr>
              <w:r>
                <w:rPr>
                  <w:sz w:val="18"/>
                  <w:szCs w:val="18"/>
                </w:rPr>
                <w:t xml:space="preserve">El. paštas </w:t>
              </w:r>
              <w:r>
                <w:rPr>
                  <w:sz w:val="18"/>
                  <w:szCs w:val="18"/>
                  <w:u w:val="single"/>
                </w:rPr>
                <w:t>zum@zum.lt</w:t>
              </w:r>
              <w:r>
                <w:rPr>
                  <w:sz w:val="18"/>
                  <w:szCs w:val="18"/>
                  <w:u w:val="single"/>
                </w:rPr>
                <w:t xml:space="preserve">, </w:t>
              </w:r>
              <w:r>
                <w:rPr>
                  <w:sz w:val="18"/>
                  <w:szCs w:val="18"/>
                  <w:u w:val="single"/>
                </w:rPr>
                <w:t>http://www.zum.lt</w:t>
              </w:r>
            </w:p>
            <w:p>
              <w:pPr>
                <w:pBdr>
                  <w:bottom w:val="single" w:sz="4" w:space="1" w:color="auto"/>
                </w:pBdr>
                <w:overflowPunct w:val="0"/>
                <w:jc w:val="center"/>
                <w:textAlignment w:val="baseline"/>
                <w:rPr>
                  <w:sz w:val="18"/>
                  <w:szCs w:val="18"/>
                </w:rPr>
              </w:pPr>
              <w:r>
                <w:rPr>
                  <w:sz w:val="18"/>
                  <w:szCs w:val="18"/>
                </w:rPr>
                <w:t>Duomenys kaupiami ir saugomi Juridinių asmenų registre, kodas 188675190</w:t>
              </w:r>
            </w:p>
            <w:p>
              <w:pPr>
                <w:overflowPunct w:val="0"/>
                <w:jc w:val="center"/>
                <w:textAlignment w:val="baseline"/>
              </w:pPr>
            </w:p>
          </w:sdtContent>
        </w:sdt>
      </w:sdtContent>
    </w:sdt>
    <w:sdt>
      <w:sdtPr>
        <w:alias w:val="lentele"/>
        <w:tag w:val="part_4269a48248a7417785242aee0f5ca6c8"/>
        <w:lock w:val="sdtLocked"/>
        <w:richText/>
      </w:sdtPr>
      <w:sdtContent>
        <w:tbl>
          <w:tblPr>
            <w:tblW w:w="0" w:type="auto"/>
            <w:tblLook w:val="04A0" w:firstRow="1" w:lastRow="0" w:firstColumn="1" w:lastColumn="0" w:noHBand="0" w:noVBand="1"/>
          </w:tblPr>
          <w:tblGrid>
            <w:gridCol w:w="4920"/>
            <w:gridCol w:w="296"/>
            <w:gridCol w:w="1755"/>
            <w:gridCol w:w="530"/>
            <w:gridCol w:w="2354"/>
          </w:tblGrid>
          <w:tr>
            <w:tc>
              <w:tcPr>
                <w:tcW w:w="4920" w:type="dxa"/>
                <w:vMerge w:val="restart"/>
              </w:tcPr>
              <w:p>
                <w:pPr>
                  <w:overflowPunct w:val="0"/>
                  <w:jc w:val="both"/>
                  <w:textAlignment w:val="baseline"/>
                </w:pPr>
                <w:r>
                  <w:t xml:space="preserve">Nacionalinei mokėjimo agentūrai </w:t>
                </w:r>
              </w:p>
              <w:p>
                <w:pPr>
                  <w:overflowPunct w:val="0"/>
                  <w:jc w:val="both"/>
                  <w:textAlignment w:val="baseline"/>
                </w:pPr>
                <w:r>
                  <w:t>prie Žemės ūkio ministerijos</w:t>
                </w:r>
              </w:p>
              <w:p>
                <w:pPr>
                  <w:overflowPunct w:val="0"/>
                  <w:jc w:val="both"/>
                  <w:textAlignment w:val="baseline"/>
                </w:pPr>
              </w:p>
              <w:p>
                <w:pPr>
                  <w:overflowPunct w:val="0"/>
                  <w:jc w:val="both"/>
                  <w:textAlignment w:val="baseline"/>
                </w:pPr>
                <w:r>
                  <w:t>VĮ Žemės ūkio duomenų centrui</w:t>
                </w:r>
              </w:p>
              <w:p>
                <w:pPr>
                  <w:overflowPunct w:val="0"/>
                  <w:jc w:val="both"/>
                  <w:textAlignment w:val="baseline"/>
                </w:pPr>
              </w:p>
              <w:p>
                <w:pPr>
                  <w:overflowPunct w:val="0"/>
                  <w:jc w:val="both"/>
                  <w:textAlignment w:val="baseline"/>
                </w:pPr>
                <w:r>
                  <w:t>Lietuvos Respublikos aplinkos ministerijai</w:t>
                </w:r>
              </w:p>
              <w:p>
                <w:pPr>
                  <w:overflowPunct w:val="0"/>
                  <w:jc w:val="both"/>
                  <w:textAlignment w:val="baseline"/>
                </w:pPr>
              </w:p>
              <w:p>
                <w:pPr>
                  <w:overflowPunct w:val="0"/>
                  <w:jc w:val="both"/>
                  <w:textAlignment w:val="baseline"/>
                </w:pPr>
                <w:r>
                  <w:t>Valstybinei saugomų teritorijų tarnybai prie Aplinkos ministerijos</w:t>
                </w:r>
              </w:p>
              <w:p>
                <w:pPr>
                  <w:overflowPunct w:val="0"/>
                  <w:jc w:val="both"/>
                  <w:textAlignment w:val="baseline"/>
                </w:pPr>
              </w:p>
              <w:p>
                <w:pPr>
                  <w:overflowPunct w:val="0"/>
                  <w:jc w:val="both"/>
                  <w:textAlignment w:val="baseline"/>
                </w:pPr>
                <w:r>
                  <w:t>Savivaldybių žemės ūkio skyrių darbuotojų asociacijai</w:t>
                </w:r>
              </w:p>
              <w:p>
                <w:pPr>
                  <w:overflowPunct w:val="0"/>
                  <w:jc w:val="both"/>
                  <w:textAlignment w:val="baseline"/>
                </w:pPr>
              </w:p>
            </w:tc>
            <w:tc>
              <w:tcPr>
                <w:tcW w:w="296" w:type="dxa"/>
              </w:tcPr>
              <w:p>
                <w:pPr>
                  <w:overflowPunct w:val="0"/>
                  <w:jc w:val="both"/>
                  <w:textAlignment w:val="baseline"/>
                </w:pPr>
              </w:p>
            </w:tc>
            <w:tc>
              <w:tcPr>
                <w:tcW w:w="1755" w:type="dxa"/>
                <w:tcBorders>
                  <w:bottom w:val="single" w:sz="4" w:space="0" w:color="auto"/>
                </w:tcBorders>
              </w:tcPr>
              <w:p>
                <w:pPr>
                  <w:overflowPunct w:val="0"/>
                  <w:jc w:val="both"/>
                  <w:textAlignment w:val="baseline"/>
                </w:pPr>
                <w:r>
                  <w:t>2026-</w:t>
                </w:r>
              </w:p>
            </w:tc>
            <w:tc>
              <w:tcPr>
                <w:tcW w:w="530" w:type="dxa"/>
              </w:tcPr>
              <w:p>
                <w:pPr>
                  <w:overflowPunct w:val="0"/>
                  <w:jc w:val="both"/>
                  <w:textAlignment w:val="baseline"/>
                </w:pPr>
                <w:r>
                  <w:t>Nr.</w:t>
                </w:r>
              </w:p>
            </w:tc>
            <w:tc>
              <w:tcPr>
                <w:tcW w:w="2354" w:type="dxa"/>
                <w:tcBorders>
                  <w:bottom w:val="single" w:sz="4" w:space="0" w:color="auto"/>
                </w:tcBorders>
              </w:tcPr>
              <w:p>
                <w:pPr>
                  <w:overflowPunct w:val="0"/>
                  <w:jc w:val="both"/>
                  <w:textAlignment w:val="baseline"/>
                </w:pPr>
              </w:p>
            </w:tc>
          </w:tr>
          <w:tr>
            <w:tc>
              <w:tcPr>
                <w:tcW w:w="4920" w:type="dxa"/>
                <w:vMerge/>
              </w:tcPr>
              <w:p>
                <w:pPr>
                  <w:overflowPunct w:val="0"/>
                  <w:jc w:val="both"/>
                  <w:textAlignment w:val="baseline"/>
                </w:pPr>
              </w:p>
            </w:tc>
            <w:tc>
              <w:tcPr>
                <w:tcW w:w="296" w:type="dxa"/>
              </w:tcPr>
              <w:p>
                <w:pPr>
                  <w:rPr>
                    <w:sz w:val="10"/>
                    <w:szCs w:val="10"/>
                  </w:rPr>
                </w:pPr>
              </w:p>
              <w:p>
                <w:pPr>
                  <w:overflowPunct w:val="0"/>
                  <w:jc w:val="both"/>
                  <w:textAlignment w:val="baseline"/>
                </w:pPr>
                <w:r>
                  <w:t>Į</w:t>
                </w:r>
              </w:p>
            </w:tc>
            <w:tc>
              <w:tcPr>
                <w:tcW w:w="1755" w:type="dxa"/>
                <w:tcBorders>
                  <w:top w:val="single" w:sz="4" w:space="0" w:color="auto"/>
                  <w:bottom w:val="single" w:sz="4" w:space="0" w:color="auto"/>
                </w:tcBorders>
              </w:tcPr>
              <w:p>
                <w:pPr>
                  <w:rPr>
                    <w:sz w:val="10"/>
                    <w:szCs w:val="10"/>
                  </w:rPr>
                </w:pPr>
              </w:p>
              <w:p>
                <w:pPr>
                  <w:overflowPunct w:val="0"/>
                  <w:jc w:val="both"/>
                  <w:textAlignment w:val="baseline"/>
                  <w:rPr>
                    <w:lang w:val="en-US"/>
                  </w:rPr>
                </w:pPr>
              </w:p>
            </w:tc>
            <w:tc>
              <w:tcPr>
                <w:tcW w:w="530" w:type="dxa"/>
              </w:tcPr>
              <w:p>
                <w:pPr>
                  <w:rPr>
                    <w:sz w:val="10"/>
                    <w:szCs w:val="10"/>
                  </w:rPr>
                </w:pPr>
              </w:p>
              <w:p>
                <w:pPr>
                  <w:overflowPunct w:val="0"/>
                  <w:jc w:val="both"/>
                  <w:textAlignment w:val="baseline"/>
                </w:pPr>
                <w:r>
                  <w:t>Nr.</w:t>
                </w:r>
              </w:p>
            </w:tc>
            <w:tc>
              <w:tcPr>
                <w:tcW w:w="2354" w:type="dxa"/>
                <w:tcBorders>
                  <w:top w:val="single" w:sz="4" w:space="0" w:color="auto"/>
                  <w:bottom w:val="single" w:sz="4" w:space="0" w:color="auto"/>
                </w:tcBorders>
              </w:tcPr>
              <w:p>
                <w:pPr>
                  <w:rPr>
                    <w:sz w:val="10"/>
                    <w:szCs w:val="10"/>
                  </w:rPr>
                </w:pPr>
              </w:p>
              <w:p>
                <w:pPr>
                  <w:overflowPunct w:val="0"/>
                  <w:jc w:val="both"/>
                  <w:textAlignment w:val="baseline"/>
                </w:pPr>
              </w:p>
            </w:tc>
          </w:tr>
          <w:tr>
            <w:trPr>
              <w:trHeight w:val="113"/>
            </w:trPr>
            <w:tc>
              <w:tcPr>
                <w:tcW w:w="4920" w:type="dxa"/>
                <w:vMerge/>
              </w:tcPr>
              <w:p>
                <w:pPr>
                  <w:overflowPunct w:val="0"/>
                  <w:jc w:val="both"/>
                  <w:textAlignment w:val="baseline"/>
                </w:pPr>
              </w:p>
            </w:tc>
            <w:tc>
              <w:tcPr>
                <w:tcW w:w="296" w:type="dxa"/>
              </w:tcPr>
              <w:p>
                <w:pPr>
                  <w:rPr>
                    <w:sz w:val="10"/>
                    <w:szCs w:val="10"/>
                  </w:rPr>
                </w:pPr>
              </w:p>
              <w:p>
                <w:pPr>
                  <w:overflowPunct w:val="0"/>
                  <w:jc w:val="both"/>
                  <w:textAlignment w:val="baseline"/>
                </w:pPr>
              </w:p>
            </w:tc>
            <w:tc>
              <w:tcPr>
                <w:tcW w:w="1755" w:type="dxa"/>
                <w:tcBorders>
                  <w:top w:val="single" w:sz="4" w:space="0" w:color="auto"/>
                </w:tcBorders>
              </w:tcPr>
              <w:p>
                <w:pPr>
                  <w:rPr>
                    <w:sz w:val="10"/>
                    <w:szCs w:val="10"/>
                  </w:rPr>
                </w:pPr>
              </w:p>
              <w:p>
                <w:pPr>
                  <w:overflowPunct w:val="0"/>
                  <w:jc w:val="both"/>
                  <w:textAlignment w:val="baseline"/>
                </w:pPr>
              </w:p>
            </w:tc>
            <w:tc>
              <w:tcPr>
                <w:tcW w:w="530" w:type="dxa"/>
              </w:tcPr>
              <w:p>
                <w:pPr>
                  <w:rPr>
                    <w:sz w:val="10"/>
                    <w:szCs w:val="10"/>
                  </w:rPr>
                </w:pPr>
              </w:p>
              <w:p>
                <w:pPr>
                  <w:overflowPunct w:val="0"/>
                  <w:jc w:val="both"/>
                  <w:textAlignment w:val="baseline"/>
                </w:pPr>
              </w:p>
            </w:tc>
            <w:tc>
              <w:tcPr>
                <w:tcW w:w="2354" w:type="dxa"/>
                <w:tcBorders>
                  <w:top w:val="single" w:sz="4" w:space="0" w:color="auto"/>
                </w:tcBorders>
              </w:tcPr>
              <w:p>
                <w:pPr>
                  <w:rPr>
                    <w:sz w:val="10"/>
                    <w:szCs w:val="10"/>
                  </w:rPr>
                </w:pPr>
              </w:p>
              <w:p>
                <w:pPr>
                  <w:overflowPunct w:val="0"/>
                  <w:jc w:val="both"/>
                  <w:textAlignment w:val="baseline"/>
                </w:pPr>
              </w:p>
            </w:tc>
          </w:tr>
        </w:tbl>
        <w:p>
          <w:pPr>
            <w:jc w:val="both"/>
            <w:rPr>
              <w:b/>
              <w:szCs w:val="24"/>
              <w:lang w:eastAsia="lt-LT"/>
            </w:rPr>
          </w:pPr>
        </w:p>
        <w:sdt>
          <w:sdtPr>
            <w:alias w:val="skirsnis"/>
            <w:tag w:val="part_8f15a5111cec43b3a32536c0a0c63360"/>
            <w:lock w:val="sdtLocked"/>
            <w:richText/>
          </w:sdtPr>
          <w:sdtContent>
            <w:p>
              <w:pPr>
                <w:jc w:val="both"/>
                <w:rPr>
                  <w:b/>
                  <w:bCs/>
                  <w:szCs w:val="24"/>
                  <w:lang w:eastAsia="lt-LT"/>
                </w:rPr>
              </w:pPr>
              <w:sdt>
                <w:sdtPr>
                  <w:alias w:val="Pavadinimas"/>
                  <w:tag w:val="title_8f15a5111cec43b3a32536c0a0c63360"/>
                  <w:lock w:val="sdtLocked"/>
                  <w:richText/>
                </w:sdtPr>
                <w:sdtContent>
                  <w:r>
                    <w:rPr>
                      <w:b/>
                      <w:szCs w:val="24"/>
                      <w:lang w:eastAsia="lt-LT"/>
                    </w:rPr>
                    <w:t>DĖL</w:t>
                  </w:r>
                  <w:r>
                    <w:rPr>
                      <w:b/>
                      <w:bCs/>
                      <w:szCs w:val="24"/>
                      <w:lang w:eastAsia="lt-LT"/>
                    </w:rPr>
                    <w:t xml:space="preserve"> </w:t>
                  </w:r>
                  <w:r>
                    <w:rPr>
                      <w:b/>
                      <w:bCs/>
                      <w:szCs w:val="24"/>
                      <w:shd w:val="clear" w:color="auto" w:fill="FFFFFF"/>
                      <w:lang w:eastAsia="lt-LT"/>
                    </w:rPr>
                    <w:t>ŽEMĖS ŪKIO MINISTRO 2023 M. VASARIO 20 D. ĮSAKYMO NR. 3D-92 „DĖL PARAMOS UŽ ŽEMĖS ŪKIO NAUDMENAS IR KITUS PLOTUS BEI ŪKINIUS GYVŪNUS PARAIŠKOS IR TIESIOGINIŲ IŠMOKŲ ADMINISTRAVIMO BEI KONTROLĖS TAISYKLIŲ PATVIRTINIMO“ PAKEITIMO PROJEKTO</w:t>
                  </w:r>
                </w:sdtContent>
              </w:sdt>
            </w:p>
            <w:p>
              <w:pPr>
                <w:overflowPunct w:val="0"/>
                <w:jc w:val="both"/>
                <w:textAlignment w:val="baseline"/>
                <w:rPr>
                  <w:szCs w:val="24"/>
                </w:rPr>
              </w:pPr>
            </w:p>
            <w:p>
              <w:pPr>
                <w:overflowPunct w:val="0"/>
                <w:jc w:val="both"/>
                <w:textAlignment w:val="baseline"/>
                <w:rPr>
                  <w:szCs w:val="24"/>
                </w:rPr>
              </w:pPr>
            </w:p>
            <w:p>
              <w:pPr>
                <w:overflowPunct w:val="0"/>
                <w:ind w:firstLine="567"/>
                <w:jc w:val="both"/>
                <w:textAlignment w:val="baseline"/>
                <w:rPr>
                  <w:szCs w:val="24"/>
                </w:rPr>
              </w:pPr>
              <w:r>
                <w:rPr>
                  <w:szCs w:val="24"/>
                </w:rPr>
                <w:t>Teikiame derinti Paramos už žemės ūkio naudmenas ir kitus plotus bei ūkinius gyvūnus paraiškos ir tiesioginių išmokų administravimo bei kontrolės taisyklių, patvirtintų Lietuvos Respublikos žemės ūkio ministro 2023 m. vasario 20 d. įsakymu Nr. 3D-92 „Dėl Paramos už žemės ūkio naudmenas ir kitus plotus bei ūkinius gyvūnus paraiškos ir tiesioginių išmokų administravimo bei kontrolės taisyklių patvirtinimo“, pakeitimo projektą (toliau – Įsakymo projektas).</w:t>
              </w:r>
            </w:p>
            <w:p>
              <w:pPr>
                <w:overflowPunct w:val="0"/>
                <w:ind w:firstLine="567"/>
                <w:jc w:val="both"/>
                <w:textAlignment w:val="baseline"/>
                <w:rPr>
                  <w:szCs w:val="24"/>
                </w:rPr>
              </w:pPr>
              <w:r>
                <w:rPr>
                  <w:szCs w:val="24"/>
                </w:rPr>
                <w:t xml:space="preserve">Įsakymo projektas parengtas </w:t>
              </w:r>
              <w:r>
                <w:rPr>
                  <w:color w:val="000000"/>
                  <w:szCs w:val="24"/>
                </w:rPr>
                <w:t xml:space="preserve">atsižvelgiant į </w:t>
              </w:r>
              <w:r>
                <w:rPr>
                  <w:szCs w:val="24"/>
                </w:rPr>
                <w:t xml:space="preserve">Lietuvos žemės ūkio ir kaimo plėtros 2023–2027 metų strateginio plano (toliau – Strateginis planas) ketvirtojo keitimo, patvirtinto 2025 m. gruodžio 12 d. Komisijos įgyvendinimo sprendimu Nr. C(2025) 8549, nuostatas, pagal kurias dalyvaujantieji ekologinėse sistemose </w:t>
              </w:r>
              <w:r>
                <w:rPr>
                  <w:color w:val="000000"/>
                  <w:szCs w:val="24"/>
                </w:rPr>
                <w:t>„Ariamųjų durpžemių keitimas pievomis“, „Eroduotos žemės keitimas pievomis“, „</w:t>
              </w:r>
              <w:r>
                <w:rPr>
                  <w:szCs w:val="24"/>
                  <w:shd w:val="clear" w:color="auto" w:fill="FFFFFF"/>
                </w:rPr>
                <w:t>Ariamosios žemės keitimas pievomis, jų išlaikymas ir priežiūra</w:t>
              </w:r>
              <w:r>
                <w:rPr>
                  <w:color w:val="000000"/>
                  <w:szCs w:val="24"/>
                </w:rPr>
                <w:t>“ pievas galės atnaujinti bearimėmis technologijomis</w:t>
              </w:r>
              <w:r>
                <w:rPr>
                  <w:szCs w:val="24"/>
                </w:rPr>
                <w:t>.</w:t>
              </w:r>
            </w:p>
            <w:p>
              <w:pPr>
                <w:overflowPunct w:val="0"/>
                <w:ind w:firstLine="567"/>
                <w:jc w:val="both"/>
                <w:textAlignment w:val="baseline"/>
                <w:rPr>
                  <w:szCs w:val="24"/>
                </w:rPr>
              </w:pPr>
              <w:r>
                <w:rPr>
                  <w:szCs w:val="24"/>
                </w:rPr>
                <w:t xml:space="preserve">Taip pat atliekamas tikslinamojo pobūdžio keitimas pagal ekologinę sistemą </w:t>
              </w:r>
              <w:r>
                <w:rPr>
                  <w:color w:val="000000"/>
                  <w:szCs w:val="24"/>
                </w:rPr>
                <w:t>„Tausojanti vaisių, uogų ir daržovių programa (NKP)“</w:t>
              </w:r>
              <w:r>
                <w:rPr>
                  <w:szCs w:val="24"/>
                </w:rPr>
                <w:t>, kad nepriklausomas konsultantas turi būti įtrauktas į sąrašą, skelbiamą</w:t>
              </w:r>
              <w:r>
                <w:rPr>
                  <w:color w:val="000000"/>
                  <w:szCs w:val="24"/>
                </w:rPr>
                <w:t xml:space="preserve"> Žemės ūkio agentūros tinklalapyje</w:t>
              </w:r>
              <w:r>
                <w:rPr>
                  <w:szCs w:val="24"/>
                </w:rPr>
                <w:t>, patikros vietoje metu nebus reikalaujama pateikti jo akreditavimo pažymėjimo kopijos.</w:t>
              </w:r>
            </w:p>
            <w:p>
              <w:pPr>
                <w:overflowPunct w:val="0"/>
                <w:ind w:firstLine="567"/>
                <w:jc w:val="both"/>
                <w:textAlignment w:val="baseline"/>
                <w:rPr>
                  <w:color w:val="000000"/>
                  <w:szCs w:val="24"/>
                  <w:shd w:val="clear" w:color="auto" w:fill="FFFFFF"/>
                </w:rPr>
              </w:pPr>
              <w:r>
                <w:rPr>
                  <w:szCs w:val="24"/>
                </w:rPr>
                <w:t>Pagal kompleksinės ekologinės sistemos „Veiklos ariamojoje žemėje“ veiklą „Tarpiniai pasėliai“ įsėliui sutrumpinamas išlaikymo dirvoje terminas (iš 8 savaičių į 6 savaites), posėliui</w:t>
              </w:r>
              <w:r>
                <w:rPr>
                  <w:color w:val="000000"/>
                  <w:szCs w:val="24"/>
                  <w:shd w:val="clear" w:color="auto" w:fill="FFFFFF"/>
                </w:rPr>
                <w:t xml:space="preserve"> nustatoma papildoma galimybė jį įsėti į pagrindinę kultūrą iki rugpjūčio 1 d. ir nepertraukiamai išlaikyti dirvoje 8 savaites. Siekiant užtikrinti tinkamą paramos skyrimą, n</w:t>
              </w:r>
              <w:r>
                <w:rPr>
                  <w:color w:val="000000"/>
                  <w:szCs w:val="24"/>
                </w:rPr>
                <w:t>uo 2026 m. prisiėmusieji įsipareigojimus</w:t>
              </w:r>
              <w:r>
                <w:rPr>
                  <w:color w:val="000000"/>
                  <w:szCs w:val="24"/>
                  <w:shd w:val="clear" w:color="auto" w:fill="FFFFFF"/>
                </w:rPr>
                <w:t xml:space="preserve"> pagal veiklą „Neariminės tausojamosios žemdirbystės technologijos“ ir taikantys tiesioginės sėjos būdą, </w:t>
              </w:r>
              <w:r>
                <w:rPr>
                  <w:szCs w:val="24"/>
                </w:rPr>
                <w:t xml:space="preserve">po sėjos turės palikti ne mažiau kaip </w:t>
              </w:r>
              <w:r>
                <w:rPr>
                  <w:color w:val="000000"/>
                  <w:szCs w:val="24"/>
                </w:rPr>
                <w:t>75 proc.</w:t>
              </w:r>
              <w:r>
                <w:rPr>
                  <w:szCs w:val="24"/>
                </w:rPr>
                <w:t xml:space="preserve"> neįdirbto dirvos paviršiaus, padengto ražiena kartu su augalų liekanomis (šiaudais, pelais, augalų stiebais ar kitomis augalų dalimis), kurios turi būti aiškiai matomos (ankstesniais metais prisiėmusiems įsipareigojimus ir toliau bus taikomas 50 proc. reikalavimas).</w:t>
              </w:r>
            </w:p>
            <w:p>
              <w:pPr>
                <w:overflowPunct w:val="0"/>
                <w:ind w:firstLine="567"/>
                <w:jc w:val="both"/>
                <w:textAlignment w:val="baseline"/>
                <w:rPr>
                  <w:color w:val="000000"/>
                  <w:szCs w:val="24"/>
                  <w:shd w:val="clear" w:color="auto" w:fill="FFFFFF"/>
                </w:rPr>
              </w:pPr>
              <w:r>
                <w:rPr>
                  <w:color w:val="000000"/>
                  <w:szCs w:val="24"/>
                  <w:shd w:val="clear" w:color="auto" w:fill="FFFFFF"/>
                </w:rPr>
                <w:t>Saulės elektrinių teritorijose paramai tinkamais bus laikomi visi plotai su žoline danga, o ne tik iki šiol buvę saulės modulių tarpueiliai pagal modulio projekciją.</w:t>
              </w:r>
            </w:p>
            <w:p>
              <w:pPr>
                <w:overflowPunct w:val="0"/>
                <w:ind w:firstLine="567"/>
                <w:jc w:val="both"/>
                <w:textAlignment w:val="baseline"/>
                <w:rPr>
                  <w:szCs w:val="24"/>
                </w:rPr>
              </w:pPr>
              <w:r>
                <w:rPr>
                  <w:szCs w:val="24"/>
                </w:rPr>
                <w:t>Cukinijos, ridikai ir ropės išbraukiami iš galimų žemės ūkio augalų sąrašo susietajai paramai gauti.</w:t>
              </w:r>
            </w:p>
            <w:p>
              <w:pPr>
                <w:overflowPunct w:val="0"/>
                <w:ind w:firstLine="567"/>
                <w:jc w:val="both"/>
                <w:textAlignment w:val="baseline"/>
                <w:rPr>
                  <w:szCs w:val="24"/>
                </w:rPr>
              </w:pPr>
              <w:r>
                <w:rPr>
                  <w:szCs w:val="24"/>
                </w:rPr>
                <w:t>Atliekami tikslinamojo pobūdžio keitimai, nes nuo 2026 m. paraiškos pagal tęstinės Lietuvos kaimo plėtros 2014–2020 metų programos priemonės „Agrarinė aplinkosauga ir klimatas“ veiklas nebebus priimamos, o paramai „Natura 2000“ teritorijoje paraiškos bus priimamos ne pagal Lietuvos kaimo plėtros 2014–2020 m. programos priemonę</w:t>
              </w:r>
              <w:r>
                <w:rPr>
                  <w:color w:val="000000"/>
                  <w:szCs w:val="24"/>
                </w:rPr>
                <w:t xml:space="preserve"> </w:t>
              </w:r>
              <w:r>
                <w:rPr>
                  <w:szCs w:val="24"/>
                </w:rPr>
                <w:t>„Su „Natura 2000“ ir Vandens pagrindų direktyva susijusios išmokos“, o pagal Strateginio plano intervencines priemones „Parama „Natura 2000“ žemės ūkio paskirties žemėje“ ir „Parama „Natura 2000“ miškuose“.</w:t>
              </w:r>
            </w:p>
            <w:p>
              <w:pPr>
                <w:overflowPunct w:val="0"/>
                <w:ind w:firstLine="567"/>
                <w:jc w:val="both"/>
                <w:textAlignment w:val="baseline"/>
                <w:rPr>
                  <w:szCs w:val="24"/>
                </w:rPr>
              </w:pPr>
              <w:r>
                <w:rPr>
                  <w:color w:val="000000"/>
                  <w:szCs w:val="24"/>
                </w:rPr>
                <w:t>Paraiškoje (1 priedas), Žemės ūkio naudmenų ir kitų plotų klasifikatoriuje</w:t>
              </w:r>
              <w:r>
                <w:rPr>
                  <w:szCs w:val="24"/>
                </w:rPr>
                <w:t xml:space="preserve"> ir Paramos suderinamumo matricoje (</w:t>
              </w:r>
              <w:r>
                <w:rPr>
                  <w:szCs w:val="24"/>
                  <w:lang w:eastAsia="lt-LT"/>
                </w:rPr>
                <w:t xml:space="preserve">2 priedas), Atliktų ūkio darbų žurnale (8 priedas) </w:t>
              </w:r>
              <w:r>
                <w:rPr>
                  <w:szCs w:val="24"/>
                </w:rPr>
                <w:t>atliekami tikslinamieji pakeitimai, taip pat pakeitimai, susiję su pirmiau išdėstytais Įsakymo projekto pakeitimais.</w:t>
              </w:r>
            </w:p>
            <w:p>
              <w:pPr>
                <w:overflowPunct w:val="0"/>
                <w:ind w:firstLine="567"/>
                <w:jc w:val="both"/>
                <w:textAlignment w:val="baseline"/>
                <w:rPr>
                  <w:szCs w:val="24"/>
                  <w:shd w:val="clear" w:color="auto" w:fill="FFFFFF"/>
                </w:rPr>
              </w:pPr>
              <w:r>
                <w:rPr>
                  <w:szCs w:val="24"/>
                  <w:shd w:val="clear" w:color="auto" w:fill="FFFFFF"/>
                </w:rPr>
                <w:t>Įsakymo projekto nuostatos bus taikomos 2026 m. ir vėlesniais metais pateiktoms paramos už žemės ūkio naudmenas ir kitus plotus bei ūkinius gyvūnus paraiškoms.</w:t>
              </w:r>
            </w:p>
            <w:p>
              <w:pPr>
                <w:tabs>
                  <w:tab w:val="left" w:pos="851"/>
                  <w:tab w:val="left" w:pos="1276"/>
                </w:tabs>
                <w:overflowPunct w:val="0"/>
                <w:ind w:firstLine="567"/>
                <w:jc w:val="both"/>
                <w:textAlignment w:val="baseline"/>
                <w:rPr>
                  <w:szCs w:val="24"/>
                </w:rPr>
              </w:pPr>
              <w:r>
                <w:rPr>
                  <w:szCs w:val="24"/>
                </w:rPr>
                <w:t>Įsakymo projektas yra suderinamas su Europos Sąjungos teisės aktais ir jiems neprieštarauja.</w:t>
              </w:r>
            </w:p>
            <w:p>
              <w:pPr>
                <w:overflowPunct w:val="0"/>
                <w:ind w:firstLine="567"/>
                <w:jc w:val="both"/>
                <w:textAlignment w:val="baseline"/>
                <w:rPr>
                  <w:szCs w:val="24"/>
                </w:rPr>
              </w:pPr>
              <w:r>
                <w:rPr>
                  <w:rFonts w:eastAsia="Calibri"/>
                  <w:szCs w:val="24"/>
                </w:rPr>
                <w:t xml:space="preserve">Įsakymo projektui įgyvendinti </w:t>
              </w:r>
              <w:r>
                <w:rPr>
                  <w:szCs w:val="24"/>
                </w:rPr>
                <w:t>reikalingi Paraiškų priėmimo informacinės sistemos (PPIS) pakeitimai.</w:t>
              </w:r>
            </w:p>
            <w:p>
              <w:pPr>
                <w:overflowPunct w:val="0"/>
                <w:ind w:firstLine="567"/>
                <w:jc w:val="both"/>
                <w:textAlignment w:val="baseline"/>
                <w:rPr>
                  <w:szCs w:val="24"/>
                </w:rPr>
              </w:pPr>
              <w:r>
                <w:rPr>
                  <w:szCs w:val="24"/>
                </w:rPr>
                <w:t xml:space="preserve">Numatomo teisinio reguliavimo poveikio vertinimas pagal Numatomo teisinio reguliavimo poveikio vertinimo metodiką, patvirtintą Lietuvos Respublikos Vyriausybės 2003 m. vasario 26 d. nutarimu Nr. 276 „Dėl Numatomo teisinio reguliavimo poveikio vertinimo metodikos patvirtinimo“, neatliekamas. </w:t>
              </w:r>
            </w:p>
            <w:p>
              <w:pPr>
                <w:overflowPunct w:val="0"/>
                <w:ind w:firstLine="567"/>
                <w:jc w:val="both"/>
                <w:textAlignment w:val="baseline"/>
                <w:rPr>
                  <w:szCs w:val="24"/>
                </w:rPr>
              </w:pPr>
              <w:r>
                <w:rPr>
                  <w:szCs w:val="24"/>
                </w:rPr>
                <w:t xml:space="preserve">Įsakymo projektas neperkelia ir neįgyvendina Europos Sąjungos direktyvų ar kitų </w:t>
              </w:r>
              <w:r>
                <w:rPr>
                  <w:rFonts w:eastAsia="Calibri"/>
                  <w:kern w:val="2"/>
                  <w:szCs w:val="24"/>
                </w:rPr>
                <w:t xml:space="preserve">Europos Sąjungos </w:t>
              </w:r>
              <w:r>
                <w:rPr>
                  <w:szCs w:val="24"/>
                </w:rPr>
                <w:t>teisės aktų, nenotifikuotinas Europos Komisijai.</w:t>
              </w:r>
            </w:p>
            <w:p>
              <w:pPr>
                <w:overflowPunct w:val="0"/>
                <w:ind w:firstLine="567"/>
                <w:jc w:val="both"/>
                <w:textAlignment w:val="baseline"/>
                <w:rPr>
                  <w:szCs w:val="24"/>
                </w:rPr>
              </w:pPr>
              <w:r>
                <w:rPr>
                  <w:szCs w:val="24"/>
                </w:rPr>
                <w:t>Priėmus Įsakymo projektą, kitų teisės aktų keisti nereikės.</w:t>
              </w:r>
            </w:p>
            <w:p>
              <w:pPr>
                <w:overflowPunct w:val="0"/>
                <w:ind w:firstLine="567"/>
                <w:jc w:val="both"/>
                <w:textAlignment w:val="baseline"/>
                <w:rPr>
                  <w:szCs w:val="24"/>
                </w:rPr>
              </w:pPr>
              <w:r>
                <w:rPr>
                  <w:szCs w:val="24"/>
                </w:rPr>
                <w:t>Įsakymo projekte neapibrėžiamos sąvokos ir jas įvardijantys terminai, kurie turėtų būti įvertinti Lietuvos Respublikos terminų banko įstatymo ir jo įgyvendinamųjų teisės aktų nustatyta tvarka.</w:t>
              </w:r>
            </w:p>
            <w:p>
              <w:pPr>
                <w:overflowPunct w:val="0"/>
                <w:ind w:firstLine="567"/>
                <w:jc w:val="both"/>
                <w:textAlignment w:val="baseline"/>
                <w:rPr>
                  <w:szCs w:val="24"/>
                </w:rPr>
              </w:pPr>
              <w:r>
                <w:rPr>
                  <w:szCs w:val="24"/>
                </w:rPr>
                <w:t>Ūkio subjektams sukeliamų prisitaikymo prie reguliavimo išlaidų, numatomo teisinio reguliavimo poveikio ir poveikio konkurencijai vertinimai neatliekami.</w:t>
              </w:r>
            </w:p>
            <w:p>
              <w:pPr>
                <w:overflowPunct w:val="0"/>
                <w:ind w:firstLine="567"/>
                <w:jc w:val="both"/>
                <w:textAlignment w:val="baseline"/>
                <w:rPr>
                  <w:szCs w:val="24"/>
                </w:rPr>
              </w:pPr>
              <w:r>
                <w:rPr>
                  <w:szCs w:val="24"/>
                </w:rPr>
                <w:t>Atliktas antikorupcinis vertinimas ir parengta antikorupcinio vertinimo pažyma.</w:t>
              </w:r>
            </w:p>
            <w:p>
              <w:pPr>
                <w:ind w:firstLine="567"/>
                <w:jc w:val="both"/>
                <w:rPr>
                  <w:szCs w:val="24"/>
                </w:rPr>
              </w:pPr>
              <w:r>
                <w:rPr>
                  <w:szCs w:val="24"/>
                </w:rPr>
                <w:t>Įsakymo projektas 12 darbo dienų bus skelbiamas Lietuvos Respublikos Seimo kanceliarijos Teisės aktų informacinėje sistemoje (TAIS)</w:t>
              </w:r>
              <w:r>
                <w:rPr>
                  <w:rFonts w:eastAsia="Calibri"/>
                  <w:szCs w:val="24"/>
                </w:rPr>
                <w:t>, per šį laikotarpį visos institucijos, įstaigos ir suinteresuotieji asmenys galės pateikti savo pastabas ir pasiūlymus.</w:t>
              </w:r>
            </w:p>
            <w:p>
              <w:pPr>
                <w:overflowPunct w:val="0"/>
                <w:ind w:firstLine="567"/>
                <w:jc w:val="both"/>
                <w:textAlignment w:val="baseline"/>
                <w:rPr>
                  <w:szCs w:val="24"/>
                </w:rPr>
              </w:pPr>
              <w:r>
                <w:rPr>
                  <w:szCs w:val="24"/>
                </w:rPr>
                <w:t>Įsakymo projektą parengė Lietuvos Respublikos žemės ūkio ministerijos Europos Sąjungos paramos politikos departamento (direktorė Jurgita Stakėnienė, tel. +370 5 239 1020, el. p. JurgitaS@zum.lt) Išmokų už plotus skyriaus (vedėja Rasa Motiejaitė, tel. +370 5 239 1261, el. p. rasad@zum.lt) vyr. specialistas Skirmantas Ramoška, tel. +370 5 239 1166, el. p. Skirmantas@zum.lt, patarėja Rolana Miknevičienė, tel. +370 5 239 1225, el. p. rolana.mikneviciene@zum.lt.</w:t>
              </w:r>
            </w:p>
            <w:p>
              <w:pPr>
                <w:overflowPunct w:val="0"/>
                <w:ind w:firstLine="567"/>
                <w:jc w:val="both"/>
                <w:textAlignment w:val="baseline"/>
                <w:rPr>
                  <w:szCs w:val="24"/>
                </w:rPr>
              </w:pPr>
              <w:r>
                <w:rPr>
                  <w:szCs w:val="24"/>
                </w:rPr>
                <w:t>PRIDEDAMA:</w:t>
              </w:r>
            </w:p>
            <w:sdt>
              <w:sdtPr>
                <w:alias w:val="1 p."/>
                <w:tag w:val="part_a289ca9000f04bce8d54f08b0585d5d5"/>
                <w:lock w:val="sdtLocked"/>
                <w:richText/>
              </w:sdtPr>
              <w:sdtContent>
                <w:p>
                  <w:pPr>
                    <w:tabs>
                      <w:tab w:val="left" w:pos="851"/>
                    </w:tabs>
                    <w:ind w:left="567"/>
                    <w:jc w:val="both"/>
                    <w:rPr>
                      <w:rFonts w:eastAsia="Calibri"/>
                      <w:bCs/>
                      <w:szCs w:val="24"/>
                    </w:rPr>
                  </w:pPr>
                  <w:sdt>
                    <w:sdtPr>
                      <w:alias w:val="Numeris"/>
                      <w:tag w:val="nr_a289ca9000f04bce8d54f08b0585d5d5"/>
                      <w:lock w:val="sdtLocked"/>
                      <w:richText/>
                    </w:sdtPr>
                    <w:sdtContent>
                      <w:r>
                        <w:rPr>
                          <w:rFonts w:eastAsia="Calibri"/>
                          <w:bCs/>
                          <w:szCs w:val="24"/>
                        </w:rPr>
                        <w:t>1</w:t>
                      </w:r>
                    </w:sdtContent>
                  </w:sdt>
                  <w:r>
                    <w:rPr>
                      <w:rFonts w:eastAsia="Calibri"/>
                      <w:bCs/>
                      <w:szCs w:val="24"/>
                    </w:rPr>
                    <w:t>.</w:t>
                    <w:tab/>
                    <w:t>Įsakymo projekto lyginamasis variantas, 13 lapų.</w:t>
                  </w:r>
                </w:p>
              </w:sdtContent>
            </w:sdt>
            <w:sdt>
              <w:sdtPr>
                <w:alias w:val="2 p."/>
                <w:tag w:val="part_80d7fc7665f84bd8b91c53bbf1217873"/>
                <w:lock w:val="sdtLocked"/>
                <w:richText/>
              </w:sdtPr>
              <w:sdtContent>
                <w:p>
                  <w:pPr>
                    <w:tabs>
                      <w:tab w:val="left" w:pos="851"/>
                    </w:tabs>
                    <w:ind w:left="567"/>
                    <w:jc w:val="both"/>
                    <w:rPr>
                      <w:rFonts w:eastAsia="Calibri"/>
                      <w:bCs/>
                      <w:szCs w:val="24"/>
                    </w:rPr>
                  </w:pPr>
                  <w:sdt>
                    <w:sdtPr>
                      <w:alias w:val="Numeris"/>
                      <w:tag w:val="nr_80d7fc7665f84bd8b91c53bbf1217873"/>
                      <w:lock w:val="sdtLocked"/>
                      <w:richText/>
                    </w:sdtPr>
                    <w:sdtContent>
                      <w:r>
                        <w:rPr>
                          <w:rFonts w:eastAsia="Calibri"/>
                          <w:bCs/>
                          <w:szCs w:val="24"/>
                        </w:rPr>
                        <w:t>2</w:t>
                      </w:r>
                    </w:sdtContent>
                  </w:sdt>
                  <w:r>
                    <w:rPr>
                      <w:rFonts w:eastAsia="Calibri"/>
                      <w:bCs/>
                      <w:szCs w:val="24"/>
                    </w:rPr>
                    <w:t>.</w:t>
                    <w:tab/>
                    <w:t>Įsakymo projektas, 60 lapų.</w:t>
                  </w:r>
                </w:p>
              </w:sdtContent>
            </w:sdt>
            <w:sdt>
              <w:sdtPr>
                <w:alias w:val="3 p."/>
                <w:tag w:val="part_e1b09d08b41a4a26bc591d769550e70e"/>
                <w:lock w:val="sdtLocked"/>
                <w:richText/>
              </w:sdtPr>
              <w:sdtContent>
                <w:p>
                  <w:pPr>
                    <w:tabs>
                      <w:tab w:val="left" w:pos="851"/>
                    </w:tabs>
                    <w:ind w:left="567"/>
                    <w:jc w:val="both"/>
                    <w:rPr>
                      <w:rFonts w:eastAsia="Calibri"/>
                      <w:bCs/>
                      <w:szCs w:val="24"/>
                    </w:rPr>
                  </w:pPr>
                  <w:sdt>
                    <w:sdtPr>
                      <w:alias w:val="Numeris"/>
                      <w:tag w:val="nr_e1b09d08b41a4a26bc591d769550e70e"/>
                      <w:lock w:val="sdtLocked"/>
                      <w:richText/>
                    </w:sdtPr>
                    <w:sdtContent>
                      <w:r>
                        <w:rPr>
                          <w:rFonts w:eastAsia="Calibri"/>
                          <w:bCs/>
                          <w:szCs w:val="24"/>
                        </w:rPr>
                        <w:t>3</w:t>
                      </w:r>
                    </w:sdtContent>
                  </w:sdt>
                  <w:r>
                    <w:rPr>
                      <w:rFonts w:eastAsia="Calibri"/>
                      <w:bCs/>
                      <w:szCs w:val="24"/>
                    </w:rPr>
                    <w:t>.</w:t>
                    <w:tab/>
                  </w:r>
                  <w:r>
                    <w:rPr>
                      <w:szCs w:val="24"/>
                    </w:rPr>
                    <w:t>Teisės aktų projektų antikorupcinio vertinimo pažyma, 6 lapai.</w:t>
                  </w:r>
                </w:p>
                <w:p>
                  <w:pPr>
                    <w:overflowPunct w:val="0"/>
                    <w:ind w:firstLine="720"/>
                    <w:jc w:val="both"/>
                    <w:textAlignment w:val="baseline"/>
                    <w:rPr>
                      <w:szCs w:val="24"/>
                    </w:rPr>
                  </w:pPr>
                </w:p>
                <w:p>
                  <w:pPr>
                    <w:overflowPunct w:val="0"/>
                    <w:ind w:firstLine="720"/>
                    <w:jc w:val="both"/>
                    <w:textAlignment w:val="baseline"/>
                    <w:rPr>
                      <w:szCs w:val="24"/>
                    </w:rPr>
                  </w:pPr>
                </w:p>
                <w:p>
                  <w:pPr>
                    <w:overflowPunct w:val="0"/>
                    <w:ind w:firstLine="720"/>
                    <w:jc w:val="both"/>
                    <w:textAlignment w:val="baseline"/>
                    <w:rPr>
                      <w:szCs w:val="24"/>
                    </w:rPr>
                  </w:pPr>
                </w:p>
                <w:p>
                  <w:pPr>
                    <w:tabs>
                      <w:tab w:val="left" w:pos="8080"/>
                    </w:tabs>
                    <w:rPr>
                      <w:szCs w:val="24"/>
                    </w:rPr>
                  </w:pPr>
                  <w:r>
                    <w:rPr>
                      <w:szCs w:val="24"/>
                      <w:lang w:eastAsia="en-GB"/>
                    </w:rPr>
                    <w:t>Viceministras</w:t>
                    <w:tab/>
                  </w:r>
                  <w:r>
                    <w:rPr>
                      <w:szCs w:val="24"/>
                    </w:rPr>
                    <w:t>Ramūnas Krugelis</w:t>
                  </w: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r>
                    <w:rPr>
                      <w:szCs w:val="24"/>
                    </w:rPr>
                    <w:t>Skirmantas Ramoška, tel. +370 5 239 1166, el. p. skirmantas@zum.lt</w:t>
                  </w:r>
                </w:p>
                <w:p>
                  <w:pPr>
                    <w:overflowPunct w:val="0"/>
                    <w:jc w:val="both"/>
                    <w:textAlignment w:val="baseline"/>
                    <w:rPr>
                      <w:szCs w:val="24"/>
                    </w:rPr>
                  </w:pPr>
                  <w:r>
                    <w:rPr>
                      <w:szCs w:val="24"/>
                    </w:rPr>
                    <w:t>Rolana Miknevičienė, tel. +370 5 239 1225, el. p. rolana.mikneviciene@zum.lt</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851" w:right="567" w:bottom="567" w:left="1418" w:header="284"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rFonts w:ascii="TimesLT" w:hAnsi="TimesLT"/>
          <w:lang w:val="en-GB"/>
        </w:rPr>
      </w:pPr>
      <w:r>
        <w:rPr>
          <w:rFonts w:ascii="TimesLT" w:hAnsi="TimesLT"/>
          <w:lang w:val="en-GB"/>
        </w:rPr>
        <w:separator/>
      </w:r>
    </w:p>
  </w:endnote>
  <w:endnote w:type="continuationSeparator" w:id="0">
    <w:p>
      <w:pPr>
        <w:overflowPunct w:val="0"/>
        <w:textAlignment w:val="baseline"/>
        <w:rPr>
          <w:rFonts w:ascii="TimesLT" w:hAnsi="TimesLT"/>
          <w:lang w:val="en-GB"/>
        </w:rPr>
      </w:pPr>
      <w:r>
        <w:rPr>
          <w:rFonts w:ascii="TimesLT" w:hAnsi="TimesLT"/>
          <w:lang w:val="en-GB"/>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right"/>
      <w:textAlignment w:val="baseline"/>
      <w:rPr>
        <w:sz w:val="18"/>
        <w:szCs w:val="18"/>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390"/>
      <w:gridCol w:w="3390"/>
      <w:gridCol w:w="3390"/>
    </w:tblGrid>
    <w:tr>
      <w:trPr>
        <w:trHeight w:val="300"/>
      </w:trPr>
      <w:tc>
        <w:tcPr>
          <w:tcW w:w="3390" w:type="dxa"/>
        </w:tcPr>
        <w:p>
          <w:pPr>
            <w:tabs>
              <w:tab w:val="center" w:pos="4153"/>
              <w:tab w:val="right" w:pos="8306"/>
            </w:tabs>
            <w:overflowPunct w:val="0"/>
            <w:ind w:left="-115"/>
            <w:textAlignment w:val="baseline"/>
            <w:rPr>
              <w:rFonts w:ascii="TimesLT" w:hAnsi="TimesLT"/>
              <w:lang w:val="en-GB"/>
            </w:rPr>
          </w:pPr>
        </w:p>
      </w:tc>
      <w:tc>
        <w:tcPr>
          <w:tcW w:w="3390" w:type="dxa"/>
        </w:tcPr>
        <w:p>
          <w:pPr>
            <w:tabs>
              <w:tab w:val="center" w:pos="4153"/>
              <w:tab w:val="right" w:pos="8306"/>
            </w:tabs>
            <w:overflowPunct w:val="0"/>
            <w:jc w:val="center"/>
            <w:textAlignment w:val="baseline"/>
            <w:rPr>
              <w:rFonts w:ascii="TimesLT" w:hAnsi="TimesLT"/>
              <w:lang w:val="en-GB"/>
            </w:rPr>
          </w:pPr>
        </w:p>
      </w:tc>
      <w:tc>
        <w:tcPr>
          <w:tcW w:w="3390" w:type="dxa"/>
        </w:tcPr>
        <w:p>
          <w:pPr>
            <w:tabs>
              <w:tab w:val="center" w:pos="4153"/>
              <w:tab w:val="right" w:pos="8306"/>
            </w:tabs>
            <w:overflowPunct w:val="0"/>
            <w:ind w:right="-115"/>
            <w:jc w:val="right"/>
            <w:textAlignment w:val="baseline"/>
            <w:rPr>
              <w:rFonts w:ascii="TimesLT" w:hAnsi="TimesLT"/>
              <w:lang w:val="en-GB"/>
            </w:rPr>
          </w:pPr>
        </w:p>
      </w:tc>
    </w:tr>
  </w:tbl>
  <w:p>
    <w:pPr>
      <w:tabs>
        <w:tab w:val="center" w:pos="4153"/>
        <w:tab w:val="right" w:pos="8306"/>
      </w:tabs>
      <w:overflowPunct w:val="0"/>
      <w:textAlignment w:val="baseline"/>
      <w:rPr>
        <w:rFonts w:ascii="TimesLT" w:hAnsi="TimesLT"/>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rFonts w:ascii="TimesLT" w:hAnsi="TimesLT"/>
          <w:lang w:val="en-GB"/>
        </w:rPr>
      </w:pPr>
      <w:r>
        <w:rPr>
          <w:rFonts w:ascii="TimesLT" w:hAnsi="TimesLT"/>
          <w:lang w:val="en-GB"/>
        </w:rPr>
        <w:separator/>
      </w:r>
    </w:p>
  </w:footnote>
  <w:footnote w:type="continuationSeparator" w:id="0">
    <w:p>
      <w:pPr>
        <w:overflowPunct w:val="0"/>
        <w:textAlignment w:val="baseline"/>
        <w:rPr>
          <w:rFonts w:ascii="TimesLT" w:hAnsi="TimesLT"/>
          <w:lang w:val="en-GB"/>
        </w:rPr>
      </w:pPr>
      <w:r>
        <w:rPr>
          <w:rFonts w:ascii="TimesLT" w:hAnsi="TimesLT"/>
          <w:lang w:val="en-GB"/>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rFonts w:ascii="TimesLT" w:hAnsi="TimesLT"/>
        <w:lang w:val="en-GB"/>
      </w:rPr>
    </w:pPr>
    <w:r>
      <w:rPr>
        <w:rFonts w:ascii="TimesLT" w:hAnsi="TimesLT"/>
        <w:lang w:val="en-GB"/>
      </w:rPr>
      <w:fldChar w:fldCharType="begin"/>
    </w:r>
    <w:r>
      <w:rPr>
        <w:rFonts w:ascii="TimesLT" w:hAnsi="TimesLT"/>
        <w:lang w:val="en-GB"/>
      </w:rPr>
      <w:instrText>PAGE   \* MERGEFORMAT</w:instrText>
    </w:r>
    <w:r>
      <w:rPr>
        <w:rFonts w:ascii="TimesLT" w:hAnsi="TimesLT"/>
        <w:lang w:val="en-GB"/>
      </w:rPr>
      <w:fldChar w:fldCharType="separate"/>
    </w:r>
    <w:r>
      <w:rPr>
        <w:rFonts w:ascii="TimesLT" w:hAnsi="TimesLT"/>
      </w:rPr>
      <w:t>2</w:t>
    </w:r>
    <w:r>
      <w:rPr>
        <w:rFonts w:ascii="TimesLT" w:hAnsi="TimesLT"/>
        <w:lang w:val="en-GB"/>
      </w:rPr>
      <w:fldChar w:fldCharType="end"/>
    </w:r>
  </w:p>
  <w:p>
    <w:pPr>
      <w:tabs>
        <w:tab w:val="center" w:pos="4153"/>
        <w:tab w:val="right" w:pos="8306"/>
      </w:tabs>
      <w:overflowPunct w:val="0"/>
      <w:textAlignment w:val="baseline"/>
      <w:rPr>
        <w:rFonts w:ascii="TimesLT" w:hAnsi="TimesLT"/>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1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DD7016F0-83BA-4B70-855E-56D2B23FA7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6814113">
      <w:bodyDiv w:val="1"/>
      <w:marLeft w:val="0"/>
      <w:marRight w:val="0"/>
      <w:marTop w:val="0"/>
      <w:marBottom w:val="0"/>
      <w:divBdr>
        <w:top w:val="none" w:sz="0" w:space="0" w:color="auto"/>
        <w:left w:val="none" w:sz="0" w:space="0" w:color="auto"/>
        <w:bottom w:val="none" w:sz="0" w:space="0" w:color="auto"/>
        <w:right w:val="none" w:sz="0" w:space="0" w:color="auto"/>
      </w:divBdr>
    </w:div>
    <w:div w:id="464079804">
      <w:bodyDiv w:val="1"/>
      <w:marLeft w:val="0"/>
      <w:marRight w:val="0"/>
      <w:marTop w:val="0"/>
      <w:marBottom w:val="0"/>
      <w:divBdr>
        <w:top w:val="none" w:sz="0" w:space="0" w:color="auto"/>
        <w:left w:val="none" w:sz="0" w:space="0" w:color="auto"/>
        <w:bottom w:val="none" w:sz="0" w:space="0" w:color="auto"/>
        <w:right w:val="none" w:sz="0" w:space="0" w:color="auto"/>
      </w:divBdr>
    </w:div>
    <w:div w:id="1161972459">
      <w:bodyDiv w:val="1"/>
      <w:marLeft w:val="0"/>
      <w:marRight w:val="0"/>
      <w:marTop w:val="0"/>
      <w:marBottom w:val="0"/>
      <w:divBdr>
        <w:top w:val="none" w:sz="0" w:space="0" w:color="auto"/>
        <w:left w:val="none" w:sz="0" w:space="0" w:color="auto"/>
        <w:bottom w:val="none" w:sz="0" w:space="0" w:color="auto"/>
        <w:right w:val="none" w:sz="0" w:space="0" w:color="auto"/>
      </w:divBdr>
      <w:divsChild>
        <w:div w:id="921333900">
          <w:marLeft w:val="274"/>
          <w:marRight w:val="0"/>
          <w:marTop w:val="0"/>
          <w:marBottom w:val="120"/>
          <w:divBdr>
            <w:top w:val="none" w:sz="0" w:space="0" w:color="auto"/>
            <w:left w:val="none" w:sz="0" w:space="0" w:color="auto"/>
            <w:bottom w:val="none" w:sz="0" w:space="0" w:color="auto"/>
            <w:right w:val="none" w:sz="0" w:space="0" w:color="auto"/>
          </w:divBdr>
        </w:div>
      </w:divsChild>
    </w:div>
    <w:div w:id="1323897663">
      <w:bodyDiv w:val="1"/>
      <w:marLeft w:val="0"/>
      <w:marRight w:val="0"/>
      <w:marTop w:val="0"/>
      <w:marBottom w:val="0"/>
      <w:divBdr>
        <w:top w:val="none" w:sz="0" w:space="0" w:color="auto"/>
        <w:left w:val="none" w:sz="0" w:space="0" w:color="auto"/>
        <w:bottom w:val="none" w:sz="0" w:space="0" w:color="auto"/>
        <w:right w:val="none" w:sz="0" w:space="0" w:color="auto"/>
      </w:divBdr>
      <w:divsChild>
        <w:div w:id="1402867792">
          <w:marLeft w:val="274"/>
          <w:marRight w:val="0"/>
          <w:marTop w:val="0"/>
          <w:marBottom w:val="120"/>
          <w:divBdr>
            <w:top w:val="none" w:sz="0" w:space="0" w:color="auto"/>
            <w:left w:val="none" w:sz="0" w:space="0" w:color="auto"/>
            <w:bottom w:val="none" w:sz="0" w:space="0" w:color="auto"/>
            <w:right w:val="none" w:sz="0" w:space="0" w:color="auto"/>
          </w:divBdr>
        </w:div>
      </w:divsChild>
    </w:div>
    <w:div w:id="1395543263">
      <w:bodyDiv w:val="1"/>
      <w:marLeft w:val="0"/>
      <w:marRight w:val="0"/>
      <w:marTop w:val="0"/>
      <w:marBottom w:val="0"/>
      <w:divBdr>
        <w:top w:val="none" w:sz="0" w:space="0" w:color="auto"/>
        <w:left w:val="none" w:sz="0" w:space="0" w:color="auto"/>
        <w:bottom w:val="none" w:sz="0" w:space="0" w:color="auto"/>
        <w:right w:val="none" w:sz="0" w:space="0" w:color="auto"/>
      </w:divBdr>
    </w:div>
    <w:div w:id="1443957704">
      <w:bodyDiv w:val="1"/>
      <w:marLeft w:val="0"/>
      <w:marRight w:val="0"/>
      <w:marTop w:val="0"/>
      <w:marBottom w:val="0"/>
      <w:divBdr>
        <w:top w:val="none" w:sz="0" w:space="0" w:color="auto"/>
        <w:left w:val="none" w:sz="0" w:space="0" w:color="auto"/>
        <w:bottom w:val="none" w:sz="0" w:space="0" w:color="auto"/>
        <w:right w:val="none" w:sz="0" w:space="0" w:color="auto"/>
      </w:divBdr>
    </w:div>
    <w:div w:id="1991785714">
      <w:bodyDiv w:val="1"/>
      <w:marLeft w:val="0"/>
      <w:marRight w:val="0"/>
      <w:marTop w:val="0"/>
      <w:marBottom w:val="0"/>
      <w:divBdr>
        <w:top w:val="none" w:sz="0" w:space="0" w:color="auto"/>
        <w:left w:val="none" w:sz="0" w:space="0" w:color="auto"/>
        <w:bottom w:val="none" w:sz="0" w:space="0" w:color="auto"/>
        <w:right w:val="none" w:sz="0" w:space="0" w:color="auto"/>
      </w:divBdr>
    </w:div>
    <w:div w:id="2094861780">
      <w:bodyDiv w:val="1"/>
      <w:marLeft w:val="0"/>
      <w:marRight w:val="0"/>
      <w:marTop w:val="0"/>
      <w:marBottom w:val="0"/>
      <w:divBdr>
        <w:top w:val="none" w:sz="0" w:space="0" w:color="auto"/>
        <w:left w:val="none" w:sz="0" w:space="0" w:color="auto"/>
        <w:bottom w:val="none" w:sz="0" w:space="0" w:color="auto"/>
        <w:right w:val="none" w:sz="0" w:space="0" w:color="auto"/>
      </w:divBdr>
      <w:divsChild>
        <w:div w:id="2138374841">
          <w:marLeft w:val="85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e0624a1e0d724980ae7ea45609b2fb99" PartId="32beb3c5792544a6a9c7da8dd8949dbe">
    <Part Type="skirsnis" Title="LIETUVOS RESPUBLIKOS ŽEMĖS ŪKIO MINISTERIJA" DocPartId="5ed34d1ccf3843aba59fe5cda0b8fad7" PartId="659849084efe4674a7147df9876caabe"/>
  </Part>
  <Part Type="lentele" DocPartId="39891526c33a4e1f873e21fa235bca5d" PartId="4269a48248a7417785242aee0f5ca6c8">
    <Part Type="skirsnis" Title="DĖL ŽEMĖS ŪKIO MINISTRO 2023 M. VASARIO 20 D. ĮSAKYMO NR. 3D-92 „DĖL PARAMOS UŽ ŽEMĖS ŪKIO NAUDMENAS IR KITUS PLOTUS BEI ŪKINIUS GYVŪNUS PARAIŠKOS IR TIESIOGINIŲ IŠMOKŲ ADMINISTRAVIMO BEI KONTROLĖS TAISYKLIŲ PATVIRTINIMO“ PAKEITIMO PROJEKTO" DocPartId="adf5105a258d4c2dabcab5ecb0d3b745" PartId="8f15a5111cec43b3a32536c0a0c63360">
      <Part Type="punktas" Nr="1" Abbr="1 p." DocPartId="b88c075eab144275acf29d245c4aed3f" PartId="a289ca9000f04bce8d54f08b0585d5d5"/>
      <Part Type="punktas" Nr="2" Abbr="2 p." DocPartId="1dd1d37d7fc44aa99483b95440e93e6a" PartId="80d7fc7665f84bd8b91c53bbf1217873"/>
      <Part Type="punktas" Nr="3" Abbr="3 p." DocPartId="00d8ff3af7804435b4f3470b6d370721" PartId="e1b09d08b41a4a26bc591d769550e70e"/>
    </Part>
  </Part>
</Parts>
</file>

<file path=customXml/itemProps1.xml><?xml version="1.0" encoding="utf-8"?>
<ds:datastoreItem xmlns:ds="http://schemas.openxmlformats.org/officeDocument/2006/customXml" ds:itemID="{6AC590C1-7123-445C-BC1D-D389896C6C54}">
  <ds:schemaRefs>
    <ds:schemaRef ds:uri="http://schemas.openxmlformats.org/officeDocument/2006/bibliography"/>
  </ds:schemaRefs>
</ds:datastoreItem>
</file>

<file path=customXml/itemProps2.xml><?xml version="1.0" encoding="utf-8"?>
<ds:datastoreItem xmlns:ds="http://schemas.openxmlformats.org/officeDocument/2006/customXml" ds:itemID="{AC7F4E4C-AEE2-4B41-8AC8-6B5306CEC4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809</Words>
  <Characters>5563</Characters>
  <Application>Microsoft Office Word</Application>
  <DocSecurity>4</DocSecurity>
  <Lines>123</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6323</CharactersWithSpaces>
  <SharedDoc>false</SharedDoc>
  <HyperlinkBase/>
  <HLinks>
    <vt:vector size="12" baseType="variant">
      <vt:variant>
        <vt:i4>8323199</vt:i4>
      </vt:variant>
      <vt:variant>
        <vt:i4>3</vt:i4>
      </vt:variant>
      <vt:variant>
        <vt:i4>0</vt:i4>
      </vt:variant>
      <vt:variant>
        <vt:i4>5</vt:i4>
      </vt:variant>
      <vt:variant>
        <vt:lpwstr>http://www.zum.lt/</vt:lpwstr>
      </vt:variant>
      <vt:variant>
        <vt:lpwstr/>
      </vt:variant>
      <vt:variant>
        <vt:i4>917540</vt:i4>
      </vt:variant>
      <vt:variant>
        <vt:i4>0</vt:i4>
      </vt:variant>
      <vt:variant>
        <vt:i4>0</vt:i4>
      </vt:variant>
      <vt:variant>
        <vt:i4>5</vt:i4>
      </vt:variant>
      <vt:variant>
        <vt:lpwstr>mailto:zum@zum.lt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2026-02-19T13:47:00Z</dcterms:created>
  <dc:creator>Laimona Bogdanova</dc:creator>
  <lastModifiedBy>adlibuser</lastModifiedBy>
  <dcterms:modified xsi:type="dcterms:W3CDTF">2026-02-19T13:47:00Z</dcterms:modified>
  <revision>2</revision>
</coreProperties>
</file>