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microsoft.com/office/2020/02/relationships/classificationlabels" Target="docMetadata/LabelInfo.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8 pr."/>
        <w:tag w:val="part_08416051f0844c17b57b18ddcec08217"/>
        <w:lock w:val="sdtLocked"/>
        <w:richText/>
      </w:sdtPr>
      <w:sdtContent>
        <w:p>
          <w:pPr>
            <w:tabs>
              <w:tab w:val="center" w:pos="4513"/>
              <w:tab w:val="right" w:pos="9026"/>
            </w:tabs>
          </w:pPr>
        </w:p>
        <w:p>
          <w:pPr>
            <w:tabs>
              <w:tab w:val="center" w:pos="4513"/>
              <w:tab w:val="right" w:pos="9026"/>
            </w:tabs>
          </w:pPr>
        </w:p>
        <w:p>
          <w:pPr>
            <w:suppressAutoHyphens/>
            <w:ind w:left="10773"/>
            <w:textAlignment w:val="baseline"/>
            <w:rPr>
              <w:szCs w:val="24"/>
            </w:rPr>
          </w:pPr>
          <w:r>
            <w:rPr>
              <w:szCs w:val="24"/>
            </w:rPr>
            <w:t>Paramos už žemės ūkio naudmenas ir kitus plotus bei ūkinius gyvūnus paraiškos ir tiesioginių išmokų administravimo bei kontrolės taisyklių</w:t>
          </w:r>
        </w:p>
        <w:p>
          <w:pPr>
            <w:suppressAutoHyphens/>
            <w:ind w:left="10773"/>
            <w:textAlignment w:val="baseline"/>
            <w:rPr>
              <w:szCs w:val="24"/>
            </w:rPr>
          </w:pPr>
          <w:sdt>
            <w:sdtPr>
              <w:alias w:val="Numeris"/>
              <w:tag w:val="nr_08416051f0844c17b57b18ddcec08217"/>
              <w:lock w:val="sdtLocked"/>
              <w:richText/>
            </w:sdtPr>
            <w:sdtContent>
              <w:r>
                <w:rPr>
                  <w:szCs w:val="24"/>
                </w:rPr>
                <w:t>8</w:t>
              </w:r>
            </w:sdtContent>
          </w:sdt>
          <w:r>
            <w:rPr>
              <w:szCs w:val="24"/>
            </w:rPr>
            <w:t xml:space="preserve"> priedas</w:t>
          </w:r>
        </w:p>
        <w:p>
          <w:pPr>
            <w:suppressAutoHyphens/>
            <w:ind w:left="6237"/>
            <w:textAlignment w:val="baseline"/>
            <w:rPr>
              <w:szCs w:val="24"/>
            </w:rPr>
          </w:pPr>
        </w:p>
        <w:p>
          <w:pPr>
            <w:jc w:val="center"/>
            <w:textAlignment w:val="baseline"/>
            <w:rPr>
              <w:color w:val="000000"/>
              <w:szCs w:val="24"/>
              <w:lang w:eastAsia="lt-LT"/>
            </w:rPr>
          </w:pPr>
          <w:sdt>
            <w:sdtPr>
              <w:alias w:val="Pavadinimas"/>
              <w:tag w:val="title_08416051f0844c17b57b18ddcec08217"/>
              <w:lock w:val="sdtLocked"/>
              <w:richText/>
            </w:sdtPr>
            <w:sdtContent>
              <w:r>
                <w:rPr>
                  <w:b/>
                  <w:bCs/>
                  <w:color w:val="000000"/>
                  <w:szCs w:val="24"/>
                  <w:lang w:eastAsia="lt-LT"/>
                </w:rPr>
                <w:t>(Atliktų ūkio darbų žurnalo forma)</w:t>
              </w:r>
            </w:sdtContent>
          </w:sdt>
        </w:p>
        <w:p>
          <w:pPr>
            <w:jc w:val="both"/>
            <w:textAlignment w:val="baseline"/>
            <w:rPr>
              <w:color w:val="000000"/>
              <w:szCs w:val="24"/>
              <w:lang w:eastAsia="lt-LT"/>
            </w:rPr>
          </w:pPr>
        </w:p>
        <w:sdt>
          <w:sdtPr>
            <w:alias w:val="lentele"/>
            <w:tag w:val="part_ff09a683ab8d4c9fa48ce2cab920c939"/>
            <w:lock w:val="sdtLocked"/>
            <w:richText/>
          </w:sdtPr>
          <w:sdtContent>
            <w:p>
              <w:pPr>
                <w:jc w:val="center"/>
                <w:rPr>
                  <w:color w:val="000000"/>
                  <w:szCs w:val="24"/>
                  <w:lang w:eastAsia="lt-LT"/>
                </w:rPr>
              </w:pPr>
              <w:sdt>
                <w:sdtPr>
                  <w:alias w:val="Pavadinimas"/>
                  <w:tag w:val="title_ff09a683ab8d4c9fa48ce2cab920c939"/>
                  <w:lock w:val="sdtLocked"/>
                  <w:richText/>
                </w:sdtPr>
                <w:sdtContent>
                  <w:r>
                    <w:rPr>
                      <w:b/>
                      <w:bCs/>
                      <w:color w:val="000000"/>
                      <w:szCs w:val="24"/>
                      <w:lang w:eastAsia="lt-LT"/>
                    </w:rPr>
                    <w:t>ATLIKTŲ ŪKIO DARBŲ ŽURNALAS</w:t>
                  </w:r>
                </w:sdtContent>
              </w:sdt>
            </w:p>
            <w:p>
              <w:pPr>
                <w:spacing w:line="276" w:lineRule="auto"/>
                <w:jc w:val="both"/>
                <w:textAlignment w:val="baseline"/>
                <w:rPr>
                  <w:color w:val="00000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19"/>
                <w:gridCol w:w="7394"/>
                <w:gridCol w:w="1902"/>
                <w:gridCol w:w="1251"/>
                <w:gridCol w:w="4044"/>
              </w:tblGrid>
              <w:tr>
                <w:trPr>
                  <w:trHeight w:val="253"/>
                </w:trPr>
                <w:tc>
                  <w:tcPr>
                    <w:tcW w:w="266" w:type="pct"/>
                    <w:vMerge w:val="restar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r>
                      <w:rPr>
                        <w:sz w:val="22"/>
                        <w:szCs w:val="22"/>
                        <w:lang w:eastAsia="lt-LT"/>
                      </w:rPr>
                      <w:t>Eil.</w:t>
                    </w:r>
                  </w:p>
                  <w:p>
                    <w:pPr>
                      <w:overflowPunct w:val="0"/>
                      <w:jc w:val="center"/>
                      <w:textAlignment w:val="baseline"/>
                      <w:rPr>
                        <w:sz w:val="22"/>
                        <w:szCs w:val="22"/>
                        <w:lang w:eastAsia="lt-LT"/>
                      </w:rPr>
                    </w:pPr>
                    <w:r>
                      <w:rPr>
                        <w:sz w:val="22"/>
                        <w:szCs w:val="22"/>
                        <w:lang w:eastAsia="lt-LT"/>
                      </w:rPr>
                      <w:t>Nr.</w:t>
                    </w:r>
                  </w:p>
                </w:tc>
                <w:tc>
                  <w:tcPr>
                    <w:tcW w:w="2399" w:type="pct"/>
                    <w:vMerge w:val="restar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r>
                      <w:rPr>
                        <w:sz w:val="22"/>
                        <w:szCs w:val="22"/>
                        <w:lang w:eastAsia="lt-LT"/>
                      </w:rPr>
                      <w:t>Priemonės / veiklos</w:t>
                    </w:r>
                  </w:p>
                </w:tc>
                <w:tc>
                  <w:tcPr>
                    <w:tcW w:w="617" w:type="pct"/>
                    <w:vMerge w:val="restar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r>
                      <w:rPr>
                        <w:sz w:val="22"/>
                        <w:szCs w:val="22"/>
                        <w:lang w:eastAsia="lt-LT"/>
                      </w:rPr>
                      <w:t>Lauko atpažinimo numeris</w:t>
                    </w:r>
                  </w:p>
                </w:tc>
                <w:tc>
                  <w:tcPr>
                    <w:tcW w:w="406" w:type="pct"/>
                    <w:vMerge w:val="restar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r>
                      <w:rPr>
                        <w:sz w:val="22"/>
                        <w:szCs w:val="22"/>
                        <w:lang w:eastAsia="lt-LT"/>
                      </w:rPr>
                      <w:t>Plotas, ha</w:t>
                    </w:r>
                  </w:p>
                </w:tc>
                <w:tc>
                  <w:tcPr>
                    <w:tcW w:w="1312" w:type="pct"/>
                    <w:vMerge w:val="restart"/>
                    <w:tcBorders>
                      <w:top w:val="single" w:sz="4" w:space="0" w:color="auto"/>
                      <w:left w:val="single" w:sz="4" w:space="0" w:color="auto"/>
                      <w:right w:val="single" w:sz="4" w:space="0" w:color="auto"/>
                    </w:tcBorders>
                  </w:tcPr>
                  <w:p>
                    <w:pPr>
                      <w:overflowPunct w:val="0"/>
                      <w:jc w:val="center"/>
                      <w:textAlignment w:val="baseline"/>
                      <w:rPr>
                        <w:sz w:val="22"/>
                        <w:szCs w:val="22"/>
                        <w:lang w:eastAsia="lt-LT"/>
                      </w:rPr>
                    </w:pPr>
                    <w:r>
                      <w:rPr>
                        <w:sz w:val="22"/>
                        <w:szCs w:val="22"/>
                        <w:lang w:eastAsia="lt-LT"/>
                      </w:rPr>
                      <w:t xml:space="preserve">Ganomų ūkinių gyvūnų </w:t>
                    </w:r>
                  </w:p>
                  <w:p>
                    <w:pPr>
                      <w:overflowPunct w:val="0"/>
                      <w:jc w:val="center"/>
                      <w:textAlignment w:val="baseline"/>
                      <w:rPr>
                        <w:sz w:val="22"/>
                        <w:szCs w:val="22"/>
                        <w:lang w:eastAsia="lt-LT"/>
                      </w:rPr>
                    </w:pPr>
                    <w:r>
                      <w:rPr>
                        <w:sz w:val="22"/>
                        <w:szCs w:val="22"/>
                        <w:lang w:eastAsia="lt-LT"/>
                      </w:rPr>
                      <w:t>bendras sutartinių gyvulių (SG) skaičius</w:t>
                    </w:r>
                  </w:p>
                </w:tc>
              </w:tr>
              <w:tr>
                <w:trPr>
                  <w:trHeight w:val="253"/>
                </w:trPr>
                <w:tc>
                  <w:tcPr>
                    <w:tcW w:w="266" w:type="pct"/>
                    <w:vMerge/>
                    <w:vAlign w:val="center"/>
                  </w:tcPr>
                  <w:p>
                    <w:pPr>
                      <w:rPr>
                        <w:sz w:val="22"/>
                        <w:szCs w:val="22"/>
                        <w:lang w:eastAsia="lt-LT"/>
                      </w:rPr>
                    </w:pPr>
                  </w:p>
                </w:tc>
                <w:tc>
                  <w:tcPr>
                    <w:tcW w:w="2399" w:type="pct"/>
                    <w:vMerge/>
                    <w:vAlign w:val="center"/>
                  </w:tcPr>
                  <w:p>
                    <w:pPr>
                      <w:rPr>
                        <w:sz w:val="22"/>
                        <w:szCs w:val="22"/>
                        <w:lang w:eastAsia="lt-LT"/>
                      </w:rPr>
                    </w:pPr>
                  </w:p>
                </w:tc>
                <w:tc>
                  <w:tcPr>
                    <w:tcW w:w="617" w:type="pct"/>
                    <w:vMerge/>
                    <w:vAlign w:val="center"/>
                  </w:tcPr>
                  <w:p>
                    <w:pPr>
                      <w:rPr>
                        <w:sz w:val="22"/>
                        <w:szCs w:val="22"/>
                        <w:lang w:eastAsia="lt-LT"/>
                      </w:rPr>
                    </w:pPr>
                  </w:p>
                </w:tc>
                <w:tc>
                  <w:tcPr>
                    <w:tcW w:w="406" w:type="pct"/>
                    <w:vMerge/>
                    <w:vAlign w:val="center"/>
                  </w:tcPr>
                  <w:p>
                    <w:pPr>
                      <w:rPr>
                        <w:sz w:val="22"/>
                        <w:szCs w:val="22"/>
                        <w:lang w:eastAsia="lt-LT"/>
                      </w:rPr>
                    </w:pPr>
                  </w:p>
                </w:tc>
                <w:tc>
                  <w:tcPr>
                    <w:tcW w:w="1312" w:type="pct"/>
                    <w:vMerge/>
                  </w:tcPr>
                  <w:p>
                    <w:pPr>
                      <w:overflowPunct w:val="0"/>
                      <w:jc w:val="center"/>
                      <w:textAlignment w:val="baseline"/>
                      <w:rPr>
                        <w:b/>
                        <w:sz w:val="22"/>
                        <w:szCs w:val="22"/>
                        <w:lang w:eastAsia="lt-LT"/>
                      </w:rPr>
                    </w:pPr>
                  </w:p>
                </w:tc>
              </w:tr>
              <w:tr>
                <w:trPr>
                  <w:trHeight w:val="190"/>
                </w:trPr>
                <w:tc>
                  <w:tcPr>
                    <w:tcW w:w="26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r>
                      <w:rPr>
                        <w:sz w:val="22"/>
                        <w:szCs w:val="22"/>
                        <w:lang w:eastAsia="lt-LT"/>
                      </w:rPr>
                      <w:t>1</w:t>
                    </w:r>
                  </w:p>
                </w:tc>
                <w:tc>
                  <w:tcPr>
                    <w:tcW w:w="2399"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r>
                      <w:rPr>
                        <w:sz w:val="22"/>
                        <w:szCs w:val="22"/>
                        <w:lang w:eastAsia="lt-LT"/>
                      </w:rPr>
                      <w:t>2</w:t>
                    </w:r>
                  </w:p>
                </w:tc>
                <w:tc>
                  <w:tcPr>
                    <w:tcW w:w="617"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r>
                      <w:rPr>
                        <w:sz w:val="22"/>
                        <w:szCs w:val="22"/>
                        <w:lang w:eastAsia="lt-LT"/>
                      </w:rPr>
                      <w:t>3</w:t>
                    </w:r>
                  </w:p>
                </w:tc>
                <w:tc>
                  <w:tcPr>
                    <w:tcW w:w="40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r>
                      <w:rPr>
                        <w:sz w:val="22"/>
                        <w:szCs w:val="22"/>
                        <w:lang w:eastAsia="lt-LT"/>
                      </w:rPr>
                      <w:t>4</w:t>
                    </w:r>
                  </w:p>
                </w:tc>
                <w:tc>
                  <w:tcPr>
                    <w:tcW w:w="1312"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r>
                      <w:rPr>
                        <w:sz w:val="22"/>
                        <w:szCs w:val="22"/>
                        <w:lang w:eastAsia="lt-LT"/>
                      </w:rPr>
                      <w:t>5</w:t>
                    </w:r>
                  </w:p>
                </w:tc>
              </w:tr>
              <w:tr>
                <w:trPr>
                  <w:trHeight w:val="278"/>
                </w:trPr>
                <w:tc>
                  <w:tcPr>
                    <w:tcW w:w="26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p>
                </w:tc>
                <w:tc>
                  <w:tcPr>
                    <w:tcW w:w="2399" w:type="pct"/>
                    <w:tcBorders>
                      <w:top w:val="single" w:sz="4" w:space="0" w:color="auto"/>
                      <w:left w:val="single" w:sz="4" w:space="0" w:color="auto"/>
                      <w:bottom w:val="single" w:sz="4" w:space="0" w:color="auto"/>
                      <w:right w:val="single" w:sz="4" w:space="0" w:color="auto"/>
                    </w:tcBorders>
                  </w:tcPr>
                  <w:p>
                    <w:pPr>
                      <w:overflowPunct w:val="0"/>
                      <w:ind w:left="39" w:right="135"/>
                      <w:jc w:val="both"/>
                      <w:textAlignment w:val="baseline"/>
                      <w:rPr>
                        <w:sz w:val="22"/>
                        <w:szCs w:val="22"/>
                        <w:lang w:eastAsia="lt-LT"/>
                      </w:rPr>
                    </w:pPr>
                  </w:p>
                </w:tc>
                <w:tc>
                  <w:tcPr>
                    <w:tcW w:w="617"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p>
                </w:tc>
                <w:tc>
                  <w:tcPr>
                    <w:tcW w:w="40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p>
                </w:tc>
                <w:tc>
                  <w:tcPr>
                    <w:tcW w:w="1312"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p>
                </w:tc>
              </w:tr>
              <w:tr>
                <w:trPr>
                  <w:trHeight w:val="282"/>
                </w:trPr>
                <w:tc>
                  <w:tcPr>
                    <w:tcW w:w="26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p>
                </w:tc>
                <w:tc>
                  <w:tcPr>
                    <w:tcW w:w="2399" w:type="pct"/>
                    <w:tcBorders>
                      <w:top w:val="single" w:sz="4" w:space="0" w:color="auto"/>
                      <w:left w:val="single" w:sz="4" w:space="0" w:color="auto"/>
                      <w:bottom w:val="single" w:sz="4" w:space="0" w:color="auto"/>
                      <w:right w:val="single" w:sz="4" w:space="0" w:color="auto"/>
                    </w:tcBorders>
                  </w:tcPr>
                  <w:p>
                    <w:pPr>
                      <w:overflowPunct w:val="0"/>
                      <w:ind w:left="39" w:right="135"/>
                      <w:jc w:val="both"/>
                      <w:textAlignment w:val="baseline"/>
                      <w:rPr>
                        <w:sz w:val="22"/>
                        <w:szCs w:val="22"/>
                        <w:vertAlign w:val="superscript"/>
                        <w:lang w:eastAsia="lt-LT"/>
                      </w:rPr>
                    </w:pPr>
                  </w:p>
                </w:tc>
                <w:tc>
                  <w:tcPr>
                    <w:tcW w:w="617"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p>
                </w:tc>
                <w:tc>
                  <w:tcPr>
                    <w:tcW w:w="40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p>
                </w:tc>
                <w:tc>
                  <w:tcPr>
                    <w:tcW w:w="1312"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p>
                </w:tc>
              </w:tr>
              <w:tr>
                <w:trPr>
                  <w:trHeight w:val="272"/>
                </w:trPr>
                <w:tc>
                  <w:tcPr>
                    <w:tcW w:w="26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p>
                </w:tc>
                <w:tc>
                  <w:tcPr>
                    <w:tcW w:w="2399" w:type="pct"/>
                    <w:tcBorders>
                      <w:top w:val="single" w:sz="4" w:space="0" w:color="auto"/>
                      <w:left w:val="single" w:sz="4" w:space="0" w:color="auto"/>
                      <w:bottom w:val="single" w:sz="4" w:space="0" w:color="auto"/>
                      <w:right w:val="single" w:sz="4" w:space="0" w:color="auto"/>
                    </w:tcBorders>
                  </w:tcPr>
                  <w:p>
                    <w:pPr>
                      <w:overflowPunct w:val="0"/>
                      <w:ind w:left="39" w:right="135"/>
                      <w:jc w:val="both"/>
                      <w:textAlignment w:val="baseline"/>
                      <w:rPr>
                        <w:sz w:val="22"/>
                        <w:szCs w:val="22"/>
                        <w:vertAlign w:val="superscript"/>
                        <w:lang w:eastAsia="lt-LT"/>
                      </w:rPr>
                    </w:pPr>
                  </w:p>
                </w:tc>
                <w:tc>
                  <w:tcPr>
                    <w:tcW w:w="617"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p>
                </w:tc>
                <w:tc>
                  <w:tcPr>
                    <w:tcW w:w="40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p>
                </w:tc>
                <w:tc>
                  <w:tcPr>
                    <w:tcW w:w="131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lang w:eastAsia="lt-LT"/>
                      </w:rPr>
                    </w:pPr>
                  </w:p>
                </w:tc>
              </w:tr>
              <w:tr>
                <w:trPr>
                  <w:trHeight w:val="276"/>
                </w:trPr>
                <w:tc>
                  <w:tcPr>
                    <w:tcW w:w="26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p>
                </w:tc>
                <w:tc>
                  <w:tcPr>
                    <w:tcW w:w="2399" w:type="pct"/>
                    <w:tcBorders>
                      <w:top w:val="single" w:sz="4" w:space="0" w:color="auto"/>
                      <w:left w:val="single" w:sz="4" w:space="0" w:color="auto"/>
                      <w:bottom w:val="single" w:sz="4" w:space="0" w:color="auto"/>
                      <w:right w:val="single" w:sz="4" w:space="0" w:color="auto"/>
                    </w:tcBorders>
                  </w:tcPr>
                  <w:p>
                    <w:pPr>
                      <w:overflowPunct w:val="0"/>
                      <w:ind w:left="39" w:right="135"/>
                      <w:jc w:val="both"/>
                      <w:textAlignment w:val="baseline"/>
                      <w:rPr>
                        <w:sz w:val="22"/>
                        <w:szCs w:val="22"/>
                        <w:highlight w:val="yellow"/>
                        <w:vertAlign w:val="superscript"/>
                        <w:lang w:eastAsia="lt-LT"/>
                      </w:rPr>
                    </w:pPr>
                  </w:p>
                </w:tc>
                <w:tc>
                  <w:tcPr>
                    <w:tcW w:w="617"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p>
                </w:tc>
                <w:tc>
                  <w:tcPr>
                    <w:tcW w:w="40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2"/>
                        <w:szCs w:val="22"/>
                        <w:lang w:eastAsia="lt-LT"/>
                      </w:rPr>
                    </w:pPr>
                  </w:p>
                </w:tc>
                <w:tc>
                  <w:tcPr>
                    <w:tcW w:w="131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2"/>
                        <w:szCs w:val="22"/>
                        <w:lang w:eastAsia="lt-LT"/>
                      </w:rPr>
                    </w:pPr>
                  </w:p>
                </w:tc>
              </w:tr>
            </w:tbl>
            <w:p/>
          </w:sdtContent>
        </w:sdt>
        <w:sdt>
          <w:sdtPr>
            <w:alias w:val="skirsnis"/>
            <w:tag w:val="part_b0c6cfe4e8a6429da8521ebdf5629209"/>
            <w:lock w:val="sdtLocked"/>
            <w:richText/>
          </w:sdtPr>
          <w:sdtContent>
            <w:p>
              <w:pPr>
                <w:jc w:val="both"/>
                <w:rPr>
                  <w:b/>
                  <w:bCs/>
                  <w:sz w:val="22"/>
                  <w:szCs w:val="22"/>
                </w:rPr>
              </w:pPr>
              <w:sdt>
                <w:sdtPr>
                  <w:alias w:val="Pavadinimas"/>
                  <w:tag w:val="title_b0c6cfe4e8a6429da8521ebdf5629209"/>
                  <w:lock w:val="sdtLocked"/>
                  <w:richText/>
                </w:sdtPr>
                <w:sdtContent>
                  <w:r>
                    <w:rPr>
                      <w:b/>
                      <w:bCs/>
                      <w:sz w:val="22"/>
                      <w:szCs w:val="22"/>
                    </w:rPr>
                    <w:t>Atliktų ūkio darbų žurnalo pildymo instrukcija</w:t>
                  </w:r>
                </w:sdtContent>
              </w:sdt>
            </w:p>
            <w:sdt>
              <w:sdtPr>
                <w:alias w:val="8 pr. 1 p."/>
                <w:tag w:val="part_aa974e31d19d4dc3a65f6df6b497558b"/>
                <w:lock w:val="sdtLocked"/>
                <w:richText/>
              </w:sdtPr>
              <w:sdtContent>
                <w:p>
                  <w:pPr>
                    <w:jc w:val="both"/>
                    <w:rPr>
                      <w:sz w:val="22"/>
                      <w:szCs w:val="22"/>
                      <w:lang w:eastAsia="lt-LT"/>
                    </w:rPr>
                  </w:pPr>
                  <w:sdt>
                    <w:sdtPr>
                      <w:alias w:val="Numeris"/>
                      <w:tag w:val="nr_aa974e31d19d4dc3a65f6df6b497558b"/>
                      <w:lock w:val="sdtLocked"/>
                      <w:richText/>
                    </w:sdtPr>
                    <w:sdtContent>
                      <w:r>
                        <w:rPr>
                          <w:sz w:val="22"/>
                          <w:szCs w:val="22"/>
                        </w:rPr>
                        <w:t>1</w:t>
                      </w:r>
                    </w:sdtContent>
                  </w:sdt>
                  <w:r>
                    <w:rPr>
                      <w:sz w:val="22"/>
                      <w:szCs w:val="22"/>
                    </w:rPr>
                    <w:t xml:space="preserve">. Atliktų ūkio darbų žurnalas pildomas, jei pareiškėjas dalyvauja: </w:t>
                  </w:r>
                  <w:r>
                    <w:rPr>
                      <w:sz w:val="22"/>
                      <w:szCs w:val="22"/>
                      <w:lang w:eastAsia="lt-LT"/>
                    </w:rPr>
                    <w:t>Strateginio plano ekologinėse sistemose „Kompleksinė pievų ir šlapynių priežiūros schema“ (veiklose „Ekstensyvus daugiamečių pievų tvarkymas ganant gyvulius“ (žemės ūkio naudmenų kodas EPG) ir „EB svarbos natūralių pievų, šlapynių bei rūšių buveinių tvarkymas“ (žemės ūkio naudmenų kodas EBB)), „Ekstensyvus šlapynių tvarkymas“ (žemės ūkio naudmenų kodas ŠLT); Strateginio plano kaimo plėtros intervencinėse priemonėse „Laukinių paukščių apsauga už „Natura 2000“ teritorijos ribų“ (sutartinis kodas LP), „Parama „Natura 2000“ žemės ūkio paskirties žemėje“ (sutartinis kodas PI).</w:t>
                  </w:r>
                </w:p>
              </w:sdtContent>
            </w:sdt>
            <w:sdt>
              <w:sdtPr>
                <w:alias w:val="8 pr. 2 p."/>
                <w:tag w:val="part_2d2479d23d2948f68f8572cd2d2823ed"/>
                <w:lock w:val="sdtLocked"/>
                <w:richText/>
              </w:sdtPr>
              <w:sdtContent>
                <w:p>
                  <w:pPr>
                    <w:jc w:val="both"/>
                    <w:rPr>
                      <w:sz w:val="22"/>
                      <w:szCs w:val="22"/>
                    </w:rPr>
                  </w:pPr>
                  <w:sdt>
                    <w:sdtPr>
                      <w:alias w:val="Numeris"/>
                      <w:tag w:val="nr_2d2479d23d2948f68f8572cd2d2823ed"/>
                      <w:lock w:val="sdtLocked"/>
                      <w:richText/>
                    </w:sdtPr>
                    <w:sdtContent>
                      <w:r>
                        <w:rPr>
                          <w:sz w:val="22"/>
                          <w:szCs w:val="22"/>
                        </w:rPr>
                        <w:t>2</w:t>
                      </w:r>
                    </w:sdtContent>
                  </w:sdt>
                  <w:r>
                    <w:rPr>
                      <w:sz w:val="22"/>
                      <w:szCs w:val="22"/>
                    </w:rPr>
                    <w:t>. Atliktų ūkio darbų žurnalo 1 skiltyje „Eil. Nr.“ nurodomas įrašo eilės numeris.</w:t>
                  </w:r>
                </w:p>
              </w:sdtContent>
            </w:sdt>
            <w:sdt>
              <w:sdtPr>
                <w:alias w:val="8 pr. 3 p."/>
                <w:tag w:val="part_606aa620904f4a72b6dc7b0856816def"/>
                <w:lock w:val="sdtLocked"/>
                <w:richText/>
              </w:sdtPr>
              <w:sdtContent>
                <w:p>
                  <w:pPr>
                    <w:jc w:val="both"/>
                    <w:rPr>
                      <w:sz w:val="22"/>
                      <w:szCs w:val="22"/>
                    </w:rPr>
                  </w:pPr>
                  <w:sdt>
                    <w:sdtPr>
                      <w:alias w:val="Numeris"/>
                      <w:tag w:val="nr_606aa620904f4a72b6dc7b0856816def"/>
                      <w:lock w:val="sdtLocked"/>
                      <w:richText/>
                    </w:sdtPr>
                    <w:sdtContent>
                      <w:r>
                        <w:rPr>
                          <w:sz w:val="22"/>
                          <w:szCs w:val="22"/>
                        </w:rPr>
                        <w:t>3</w:t>
                      </w:r>
                    </w:sdtContent>
                  </w:sdt>
                  <w:r>
                    <w:rPr>
                      <w:sz w:val="22"/>
                      <w:szCs w:val="22"/>
                    </w:rPr>
                    <w:t>. Atliktų ūkio darbų žurnalo 2 skiltyje „Priemonės / veiklos“ nurodomas Strateginio plano ekologinės sistemos (ar veiklos) ir (arba) Strateginio plano kaimo plėtros intervencinės priemonės pavadinimas.</w:t>
                  </w:r>
                </w:p>
              </w:sdtContent>
            </w:sdt>
            <w:sdt>
              <w:sdtPr>
                <w:alias w:val="8 pr. 4 p."/>
                <w:tag w:val="part_2f245d3e8247413c880b995655db3690"/>
                <w:lock w:val="sdtLocked"/>
                <w:richText/>
              </w:sdtPr>
              <w:sdtContent>
                <w:p>
                  <w:pPr>
                    <w:jc w:val="both"/>
                    <w:textAlignment w:val="baseline"/>
                    <w:rPr>
                      <w:color w:val="000000"/>
                      <w:sz w:val="22"/>
                      <w:szCs w:val="22"/>
                      <w:lang w:eastAsia="lt-LT"/>
                    </w:rPr>
                  </w:pPr>
                  <w:sdt>
                    <w:sdtPr>
                      <w:alias w:val="Numeris"/>
                      <w:tag w:val="nr_2f245d3e8247413c880b995655db3690"/>
                      <w:lock w:val="sdtLocked"/>
                      <w:richText/>
                    </w:sdtPr>
                    <w:sdtContent>
                      <w:r>
                        <w:rPr>
                          <w:sz w:val="22"/>
                          <w:szCs w:val="22"/>
                        </w:rPr>
                        <w:t>4</w:t>
                      </w:r>
                    </w:sdtContent>
                  </w:sdt>
                  <w:r>
                    <w:rPr>
                      <w:sz w:val="22"/>
                      <w:szCs w:val="22"/>
                    </w:rPr>
                    <w:t xml:space="preserve">. Atliktų ūkio darbų žurnalo </w:t>
                  </w:r>
                  <w:r>
                    <w:rPr>
                      <w:color w:val="000000"/>
                      <w:sz w:val="22"/>
                      <w:szCs w:val="22"/>
                      <w:lang w:eastAsia="lt-LT"/>
                    </w:rPr>
                    <w:t>3 skiltyje „Lauko atpažinimo numeris“ nurodomas tik lauko, kuriame įgyvendinama atitinkama veikla, kontrolinio žemės sklypo ir lauko numeris arba atitinkamo lauko eilės numeris, nurodyti Paramos už žemės ūkio naudmenas ir kitus plotus bei ūkinius gyvūnus paraiškoje, teikiamoje pagal Paramos už žemės ūkio naudmenas ir kitus plotus bei ūkinius gyvūnus paraiškos ir tiesioginių išmokų administravimo bei kontrolės taisykles, patvirtintas Lietuvos Respublikos žemės ūkio ministro 2023 m. vasario 20 d. įsakymu Nr. 3D-92 „Dėl Paramos už žemės ūkio naudmenas ir kitus plotus bei ūkinius gyvūnus paraiškos ir tiesioginių išmokų administravimo bei kontrolės taisyklių patvirtinimo“ (toliau − Taisyklės).</w:t>
                  </w:r>
                </w:p>
              </w:sdtContent>
            </w:sdt>
            <w:sdt>
              <w:sdtPr>
                <w:alias w:val="8 pr. 5 p."/>
                <w:tag w:val="part_774167ffda294d0c88cb60bb239090d5"/>
                <w:lock w:val="sdtLocked"/>
                <w:richText/>
              </w:sdtPr>
              <w:sdtContent>
                <w:p>
                  <w:pPr>
                    <w:jc w:val="both"/>
                    <w:textAlignment w:val="baseline"/>
                    <w:rPr>
                      <w:color w:val="000000"/>
                      <w:sz w:val="22"/>
                      <w:szCs w:val="22"/>
                      <w:lang w:eastAsia="lt-LT"/>
                    </w:rPr>
                  </w:pPr>
                  <w:sdt>
                    <w:sdtPr>
                      <w:alias w:val="Numeris"/>
                      <w:tag w:val="nr_774167ffda294d0c88cb60bb239090d5"/>
                      <w:lock w:val="sdtLocked"/>
                      <w:richText/>
                    </w:sdtPr>
                    <w:sdtContent>
                      <w:r>
                        <w:rPr>
                          <w:color w:val="000000"/>
                          <w:sz w:val="22"/>
                          <w:szCs w:val="22"/>
                          <w:lang w:eastAsia="lt-LT"/>
                        </w:rPr>
                        <w:t>5</w:t>
                      </w:r>
                    </w:sdtContent>
                  </w:sdt>
                  <w:r>
                    <w:rPr>
                      <w:color w:val="000000"/>
                      <w:sz w:val="22"/>
                      <w:szCs w:val="22"/>
                      <w:lang w:eastAsia="lt-LT"/>
                    </w:rPr>
                    <w:t xml:space="preserve">. </w:t>
                  </w:r>
                  <w:r>
                    <w:rPr>
                      <w:sz w:val="22"/>
                      <w:szCs w:val="22"/>
                    </w:rPr>
                    <w:t xml:space="preserve">Atliktų ūkio darbų žurnalo </w:t>
                  </w:r>
                  <w:r>
                    <w:rPr>
                      <w:color w:val="000000"/>
                      <w:sz w:val="22"/>
                      <w:szCs w:val="22"/>
                      <w:lang w:eastAsia="lt-LT"/>
                    </w:rPr>
                    <w:t>4 skiltyje „Plotas, ha“ nurodomas lauko plotas.</w:t>
                  </w:r>
                </w:p>
              </w:sdtContent>
            </w:sdt>
            <w:sdt>
              <w:sdtPr>
                <w:alias w:val="8 pr. 6 p."/>
                <w:tag w:val="part_e5fe948e61a14f60a05ed41b0fcf663f"/>
                <w:lock w:val="sdtLocked"/>
                <w:richText/>
              </w:sdtPr>
              <w:sdtContent>
                <w:p>
                  <w:pPr>
                    <w:jc w:val="both"/>
                    <w:textAlignment w:val="baseline"/>
                    <w:rPr>
                      <w:color w:val="000000"/>
                      <w:sz w:val="22"/>
                      <w:szCs w:val="22"/>
                    </w:rPr>
                  </w:pPr>
                  <w:sdt>
                    <w:sdtPr>
                      <w:alias w:val="Numeris"/>
                      <w:tag w:val="nr_e5fe948e61a14f60a05ed41b0fcf663f"/>
                      <w:lock w:val="sdtLocked"/>
                      <w:richText/>
                    </w:sdtPr>
                    <w:sdtContent>
                      <w:r>
                        <w:rPr>
                          <w:sz w:val="22"/>
                          <w:szCs w:val="22"/>
                          <w:lang w:eastAsia="lt-LT"/>
                        </w:rPr>
                        <w:t>6</w:t>
                      </w:r>
                    </w:sdtContent>
                  </w:sdt>
                  <w:r>
                    <w:rPr>
                      <w:sz w:val="22"/>
                      <w:szCs w:val="22"/>
                      <w:lang w:eastAsia="lt-LT"/>
                    </w:rPr>
                    <w:t xml:space="preserve">. </w:t>
                  </w:r>
                  <w:r>
                    <w:rPr>
                      <w:sz w:val="22"/>
                      <w:szCs w:val="22"/>
                    </w:rPr>
                    <w:t>Atliktų ūkio darbų žurnalo</w:t>
                  </w:r>
                  <w:r>
                    <w:rPr>
                      <w:sz w:val="22"/>
                      <w:szCs w:val="22"/>
                      <w:lang w:eastAsia="lt-LT"/>
                    </w:rPr>
                    <w:t xml:space="preserve"> 5 skiltyje nurodomas bendras ganymo laikotarpiu ganomų sutartinių gyvulių (SG)</w:t>
                  </w:r>
                  <w:r>
                    <w:rPr>
                      <w:color w:val="000000"/>
                      <w:sz w:val="22"/>
                      <w:szCs w:val="22"/>
                    </w:rPr>
                    <w:t xml:space="preserve"> skaičius (</w:t>
                  </w:r>
                  <w:r>
                    <w:rPr>
                      <w:sz w:val="22"/>
                      <w:szCs w:val="22"/>
                      <w:lang w:eastAsia="lt-LT"/>
                    </w:rPr>
                    <w:t xml:space="preserve">skaičiuojama </w:t>
                  </w:r>
                  <w:r>
                    <w:rPr>
                      <w:color w:val="000000"/>
                      <w:sz w:val="22"/>
                      <w:szCs w:val="22"/>
                    </w:rPr>
                    <w:t>pagal Taisyklių 3 priede pateiktos lentelės vertes).</w:t>
                  </w:r>
                </w:p>
                <w:p>
                  <w:pPr>
                    <w:jc w:val="both"/>
                    <w:textAlignment w:val="baseline"/>
                    <w:rPr>
                      <w:color w:val="000000"/>
                      <w:sz w:val="22"/>
                      <w:szCs w:val="22"/>
                      <w:lang w:eastAsia="lt-LT"/>
                    </w:rPr>
                  </w:pPr>
                </w:p>
                <w:p>
                  <w:pPr>
                    <w:spacing w:line="276" w:lineRule="auto"/>
                    <w:jc w:val="center"/>
                    <w:rPr>
                      <w:color w:val="000000"/>
                      <w:szCs w:val="24"/>
                      <w:lang w:eastAsia="lt-LT"/>
                    </w:rPr>
                  </w:pPr>
                  <w:r>
                    <w:rPr>
                      <w:color w:val="000000"/>
                      <w:szCs w:val="24"/>
                      <w:lang w:eastAsia="lt-LT"/>
                    </w:rPr>
                    <w:t>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pgMar w:top="1134" w:right="851" w:bottom="567" w:left="567"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jc w:val="center"/>
    </w:pPr>
    <w:r>
      <w:fldChar w:fldCharType="begin"/>
    </w:r>
    <w:r>
      <w:instrText xml:space="preserve"> PAGE   \* MERGEFORMAT </w:instrText>
    </w:r>
    <w:r>
      <w:fldChar w:fldCharType="separate"/>
    </w:r>
    <w:r>
      <w:t>6</w:t>
    </w:r>
    <w:r>
      <w:fldChar w:fldCharType="end"/>
    </w:r>
  </w:p>
  <w:p>
    <w:pPr>
      <w:tabs>
        <w:tab w:val="center" w:pos="4513"/>
        <w:tab w:val="right" w:pos="902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62CB"/>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6436A91-4CF0-4576-BAF2-85E18063EB7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073898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8" Abbr="8 pr." Title="(Atliktų ūkio darbų žurnalo forma)" DocPartId="3ab15f7e15284cddac00c0749fcb50b6" PartId="08416051f0844c17b57b18ddcec08217">
    <Part Type="lentele" Title="ATLIKTŲ ŪKIO DARBŲ ŽURNALAS" DocPartId="e678aacdc35e42f0921c189a0277aa42" PartId="ff09a683ab8d4c9fa48ce2cab920c939"/>
    <Part Type="skirsnis" Title="Atliktų ūkio darbų žurnalo pildymo instrukcija" DocPartId="84979986637f4d859f0debd9d969dd10" PartId="b0c6cfe4e8a6429da8521ebdf5629209">
      <Part Type="punktas" Nr="1" Abbr="8 pr. 1 p." DocPartId="c9afb907d86e4d6987f2500ea8baabf4" PartId="aa974e31d19d4dc3a65f6df6b497558b"/>
      <Part Type="punktas" Nr="2" Abbr="8 pr. 2 p." DocPartId="994d20b9dd3b4ae4a51945ca9c8eaa2d" PartId="2d2479d23d2948f68f8572cd2d2823ed"/>
      <Part Type="punktas" Nr="3" Abbr="8 pr. 3 p." DocPartId="f25864f64d964f558732219bef620d87" PartId="606aa620904f4a72b6dc7b0856816def"/>
      <Part Type="punktas" Nr="4" Abbr="8 pr. 4 p." DocPartId="b57c6f1c4207451d8e59c5a78a0862e8" PartId="2f245d3e8247413c880b995655db3690"/>
      <Part Type="punktas" Nr="5" Abbr="8 pr. 5 p." DocPartId="6d97e5004fcb427eaa6ae7ba27a0ada5" PartId="774167ffda294d0c88cb60bb239090d5"/>
      <Part Type="punktas" Nr="6" Abbr="8 pr. 6 p." DocPartId="7590d210e3174207908da4520b7ae02f" PartId="e5fe948e61a14f60a05ed41b0fcf663f"/>
    </Part>
  </Part>
</Parts>
</file>

<file path=customXml/itemProps1.xml><?xml version="1.0" encoding="utf-8"?>
<ds:datastoreItem xmlns:ds="http://schemas.openxmlformats.org/officeDocument/2006/customXml" ds:itemID="{F9CE011A-8452-4BFF-8081-217E5788DD04}">
  <ds:schemaRefs>
    <ds:schemaRef ds:uri="http://schemas.openxmlformats.org/officeDocument/2006/bibliography"/>
  </ds:schemaRefs>
</ds:datastoreItem>
</file>

<file path=customXml/itemProps2.xml><?xml version="1.0" encoding="utf-8"?>
<ds:datastoreItem xmlns:ds="http://schemas.openxmlformats.org/officeDocument/2006/customXml" ds:itemID="{4BFE72F3-E4F4-4BFB-B3D8-80CF90075DBB}">
  <ds:schemaRefs>
    <ds:schemaRef ds:uri="http://lrs.lt/TAIS/DocParts"/>
  </ds:schemaRefs>
</ds:datastoreItem>
</file>

<file path=docMetadata/LabelInfo.xml><?xml version="1.0" encoding="utf-8"?>
<clbl:labelList xmlns:clbl="http://schemas.microsoft.com/office/2020/mipLabelMetadata">
  <clbl:label id="{4ed3995c-6b14-493c-bcc2-f2b49a597150}" enabled="1" method="Standard" siteId="{3c29631f-027a-4aec-98d1-be0cc8883016}"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2</Pages>
  <Words>321</Words>
  <Characters>2053</Characters>
  <Application>Microsoft Office Word</Application>
  <DocSecurity>4</DocSecurity>
  <Lines>68</Lines>
  <Paragraphs>27</Paragraphs>
  <ScaleCrop>false</ScaleCrop>
  <HeadingPairs>
    <vt:vector size="2" baseType="variant">
      <vt:variant>
        <vt:lpstr>Title</vt:lpstr>
      </vt:variant>
      <vt:variant>
        <vt:i4>1</vt:i4>
      </vt:variant>
    </vt:vector>
  </HeadingPairs>
  <TitlesOfParts>
    <vt:vector size="1" baseType="lpstr">
      <vt:lpstr/>
    </vt:vector>
  </TitlesOfParts>
  <Company>LR Seimo kanceliarija</Company>
  <LinksUpToDate>false</LinksUpToDate>
  <CharactersWithSpaces>2347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2026-02-19T13:47:00Z</dcterms:created>
  <dc:creator>Loreta RAKAUSKIENĖ</dc:creator>
  <lastModifiedBy>adlibuser</lastModifiedBy>
  <dcterms:modified xsi:type="dcterms:W3CDTF">2026-02-19T13:47:00Z</dcterms:modified>
  <revision>2</revision>
</coreProperties>
</file>