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09024aa937a4777a8169fb1af87cabb"/>
        <w:lock w:val="sdtLocked"/>
        <w:richText/>
      </w:sdtPr>
      <w:sdtContent>
        <w:p>
          <w:pPr>
            <w:tabs>
              <w:tab w:val="center" w:pos="4819"/>
              <w:tab w:val="right" w:pos="9638"/>
            </w:tabs>
            <w:suppressAutoHyphens/>
            <w:rPr>
              <w:szCs w:val="24"/>
              <w:lang w:val="en-GB" w:eastAsia="ar-SA"/>
            </w:rPr>
          </w:pPr>
        </w:p>
        <w:p>
          <w:pPr>
            <w:jc w:val="center"/>
            <w:rPr>
              <w:b/>
              <w:szCs w:val="24"/>
              <w:lang w:eastAsia="ar-SA"/>
            </w:rPr>
          </w:pPr>
        </w:p>
        <w:p>
          <w:pPr>
            <w:jc w:val="center"/>
            <w:rPr>
              <w:b/>
              <w:szCs w:val="24"/>
              <w:lang w:eastAsia="ar-SA"/>
            </w:rPr>
          </w:pPr>
          <w:r>
            <w:rPr>
              <w:b/>
              <w:szCs w:val="24"/>
              <w:lang w:eastAsia="ar-SA"/>
            </w:rPr>
            <w:t>ŠIAULIŲ MIESTO SAVIVALDYBĖS ADMINISTRACIJOS</w:t>
          </w:r>
        </w:p>
        <w:sdt>
          <w:sdtPr>
            <w:alias w:val="skyrius"/>
            <w:tag w:val="part_73f91e672e9e4344b9b0c49119b73995"/>
            <w:lock w:val="sdtLocked"/>
            <w:richText/>
          </w:sdtPr>
          <w:sdtContent>
            <w:p>
              <w:pPr>
                <w:jc w:val="center"/>
                <w:rPr>
                  <w:b/>
                  <w:szCs w:val="24"/>
                  <w:lang w:eastAsia="ar-SA"/>
                </w:rPr>
              </w:pPr>
              <w:r>
                <w:rPr>
                  <w:b/>
                  <w:szCs w:val="24"/>
                  <w:lang w:eastAsia="ar-SA"/>
                </w:rPr>
                <w:t>EKONOMIKOS SKYRIUS</w:t>
              </w:r>
            </w:p>
            <w:p>
              <w:pPr>
                <w:jc w:val="center"/>
                <w:rPr>
                  <w:b/>
                  <w:sz w:val="16"/>
                  <w:szCs w:val="24"/>
                  <w:lang w:eastAsia="ar-SA"/>
                </w:rPr>
              </w:pPr>
            </w:p>
            <w:sdt>
              <w:sdtPr>
                <w:alias w:val="Pavadinimas"/>
                <w:tag w:val="title_73f91e672e9e4344b9b0c49119b73995"/>
                <w:lock w:val="sdtLocked"/>
                <w:richText/>
              </w:sdtPr>
              <w:sdtContent>
                <w:p>
                  <w:pPr>
                    <w:suppressAutoHyphens/>
                    <w:jc w:val="center"/>
                    <w:rPr>
                      <w:b/>
                      <w:szCs w:val="24"/>
                      <w:lang w:eastAsia="ar-SA"/>
                    </w:rPr>
                  </w:pPr>
                  <w:r>
                    <w:rPr>
                      <w:b/>
                      <w:szCs w:val="24"/>
                      <w:lang w:eastAsia="ar-SA"/>
                    </w:rPr>
                    <w:t>SPRENDIMO</w:t>
                  </w:r>
                </w:p>
                <w:p>
                  <w:pPr>
                    <w:suppressAutoHyphens/>
                    <w:ind w:firstLine="62"/>
                    <w:jc w:val="center"/>
                    <w:rPr>
                      <w:b/>
                      <w:szCs w:val="24"/>
                      <w:lang w:eastAsia="ar-SA"/>
                    </w:rPr>
                  </w:pPr>
                  <w:r>
                    <w:rPr>
                      <w:b/>
                      <w:szCs w:val="24"/>
                      <w:lang w:eastAsia="ar-SA"/>
                    </w:rPr>
                    <w:t xml:space="preserve">„DĖL </w:t>
                  </w:r>
                  <w:r>
                    <w:rPr>
                      <w:b/>
                      <w:bCs/>
                      <w:szCs w:val="24"/>
                      <w:lang w:eastAsia="ar-SA"/>
                    </w:rPr>
                    <w:t xml:space="preserve">ŽEMĖS, ŽEMĖS NUOMOS UŽ VALSTYBINĘ ŽEMĘ </w:t>
                  </w:r>
                  <w:r>
                    <w:rPr>
                      <w:b/>
                      <w:szCs w:val="24"/>
                      <w:lang w:eastAsia="ar-SA"/>
                    </w:rPr>
                    <w:t>IR NEKILNOJAMOJO TURTO MOKESČIŲ LENGVATŲ JURIDINIAMS ASMENIMS, RĖMUSIEMS ŠVIETIMO, KULTŪROS, SOCIALINIUS IR (AR) SPORTO PROJEKTUS ŠIAULIŲ MIESTO SAVIVALDYBĖJE, SUTEIKIMO“ PROJEKTO</w:t>
                  </w:r>
                </w:p>
                <w:p>
                  <w:pPr>
                    <w:suppressAutoHyphens/>
                    <w:jc w:val="center"/>
                    <w:rPr>
                      <w:b/>
                      <w:szCs w:val="24"/>
                      <w:lang w:val="en-GB" w:eastAsia="ar-SA"/>
                    </w:rPr>
                  </w:pPr>
                  <w:r>
                    <w:rPr>
                      <w:b/>
                      <w:szCs w:val="24"/>
                      <w:lang w:val="en-GB" w:eastAsia="ar-SA"/>
                    </w:rPr>
                    <w:t>AIŠKINAMASIS RAŠTAS</w:t>
                  </w:r>
                </w:p>
              </w:sdtContent>
            </w:sdt>
            <w:p>
              <w:pPr>
                <w:jc w:val="center"/>
                <w:rPr>
                  <w:b/>
                  <w:sz w:val="16"/>
                  <w:szCs w:val="24"/>
                  <w:lang w:eastAsia="ar-SA"/>
                </w:rPr>
              </w:pPr>
            </w:p>
            <w:p>
              <w:pPr>
                <w:suppressAutoHyphens/>
                <w:jc w:val="center"/>
                <w:rPr>
                  <w:bCs/>
                  <w:szCs w:val="24"/>
                  <w:lang w:eastAsia="ar-SA"/>
                </w:rPr>
              </w:pPr>
              <w:r>
                <w:rPr>
                  <w:bCs/>
                  <w:szCs w:val="24"/>
                  <w:lang w:eastAsia="ar-SA"/>
                </w:rPr>
                <w:t>2024 m. lapkričio 25 d.</w:t>
              </w:r>
            </w:p>
            <w:p>
              <w:pPr>
                <w:suppressAutoHyphens/>
                <w:jc w:val="center"/>
                <w:rPr>
                  <w:bCs/>
                  <w:szCs w:val="24"/>
                  <w:lang w:eastAsia="ar-SA"/>
                </w:rPr>
              </w:pPr>
              <w:r>
                <w:rPr>
                  <w:bCs/>
                  <w:szCs w:val="24"/>
                  <w:lang w:eastAsia="ar-SA"/>
                </w:rPr>
                <w:t>Šiauliai</w:t>
              </w:r>
            </w:p>
            <w:p>
              <w:pPr>
                <w:jc w:val="center"/>
                <w:rPr>
                  <w:b/>
                  <w:szCs w:val="24"/>
                  <w:lang w:eastAsia="ar-SA"/>
                </w:rPr>
              </w:pPr>
            </w:p>
            <w:sdt>
              <w:sdtPr>
                <w:alias w:val="poskyris"/>
                <w:tag w:val="part_caa4342249b34ba28e47b182bf55a015"/>
                <w:lock w:val="sdtLocked"/>
                <w:richText/>
              </w:sdtPr>
              <w:sdtContent>
                <w:p>
                  <w:pPr>
                    <w:suppressAutoHyphens/>
                    <w:ind w:firstLine="720"/>
                    <w:jc w:val="both"/>
                    <w:rPr>
                      <w:b/>
                      <w:szCs w:val="24"/>
                      <w:lang w:eastAsia="ar-SA"/>
                    </w:rPr>
                  </w:pPr>
                  <w:sdt>
                    <w:sdtPr>
                      <w:alias w:val="Pavadinimas"/>
                      <w:tag w:val="title_caa4342249b34ba28e47b182bf55a015"/>
                      <w:lock w:val="sdtLocked"/>
                      <w:richText/>
                    </w:sdtPr>
                    <w:sdtContent>
                      <w:r>
                        <w:rPr>
                          <w:b/>
                          <w:szCs w:val="24"/>
                          <w:lang w:eastAsia="ar-SA"/>
                        </w:rPr>
                        <w:t>Parengto sprendimo projekto tikslai ir uždaviniai.</w:t>
                      </w:r>
                    </w:sdtContent>
                  </w:sdt>
                </w:p>
                <w:p>
                  <w:pPr>
                    <w:suppressAutoHyphens/>
                    <w:ind w:firstLine="720"/>
                    <w:jc w:val="both"/>
                    <w:rPr>
                      <w:szCs w:val="24"/>
                      <w:lang w:eastAsia="ar-SA"/>
                    </w:rPr>
                  </w:pPr>
                  <w:r>
                    <w:rPr>
                      <w:bCs/>
                      <w:szCs w:val="24"/>
                      <w:lang w:eastAsia="ar-SA"/>
                    </w:rPr>
                    <w:t xml:space="preserve">Sprendimo projekto tikslas – </w:t>
                  </w:r>
                  <w:r>
                    <w:rPr>
                      <w:szCs w:val="24"/>
                      <w:lang w:eastAsia="ar-SA"/>
                    </w:rPr>
                    <w:t>suteikti 2024 metų žemės, žemės nuomos už valstybinę žemę ir nekilnojamojo turto mokesčių lengvatas juridiniams asmenims, rėmusiems švietimo, kultūros, socialinius ir (ar) sporto projektus Šiaulių miesto savivaldybėje pagal priedą (pridedama).</w:t>
                  </w:r>
                </w:p>
                <w:p>
                  <w:pPr>
                    <w:suppressAutoHyphens/>
                    <w:ind w:firstLine="720"/>
                    <w:jc w:val="both"/>
                    <w:rPr>
                      <w:iCs/>
                      <w:szCs w:val="24"/>
                      <w:lang w:eastAsia="ar-SA"/>
                    </w:rPr>
                  </w:pPr>
                  <w:r>
                    <w:rPr>
                      <w:iCs/>
                      <w:szCs w:val="24"/>
                      <w:lang w:eastAsia="ar-SA"/>
                    </w:rPr>
                    <w:t xml:space="preserve">Vadovaujantis </w:t>
                  </w:r>
                  <w:r>
                    <w:rPr>
                      <w:color w:val="000000"/>
                      <w:szCs w:val="24"/>
                      <w:lang w:eastAsia="ar-SA"/>
                    </w:rPr>
                    <w:t xml:space="preserve">Mokesčių lengvatų teikimo taisyklių, patvirtintų Šiaulių miesto savivaldybės tarybos 2016 m. rugpjūčio 25 d. sprendimo Nr. T-329 „Dėl Mokesčių lengvatų teikimo taisyklių patvirtinimo“ 1 punktu, 14 punktu </w:t>
                  </w:r>
                  <w:r>
                    <w:rPr>
                      <w:iCs/>
                      <w:szCs w:val="24"/>
                      <w:lang w:val="en-GB" w:eastAsia="ar-SA"/>
                    </w:rPr>
                    <w:t>(</w:t>
                  </w:r>
                  <w:r>
                    <w:rPr>
                      <w:i/>
                      <w:iCs/>
                      <w:szCs w:val="24"/>
                      <w:lang w:val="en-GB" w:eastAsia="ar-SA"/>
                    </w:rPr>
                    <w:t>suvestinė redakcija nuo 2024-01-02</w:t>
                  </w:r>
                  <w:r>
                    <w:rPr>
                      <w:iCs/>
                      <w:szCs w:val="24"/>
                      <w:lang w:val="en-GB" w:eastAsia="ar-SA"/>
                    </w:rPr>
                    <w:t>)</w:t>
                  </w:r>
                  <w:r>
                    <w:rPr>
                      <w:iCs/>
                      <w:szCs w:val="24"/>
                      <w:lang w:eastAsia="ar-SA"/>
                    </w:rPr>
                    <w:t xml:space="preserve">, Savivaldybės tarybos sprendimais suteikiamos žemės, žemės nuomos už valstybinę žemę ir (ar) nekilnojamojo turto mokesčių lengvatos juridiniams asmenims, remiantiems švietimo, kultūros, socialinius ir (ar) sporto projektus pagal Savivaldybės tarybos sprendimu patvirtintas </w:t>
                  </w:r>
                  <w:r>
                    <w:rPr>
                      <w:color w:val="000000"/>
                      <w:szCs w:val="24"/>
                      <w:lang w:eastAsia="ar-SA"/>
                    </w:rPr>
                    <w:t>Mokesčių lengvatų juridiniams asmenims, remiantiems švietimo, kultūros, socialinius ir (ar) sporto projektus Šiaulių miesto savivaldybėje, teikimo taisykles</w:t>
                  </w:r>
                  <w:r>
                    <w:rPr>
                      <w:iCs/>
                      <w:szCs w:val="24"/>
                      <w:lang w:eastAsia="ar-SA"/>
                    </w:rPr>
                    <w:t>, gavus Savivaldybės mero potvarkiu sudarytos prašymų svarstymo komisijos išvadas.</w:t>
                  </w:r>
                </w:p>
                <w:p>
                  <w:pPr>
                    <w:suppressAutoHyphens/>
                    <w:ind w:firstLine="720"/>
                    <w:jc w:val="both"/>
                    <w:rPr>
                      <w:color w:val="000000"/>
                      <w:szCs w:val="24"/>
                      <w:lang w:eastAsia="ar-SA"/>
                    </w:rPr>
                  </w:pPr>
                  <w:r>
                    <w:rPr>
                      <w:color w:val="000000"/>
                      <w:szCs w:val="24"/>
                      <w:lang w:eastAsia="ar-SA"/>
                    </w:rPr>
                    <w:t>Mokesčių lengvatų juridiniams asmenims, remiantiems švietimo, kultūros, socialinius ir (ar) sporto projektus Šiaulių miesto savivaldybėje, teikimo taisyklės (toliau – Taisyklės), patvirtintos Šiaulių miesto savivaldybės tarybos 2017 m. rugsėjo 7 d. sprendimo Nr. T-331 „Dėl švietimo, kultūros ir sporto projektų rėmimo skatinimo“ 2 punktu (</w:t>
                  </w:r>
                  <w:r>
                    <w:rPr>
                      <w:i/>
                      <w:color w:val="000000"/>
                      <w:szCs w:val="24"/>
                      <w:lang w:eastAsia="ar-SA"/>
                    </w:rPr>
                    <w:t>suvestinė redakcija nuo 2024-02-02</w:t>
                  </w:r>
                  <w:r>
                    <w:rPr>
                      <w:color w:val="000000"/>
                      <w:szCs w:val="24"/>
                      <w:lang w:eastAsia="ar-SA"/>
                    </w:rPr>
                    <w:t>). Taisyklėse nustatyta mokesčių lengvatų teikimo juridiniams asmenims, teikiantiems paramą švietimo, kultūros, socialiniams ir sporto projektams, tvarka, lengvatų rūšys ir subjektai, turintys teisę jas gauti.</w:t>
                  </w:r>
                </w:p>
                <w:p>
                  <w:pPr>
                    <w:suppressAutoHyphens/>
                    <w:ind w:firstLine="720"/>
                    <w:jc w:val="both"/>
                    <w:rPr>
                      <w:iCs/>
                      <w:szCs w:val="24"/>
                      <w:lang w:eastAsia="ar-SA"/>
                    </w:rPr>
                  </w:pPr>
                  <w:r>
                    <w:rPr>
                      <w:color w:val="000000"/>
                      <w:szCs w:val="24"/>
                      <w:lang w:eastAsia="ar-SA"/>
                    </w:rPr>
                    <w:t xml:space="preserve">Vadovaujantis Taisyklių 2 punktu, Paramos teikėjams, rėmusiems miestą reprezentuojančias sporto komandas, </w:t>
                  </w:r>
                  <w:r>
                    <w:rPr>
                      <w:color w:val="000000"/>
                      <w:szCs w:val="24"/>
                      <w:lang w:val="en-GB" w:eastAsia="ar-SA"/>
                    </w:rPr>
                    <w:t xml:space="preserve">reprezentacinius Šiaulių miesto renginius, olimpinės ir parolimpinės rinktinės kandidatus ar narius, meno kolektyvus ir atlikėjus, menininkus, turinčius meno kūrėjo statusą, švietimo inovacijų projektus ar akredituotus socialinės priežiūros paslaugų teikėjus (toliau – Paramos gavėjas), </w:t>
                  </w:r>
                  <w:r>
                    <w:rPr>
                      <w:color w:val="000000"/>
                      <w:szCs w:val="24"/>
                      <w:lang w:eastAsia="ar-SA"/>
                    </w:rPr>
                    <w:t xml:space="preserve">suteikiamos žemės, žemės nuomos už valstybinę žemę ir (ar) nekilnojamojo turto mokesčių, mokamų į Šiaulių miesto savivaldybės biudžetą, lengvatos. </w:t>
                  </w:r>
                </w:p>
                <w:p>
                  <w:pPr>
                    <w:suppressAutoHyphens/>
                    <w:ind w:firstLine="720"/>
                    <w:jc w:val="both"/>
                    <w:rPr>
                      <w:iCs/>
                      <w:szCs w:val="24"/>
                      <w:lang w:eastAsia="ar-SA"/>
                    </w:rPr>
                  </w:pPr>
                  <w:r>
                    <w:rPr>
                      <w:color w:val="000000"/>
                      <w:szCs w:val="24"/>
                      <w:lang w:eastAsia="lt-LT"/>
                    </w:rPr>
                    <w:t>Vadovaujantis Taisyklių 3 punktu, Paramos teikėjui mokesčių lengvatos teikiamos, jei parama teikiama vadovaujantis Lietuvos Respublikos labdaros ir paramos įstatymu.</w:t>
                  </w:r>
                  <w:r>
                    <w:rPr>
                      <w:iCs/>
                      <w:szCs w:val="24"/>
                      <w:lang w:eastAsia="ar-SA"/>
                    </w:rPr>
                    <w:t xml:space="preserve"> </w:t>
                  </w:r>
                  <w:r>
                    <w:rPr>
                      <w:color w:val="000000"/>
                      <w:szCs w:val="24"/>
                      <w:lang w:eastAsia="lt-LT"/>
                    </w:rPr>
                    <w:t>Taip pat Taisyklėse numatyta, kad mokesčių lengvatos Paramos teikėjui teikiamos, jei yra įvykdytos šios sąlygos:</w:t>
                  </w:r>
                </w:p>
                <w:sdt>
                  <w:sdtPr>
                    <w:alias w:val="1 p."/>
                    <w:tag w:val="part_a10b9df9bcd94a47a7438a042d60fca5"/>
                    <w:lock w:val="sdtLocked"/>
                    <w:richText/>
                  </w:sdtPr>
                  <w:sdtContent>
                    <w:p>
                      <w:pPr>
                        <w:suppressAutoHyphens/>
                        <w:ind w:left="1211" w:hanging="360"/>
                        <w:jc w:val="both"/>
                        <w:rPr>
                          <w:iCs/>
                          <w:szCs w:val="24"/>
                          <w:lang w:eastAsia="ar-SA"/>
                        </w:rPr>
                      </w:pPr>
                      <w:sdt>
                        <w:sdtPr>
                          <w:alias w:val="Numeris"/>
                          <w:tag w:val="nr_a10b9df9bcd94a47a7438a042d60fca5"/>
                          <w:lock w:val="sdtLocked"/>
                          <w:richText/>
                        </w:sdtPr>
                        <w:sdtContent>
                          <w:r>
                            <w:rPr>
                              <w:iCs/>
                              <w:szCs w:val="24"/>
                              <w:lang w:eastAsia="ar-SA"/>
                            </w:rPr>
                            <w:t>1</w:t>
                          </w:r>
                        </w:sdtContent>
                      </w:sdt>
                      <w:r>
                        <w:rPr>
                          <w:iCs/>
                          <w:szCs w:val="24"/>
                          <w:lang w:eastAsia="ar-SA"/>
                        </w:rPr>
                        <w:t>.</w:t>
                        <w:tab/>
                      </w:r>
                      <w:r>
                        <w:rPr>
                          <w:color w:val="000000"/>
                          <w:szCs w:val="24"/>
                          <w:lang w:eastAsia="lt-LT"/>
                        </w:rPr>
                        <w:t xml:space="preserve">pasirašyta Paramos sutartis su Savivaldybės tarybos sprendimu patvirtintame Paramos gavėjų sąraše nurodytu Paramos gavėju </w:t>
                      </w:r>
                      <w:r>
                        <w:rPr>
                          <w:i/>
                          <w:color w:val="000000"/>
                          <w:szCs w:val="24"/>
                          <w:lang w:eastAsia="lt-LT"/>
                        </w:rPr>
                        <w:t xml:space="preserve">(2024 metų </w:t>
                      </w:r>
                      <w:r>
                        <w:rPr>
                          <w:i/>
                          <w:color w:val="000000"/>
                          <w:szCs w:val="24"/>
                          <w:lang w:eastAsia="ar-SA"/>
                        </w:rPr>
                        <w:t>Paramos gavėjų sąrašai patvirtinti Šiaulių miesto savivaldybės tarybos 2024-03-07 sprendimu Nr. T-57);</w:t>
                      </w:r>
                      <w:r>
                        <w:rPr>
                          <w:color w:val="000000"/>
                          <w:szCs w:val="24"/>
                          <w:lang w:eastAsia="ar-SA"/>
                        </w:rPr>
                        <w:t xml:space="preserve"> </w:t>
                      </w:r>
                    </w:p>
                  </w:sdtContent>
                </w:sdt>
                <w:sdt>
                  <w:sdtPr>
                    <w:alias w:val="2 p."/>
                    <w:tag w:val="part_211e89fa859d446dbf567463d861858e"/>
                    <w:lock w:val="sdtLocked"/>
                    <w:richText/>
                  </w:sdtPr>
                  <w:sdtContent>
                    <w:p>
                      <w:pPr>
                        <w:ind w:left="1211" w:hanging="360"/>
                        <w:jc w:val="both"/>
                        <w:rPr>
                          <w:color w:val="000000"/>
                          <w:szCs w:val="24"/>
                          <w:lang w:eastAsia="lt-LT"/>
                        </w:rPr>
                      </w:pPr>
                      <w:sdt>
                        <w:sdtPr>
                          <w:alias w:val="Numeris"/>
                          <w:tag w:val="nr_211e89fa859d446dbf567463d861858e"/>
                          <w:lock w:val="sdtLocked"/>
                          <w:richText/>
                        </w:sdtPr>
                        <w:sdtContent>
                          <w:r>
                            <w:rPr>
                              <w:color w:val="000000"/>
                              <w:szCs w:val="24"/>
                              <w:lang w:eastAsia="lt-LT"/>
                            </w:rPr>
                            <w:t>2</w:t>
                          </w:r>
                        </w:sdtContent>
                      </w:sdt>
                      <w:r>
                        <w:rPr>
                          <w:color w:val="000000"/>
                          <w:szCs w:val="24"/>
                          <w:lang w:eastAsia="lt-LT"/>
                        </w:rPr>
                        <w:t>.</w:t>
                        <w:tab/>
                      </w:r>
                      <w:r>
                        <w:rPr>
                          <w:color w:val="000000"/>
                          <w:szCs w:val="24"/>
                          <w:lang w:eastAsia="ar-SA"/>
                        </w:rPr>
                        <w:t>pasirašytoje Paramos sutartyje numatyta suteikti ne mažesnę kaip 1 tūkst. Eur paramą Paramos gavėjui;</w:t>
                      </w:r>
                    </w:p>
                  </w:sdtContent>
                </w:sdt>
                <w:sdt>
                  <w:sdtPr>
                    <w:alias w:val="3 p."/>
                    <w:tag w:val="part_d749563578614c0cb4a331d12f2d9a16"/>
                    <w:lock w:val="sdtLocked"/>
                    <w:richText/>
                  </w:sdtPr>
                  <w:sdtContent>
                    <w:p>
                      <w:pPr>
                        <w:ind w:left="1211" w:hanging="360"/>
                        <w:jc w:val="both"/>
                        <w:rPr>
                          <w:color w:val="000000"/>
                          <w:szCs w:val="24"/>
                          <w:lang w:eastAsia="lt-LT"/>
                        </w:rPr>
                      </w:pPr>
                      <w:sdt>
                        <w:sdtPr>
                          <w:alias w:val="Numeris"/>
                          <w:tag w:val="nr_d749563578614c0cb4a331d12f2d9a16"/>
                          <w:lock w:val="sdtLocked"/>
                          <w:richText/>
                        </w:sdtPr>
                        <w:sdtContent>
                          <w:r>
                            <w:rPr>
                              <w:color w:val="000000"/>
                              <w:szCs w:val="24"/>
                              <w:lang w:eastAsia="lt-LT"/>
                            </w:rPr>
                            <w:t>3</w:t>
                          </w:r>
                        </w:sdtContent>
                      </w:sdt>
                      <w:r>
                        <w:rPr>
                          <w:color w:val="000000"/>
                          <w:szCs w:val="24"/>
                          <w:lang w:eastAsia="lt-LT"/>
                        </w:rPr>
                        <w:t>.</w:t>
                        <w:tab/>
                      </w:r>
                      <w:r>
                        <w:rPr>
                          <w:color w:val="000000"/>
                          <w:szCs w:val="24"/>
                          <w:lang w:val="en-GB" w:eastAsia="ar-SA"/>
                        </w:rPr>
                        <w:t>pasirašytos Paramos sutarties pagrindu Paramos gavėjui suteikta parama.</w:t>
                      </w:r>
                    </w:p>
                    <w:p>
                      <w:pPr>
                        <w:suppressAutoHyphens/>
                        <w:ind w:firstLine="720"/>
                        <w:jc w:val="both"/>
                        <w:rPr>
                          <w:color w:val="000000"/>
                          <w:szCs w:val="24"/>
                          <w:lang w:eastAsia="ar-SA"/>
                        </w:rPr>
                      </w:pPr>
                    </w:p>
                    <w:p>
                      <w:pPr>
                        <w:suppressAutoHyphens/>
                        <w:ind w:firstLine="720"/>
                        <w:jc w:val="both"/>
                        <w:rPr>
                          <w:color w:val="000000"/>
                          <w:szCs w:val="24"/>
                          <w:lang w:eastAsia="ar-SA"/>
                        </w:rPr>
                      </w:pPr>
                      <w:r>
                        <w:rPr>
                          <w:color w:val="000000"/>
                          <w:szCs w:val="24"/>
                          <w:lang w:eastAsia="lt-LT"/>
                        </w:rPr>
                        <w:t>Taisyklėse numatyta, kad mokesčių lengvatos teikiamos tik einamaisiais metais apskaičiuotiems mokesčiams.</w:t>
                      </w:r>
                    </w:p>
                    <w:p>
                      <w:pPr>
                        <w:suppressAutoHyphens/>
                        <w:ind w:firstLine="720"/>
                        <w:jc w:val="both"/>
                        <w:rPr>
                          <w:color w:val="000000"/>
                          <w:szCs w:val="24"/>
                          <w:lang w:eastAsia="ar-SA"/>
                        </w:rPr>
                      </w:pPr>
                      <w:r>
                        <w:rPr>
                          <w:color w:val="000000"/>
                          <w:szCs w:val="24"/>
                          <w:lang w:eastAsia="ar-SA"/>
                        </w:rPr>
                        <w:t>Paramos teikėjas Savivaldybės tarybos sprendimu atleidžiamas nuo einamųjų biudžetinių metų mokesčių ar jų dalies – 50 proc. paramai skirtos sumos, bet ne daugiau kaip nuo visų mokesčių sumos, mokamos į savivaldybės biudžetą per einamuosius metus.</w:t>
                      </w:r>
                    </w:p>
                    <w:p>
                      <w:pPr>
                        <w:suppressAutoHyphens/>
                        <w:ind w:firstLine="720"/>
                        <w:jc w:val="both"/>
                        <w:rPr>
                          <w:color w:val="000000"/>
                          <w:szCs w:val="24"/>
                          <w:lang w:eastAsia="ar-SA"/>
                        </w:rPr>
                      </w:pPr>
                      <w:r>
                        <w:rPr>
                          <w:color w:val="000000"/>
                          <w:szCs w:val="24"/>
                          <w:lang w:eastAsia="ar-SA"/>
                        </w:rPr>
                        <w:t>Prašymus dėl mokesčių lengvatų taikymo, parėmus kultūros ir (ar) sporto projektus, pateikė 57 juridiniai asmenys, mokesčių lengvatas siūloma suteikti 55 juridiniams asmenims.</w:t>
                      </w:r>
                    </w:p>
                    <w:p>
                      <w:pPr>
                        <w:suppressAutoHyphens/>
                        <w:ind w:firstLine="720"/>
                        <w:jc w:val="both"/>
                        <w:rPr>
                          <w:color w:val="000000"/>
                          <w:szCs w:val="24"/>
                          <w:lang w:val="en-GB" w:eastAsia="ar-SA"/>
                        </w:rPr>
                      </w:pPr>
                      <w:r>
                        <w:rPr>
                          <w:szCs w:val="24"/>
                          <w:lang w:val="en-GB" w:eastAsia="ar-SA"/>
                        </w:rPr>
                        <w:t xml:space="preserve">Prašymus svarstė Savivaldybės mero 2023-04-24 potvarkiu Nr. M-107 sudaryta Mokesčių lengvatų juridiniams asmenims, remiantiems švietimo, kultūros, socialinius ir (ar) sporto projektus, prašymų svarstymo komisija (toliau – Prašymų svarstymo komisija). Vadovaujantis Prašymų svarstymo komisijos išvada (2024-11-25 protokolas Nr. VAK-525), siūloma suteikti mokesčių lengvatas pateiktame priede nurodytiems juridiniams asmenims. </w:t>
                      </w:r>
                    </w:p>
                    <w:p>
                      <w:pPr>
                        <w:suppressAutoHyphens/>
                        <w:ind w:firstLine="720"/>
                        <w:jc w:val="both"/>
                        <w:rPr>
                          <w:i/>
                          <w:color w:val="000000"/>
                          <w:szCs w:val="24"/>
                          <w:lang w:val="en-GB" w:eastAsia="ar-SA"/>
                        </w:rPr>
                      </w:pPr>
                      <w:r>
                        <w:rPr>
                          <w:color w:val="000000"/>
                          <w:szCs w:val="24"/>
                          <w:lang w:val="en-GB" w:eastAsia="ar-SA"/>
                        </w:rPr>
                        <w:t xml:space="preserve">Bendra rėmimo suma, kuria Paramos teikėjai (juridiniai asmenys) parėmė Paramos gavėjus (sporto komandas, sportininkus ar kultūros renginius) sudaro 765,25 tūkst. Eur. Paramą gavo 15 Paramos gavėjų, patvirtintų Šiaulių miesto savivaldybės tarybos </w:t>
                      </w:r>
                      <w:r>
                        <w:rPr>
                          <w:color w:val="000000"/>
                          <w:szCs w:val="24"/>
                          <w:lang w:eastAsia="ar-SA"/>
                        </w:rPr>
                        <w:t>2024-03-07 sprendimu Nr. T-57</w:t>
                      </w:r>
                      <w:r>
                        <w:rPr>
                          <w:color w:val="000000"/>
                          <w:szCs w:val="24"/>
                          <w:lang w:val="en-GB" w:eastAsia="ar-SA"/>
                        </w:rPr>
                        <w:t>:</w:t>
                      </w:r>
                    </w:p>
                    <w:p>
                      <w:pPr>
                        <w:suppressAutoHyphens/>
                        <w:ind w:firstLine="720"/>
                        <w:jc w:val="both"/>
                        <w:rPr>
                          <w:i/>
                          <w:color w:val="000000"/>
                          <w:szCs w:val="24"/>
                          <w:lang w:val="en-GB" w:eastAsia="ar-SA"/>
                        </w:rPr>
                      </w:pPr>
                    </w:p>
                    <w:tbl>
                      <w:tblPr>
                        <w:tblW w:w="7514" w:type="dxa"/>
                        <w:jc w:val="center"/>
                        <w:tblLook w:val="04A0" w:firstRow="1" w:lastRow="0" w:firstColumn="1" w:lastColumn="0" w:noHBand="0" w:noVBand="1"/>
                      </w:tblPr>
                      <w:tblGrid>
                        <w:gridCol w:w="5813"/>
                        <w:gridCol w:w="1701"/>
                      </w:tblGrid>
                      <w:tr>
                        <w:trPr>
                          <w:trHeight w:val="555"/>
                          <w:jc w:val="center"/>
                        </w:trPr>
                        <w:tc>
                          <w:tcPr>
                            <w:tcW w:w="58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b/>
                                <w:bCs/>
                                <w:color w:val="000000"/>
                                <w:sz w:val="22"/>
                                <w:szCs w:val="22"/>
                                <w:lang w:eastAsia="lt-LT"/>
                              </w:rPr>
                            </w:pPr>
                            <w:r>
                              <w:rPr>
                                <w:b/>
                                <w:bCs/>
                                <w:color w:val="000000"/>
                                <w:sz w:val="22"/>
                                <w:szCs w:val="22"/>
                                <w:lang w:eastAsia="lt-LT"/>
                              </w:rPr>
                              <w:t>Paramos gavėjas</w:t>
                            </w:r>
                          </w:p>
                        </w:tc>
                        <w:tc>
                          <w:tcPr>
                            <w:tcW w:w="1701" w:type="dxa"/>
                            <w:tcBorders>
                              <w:top w:val="single" w:sz="4" w:space="0" w:color="auto"/>
                              <w:left w:val="nil"/>
                              <w:bottom w:val="single" w:sz="4" w:space="0" w:color="auto"/>
                              <w:right w:val="single" w:sz="4" w:space="0" w:color="auto"/>
                            </w:tcBorders>
                            <w:shd w:val="clear" w:color="auto" w:fill="auto"/>
                            <w:vAlign w:val="bottom"/>
                            <w:hideMark/>
                          </w:tcPr>
                          <w:p>
                            <w:pPr>
                              <w:jc w:val="center"/>
                              <w:rPr>
                                <w:b/>
                                <w:bCs/>
                                <w:color w:val="000000"/>
                                <w:sz w:val="22"/>
                                <w:szCs w:val="22"/>
                                <w:lang w:eastAsia="lt-LT"/>
                              </w:rPr>
                            </w:pPr>
                            <w:r>
                              <w:rPr>
                                <w:b/>
                                <w:bCs/>
                                <w:color w:val="000000"/>
                                <w:sz w:val="22"/>
                                <w:szCs w:val="22"/>
                                <w:lang w:eastAsia="lt-LT"/>
                              </w:rPr>
                              <w:t>Rėmimo suma, Eur</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vyrų krepšinio komanda „Šiauliai-Casino Admiral“</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309 537,00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vyrų futbolo komanda „FA Šiauliai“</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170 400,00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vyrų regbio komanda „Vairas-Kalvis-Jupoja-Šiauliai“</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106 763,52</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vyrų tinklinio komanda „Elga-Grafaitė-SC Dubysa“</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39 000,00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moterų futbolo komanda „Gintra“</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27 000,00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regbio komanda „Baltrex-Šiauliai“</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19 248,00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 w:val="22"/>
                                <w:szCs w:val="22"/>
                                <w:lang w:eastAsia="lt-LT"/>
                              </w:rPr>
                            </w:pPr>
                            <w:r>
                              <w:rPr>
                                <w:color w:val="000000"/>
                                <w:sz w:val="22"/>
                                <w:szCs w:val="22"/>
                                <w:lang w:eastAsia="lt-LT"/>
                              </w:rPr>
                              <w:t>Šiaulių vyrų regbio komanda „Šiauliai“</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15 000,00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vyrų rankinio komanda „RK Šiauliai“</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1 000,00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moterų žolės riedulio komanda „Ginstrektė – ŠSG“</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14 724,30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paplūdimio tinklinio komanda „Monika Paliukienė – Ainė Paupelytė“</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35 000,00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motociklų sporto komanda „WBR Racing Team“</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12 000,00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smiginio komanda „Auksinė strėlė“</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10 000,00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Tarptautinės teniso federacijos vyrų profesionalų ir</w:t>
                            </w:r>
                          </w:p>
                          <w:p>
                            <w:pPr>
                              <w:rPr>
                                <w:color w:val="000000"/>
                                <w:sz w:val="22"/>
                                <w:szCs w:val="22"/>
                                <w:lang w:eastAsia="lt-LT"/>
                              </w:rPr>
                            </w:pPr>
                            <w:r>
                              <w:rPr>
                                <w:color w:val="000000"/>
                                <w:sz w:val="22"/>
                                <w:szCs w:val="22"/>
                                <w:lang w:eastAsia="lt-LT"/>
                              </w:rPr>
                              <w:t>antros kategorijos jaunių (iki 18) metų turnyrai</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2 000,00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Tarptautinės sportinių šokių varžybos „Sun City Cup“</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2 000,00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Lietuvos, Latvijos ir Estijos kaimo muzikantų ir kapelijų festivalis „Ant rubežiaus“</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1 580,00</w:t>
                            </w:r>
                          </w:p>
                        </w:tc>
                      </w:tr>
                      <w:tr>
                        <w:trPr>
                          <w:trHeight w:val="300"/>
                          <w:jc w:val="center"/>
                        </w:trPr>
                        <w:tc>
                          <w:tcPr>
                            <w:tcW w:w="5813" w:type="dxa"/>
                            <w:tcBorders>
                              <w:top w:val="nil"/>
                              <w:left w:val="nil"/>
                              <w:bottom w:val="nil"/>
                              <w:right w:val="nil"/>
                            </w:tcBorders>
                            <w:shd w:val="clear" w:color="auto" w:fill="auto"/>
                            <w:noWrap/>
                            <w:vAlign w:val="bottom"/>
                            <w:hideMark/>
                          </w:tcPr>
                          <w:p>
                            <w:pPr>
                              <w:jc w:val="center"/>
                              <w:rPr>
                                <w:color w:val="000000"/>
                                <w:sz w:val="22"/>
                                <w:szCs w:val="22"/>
                                <w:lang w:eastAsia="lt-LT"/>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pPr>
                              <w:jc w:val="center"/>
                              <w:rPr>
                                <w:b/>
                                <w:color w:val="000000"/>
                                <w:sz w:val="22"/>
                                <w:szCs w:val="22"/>
                                <w:lang w:eastAsia="lt-LT"/>
                              </w:rPr>
                            </w:pPr>
                            <w:r>
                              <w:rPr>
                                <w:b/>
                                <w:color w:val="000000"/>
                                <w:sz w:val="22"/>
                                <w:szCs w:val="22"/>
                                <w:lang w:eastAsia="lt-LT"/>
                              </w:rPr>
                              <w:t>765 252,52</w:t>
                            </w:r>
                          </w:p>
                        </w:tc>
                      </w:tr>
                    </w:tbl>
                    <w:p>
                      <w:pPr>
                        <w:suppressAutoHyphens/>
                        <w:ind w:firstLine="720"/>
                        <w:jc w:val="both"/>
                        <w:rPr>
                          <w:i/>
                          <w:color w:val="000000"/>
                          <w:sz w:val="20"/>
                          <w:lang w:val="en-GB" w:eastAsia="ar-SA"/>
                        </w:rPr>
                      </w:pPr>
                    </w:p>
                    <w:p>
                      <w:pPr>
                        <w:suppressAutoHyphens/>
                        <w:ind w:firstLine="720"/>
                        <w:jc w:val="both"/>
                        <w:rPr>
                          <w:b/>
                          <w:i/>
                          <w:color w:val="000000"/>
                          <w:szCs w:val="24"/>
                          <w:lang w:eastAsia="lt-LT"/>
                        </w:rPr>
                      </w:pPr>
                      <w:r>
                        <w:rPr>
                          <w:color w:val="000000"/>
                          <w:szCs w:val="24"/>
                          <w:lang w:eastAsia="lt-LT"/>
                        </w:rPr>
                        <w:t xml:space="preserve">Šiame sprendime juridiniams asmenims suteikiamų mokesčių lengvatų bendra suma sudaro </w:t>
                      </w:r>
                      <w:r>
                        <w:rPr>
                          <w:b/>
                          <w:color w:val="000000"/>
                          <w:szCs w:val="24"/>
                          <w:lang w:eastAsia="lt-LT"/>
                        </w:rPr>
                        <w:t>345 tūkst. Eur</w:t>
                      </w:r>
                      <w:r>
                        <w:rPr>
                          <w:color w:val="000000"/>
                          <w:szCs w:val="24"/>
                          <w:lang w:eastAsia="lt-LT"/>
                        </w:rPr>
                        <w:t>,</w:t>
                      </w:r>
                      <w:r>
                        <w:rPr>
                          <w:color w:val="000000"/>
                          <w:szCs w:val="24"/>
                          <w:lang w:eastAsia="ar-SA"/>
                        </w:rPr>
                        <w:t xml:space="preserve"> iš jų – žemės mokesčio lengvatos dydis – 4,7 tūkst. Eur, valstybinės žemės nuomos mokesčio lengvatos dydis – 110,5 tūkst. Eur, nekilnojamojo turto mokesčio lengvatos dydis – 229,8 tūkst. Eur.</w:t>
                      </w:r>
                    </w:p>
                    <w:p>
                      <w:pPr>
                        <w:suppressAutoHyphens/>
                        <w:ind w:firstLine="720"/>
                        <w:rPr>
                          <w:b/>
                          <w:sz w:val="20"/>
                          <w:lang w:eastAsia="ar-SA"/>
                        </w:rPr>
                      </w:pPr>
                    </w:p>
                  </w:sdtContent>
                </w:sdt>
              </w:sdtContent>
            </w:sdt>
            <w:sdt>
              <w:sdtPr>
                <w:alias w:val="poskyris"/>
                <w:tag w:val="part_3658af32f9d642c9b5772474da3698d5"/>
                <w:lock w:val="sdtLocked"/>
                <w:richText/>
              </w:sdtPr>
              <w:sdtContent>
                <w:p>
                  <w:pPr>
                    <w:suppressAutoHyphens/>
                    <w:ind w:firstLine="720"/>
                    <w:rPr>
                      <w:b/>
                      <w:szCs w:val="24"/>
                      <w:lang w:eastAsia="ar-SA"/>
                    </w:rPr>
                  </w:pPr>
                  <w:sdt>
                    <w:sdtPr>
                      <w:alias w:val="Pavadinimas"/>
                      <w:tag w:val="title_3658af32f9d642c9b5772474da3698d5"/>
                      <w:lock w:val="sdtLocked"/>
                      <w:richText/>
                    </w:sdtPr>
                    <w:sdtContent>
                      <w:r>
                        <w:rPr>
                          <w:b/>
                          <w:szCs w:val="24"/>
                          <w:lang w:eastAsia="ar-SA"/>
                        </w:rPr>
                        <w:t>Dabartinis sprendimo projekte aptariamų klausimų reguliavimas.</w:t>
                      </w:r>
                    </w:sdtContent>
                  </w:sdt>
                </w:p>
                <w:p>
                  <w:pPr>
                    <w:suppressAutoHyphens/>
                    <w:ind w:firstLine="720"/>
                    <w:jc w:val="both"/>
                    <w:rPr>
                      <w:color w:val="000000"/>
                      <w:szCs w:val="24"/>
                      <w:lang w:eastAsia="ar-SA"/>
                    </w:rPr>
                  </w:pPr>
                  <w:r>
                    <w:rPr>
                      <w:szCs w:val="24"/>
                      <w:lang w:eastAsia="ar-SA"/>
                    </w:rPr>
                    <w:t xml:space="preserve">Sprendimo projekte aptariami klausimai reguliuojami Lietuvos Respublikos vietos savivaldos įstatymo </w:t>
                  </w:r>
                  <w:r>
                    <w:rPr>
                      <w:szCs w:val="24"/>
                      <w:lang w:val="en-GB" w:eastAsia="ar-SA"/>
                    </w:rPr>
                    <w:t xml:space="preserve">15 straipsnio 2 dalies 14 punktu, </w:t>
                  </w:r>
                  <w:r>
                    <w:rPr>
                      <w:szCs w:val="24"/>
                      <w:lang w:eastAsia="ar-SA"/>
                    </w:rPr>
                    <w:t>Lietuvos Respublikos žemės mokesčio įstatymo 7</w:t>
                  </w:r>
                  <w:r>
                    <w:rPr>
                      <w:color w:val="000000"/>
                      <w:szCs w:val="24"/>
                      <w:lang w:eastAsia="ar-SA"/>
                    </w:rPr>
                    <w:t xml:space="preserve"> straipsniu, 8 straipsnio 3 dalimi, </w:t>
                  </w:r>
                  <w:r>
                    <w:rPr>
                      <w:szCs w:val="24"/>
                      <w:lang w:eastAsia="ar-SA"/>
                    </w:rPr>
                    <w:t xml:space="preserve">Lietuvos Respublikos Vyriausybės 2002 m. lapkričio 19 d. nutarimo Nr. 1798 „Dėl nuomos mokesčio už valstybinę žemę“ 1.8 papunkčiu, Lietuvos Respublikos nekilnojamojo turto mokesčio įstatymo 7 straipsnio 5 dalimi, </w:t>
                  </w:r>
                  <w:r>
                    <w:rPr>
                      <w:color w:val="000000"/>
                      <w:szCs w:val="24"/>
                      <w:lang w:eastAsia="ar-SA"/>
                    </w:rPr>
                    <w:t xml:space="preserve">Mokesčių lengvatų teikimo taisyklių, patvirtintų Šiaulių miesto savivaldybės tarybos 2016 m. rugpjūčio 25 d. sprendimo Nr. T-329 „Dėl Mokesčių lengvatų teikimo taisyklių patvirtinimo“ 1 punktu, 14 punktu </w:t>
                  </w:r>
                  <w:r>
                    <w:rPr>
                      <w:iCs/>
                      <w:szCs w:val="24"/>
                      <w:lang w:val="en-GB" w:eastAsia="ar-SA"/>
                    </w:rPr>
                    <w:t>(</w:t>
                  </w:r>
                  <w:r>
                    <w:rPr>
                      <w:i/>
                      <w:iCs/>
                      <w:szCs w:val="24"/>
                      <w:lang w:val="en-GB" w:eastAsia="ar-SA"/>
                    </w:rPr>
                    <w:t>suvestinė redakcija nuo 2024-01-02</w:t>
                  </w:r>
                  <w:r>
                    <w:rPr>
                      <w:iCs/>
                      <w:szCs w:val="24"/>
                      <w:lang w:val="en-GB" w:eastAsia="ar-SA"/>
                    </w:rPr>
                    <w:t>)</w:t>
                  </w:r>
                  <w:r>
                    <w:rPr>
                      <w:iCs/>
                      <w:szCs w:val="24"/>
                      <w:lang w:eastAsia="ar-SA"/>
                    </w:rPr>
                    <w:t>,</w:t>
                  </w:r>
                  <w:r>
                    <w:rPr>
                      <w:color w:val="000000"/>
                      <w:szCs w:val="24"/>
                      <w:lang w:eastAsia="ar-SA"/>
                    </w:rPr>
                    <w:t xml:space="preserve"> Šiaulių miesto savivaldybės tarybos 2017 m. rugsėjo 7 d. sprendimu Nr. T-331 „Dėl švietimo, kultūros, socialinių ir sporto projektų rėmimo skatinimo“ (</w:t>
                  </w:r>
                  <w:r>
                    <w:rPr>
                      <w:i/>
                      <w:color w:val="000000"/>
                      <w:szCs w:val="24"/>
                      <w:lang w:eastAsia="ar-SA"/>
                    </w:rPr>
                    <w:t>suvestinė redakcija nuo 2024-02-02</w:t>
                  </w:r>
                  <w:r>
                    <w:rPr>
                      <w:color w:val="000000"/>
                      <w:szCs w:val="24"/>
                      <w:lang w:eastAsia="ar-SA"/>
                    </w:rPr>
                    <w:t>).</w:t>
                  </w:r>
                </w:p>
                <w:p>
                  <w:pPr>
                    <w:suppressAutoHyphens/>
                    <w:jc w:val="both"/>
                    <w:rPr>
                      <w:b/>
                      <w:sz w:val="20"/>
                      <w:lang w:eastAsia="ar-SA"/>
                    </w:rPr>
                  </w:pPr>
                </w:p>
              </w:sdtContent>
            </w:sdt>
            <w:sdt>
              <w:sdtPr>
                <w:alias w:val="poskyris"/>
                <w:tag w:val="part_8a9ca2b94fb94bc2ac5e3329b1c6c4c7"/>
                <w:lock w:val="sdtLocked"/>
                <w:richText/>
              </w:sdtPr>
              <w:sdtContent>
                <w:p>
                  <w:pPr>
                    <w:suppressAutoHyphens/>
                    <w:ind w:firstLine="720"/>
                    <w:jc w:val="both"/>
                    <w:rPr>
                      <w:b/>
                      <w:szCs w:val="24"/>
                      <w:lang w:eastAsia="ar-SA"/>
                    </w:rPr>
                  </w:pPr>
                  <w:sdt>
                    <w:sdtPr>
                      <w:alias w:val="Pavadinimas"/>
                      <w:tag w:val="title_8a9ca2b94fb94bc2ac5e3329b1c6c4c7"/>
                      <w:lock w:val="sdtLocked"/>
                      <w:richText/>
                    </w:sdtPr>
                    <w:sdtContent>
                      <w:r>
                        <w:rPr>
                          <w:b/>
                          <w:szCs w:val="24"/>
                          <w:shd w:val="clear" w:color="auto" w:fill="FFFFFF"/>
                          <w:lang w:eastAsia="ar-SA"/>
                        </w:rPr>
                        <w:t>Sprendimo projekte numatytos naujos teisinio reglamentavimo nuostatos</w:t>
                      </w:r>
                      <w:r>
                        <w:rPr>
                          <w:b/>
                          <w:szCs w:val="24"/>
                          <w:lang w:eastAsia="ar-SA"/>
                        </w:rPr>
                        <w:t xml:space="preserve">. </w:t>
                      </w:r>
                    </w:sdtContent>
                  </w:sdt>
                </w:p>
                <w:p>
                  <w:pPr>
                    <w:suppressAutoHyphens/>
                    <w:ind w:firstLine="720"/>
                    <w:jc w:val="both"/>
                    <w:rPr>
                      <w:szCs w:val="24"/>
                      <w:lang w:eastAsia="ar-SA"/>
                    </w:rPr>
                  </w:pPr>
                  <w:r>
                    <w:rPr>
                      <w:bCs/>
                      <w:szCs w:val="24"/>
                      <w:lang w:eastAsia="ar-SA"/>
                    </w:rPr>
                    <w:t xml:space="preserve">Sprendimo projekte numatoma </w:t>
                  </w:r>
                  <w:r>
                    <w:rPr>
                      <w:szCs w:val="24"/>
                      <w:lang w:eastAsia="ar-SA"/>
                    </w:rPr>
                    <w:t>suteikti 2024 metų žemės, žemės nuomos už valstybinę žemę ir nekilnojamojo turto mokesčių lengvatas juridiniams asmenims, rėmusiems švietimo, kultūros, socialinius ir (ar) sporto projektus Šiaulių miesto savivaldybėje pagal priedą (pridedama).</w:t>
                  </w:r>
                </w:p>
                <w:p>
                  <w:pPr>
                    <w:suppressAutoHyphens/>
                    <w:ind w:firstLine="720"/>
                    <w:jc w:val="both"/>
                    <w:rPr>
                      <w:b/>
                      <w:sz w:val="20"/>
                      <w:shd w:val="clear" w:color="auto" w:fill="FFFFFF"/>
                    </w:rPr>
                  </w:pPr>
                </w:p>
                <w:p>
                  <w:pPr>
                    <w:suppressAutoHyphens/>
                    <w:ind w:firstLine="720"/>
                    <w:jc w:val="both"/>
                    <w:rPr>
                      <w:szCs w:val="24"/>
                      <w:shd w:val="clear" w:color="auto" w:fill="FFFFFF"/>
                      <w:lang w:val="en-GB"/>
                    </w:rPr>
                  </w:pPr>
                  <w:r>
                    <w:rPr>
                      <w:b/>
                      <w:szCs w:val="24"/>
                      <w:shd w:val="clear" w:color="auto" w:fill="FFFFFF"/>
                      <w:lang w:val="en-GB"/>
                    </w:rPr>
                    <w:t xml:space="preserve">Priėmus sprendimą, galimos pasekmės </w:t>
                  </w:r>
                  <w:r>
                    <w:rPr>
                      <w:i/>
                      <w:szCs w:val="24"/>
                      <w:shd w:val="clear" w:color="auto" w:fill="FFFFFF"/>
                      <w:lang w:val="en-GB"/>
                    </w:rPr>
                    <w:t>(nurodomos tiek teigiamos, tiek neigiamos galimos pasekmės)</w:t>
                  </w:r>
                  <w:r>
                    <w:rPr>
                      <w:szCs w:val="24"/>
                      <w:shd w:val="clear" w:color="auto" w:fill="FFFFFF"/>
                      <w:lang w:val="en-GB"/>
                    </w:rPr>
                    <w:t xml:space="preserve">. </w:t>
                  </w:r>
                </w:p>
                <w:p>
                  <w:pPr>
                    <w:suppressAutoHyphens/>
                    <w:ind w:firstLine="720"/>
                    <w:jc w:val="both"/>
                    <w:rPr>
                      <w:bCs/>
                      <w:szCs w:val="24"/>
                      <w:lang w:eastAsia="ar-SA"/>
                    </w:rPr>
                  </w:pPr>
                  <w:r>
                    <w:rPr>
                      <w:bCs/>
                      <w:szCs w:val="24"/>
                      <w:lang w:eastAsia="ar-SA"/>
                    </w:rPr>
                    <w:t xml:space="preserve">Priėmus sprendimą </w:t>
                  </w:r>
                  <w:r>
                    <w:rPr>
                      <w:bCs/>
                      <w:i/>
                      <w:iCs/>
                      <w:szCs w:val="24"/>
                      <w:lang w:eastAsia="ar-SA"/>
                    </w:rPr>
                    <w:t>teigiamos pasekmės</w:t>
                  </w:r>
                  <w:r>
                    <w:rPr>
                      <w:bCs/>
                      <w:szCs w:val="24"/>
                      <w:lang w:eastAsia="ar-SA"/>
                    </w:rPr>
                    <w:t xml:space="preserve"> – bus įgyvendinti Savivaldybės tarybos įsipareigojimai taikyti mokesčių lengvatas juridiniams asmenims, remiantiems švietimo, kultūros, socialinius ir (ar) sporto projektus Šiaulių mieste. S</w:t>
                  </w:r>
                  <w:r>
                    <w:rPr>
                      <w:szCs w:val="24"/>
                      <w:lang w:eastAsia="ar-SA"/>
                    </w:rPr>
                    <w:t>prendimo įgyvendinimas aktyvins paramą švietimo, kultūros, socialinių ir sporto sričių Šiaulių mieste.</w:t>
                  </w:r>
                  <w:r>
                    <w:rPr>
                      <w:bCs/>
                      <w:szCs w:val="24"/>
                      <w:lang w:eastAsia="ar-SA"/>
                    </w:rPr>
                    <w:t xml:space="preserve">      </w:t>
                  </w:r>
                </w:p>
                <w:p>
                  <w:pPr>
                    <w:suppressAutoHyphens/>
                    <w:ind w:firstLine="720"/>
                    <w:jc w:val="both"/>
                    <w:rPr>
                      <w:bCs/>
                      <w:szCs w:val="24"/>
                      <w:lang w:eastAsia="ar-SA"/>
                    </w:rPr>
                  </w:pPr>
                  <w:r>
                    <w:rPr>
                      <w:bCs/>
                      <w:i/>
                      <w:iCs/>
                      <w:szCs w:val="24"/>
                      <w:lang w:eastAsia="ar-SA"/>
                    </w:rPr>
                    <w:t>Neigiamos pasekmės</w:t>
                  </w:r>
                  <w:r>
                    <w:rPr>
                      <w:bCs/>
                      <w:szCs w:val="24"/>
                      <w:lang w:eastAsia="ar-SA"/>
                    </w:rPr>
                    <w:t xml:space="preserve"> – Savivaldybės biudžetas neteks dalies pajamų.</w:t>
                  </w:r>
                </w:p>
                <w:p>
                  <w:pPr>
                    <w:suppressAutoHyphens/>
                    <w:ind w:firstLine="720"/>
                    <w:jc w:val="both"/>
                    <w:rPr>
                      <w:b/>
                      <w:szCs w:val="24"/>
                      <w:shd w:val="clear" w:color="auto" w:fill="FFFFFF"/>
                      <w:lang w:eastAsia="ar-SA"/>
                    </w:rPr>
                  </w:pPr>
                </w:p>
              </w:sdtContent>
            </w:sdt>
            <w:sdt>
              <w:sdtPr>
                <w:alias w:val="poskyris"/>
                <w:tag w:val="part_889079b68b3048c389a8884a5d6117cf"/>
                <w:lock w:val="sdtLocked"/>
                <w:richText/>
              </w:sdtPr>
              <w:sdtContent>
                <w:p>
                  <w:pPr>
                    <w:suppressAutoHyphens/>
                    <w:ind w:firstLine="720"/>
                    <w:jc w:val="both"/>
                    <w:rPr>
                      <w:b/>
                      <w:szCs w:val="24"/>
                      <w:lang w:eastAsia="ar-SA"/>
                    </w:rPr>
                  </w:pPr>
                  <w:sdt>
                    <w:sdtPr>
                      <w:alias w:val="Pavadinimas"/>
                      <w:tag w:val="title_889079b68b3048c389a8884a5d6117cf"/>
                      <w:lock w:val="sdtLocked"/>
                      <w:richText/>
                    </w:sdtPr>
                    <w:sdtContent>
                      <w:r>
                        <w:rPr>
                          <w:b/>
                          <w:szCs w:val="24"/>
                          <w:shd w:val="clear" w:color="auto" w:fill="FFFFFF"/>
                          <w:lang w:eastAsia="ar-SA"/>
                        </w:rPr>
                        <w:t>Priėmus sprendimą, keičiami ar pripažįstami negaliojančiais teisės aktai</w:t>
                      </w:r>
                      <w:r>
                        <w:rPr>
                          <w:b/>
                          <w:szCs w:val="24"/>
                          <w:lang w:eastAsia="ar-SA"/>
                        </w:rPr>
                        <w:t>.</w:t>
                      </w:r>
                    </w:sdtContent>
                  </w:sdt>
                </w:p>
                <w:p>
                  <w:pPr>
                    <w:suppressAutoHyphens/>
                    <w:ind w:firstLine="720"/>
                    <w:jc w:val="both"/>
                    <w:rPr>
                      <w:bCs/>
                      <w:szCs w:val="24"/>
                      <w:lang w:eastAsia="ar-SA"/>
                    </w:rPr>
                  </w:pPr>
                  <w:r>
                    <w:rPr>
                      <w:bCs/>
                      <w:szCs w:val="24"/>
                      <w:lang w:eastAsia="lt-LT"/>
                    </w:rPr>
                    <w:t>Priėmus šį sprendimą kiti Šiaulių miesto savivaldybės sprendimai nebus keičiami.</w:t>
                  </w:r>
                </w:p>
                <w:p>
                  <w:pPr>
                    <w:suppressAutoHyphens/>
                    <w:rPr>
                      <w:b/>
                      <w:szCs w:val="24"/>
                      <w:lang w:eastAsia="ar-SA"/>
                    </w:rPr>
                  </w:pPr>
                </w:p>
              </w:sdtContent>
            </w:sdt>
            <w:sdt>
              <w:sdtPr>
                <w:alias w:val="poskyris"/>
                <w:tag w:val="part_175386380af241e98d0425ff153ec561"/>
                <w:lock w:val="sdtLocked"/>
                <w:richText/>
              </w:sdtPr>
              <w:sdtContent>
                <w:p>
                  <w:pPr>
                    <w:suppressAutoHyphens/>
                    <w:ind w:firstLine="720"/>
                    <w:jc w:val="both"/>
                    <w:rPr>
                      <w:b/>
                      <w:szCs w:val="24"/>
                      <w:lang w:eastAsia="ar-SA"/>
                    </w:rPr>
                  </w:pPr>
                  <w:sdt>
                    <w:sdtPr>
                      <w:alias w:val="Pavadinimas"/>
                      <w:tag w:val="title_175386380af241e98d0425ff153ec561"/>
                      <w:lock w:val="sdtLocked"/>
                      <w:richText/>
                    </w:sdtPr>
                    <w:sdtContent>
                      <w:r>
                        <w:rPr>
                          <w:b/>
                          <w:szCs w:val="24"/>
                          <w:lang w:eastAsia="ar-SA"/>
                        </w:rPr>
                        <w:t>Sprendimui įgyvendinti reikalingi priimti papildomi teisės aktai.</w:t>
                      </w:r>
                    </w:sdtContent>
                  </w:sdt>
                </w:p>
                <w:p>
                  <w:pPr>
                    <w:suppressAutoHyphens/>
                    <w:ind w:firstLine="720"/>
                    <w:jc w:val="both"/>
                    <w:rPr>
                      <w:szCs w:val="24"/>
                      <w:lang w:eastAsia="ar-SA"/>
                    </w:rPr>
                  </w:pPr>
                  <w:r>
                    <w:rPr>
                      <w:szCs w:val="24"/>
                      <w:lang w:eastAsia="ar-SA"/>
                    </w:rPr>
                    <w:t>Papildomų teisės aktų sprendimo įgyvendinimui priimti nereikia.</w:t>
                  </w:r>
                </w:p>
                <w:p>
                  <w:pPr>
                    <w:suppressAutoHyphens/>
                    <w:rPr>
                      <w:b/>
                      <w:szCs w:val="24"/>
                      <w:lang w:eastAsia="ar-SA"/>
                    </w:rPr>
                  </w:pPr>
                </w:p>
                <w:p>
                  <w:pPr>
                    <w:suppressAutoHyphens/>
                    <w:ind w:firstLine="720"/>
                    <w:jc w:val="both"/>
                    <w:rPr>
                      <w:szCs w:val="24"/>
                      <w:shd w:val="clear" w:color="auto" w:fill="FFFFFF"/>
                      <w:lang w:eastAsia="ar-SA"/>
                    </w:rPr>
                  </w:pPr>
                  <w:r>
                    <w:rPr>
                      <w:b/>
                      <w:szCs w:val="24"/>
                      <w:shd w:val="clear" w:color="auto" w:fill="FFFFFF"/>
                      <w:lang w:eastAsia="ar-SA"/>
                    </w:rPr>
                    <w:t>Sprendimui įgyvendinti reikalingos lėšos</w:t>
                  </w:r>
                  <w:r>
                    <w:rPr>
                      <w:i/>
                      <w:szCs w:val="24"/>
                      <w:shd w:val="clear" w:color="auto" w:fill="FFFFFF"/>
                      <w:lang w:eastAsia="ar-SA"/>
                    </w:rPr>
                    <w:t xml:space="preserve"> (nurodoma, kiek biudžeto lėšų pareikalaus ar leis sutaupyti sprendimo įgyvendinimas)</w:t>
                  </w:r>
                  <w:r>
                    <w:rPr>
                      <w:szCs w:val="24"/>
                      <w:shd w:val="clear" w:color="auto" w:fill="FFFFFF"/>
                      <w:lang w:eastAsia="ar-SA"/>
                    </w:rPr>
                    <w:t xml:space="preserve">. </w:t>
                  </w:r>
                </w:p>
                <w:p>
                  <w:pPr>
                    <w:suppressAutoHyphens/>
                    <w:ind w:firstLine="720"/>
                    <w:jc w:val="both"/>
                    <w:rPr>
                      <w:bCs/>
                      <w:szCs w:val="24"/>
                      <w:lang w:eastAsia="ar-SA"/>
                    </w:rPr>
                  </w:pPr>
                  <w:r>
                    <w:rPr>
                      <w:bCs/>
                      <w:szCs w:val="24"/>
                      <w:lang w:eastAsia="ar-SA"/>
                    </w:rPr>
                    <w:t xml:space="preserve">Įgyvendinus šį sprendimą, Savivaldybės biudžetas neteks 345 tūkst. Eur.  </w:t>
                  </w:r>
                </w:p>
                <w:p>
                  <w:pPr>
                    <w:widowControl w:val="0"/>
                    <w:suppressAutoHyphens/>
                    <w:ind w:firstLine="720"/>
                    <w:jc w:val="both"/>
                    <w:rPr>
                      <w:rFonts w:eastAsia="HG Mincho Light J"/>
                      <w:b/>
                      <w:color w:val="000000"/>
                      <w:szCs w:val="24"/>
                      <w:shd w:val="clear" w:color="auto" w:fill="FFFFFF"/>
                      <w:lang w:eastAsia="ar-SA"/>
                    </w:rPr>
                  </w:pPr>
                </w:p>
                <w:p>
                  <w:pPr>
                    <w:widowControl w:val="0"/>
                    <w:suppressAutoHyphens/>
                    <w:ind w:firstLine="720"/>
                    <w:jc w:val="both"/>
                    <w:rPr>
                      <w:rFonts w:eastAsia="HG Mincho Light J"/>
                      <w:color w:val="000000"/>
                      <w:szCs w:val="24"/>
                      <w:shd w:val="clear" w:color="auto" w:fill="FFFFFF"/>
                      <w:lang w:eastAsia="ar-SA"/>
                    </w:rPr>
                  </w:pPr>
                  <w:r>
                    <w:rPr>
                      <w:rFonts w:eastAsia="HG Mincho Light J"/>
                      <w:b/>
                      <w:color w:val="000000"/>
                      <w:szCs w:val="24"/>
                      <w:shd w:val="clear" w:color="auto" w:fill="FFFFFF"/>
                      <w:lang w:eastAsia="ar-SA"/>
                    </w:rPr>
                    <w:t xml:space="preserve">Sprendimo projekto antikorupcinis vertinimas </w:t>
                  </w:r>
                  <w:r>
                    <w:rPr>
                      <w:rFonts w:eastAsia="HG Mincho Light J"/>
                      <w:i/>
                      <w:color w:val="000000"/>
                      <w:szCs w:val="24"/>
                      <w:shd w:val="clear" w:color="auto" w:fill="FFFFFF"/>
                      <w:lang w:eastAsia="ar-SA"/>
                    </w:rPr>
                    <w:t>(jei tokį vertinimą reikia atlikti, nurodoma, kad pridedama Antikorupcinio vertinimo pažyma)</w:t>
                  </w:r>
                  <w:r>
                    <w:rPr>
                      <w:rFonts w:eastAsia="HG Mincho Light J"/>
                      <w:color w:val="000000"/>
                      <w:szCs w:val="24"/>
                      <w:shd w:val="clear" w:color="auto" w:fill="FFFFFF"/>
                      <w:lang w:eastAsia="ar-SA"/>
                    </w:rPr>
                    <w:t>.</w:t>
                  </w:r>
                </w:p>
                <w:p>
                  <w:pPr>
                    <w:suppressAutoHyphens/>
                    <w:ind w:firstLine="680"/>
                    <w:jc w:val="both"/>
                    <w:rPr>
                      <w:szCs w:val="24"/>
                      <w:shd w:val="clear" w:color="auto" w:fill="FFFFFF"/>
                      <w:lang w:val="en-GB" w:eastAsia="ar-SA"/>
                    </w:rPr>
                  </w:pPr>
                  <w:r>
                    <w:rPr>
                      <w:szCs w:val="24"/>
                      <w:shd w:val="clear" w:color="auto" w:fill="FFFFFF"/>
                      <w:lang w:val="en-GB" w:eastAsia="ar-SA"/>
                    </w:rPr>
                    <w:t>A</w:t>
                  </w:r>
                  <w:r>
                    <w:rPr>
                      <w:szCs w:val="24"/>
                      <w:lang w:val="en-GB" w:eastAsia="ar-SA"/>
                    </w:rPr>
                    <w:t xml:space="preserve">ntikorupciniu požiūriu sprendimo projektas nevertintas, </w:t>
                  </w:r>
                  <w:r>
                    <w:rPr>
                      <w:szCs w:val="24"/>
                      <w:shd w:val="clear" w:color="auto" w:fill="FFFFFF"/>
                      <w:lang w:val="en-GB" w:eastAsia="ar-SA"/>
                    </w:rPr>
                    <w:t xml:space="preserve">antikorupcinio vertinimo pažyma nepridedama, </w:t>
                  </w:r>
                  <w:r>
                    <w:rPr>
                      <w:rFonts w:ascii="TimesNewRomanPSMT" w:hAnsi="TimesNewRomanPSMT"/>
                      <w:color w:val="000000"/>
                      <w:szCs w:val="24"/>
                      <w:lang w:val="en-GB" w:eastAsia="ar-SA"/>
                    </w:rPr>
                    <w:t>nes šis sprendimo projektas nėra susijęs nė su vienu atveju, išvardintu Lietuvos Respublikos korupcijos prevencijos įstatymo 8 straipsnio 1 dalyje.</w:t>
                  </w:r>
                </w:p>
                <w:p>
                  <w:pPr>
                    <w:ind w:firstLine="720"/>
                    <w:jc w:val="both"/>
                    <w:rPr>
                      <w:b/>
                      <w:szCs w:val="24"/>
                      <w:shd w:val="clear" w:color="auto" w:fill="FFFFFF"/>
                    </w:rPr>
                  </w:pPr>
                </w:p>
                <w:p>
                  <w:pPr>
                    <w:ind w:firstLine="720"/>
                    <w:jc w:val="both"/>
                    <w:rPr>
                      <w:b/>
                      <w:szCs w:val="24"/>
                      <w:lang w:val="en-GB"/>
                    </w:rPr>
                  </w:pPr>
                  <w:r>
                    <w:rPr>
                      <w:b/>
                      <w:szCs w:val="24"/>
                      <w:shd w:val="clear" w:color="auto" w:fill="FFFFFF"/>
                    </w:rPr>
                    <w:t>Sprendimo projektą parengė</w:t>
                  </w:r>
                  <w:r>
                    <w:rPr>
                      <w:szCs w:val="24"/>
                      <w:shd w:val="clear" w:color="auto" w:fill="FFFFFF"/>
                    </w:rPr>
                    <w:t xml:space="preserve"> </w:t>
                  </w:r>
                  <w:r>
                    <w:rPr>
                      <w:szCs w:val="24"/>
                      <w:shd w:val="clear" w:color="auto" w:fill="FFFFFF"/>
                      <w:lang w:eastAsia="ar-SA"/>
                    </w:rPr>
                    <w:t xml:space="preserve">Šiaulių miesto savivaldybės administracijos Ekonomikos skyrius. </w:t>
                  </w:r>
                  <w:r>
                    <w:rPr>
                      <w:szCs w:val="24"/>
                      <w:shd w:val="clear" w:color="auto" w:fill="FFFFFF"/>
                      <w:lang w:val="en-GB" w:eastAsia="ar-SA"/>
                    </w:rPr>
                    <w:t xml:space="preserve">Ekonomikos skyriaus vedėja – Aistė Petkuvienė. Tiesioginis rengėjas – vyr. specialistė, Brigita Mareckienė, tel. +370 41 383437. </w:t>
                  </w:r>
                  <w:r>
                    <w:rPr>
                      <w:szCs w:val="24"/>
                      <w:shd w:val="clear" w:color="auto" w:fill="FFFFFF"/>
                      <w:lang w:val="en-GB"/>
                    </w:rPr>
                    <w:t xml:space="preserve">Projekto iniciatoriai: </w:t>
                  </w:r>
                  <w:r>
                    <w:rPr>
                      <w:szCs w:val="24"/>
                      <w:lang w:val="en-GB" w:eastAsia="ar-SA"/>
                    </w:rPr>
                    <w:t>Mokesčių lengvatų juridiniams asmenims, remiantiems švietimo, kultūros, socialinius ir (ar) sporto projektus, prašymų svarstymo komisija</w:t>
                  </w:r>
                  <w:r>
                    <w:rPr>
                      <w:szCs w:val="24"/>
                      <w:shd w:val="clear" w:color="auto" w:fill="FFFFFF"/>
                      <w:lang w:val="en-GB"/>
                    </w:rPr>
                    <w:t>, Ekonomikos skyrius.</w:t>
                  </w:r>
                </w:p>
                <w:p>
                  <w:pPr>
                    <w:suppressAutoHyphens/>
                    <w:ind w:firstLine="720"/>
                    <w:jc w:val="both"/>
                    <w:rPr>
                      <w:szCs w:val="24"/>
                      <w:lang w:eastAsia="ar-SA"/>
                    </w:rPr>
                  </w:pPr>
                </w:p>
                <w:p>
                  <w:pPr>
                    <w:tabs>
                      <w:tab w:val="left" w:pos="855"/>
                    </w:tabs>
                    <w:ind w:firstLine="855"/>
                    <w:jc w:val="both"/>
                    <w:rPr>
                      <w:szCs w:val="24"/>
                      <w:shd w:val="clear" w:color="auto" w:fill="FFFFFF"/>
                    </w:rPr>
                  </w:pPr>
                  <w:r>
                    <w:rPr>
                      <w:b/>
                      <w:szCs w:val="24"/>
                      <w:shd w:val="clear" w:color="auto" w:fill="FFFFFF"/>
                    </w:rPr>
                    <w:t>N</w:t>
                  </w:r>
                  <w:r>
                    <w:rPr>
                      <w:rFonts w:eastAsia="Calibri"/>
                      <w:b/>
                      <w:szCs w:val="24"/>
                    </w:rPr>
                    <w:t>umatomo teisinio reguliavimo poveikio vertinimo rezultatai</w:t>
                  </w:r>
                  <w:r>
                    <w:rPr>
                      <w:i/>
                      <w:szCs w:val="24"/>
                      <w:shd w:val="clear" w:color="auto" w:fill="FFFFFF"/>
                    </w:rPr>
                    <w:t>.</w:t>
                  </w:r>
                </w:p>
                <w:p>
                  <w:pPr>
                    <w:tabs>
                      <w:tab w:val="left" w:pos="855"/>
                    </w:tabs>
                    <w:ind w:firstLine="855"/>
                    <w:jc w:val="both"/>
                    <w:rPr>
                      <w:szCs w:val="24"/>
                      <w:shd w:val="clear" w:color="auto" w:fill="FFFFFF"/>
                    </w:rPr>
                  </w:pPr>
                  <w:r>
                    <w:rPr>
                      <w:szCs w:val="24"/>
                      <w:shd w:val="clear" w:color="auto" w:fill="FFFFFF"/>
                    </w:rPr>
                    <w:t>Neatlikta ir nenumatyta.</w:t>
                  </w:r>
                </w:p>
                <w:p>
                  <w:pPr>
                    <w:suppressAutoHyphens/>
                    <w:ind w:firstLine="720"/>
                    <w:jc w:val="both"/>
                    <w:rPr>
                      <w:szCs w:val="24"/>
                      <w:lang w:eastAsia="ar-SA"/>
                    </w:rPr>
                  </w:pPr>
                </w:p>
                <w:p>
                  <w:pPr>
                    <w:suppressAutoHyphens/>
                    <w:ind w:firstLine="720"/>
                    <w:jc w:val="both"/>
                    <w:rPr>
                      <w:szCs w:val="24"/>
                      <w:lang w:eastAsia="ar-SA"/>
                    </w:rPr>
                  </w:pPr>
                </w:p>
                <w:p>
                  <w:pPr>
                    <w:suppressAutoHyphens/>
                    <w:ind w:firstLine="720"/>
                    <w:jc w:val="both"/>
                    <w:rPr>
                      <w:szCs w:val="24"/>
                      <w:lang w:eastAsia="ar-SA"/>
                    </w:rPr>
                  </w:pPr>
                </w:p>
              </w:sdtContent>
            </w:sdt>
          </w:sdtContent>
        </w:sdt>
        <w:sdt>
          <w:sdtPr>
            <w:alias w:val="signatura"/>
            <w:tag w:val="part_751c04fff4e9446f8a48913f72be1174"/>
            <w:lock w:val="sdtLocked"/>
            <w:richText/>
          </w:sdtPr>
          <w:sdtContent>
            <w:p>
              <w:pPr>
                <w:suppressAutoHyphens/>
                <w:rPr>
                  <w:rFonts w:eastAsia="Arial Unicode MS" w:cs="Tahoma"/>
                  <w:szCs w:val="24"/>
                  <w:lang w:val="en-GB" w:eastAsia="ar-SA"/>
                </w:rPr>
              </w:pPr>
              <w:r>
                <w:rPr>
                  <w:rFonts w:eastAsia="Arial Unicode MS" w:cs="Tahoma"/>
                  <w:szCs w:val="24"/>
                  <w:lang w:val="en-GB" w:eastAsia="ar-SA"/>
                </w:rPr>
                <w:t>Skyriaus vedėja</w:t>
                <w:tab/>
                <w:tab/>
                <w:tab/>
                <w:t xml:space="preserve">        </w:t>
                <w:tab/>
                <w:tab/>
                <w:t xml:space="preserve">             </w:t>
                <w:tab/>
                <w:tab/>
                <w:t xml:space="preserve"> </w:t>
                <w:tab/>
                <w:t>Aistė Petkuvienė</w:t>
              </w:r>
            </w:p>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964" w:right="567" w:bottom="851" w:left="153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val="en-GB" w:eastAsia="ar-SA"/>
        </w:rPr>
      </w:pPr>
      <w:r>
        <w:rPr>
          <w:szCs w:val="24"/>
          <w:lang w:val="en-GB" w:eastAsia="ar-SA"/>
        </w:rPr>
        <w:separator/>
      </w:r>
    </w:p>
  </w:endnote>
  <w:endnote w:type="continuationSeparator" w:id="0">
    <w:p>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00"/>
    <w:family w:val="auto"/>
    <w:pitch w:val="variable"/>
  </w:font>
  <w:font w:name="TimesNewRomanPSMT">
    <w:altName w:val="Times New Roman"/>
    <w:panose1 w:val="00000000000000000000"/>
    <w:charset w:val="00"/>
    <w:family w:val="roman"/>
    <w:notTrueType/>
    <w:pitch w:val="default"/>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val="en-GB" w:eastAsia="ar-SA"/>
        </w:rPr>
      </w:pPr>
      <w:r>
        <w:rPr>
          <w:szCs w:val="24"/>
          <w:lang w:val="en-GB" w:eastAsia="ar-SA"/>
        </w:rPr>
        <w:separator/>
      </w:r>
    </w:p>
  </w:footnote>
  <w:footnote w:type="continuationSeparator" w:id="0">
    <w:p>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val="en-GB" w:eastAsia="ar-SA"/>
      </w:rPr>
    </w:pPr>
    <w:r>
      <w:rPr>
        <w:szCs w:val="24"/>
        <w:lang w:val="en-GB" w:eastAsia="ar-SA"/>
      </w:rPr>
      <w:fldChar w:fldCharType="begin"/>
    </w:r>
    <w:r>
      <w:rPr>
        <w:szCs w:val="24"/>
        <w:lang w:val="en-GB" w:eastAsia="ar-SA"/>
      </w:rPr>
      <w:instrText>PAGE   \* MERGEFORMAT</w:instrText>
    </w:r>
    <w:r>
      <w:rPr>
        <w:szCs w:val="24"/>
        <w:lang w:val="en-GB" w:eastAsia="ar-SA"/>
      </w:rPr>
      <w:fldChar w:fldCharType="separate"/>
    </w:r>
    <w:r>
      <w:rPr>
        <w:szCs w:val="24"/>
        <w:lang w:eastAsia="ar-SA"/>
      </w:rPr>
      <w:t>2</w:t>
    </w:r>
    <w:r>
      <w:rPr>
        <w:szCs w:val="24"/>
        <w:lang w:val="en-GB" w:eastAsia="ar-SA"/>
      </w:rPr>
      <w:fldChar w:fldCharType="end"/>
    </w:r>
  </w:p>
  <w:p>
    <w:pPr>
      <w:tabs>
        <w:tab w:val="center" w:pos="4819"/>
        <w:tab w:val="right" w:pos="9638"/>
      </w:tabs>
      <w:suppressAutoHyphens/>
      <w:rPr>
        <w:szCs w:val="24"/>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8EC"/>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docId w15:val="{D34C15C6-DBA9-4392-8721-8B1C8DC9863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0891298">
      <w:bodyDiv w:val="1"/>
      <w:marLeft w:val="0"/>
      <w:marRight w:val="0"/>
      <w:marTop w:val="0"/>
      <w:marBottom w:val="0"/>
      <w:divBdr>
        <w:top w:val="none" w:sz="0" w:space="0" w:color="auto"/>
        <w:left w:val="none" w:sz="0" w:space="0" w:color="auto"/>
        <w:bottom w:val="none" w:sz="0" w:space="0" w:color="auto"/>
        <w:right w:val="none" w:sz="0" w:space="0" w:color="auto"/>
      </w:divBdr>
      <w:divsChild>
        <w:div w:id="1200893088">
          <w:marLeft w:val="0"/>
          <w:marRight w:val="0"/>
          <w:marTop w:val="0"/>
          <w:marBottom w:val="0"/>
          <w:divBdr>
            <w:top w:val="none" w:sz="0" w:space="0" w:color="auto"/>
            <w:left w:val="none" w:sz="0" w:space="0" w:color="auto"/>
            <w:bottom w:val="none" w:sz="0" w:space="0" w:color="auto"/>
            <w:right w:val="none" w:sz="0" w:space="0" w:color="auto"/>
          </w:divBdr>
        </w:div>
      </w:divsChild>
    </w:div>
    <w:div w:id="540288859">
      <w:bodyDiv w:val="1"/>
      <w:marLeft w:val="0"/>
      <w:marRight w:val="0"/>
      <w:marTop w:val="0"/>
      <w:marBottom w:val="0"/>
      <w:divBdr>
        <w:top w:val="none" w:sz="0" w:space="0" w:color="auto"/>
        <w:left w:val="none" w:sz="0" w:space="0" w:color="auto"/>
        <w:bottom w:val="none" w:sz="0" w:space="0" w:color="auto"/>
        <w:right w:val="none" w:sz="0" w:space="0" w:color="auto"/>
      </w:divBdr>
      <w:divsChild>
        <w:div w:id="336621219">
          <w:marLeft w:val="0"/>
          <w:marRight w:val="0"/>
          <w:marTop w:val="0"/>
          <w:marBottom w:val="0"/>
          <w:divBdr>
            <w:top w:val="none" w:sz="0" w:space="0" w:color="auto"/>
            <w:left w:val="none" w:sz="0" w:space="0" w:color="auto"/>
            <w:bottom w:val="none" w:sz="0" w:space="0" w:color="auto"/>
            <w:right w:val="none" w:sz="0" w:space="0" w:color="auto"/>
          </w:divBdr>
        </w:div>
        <w:div w:id="310062344">
          <w:marLeft w:val="0"/>
          <w:marRight w:val="0"/>
          <w:marTop w:val="0"/>
          <w:marBottom w:val="0"/>
          <w:divBdr>
            <w:top w:val="none" w:sz="0" w:space="0" w:color="auto"/>
            <w:left w:val="none" w:sz="0" w:space="0" w:color="auto"/>
            <w:bottom w:val="none" w:sz="0" w:space="0" w:color="auto"/>
            <w:right w:val="none" w:sz="0" w:space="0" w:color="auto"/>
          </w:divBdr>
        </w:div>
      </w:divsChild>
    </w:div>
    <w:div w:id="651442637">
      <w:bodyDiv w:val="1"/>
      <w:marLeft w:val="0"/>
      <w:marRight w:val="0"/>
      <w:marTop w:val="0"/>
      <w:marBottom w:val="0"/>
      <w:divBdr>
        <w:top w:val="none" w:sz="0" w:space="0" w:color="auto"/>
        <w:left w:val="none" w:sz="0" w:space="0" w:color="auto"/>
        <w:bottom w:val="none" w:sz="0" w:space="0" w:color="auto"/>
        <w:right w:val="none" w:sz="0" w:space="0" w:color="auto"/>
      </w:divBdr>
    </w:div>
    <w:div w:id="1252010546">
      <w:bodyDiv w:val="1"/>
      <w:marLeft w:val="0"/>
      <w:marRight w:val="0"/>
      <w:marTop w:val="0"/>
      <w:marBottom w:val="0"/>
      <w:divBdr>
        <w:top w:val="none" w:sz="0" w:space="0" w:color="auto"/>
        <w:left w:val="none" w:sz="0" w:space="0" w:color="auto"/>
        <w:bottom w:val="none" w:sz="0" w:space="0" w:color="auto"/>
        <w:right w:val="none" w:sz="0" w:space="0" w:color="auto"/>
      </w:divBdr>
    </w:div>
    <w:div w:id="1369796707">
      <w:bodyDiv w:val="1"/>
      <w:marLeft w:val="0"/>
      <w:marRight w:val="0"/>
      <w:marTop w:val="0"/>
      <w:marBottom w:val="0"/>
      <w:divBdr>
        <w:top w:val="none" w:sz="0" w:space="0" w:color="auto"/>
        <w:left w:val="none" w:sz="0" w:space="0" w:color="auto"/>
        <w:bottom w:val="none" w:sz="0" w:space="0" w:color="auto"/>
        <w:right w:val="none" w:sz="0" w:space="0" w:color="auto"/>
      </w:divBdr>
    </w:div>
    <w:div w:id="1424763864">
      <w:bodyDiv w:val="1"/>
      <w:marLeft w:val="0"/>
      <w:marRight w:val="0"/>
      <w:marTop w:val="0"/>
      <w:marBottom w:val="0"/>
      <w:divBdr>
        <w:top w:val="none" w:sz="0" w:space="0" w:color="auto"/>
        <w:left w:val="none" w:sz="0" w:space="0" w:color="auto"/>
        <w:bottom w:val="none" w:sz="0" w:space="0" w:color="auto"/>
        <w:right w:val="none" w:sz="0" w:space="0" w:color="auto"/>
      </w:divBdr>
      <w:divsChild>
        <w:div w:id="1291782219">
          <w:marLeft w:val="0"/>
          <w:marRight w:val="0"/>
          <w:marTop w:val="0"/>
          <w:marBottom w:val="0"/>
          <w:divBdr>
            <w:top w:val="none" w:sz="0" w:space="0" w:color="auto"/>
            <w:left w:val="none" w:sz="0" w:space="0" w:color="auto"/>
            <w:bottom w:val="none" w:sz="0" w:space="0" w:color="auto"/>
            <w:right w:val="none" w:sz="0" w:space="0" w:color="auto"/>
          </w:divBdr>
        </w:div>
        <w:div w:id="8047351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92a5ce11e38461586a17433fe3a2beb" PartId="909024aa937a4777a8169fb1af87cabb">
    <Part Type="skyrius" Nr="999" Title="SPRENDIMO „DĖL ŽEMĖS, ŽEMĖS NUOMOS UŽ VALSTYBINĘ ŽEMĘ IR NEKILNOJAMOJO TURTO MOKESČIŲ LENGVATŲ JURIDINIAMS ASMENIMS, RĖMUSIEMS ŠVIETIMO, KULTŪROS, SOCIALINIUS IR (AR) SPORTO PROJEKTUS ŠIAULIŲ MIESTO SAVIVALDYBĖJE, SUTEIKIMO“ PROJEKTO AIŠKINAMASIS RAŠTAS" DocPartId="bed25b51a907479ca4a27677819a4356" PartId="73f91e672e9e4344b9b0c49119b73995">
      <Part Type="poskyris" Title="Parengto sprendimo projekto tikslai ir uždaviniai." DocPartId="4eb99f81119745eea94cf3fe45e2c3f4" PartId="caa4342249b34ba28e47b182bf55a015">
        <Part Type="punktas" Nr="1" Abbr="1 p." DocPartId="6a545c73c7944f6bb02b76098a4d7066" PartId="a10b9df9bcd94a47a7438a042d60fca5"/>
        <Part Type="punktas" Nr="2" Abbr="2 p." DocPartId="a4408ba95b0742238e066cb4ba50bcbf" PartId="211e89fa859d446dbf567463d861858e"/>
        <Part Type="punktas" Nr="3" Abbr="3 p." DocPartId="29dd495d4b1243b7919c9f16c51509f0" PartId="d749563578614c0cb4a331d12f2d9a16"/>
      </Part>
      <Part Type="poskyris" Title="Dabartinis sprendimo projekte aptariamų klausimų reguliavimas." DocPartId="436aeeb2bcf2451e80fb8025e912dae8" PartId="3658af32f9d642c9b5772474da3698d5"/>
      <Part Type="poskyris" Title="Sprendimo projekte numatytos naujos teisinio reglamentavimo nuostatos." DocPartId="73e7637b116d41cfb9d8408d042090b4" PartId="8a9ca2b94fb94bc2ac5e3329b1c6c4c7"/>
      <Part Type="poskyris" Title="Priėmus sprendimą, keičiami ar pripažįstami negaliojančiais teisės aktai." DocPartId="7ea79d170bf9493ab9cc17b2a89ec2f6" PartId="889079b68b3048c389a8884a5d6117cf"/>
      <Part Type="poskyris" Title="Sprendimui įgyvendinti reikalingi priimti papildomi teisės aktai." DocPartId="6ee8dc0fb1774e89ad648c730ae8b8de" PartId="175386380af241e98d0425ff153ec561"/>
    </Part>
    <Part Type="signatura" DocPartId="a4e497c2e1744aaaab415ad9e0137122" PartId="751c04fff4e9446f8a48913f72be1174"/>
  </Part>
</Parts>
</file>

<file path=customXml/itemProps1.xml><?xml version="1.0" encoding="utf-8"?>
<ds:datastoreItem xmlns:ds="http://schemas.openxmlformats.org/officeDocument/2006/customXml" ds:itemID="{54C28CC2-DE62-4686-A344-8880D562CDE2}">
  <ds:schemaRefs>
    <ds:schemaRef ds:uri="http://schemas.openxmlformats.org/officeDocument/2006/bibliography"/>
  </ds:schemaRefs>
</ds:datastoreItem>
</file>

<file path=customXml/itemProps2.xml><?xml version="1.0" encoding="utf-8"?>
<ds:datastoreItem xmlns:ds="http://schemas.openxmlformats.org/officeDocument/2006/customXml" ds:itemID="{204557D4-7759-4086-8F05-819CE47ECDB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1095</Words>
  <Characters>7977</Characters>
  <Application>Microsoft Office Word</Application>
  <DocSecurity>4</DocSecurity>
  <Lines>177</Lines>
  <Paragraphs>85</Paragraphs>
  <ScaleCrop>false</ScaleCrop>
  <HeadingPairs>
    <vt:vector size="2" baseType="variant">
      <vt:variant>
        <vt:lpstr>Pavadinimas</vt:lpstr>
      </vt:variant>
      <vt:variant>
        <vt:i4>1</vt:i4>
      </vt:variant>
    </vt:vector>
  </HeadingPairs>
  <TitlesOfParts>
    <vt:vector size="1" baseType="lpstr">
      <vt:lpstr>Projektas</vt:lpstr>
    </vt:vector>
  </TitlesOfParts>
  <Company/>
  <LinksUpToDate>false</LinksUpToDate>
  <CharactersWithSpaces>8987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2024-12-02T09:24:00Z</dcterms:created>
  <dc:creator>b.bendziuviene</dc:creator>
  <lastModifiedBy>adlibuser</lastModifiedBy>
  <lastPrinted>2017-12-18T10:05:00Z</lastPrinted>
  <dcterms:modified xsi:type="dcterms:W3CDTF">2024-12-02T09:24:00Z</dcterms:modified>
  <revision>2</revision>
  <dc:title>Projektas</dc:title>
</coreProperties>
</file>