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07b695984dad4781bdc65da6ad649f72"/>
        <w:lock w:val="sdtLocked"/>
        <w:richText/>
      </w:sdtPr>
      <w:sdtContent>
        <w:tbl>
          <w:tblPr>
            <w:tblW w:w="0" w:type="auto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4817"/>
            <w:gridCol w:w="282"/>
            <w:gridCol w:w="1841"/>
            <w:gridCol w:w="565"/>
            <w:gridCol w:w="2133"/>
          </w:tblGrid>
          <w:tr>
            <w:tc>
              <w:tcPr>
                <w:tcW w:w="9638" w:type="dxa"/>
                <w:gridSpan w:val="5"/>
                <w:tcBorders>
                  <w:bottom w:val="single" w:sz="4" w:space="0" w:color="000000"/>
                </w:tcBorders>
              </w:tcPr>
              <w:tbl>
                <w:tblPr>
                  <w:tblW w:w="0" w:type="auto"/>
                  <w:tblLayout w:type="fixed"/>
                  <w:tblLook w:val="06A0" w:firstRow="1" w:lastRow="0" w:firstColumn="1" w:lastColumn="0" w:noHBand="1" w:noVBand="1"/>
                </w:tblPr>
                <w:tblGrid>
                  <w:gridCol w:w="3210"/>
                  <w:gridCol w:w="3210"/>
                  <w:gridCol w:w="3210"/>
                </w:tblGrid>
                <w:tr>
                  <w:trPr>
                    <w:trHeight w:val="300"/>
                  </w:trPr>
                  <w:tc>
                    <w:tcPr>
                      <w:tcW w:w="3210" w:type="dxa"/>
                    </w:tcPr>
                    <w:p>
                      <w:pPr>
                        <w:suppressLineNumbers/>
                        <w:tabs>
                          <w:tab w:val="center" w:pos="4800"/>
                          <w:tab w:val="right" w:pos="9601"/>
                        </w:tabs>
                        <w:ind w:left="-115"/>
                        <w:rPr>
                          <w:rFonts w:eastAsia="Andale Sans UI" w:cs="Tahoma"/>
                          <w:szCs w:val="24"/>
                          <w:lang w:bidi="en-US"/>
                        </w:rPr>
                      </w:pPr>
                    </w:p>
                  </w:tc>
                  <w:tc>
                    <w:tcPr>
                      <w:tcW w:w="3210" w:type="dxa"/>
                    </w:tcPr>
                    <w:p>
                      <w:pPr>
                        <w:suppressLineNumbers/>
                        <w:tabs>
                          <w:tab w:val="center" w:pos="4800"/>
                          <w:tab w:val="right" w:pos="9601"/>
                        </w:tabs>
                        <w:jc w:val="center"/>
                        <w:rPr>
                          <w:rFonts w:eastAsia="Andale Sans UI" w:cs="Tahoma"/>
                          <w:szCs w:val="24"/>
                          <w:lang w:bidi="en-US"/>
                        </w:rPr>
                      </w:pPr>
                    </w:p>
                  </w:tc>
                  <w:tc>
                    <w:tcPr>
                      <w:tcW w:w="3210" w:type="dxa"/>
                    </w:tcPr>
                    <w:p>
                      <w:pPr>
                        <w:suppressLineNumbers/>
                        <w:tabs>
                          <w:tab w:val="center" w:pos="4800"/>
                          <w:tab w:val="right" w:pos="9601"/>
                        </w:tabs>
                        <w:ind w:right="-115"/>
                        <w:jc w:val="right"/>
                        <w:rPr>
                          <w:rFonts w:eastAsia="Andale Sans UI" w:cs="Tahoma"/>
                          <w:szCs w:val="24"/>
                          <w:lang w:bidi="en-US"/>
                        </w:rPr>
                      </w:pPr>
                    </w:p>
                  </w:tc>
                </w:tr>
              </w:tbl>
              <w:p>
                <w:pPr>
                  <w:suppressLineNumbers/>
                  <w:tabs>
                    <w:tab w:val="center" w:pos="4800"/>
                    <w:tab w:val="right" w:pos="9601"/>
                  </w:tabs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keepNext/>
                  <w:widowControl w:val="0"/>
                  <w:suppressAutoHyphens/>
                  <w:jc w:val="center"/>
                  <w:rPr>
                    <w:rFonts w:eastAsia="Andale Sans UI" w:cs="Tahoma"/>
                    <w:b/>
                    <w:bCs/>
                    <w:caps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 w:cs="Tahoma"/>
                    <w:b/>
                    <w:bCs/>
                    <w:caps/>
                    <w:sz w:val="28"/>
                    <w:szCs w:val="32"/>
                    <w:lang w:val="en-US"/>
                  </w:rPr>
                  <w:drawing>
                    <wp:inline distT="0" distB="0" distL="0" distR="0" wp14:anchorId="5C292AC1" wp14:editId="325A26AD">
                      <wp:extent cx="523875" cy="619125"/>
                      <wp:effectExtent l="0" t="0" r="0" b="0"/>
                      <wp:docPr id="1" name="Pictur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23875" cy="619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rPr>
                    <w:szCs w:val="24"/>
                  </w:rPr>
                </w:pPr>
              </w:p>
              <w:p>
                <w:pPr>
                  <w:suppressLineNumbers/>
                  <w:jc w:val="center"/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  <w:t>LIETUVOS RESPUBLIKOS APLINKOS MINISTERIJA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uppressLineNumber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Biudžetinė įstaiga, A. Jakšto g. 4, LT-01105 Vilnius,</w:t>
                </w:r>
              </w:p>
              <w:p>
                <w:pPr>
                  <w:suppressLineNumber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 xml:space="preserve">tel. 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val="en-GB" w:bidi="en-US"/>
                  </w:rPr>
                  <w:t>8 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626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val="en-GB" w:bidi="en-US"/>
                  </w:rPr>
                  <w:t xml:space="preserve"> 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22 252, el. p. info@am.lt, https://am.lrv.lt.</w:t>
                </w:r>
              </w:p>
              <w:p>
                <w:pPr>
                  <w:suppressLineNumber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Duomenys kaupiami ir saugomi Juridinių asmenų registre, kodas 188602370</w:t>
                </w:r>
              </w:p>
            </w:tc>
          </w:tr>
          <w:tr>
            <w:tc>
              <w:tcPr>
                <w:tcW w:w="9638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  <w:trHeight w:val="340"/>
            </w:trPr>
            <w:tc>
              <w:tcPr>
                <w:tcW w:w="4817" w:type="dxa"/>
                <w:vMerge w:val="restart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Pagal adresatų sąrašą</w:t>
                </w:r>
              </w:p>
              <w:p>
                <w:pPr>
                  <w:suppressLineNumbers/>
                  <w:jc w:val="both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  <w:p>
                <w:pPr>
                  <w:suppressLineNumbers/>
                  <w:jc w:val="both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28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  <w:tc>
              <w:tcPr>
                <w:tcW w:w="565" w:type="dxa"/>
              </w:tcPr>
              <w:p>
                <w:pPr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pacing w:val="10"/>
                    <w:szCs w:val="24"/>
                    <w:lang w:bidi="en-US"/>
                  </w:rPr>
                  <w:t>Nr.</w:t>
                </w:r>
              </w:p>
            </w:tc>
            <w:tc>
              <w:tcPr>
                <w:tcW w:w="2133" w:type="dxa"/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  <w:trHeight w:val="340"/>
            </w:trPr>
            <w:tc>
              <w:tcPr>
                <w:tcW w:w="4817" w:type="dxa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/>
            </w:tc>
            <w:tc>
              <w:tcPr>
                <w:tcW w:w="28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tabs>
                    <w:tab w:val="left" w:pos="2869"/>
                  </w:tabs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pacing w:val="10"/>
                    <w:szCs w:val="24"/>
                    <w:lang w:bidi="en-US"/>
                  </w:rPr>
                  <w:t>Į</w:t>
                </w: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  <w:tc>
              <w:tcPr>
                <w:tcW w:w="565" w:type="dxa"/>
              </w:tcPr>
              <w:p>
                <w:pPr>
                  <w:tabs>
                    <w:tab w:val="left" w:pos="2869"/>
                  </w:tabs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pacing w:val="10"/>
                    <w:szCs w:val="24"/>
                    <w:lang w:bidi="en-US"/>
                  </w:rPr>
                  <w:t>Nr.</w:t>
                </w:r>
              </w:p>
            </w:tc>
            <w:tc>
              <w:tcPr>
                <w:tcW w:w="2133" w:type="dxa"/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</w:trPr>
            <w:tc>
              <w:tcPr>
                <w:tcW w:w="4817" w:type="dxa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/>
            </w:tc>
            <w:tc>
              <w:tcPr>
                <w:tcW w:w="4821" w:type="dxa"/>
                <w:gridSpan w:val="4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tabs>
                    <w:tab w:val="left" w:pos="2869"/>
                  </w:tabs>
                  <w:ind w:right="67"/>
                  <w:jc w:val="both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</w:tr>
          <w:tr>
            <w:trPr>
              <w:trHeight w:val="340"/>
            </w:trPr>
            <w:tc>
              <w:tcPr>
                <w:tcW w:w="9638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spacing w:line="276" w:lineRule="auto"/>
                  <w:jc w:val="both"/>
                  <w:rPr>
                    <w:rFonts w:eastAsia="Andale Sans UI" w:cs="Tahoma"/>
                    <w:b/>
                    <w:bCs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b/>
                    <w:bCs/>
                    <w:caps/>
                    <w:szCs w:val="24"/>
                    <w:lang w:bidi="en-US"/>
                  </w:rPr>
                  <w:t xml:space="preserve">DĖL </w:t>
                </w:r>
                <w:r>
                  <w:rPr>
                    <w:rFonts w:eastAsia="Andale Sans UI" w:cs="Tahoma"/>
                    <w:b/>
                    <w:szCs w:val="24"/>
                    <w:lang w:eastAsia="lt-LT" w:bidi="en-US"/>
                  </w:rPr>
                  <w:t>APLINKOS MINISTRO ĮSAKYMO PROJEKTO DERINIMO</w:t>
                </w:r>
              </w:p>
            </w:tc>
          </w:tr>
        </w:tbl>
        <w:p>
          <w:pPr>
            <w:spacing w:line="276" w:lineRule="auto"/>
            <w:jc w:val="both"/>
            <w:rPr>
              <w:rFonts w:eastAsia="Andale Sans UI" w:cs="Tahoma"/>
              <w:szCs w:val="24"/>
              <w:lang w:bidi="en-US"/>
            </w:rPr>
          </w:pPr>
        </w:p>
        <w:p>
          <w:pPr>
            <w:spacing w:line="276" w:lineRule="auto"/>
            <w:jc w:val="both"/>
            <w:rPr>
              <w:rFonts w:eastAsia="Andale Sans UI" w:cs="Tahoma"/>
              <w:szCs w:val="24"/>
              <w:lang w:bidi="en-US"/>
            </w:rPr>
          </w:pPr>
        </w:p>
      </w:sdtContent>
    </w:sdt>
    <w:sdt>
      <w:sdtPr>
        <w:alias w:val="pastraipa"/>
        <w:tag w:val="part_35803ee986a14474aa14b275d235c9ae"/>
        <w:lock w:val="sdtLocked"/>
        <w:richText/>
      </w:sdtPr>
      <w:sdtContent>
        <w:p>
          <w:pPr>
            <w:spacing w:line="276" w:lineRule="auto"/>
            <w:ind w:firstLine="567"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Aplinkos ministerija teikia išvadoms gauti Lietuvos Respublikos aplinkos ministro įsakymo „Dėl Klimato kaitos programos priemonės „</w:t>
          </w:r>
          <w:r>
            <w:rPr>
              <w:color w:val="000000"/>
              <w:szCs w:val="24"/>
              <w:lang w:eastAsia="lt-LT"/>
            </w:rPr>
            <w:t>Biometano ir (ar) biodujų panaudojimas žemės ūkyje pakeičiant dyzelinį kurą</w:t>
          </w:r>
          <w:r>
            <w:rPr>
              <w:szCs w:val="24"/>
              <w:lang w:eastAsia="lt-LT"/>
            </w:rPr>
            <w:t>“ tvarkos aprašo patvirtinimo“ projektą (toliau – Įsakymo projektas).</w:t>
          </w:r>
        </w:p>
      </w:sdtContent>
    </w:sdt>
    <w:sdt>
      <w:sdtPr>
        <w:alias w:val="pastraipa"/>
        <w:tag w:val="part_776cceb9ab484feb983fb5076cd42567"/>
        <w:lock w:val="sdtLocked"/>
        <w:richText/>
      </w:sdtPr>
      <w:sdtContent>
        <w:p>
          <w:pPr>
            <w:spacing w:line="276" w:lineRule="auto"/>
            <w:ind w:firstLine="567"/>
            <w:jc w:val="both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Įsakymo projektą rengti paskatinusios priežastys</w:t>
          </w:r>
          <w:r>
            <w:rPr>
              <w:szCs w:val="24"/>
              <w:lang w:eastAsia="lt-LT"/>
            </w:rPr>
            <w:t xml:space="preserve">. Atsižvelgiant į ambicingus klimato švelninimo tikslus,  patvirtinti Klimato kaitos programos priemonės „</w:t>
          </w:r>
          <w:r>
            <w:rPr>
              <w:color w:val="000000"/>
              <w:szCs w:val="24"/>
              <w:lang w:eastAsia="lt-LT"/>
            </w:rPr>
            <w:t>Biometano ir (ar) biodujų panaudojimas žemės ūkyje pakeičiant dyzelinį kurą</w:t>
          </w:r>
          <w:r>
            <w:rPr>
              <w:szCs w:val="24"/>
              <w:lang w:eastAsia="lt-LT"/>
            </w:rPr>
            <w:t>“</w:t>
          </w:r>
          <w:r>
            <w:rPr>
              <w:color w:val="000000"/>
              <w:szCs w:val="24"/>
              <w:bdr w:val="none" w:sz="0" w:space="0" w:color="auto" w:frame="1"/>
              <w:lang w:eastAsia="lt-LT"/>
            </w:rPr>
            <w:t xml:space="preserve"> tvarkos aprašą.</w:t>
          </w:r>
          <w:r>
            <w:rPr>
              <w:szCs w:val="24"/>
              <w:lang w:eastAsia="lt-LT"/>
            </w:rPr>
            <w:t xml:space="preserve"> Priemonei įgyvendinti </w:t>
          </w:r>
          <w:r>
            <w:rPr>
              <w:color w:val="000000"/>
              <w:szCs w:val="24"/>
              <w:lang w:eastAsia="lt-LT"/>
            </w:rPr>
            <w:t xml:space="preserve">2022–2030 metų plėtros programos valdytojos Lietuvos Respublikos aplinkos ministerijos aplinkos apsaugos ir klimato kaitos valdymo plėtros programos pažangos priemonės Nr. 02-001-06-04-02 „Didinti klimato kaitos politikos veiksmingumą“ apraše skirta 2 mln. eurų. Tinkamos finansuoti išlaidos: </w:t>
          </w:r>
          <w:r>
            <w:rPr>
              <w:color w:val="000000"/>
              <w:szCs w:val="24"/>
              <w:shd w:val="clear" w:color="auto" w:fill="FFFFFF"/>
              <w:lang w:eastAsia="lt-LT"/>
            </w:rPr>
            <w:t xml:space="preserve">dyzelinį kurą naudojančių grūdų džiovyklos įrenginių perdarymui į biodujas ar biometaną naudojančius grūdų džiovyklos įrenginius: biometano ir (ar) biodujų saugojimo įrenginiai; biometano ir (ar) biodujų užpildymo įranga; </w:t>
          </w:r>
          <w:r>
            <w:rPr>
              <w:szCs w:val="24"/>
              <w:lang w:eastAsia="lt-LT"/>
            </w:rPr>
            <w:t xml:space="preserve">biometano ir (ar) biodujų degikliai, degimo kameros arba (ir) įrenginiai, kurie naudojami gaminant elektros energiją ir šilumą, šilumos perdavimo oro šildymui įrenginiai; įrangos ir sistemų montavimo darbai. </w:t>
          </w:r>
          <w:r>
            <w:rPr>
              <w:color w:val="000000"/>
              <w:szCs w:val="24"/>
              <w:lang w:eastAsia="lt-LT"/>
            </w:rPr>
            <w:t>Pareiškėjui už įsigytą įrangą ir atliktus darbus, pateikus vieną mokėjimo prašymą, mokama fiksuota 33 000 eurų kompensacinė išmoka.</w:t>
          </w:r>
          <w:r>
            <w:rPr>
              <w:color w:val="000000"/>
              <w:szCs w:val="24"/>
              <w:shd w:val="clear" w:color="auto" w:fill="FFFFFF"/>
              <w:lang w:eastAsia="lt-LT"/>
            </w:rPr>
            <w:t xml:space="preserve"> </w:t>
          </w:r>
          <w:r>
            <w:rPr>
              <w:color w:val="000000"/>
              <w:szCs w:val="24"/>
              <w:lang w:eastAsia="lt-LT"/>
            </w:rPr>
            <w:t>Kvietimą teikti paraiškas skelbs Aplinkos projektų valdymo agentūra.</w:t>
          </w:r>
        </w:p>
      </w:sdtContent>
    </w:sdt>
    <w:sdt>
      <w:sdtPr>
        <w:alias w:val="pastraipa"/>
        <w:tag w:val="part_43da038b435e45fb9ff6c5ac8795f925"/>
        <w:lock w:val="sdtLocked"/>
        <w:richText/>
      </w:sdtPr>
      <w:sdtContent>
        <w:p>
          <w:pPr>
            <w:spacing w:line="276" w:lineRule="auto"/>
            <w:ind w:firstLine="567"/>
            <w:jc w:val="both"/>
            <w:textAlignment w:val="baseline"/>
            <w:rPr>
              <w:color w:val="000000"/>
              <w:szCs w:val="24"/>
              <w:shd w:val="clear" w:color="auto" w:fill="FFFFFF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Paraiškų atrankos būdas – tęstinis, kol pakanka priemonei skirtų lėšų (2 mln. eurų), bet ne ilgiau kaip 12 mėnesių nuo kvietimo teikti paraiškas pradžios.</w:t>
          </w:r>
        </w:p>
      </w:sdtContent>
    </w:sdt>
    <w:sdt>
      <w:sdtPr>
        <w:alias w:val="pastraipa"/>
        <w:tag w:val="part_6806e77d8dd44e54a6aa1b0ca07ae83e"/>
        <w:lock w:val="sdtLocked"/>
        <w:richText/>
      </w:sdtPr>
      <w:sdtContent>
        <w:p>
          <w:pPr>
            <w:spacing w:line="276" w:lineRule="auto"/>
            <w:ind w:firstLine="567"/>
            <w:jc w:val="both"/>
            <w:rPr>
              <w:rFonts w:eastAsia="Andale Sans UI" w:cs="Tahoma"/>
              <w:color w:val="000000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Įsakymo projektas neprieštarauja Aštuonioliktosios Lietuvos Respublikos Vyriausybės programai, kuriai pritarta Lietuvos Respublikos Seimo 2020 m. gruodžio 11 d. nutarimu Nr. XIV-72 „Dėl Aštuonioliktosios Lietuvos Respublikos Vyriausybės programos“.</w:t>
          </w:r>
        </w:p>
      </w:sdtContent>
    </w:sdt>
    <w:sdt>
      <w:sdtPr>
        <w:alias w:val="pastraipa"/>
        <w:tag w:val="part_ef5cc909186a4a8b9528d0b10169235f"/>
        <w:lock w:val="sdtLocked"/>
        <w:richText/>
      </w:sdtPr>
      <w:sdtContent>
        <w:p>
          <w:pPr>
            <w:shd w:val="clear" w:color="auto" w:fill="FFFFFF"/>
            <w:spacing w:line="276" w:lineRule="auto"/>
            <w:ind w:firstLine="567"/>
            <w:jc w:val="both"/>
            <w:textAlignment w:val="center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Įsakymo projektu neperkeliamos ir neįgyvendinamos Europos Sąjungos teisės aktų nuostatos.</w:t>
          </w:r>
        </w:p>
      </w:sdtContent>
    </w:sdt>
    <w:sdt>
      <w:sdtPr>
        <w:alias w:val="pastraipa"/>
        <w:tag w:val="part_4158aa403d804fdbb6dcd3ff58f3f987"/>
        <w:lock w:val="sdtLocked"/>
        <w:richText/>
      </w:sdtPr>
      <w:sdtContent>
        <w:p>
          <w:pPr>
            <w:spacing w:line="276" w:lineRule="auto"/>
            <w:ind w:firstLine="567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Įsakymo projektas skelbiamas Lietuvos Respublikos Seimo kanceliarijos teisės aktų informacinėje sistemoje (TAIS).</w:t>
          </w:r>
        </w:p>
      </w:sdtContent>
    </w:sdt>
    <w:sdt>
      <w:sdtPr>
        <w:alias w:val="pastraipa"/>
        <w:tag w:val="part_0c521cacf446493c9cc27143e799234f"/>
        <w:lock w:val="sdtLocked"/>
        <w:richText/>
      </w:sdtPr>
      <w:sdtContent>
        <w:p>
          <w:pPr>
            <w:spacing w:line="276" w:lineRule="auto"/>
            <w:ind w:firstLine="567"/>
            <w:jc w:val="both"/>
            <w:rPr>
              <w:rFonts w:eastAsia="Andale Sans UI"/>
              <w:szCs w:val="24"/>
              <w:lang w:bidi="en-US"/>
            </w:rPr>
          </w:pPr>
          <w:r>
            <w:rPr>
              <w:rFonts w:eastAsia="Andale Sans UI" w:cs="Tahoma"/>
              <w:color w:val="000000"/>
              <w:szCs w:val="24"/>
              <w:lang w:bidi="en-US"/>
            </w:rPr>
            <w:t xml:space="preserve">Išvadą dėl Įsakymo projekto prašome pateikti per </w:t>
          </w:r>
          <w:r>
            <w:rPr>
              <w:rFonts w:eastAsia="Andale Sans UI" w:cs="Tahoma"/>
              <w:b/>
              <w:bCs/>
              <w:color w:val="000000"/>
              <w:szCs w:val="24"/>
              <w:lang w:bidi="en-US"/>
            </w:rPr>
            <w:t>10 darbo dienų</w:t>
          </w:r>
          <w:r>
            <w:rPr>
              <w:rFonts w:eastAsia="Andale Sans UI" w:cs="Tahoma"/>
              <w:color w:val="000000"/>
              <w:szCs w:val="24"/>
              <w:lang w:bidi="en-US"/>
            </w:rPr>
            <w:t xml:space="preserve"> nuo jo paskelbimo TAIS. </w:t>
          </w:r>
          <w:r>
            <w:rPr>
              <w:rFonts w:eastAsia="Andale Sans UI"/>
              <w:szCs w:val="24"/>
              <w:lang w:bidi="en-US"/>
            </w:rPr>
            <w:t xml:space="preserve">Per nurodytą terminą negavę pastabų ir pasiūlymų, laikysime, kad Įsakymo projektui pritariate. </w:t>
          </w:r>
        </w:p>
      </w:sdtContent>
    </w:sdt>
    <w:sdt>
      <w:sdtPr>
        <w:alias w:val="pastraipa"/>
        <w:tag w:val="part_b21c6c660c314a5ba009261a4b4c0d62"/>
        <w:lock w:val="sdtLocked"/>
        <w:richText/>
      </w:sdtPr>
      <w:sdtContent>
        <w:p>
          <w:pPr>
            <w:spacing w:line="276" w:lineRule="auto"/>
            <w:ind w:firstLine="567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Projektą parengė Aplinkos ministerijos Klimato politikos grupės (</w:t>
          </w:r>
          <w:r>
            <w:rPr>
              <w:rFonts w:eastAsia="Andale Sans UI" w:cs="Tahoma"/>
              <w:iCs/>
              <w:szCs w:val="24"/>
              <w:lang w:bidi="en-US"/>
            </w:rPr>
            <w:t>vadovė – Vilija Augutavičienė</w:t>
          </w:r>
          <w:r>
            <w:rPr>
              <w:rFonts w:eastAsia="Andale Sans UI" w:cs="Tahoma"/>
              <w:szCs w:val="24"/>
              <w:lang w:bidi="en-US"/>
            </w:rPr>
            <w:t xml:space="preserve">, </w:t>
          </w:r>
          <w:r>
            <w:rPr>
              <w:rFonts w:eastAsia="Andale Sans UI" w:cs="Tahoma"/>
              <w:iCs/>
              <w:szCs w:val="24"/>
              <w:lang w:bidi="en-US"/>
            </w:rPr>
            <w:t>tel. 8 686 17 484,</w:t>
          </w:r>
          <w:r>
            <w:rPr>
              <w:rFonts w:eastAsia="Andale Sans UI" w:cs="Tahoma"/>
              <w:szCs w:val="24"/>
              <w:lang w:bidi="en-US"/>
            </w:rPr>
            <w:t xml:space="preserve"> </w:t>
          </w:r>
          <w:r>
            <w:rPr>
              <w:rFonts w:eastAsia="Andale Sans UI" w:cs="Tahoma"/>
              <w:color w:val="000080"/>
              <w:szCs w:val="24"/>
              <w:u w:val="single"/>
              <w:lang w:bidi="en-US"/>
            </w:rPr>
            <w:t>vilija.augutaviciene@am.lt</w:t>
          </w:r>
          <w:r>
            <w:rPr>
              <w:rFonts w:eastAsia="Andale Sans UI" w:cs="Tahoma"/>
              <w:szCs w:val="24"/>
              <w:u w:val="single"/>
              <w:lang w:bidi="en-US"/>
            </w:rPr>
            <w:t>)</w:t>
          </w:r>
          <w:r>
            <w:rPr>
              <w:rFonts w:eastAsia="Andale Sans UI" w:cs="Tahoma"/>
              <w:szCs w:val="24"/>
              <w:lang w:bidi="en-US"/>
            </w:rPr>
            <w:t xml:space="preserve"> patarėja Emilija Šaulytė (tel. 8 696 18 175, </w:t>
          </w:r>
          <w:r>
            <w:rPr>
              <w:rFonts w:eastAsia="Andale Sans UI" w:cs="Tahoma"/>
              <w:color w:val="000080"/>
              <w:szCs w:val="24"/>
              <w:u w:val="single"/>
              <w:lang w:bidi="en-US"/>
            </w:rPr>
            <w:t>emilija.saulyte@am.lt</w:t>
          </w:r>
          <w:r>
            <w:rPr>
              <w:rFonts w:eastAsia="Andale Sans UI" w:cs="Tahoma"/>
              <w:color w:val="000080"/>
              <w:szCs w:val="24"/>
              <w:u w:val="single"/>
              <w:lang w:bidi="en-US"/>
            </w:rPr>
            <w:t>)</w:t>
          </w:r>
          <w:r>
            <w:rPr>
              <w:rFonts w:eastAsia="Andale Sans UI" w:cs="Tahoma"/>
              <w:szCs w:val="24"/>
              <w:lang w:bidi="en-US"/>
            </w:rPr>
            <w:t>.</w:t>
          </w:r>
        </w:p>
      </w:sdtContent>
    </w:sdt>
    <w:sdt>
      <w:sdtPr>
        <w:alias w:val="pastraipa"/>
        <w:tag w:val="part_cefb466d3b3b4586a521b7aebb125ca3"/>
        <w:lock w:val="sdtLocked"/>
        <w:richText/>
      </w:sdtPr>
      <w:sdtContent>
        <w:p>
          <w:pPr>
            <w:spacing w:line="276" w:lineRule="auto"/>
            <w:ind w:firstLine="567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PRIDEDAMA:</w:t>
          </w:r>
        </w:p>
        <w:sdt>
          <w:sdtPr>
            <w:alias w:val="1 p."/>
            <w:tag w:val="part_1ccdf3ae170a4be8982293e91b371e2c"/>
            <w:lock w:val="sdtLocked"/>
            <w:richText/>
          </w:sdtPr>
          <w:sdtContent>
            <w:p>
              <w:pPr>
                <w:spacing w:line="276" w:lineRule="auto"/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1ccdf3ae170a4be8982293e91b371e2c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 w:bidi="en-US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 w:bidi="en-US"/>
                </w:rPr>
                <w:t>. Įsakymo projektas, 6 lapai.</w:t>
              </w:r>
            </w:p>
          </w:sdtContent>
        </w:sdt>
        <w:sdt>
          <w:sdtPr>
            <w:alias w:val="2 p."/>
            <w:tag w:val="part_60fa81259876481386416a94d4ef38fd"/>
            <w:lock w:val="sdtLocked"/>
            <w:richText/>
          </w:sdtPr>
          <w:sdtContent>
            <w:p>
              <w:pPr>
                <w:spacing w:line="276" w:lineRule="auto"/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60fa81259876481386416a94d4ef38f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 w:bidi="en-US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 w:bidi="en-US"/>
                </w:rPr>
                <w:t>. Numatomo teisinio reguliavimo poveikio vertinimo pažyma, 1 lapas.</w:t>
              </w:r>
            </w:p>
          </w:sdtContent>
        </w:sdt>
        <w:sdt>
          <w:sdtPr>
            <w:alias w:val="3 p."/>
            <w:tag w:val="part_5cfc00c64784441dba57e851f9ec9732"/>
            <w:lock w:val="sdtLocked"/>
            <w:richText/>
          </w:sdtPr>
          <w:sdtContent>
            <w:p>
              <w:pPr>
                <w:spacing w:line="276" w:lineRule="auto"/>
                <w:ind w:firstLine="567"/>
                <w:jc w:val="both"/>
                <w:rPr>
                  <w:color w:val="000000"/>
                  <w:szCs w:val="24"/>
                  <w:lang w:eastAsia="lt-LT" w:bidi="en-US"/>
                </w:rPr>
              </w:pPr>
              <w:sdt>
                <w:sdtPr>
                  <w:alias w:val="Numeris"/>
                  <w:tag w:val="nr_5cfc00c64784441dba57e851f9ec973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 w:bidi="en-US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 w:bidi="en-US"/>
                </w:rPr>
                <w:t>. Antikorupcinio vertinimo pažyma, 7 lapai.</w:t>
              </w:r>
            </w:p>
            <w:p/>
            <w:p>
              <w:pPr>
                <w:jc w:val="both"/>
                <w:rPr>
                  <w:color w:val="000000"/>
                  <w:szCs w:val="24"/>
                  <w:lang w:eastAsia="lt-LT" w:bidi="en-US"/>
                </w:rPr>
              </w:pPr>
            </w:p>
            <w:tbl>
              <w:tblPr>
                <w:tblW w:w="9643" w:type="dxa"/>
                <w:tblInd w:w="8" w:type="dxa"/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4817"/>
                <w:gridCol w:w="4826"/>
              </w:tblGrid>
              <w:tr>
                <w:trPr>
                  <w:trHeight w:val="340"/>
                </w:trPr>
                <w:tc>
                  <w:tcPr>
                    <w:tcW w:w="4817" w:type="dxa"/>
                  </w:tcPr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szCs w:val="24"/>
                        <w:lang w:bidi="en-US"/>
                      </w:rPr>
                      <w:t>Aplinkos viceministras</w:t>
                    </w:r>
                  </w:p>
                </w:tc>
                <w:tc>
                  <w:tcPr>
                    <w:tcW w:w="4826" w:type="dxa"/>
                  </w:tcPr>
                  <w:p>
                    <w:pPr>
                      <w:spacing w:line="276" w:lineRule="auto"/>
                      <w:ind w:right="34"/>
                      <w:jc w:val="right"/>
                      <w:rPr>
                        <w:rFonts w:eastAsia="Andale Sans UI" w:cs="Tahoma"/>
                        <w:szCs w:val="24"/>
                        <w:lang w:val="en-US" w:bidi="en-US"/>
                      </w:rPr>
                    </w:pPr>
                    <w:r>
                      <w:rPr>
                        <w:rFonts w:eastAsia="Andale Sans UI" w:cs="Tahoma"/>
                        <w:szCs w:val="24"/>
                        <w:lang w:bidi="en-US"/>
                      </w:rPr>
                      <w:t>Kęstutis Šetkus</w:t>
                    </w:r>
                  </w:p>
                </w:tc>
              </w:tr>
              <w:tr>
                <w:trPr>
                  <w:trHeight w:val="340"/>
                </w:trPr>
                <w:tc>
                  <w:tcPr>
                    <w:tcW w:w="4817" w:type="dxa"/>
                  </w:tcPr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</w:tc>
                <w:tc>
                  <w:tcPr>
                    <w:tcW w:w="4826" w:type="dxa"/>
                  </w:tcPr>
                  <w:p>
                    <w:pPr>
                      <w:spacing w:line="276" w:lineRule="auto"/>
                      <w:ind w:right="34"/>
                      <w:jc w:val="right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</w:tc>
              </w:tr>
              <w:tr>
                <w:trPr>
                  <w:trHeight w:val="340"/>
                </w:trPr>
                <w:tc>
                  <w:tcPr>
                    <w:tcW w:w="4817" w:type="dxa"/>
                  </w:tcPr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spacing w:line="276" w:lineRule="auto"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</w:tc>
                <w:tc>
                  <w:tcPr>
                    <w:tcW w:w="4826" w:type="dxa"/>
                  </w:tcPr>
                  <w:p>
                    <w:pPr>
                      <w:spacing w:line="276" w:lineRule="auto"/>
                      <w:ind w:right="34"/>
                      <w:jc w:val="right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</w:tc>
              </w:tr>
            </w:tbl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  <w:sectPr>
                  <w:headerReference w:type="even" r:id="rId13"/>
                  <w:headerReference w:type="default" r:id="rId14"/>
                  <w:footerReference w:type="even" r:id="rId15"/>
                  <w:footerReference w:type="default" r:id="rId16"/>
                  <w:headerReference w:type="first" r:id="rId17"/>
                  <w:footerReference w:type="first" r:id="rId18"/>
                  <w:footnotePr>
                    <w:pos w:val="beneathText"/>
                    <w:numRestart w:val="eachPage"/>
                  </w:footnotePr>
                  <w:endnotePr>
                    <w:numFmt w:val="decimal"/>
                  </w:endnotePr>
                  <w:pgSz w:w="11905" w:h="16837"/>
                  <w:pgMar w:top="1134" w:right="567" w:bottom="1134" w:left="1701" w:header="567" w:footer="232" w:gutter="0"/>
                  <w:cols w:space="1296"/>
                  <w:titlePg/>
                </w:sectPr>
              </w:pPr>
            </w:p>
            <w:p>
              <w:pPr>
                <w:suppressLineNumbers/>
                <w:tabs>
                  <w:tab w:val="center" w:pos="4800"/>
                  <w:tab w:val="right" w:pos="9601"/>
                </w:tabs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center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ADRESATŲ SĄRAŠAS</w:t>
              </w:r>
            </w:p>
            <w:p>
              <w:pPr>
                <w:rPr>
                  <w:sz w:val="8"/>
                  <w:szCs w:val="8"/>
                </w:rPr>
              </w:pPr>
            </w:p>
          </w:sdtContent>
        </w:sdt>
        <w:sdt>
          <w:sdtPr>
            <w:alias w:val="signatura"/>
            <w:tag w:val="part_35bd290d7bd3463986f7c91a3b8b9cac"/>
            <w:lock w:val="sdtLocked"/>
            <w:richText/>
          </w:sdtPr>
          <w:sdtContent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  <w:r>
                <w:rPr>
                  <w:rFonts w:eastAsia="StarSymbol"/>
                  <w:szCs w:val="24"/>
                  <w:lang w:eastAsia="lt-LT"/>
                </w:rPr>
                <w:t>Aplinkos projektų valdymo agentūrai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  <w:r>
                <w:rPr>
                  <w:rFonts w:eastAsia="StarSymbol"/>
                  <w:szCs w:val="24"/>
                  <w:lang w:eastAsia="lt-LT"/>
                </w:rPr>
                <w:t>Ekonomikos ir inovacijų ministerijai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  <w:r>
                <w:rPr>
                  <w:rFonts w:eastAsia="StarSymbol"/>
                  <w:szCs w:val="24"/>
                  <w:lang w:eastAsia="lt-LT"/>
                </w:rPr>
                <w:t>Energetikos ministerijai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  <w:r>
                <w:rPr>
                  <w:rFonts w:eastAsia="StarSymbol"/>
                  <w:szCs w:val="24"/>
                  <w:lang w:eastAsia="lt-LT"/>
                </w:rPr>
                <w:t>Finansų ministerijai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  <w:r>
                <w:rPr>
                  <w:rFonts w:eastAsia="StarSymbol"/>
                  <w:szCs w:val="24"/>
                  <w:lang w:eastAsia="lt-LT"/>
                </w:rPr>
                <w:t>Konkurencijos tarybai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  <w:r>
                <w:rPr>
                  <w:rFonts w:eastAsia="StarSymbol"/>
                  <w:szCs w:val="24"/>
                  <w:lang w:eastAsia="lt-LT"/>
                </w:rPr>
                <w:t>Susisiekimo ministerijai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  <w:r>
                <w:rPr>
                  <w:rFonts w:eastAsia="StarSymbol"/>
                  <w:szCs w:val="24"/>
                  <w:lang w:eastAsia="lt-LT"/>
                </w:rPr>
                <w:t>Žemės ūkio ministerijai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  <w:r>
                <w:rPr>
                  <w:rFonts w:eastAsia="StarSymbol"/>
                  <w:szCs w:val="24"/>
                  <w:lang w:eastAsia="lt-LT"/>
                </w:rPr>
                <w:t>Žemės ūkio rūmams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  <w:r>
                <w:rPr>
                  <w:rFonts w:eastAsia="StarSymbol"/>
                  <w:szCs w:val="24"/>
                  <w:lang w:eastAsia="lt-LT"/>
                </w:rPr>
                <w:t>Valstybinei mokesčių inspekcijai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grūdų augintojų asociacija</w:t>
              </w:r>
              <w:r>
                <w:rPr>
                  <w:szCs w:val="24"/>
                  <w:lang w:eastAsia="lt-LT"/>
                </w:rPr>
                <w:t>i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shd w:val="clear" w:color="auto" w:fill="FFFFFF"/>
                  <w:lang w:bidi="en-US"/>
                </w:rPr>
                <w:t>Lietuvos grūdų perdirbėjų ir prekybininkų asociacija</w:t>
              </w:r>
              <w:r>
                <w:rPr>
                  <w:rFonts w:eastAsia="Andale Sans UI" w:cs="Tahoma"/>
                  <w:szCs w:val="24"/>
                  <w:lang w:bidi="en-US"/>
                </w:rPr>
                <w:t>i</w:t>
              </w: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L</w:t>
              </w:r>
              <w:r>
                <w:rPr>
                  <w:rFonts w:eastAsia="Andale Sans UI" w:cs="Tahoma"/>
                  <w:szCs w:val="24"/>
                  <w:lang w:bidi="en-US"/>
                </w:rPr>
                <w:t>ietuvos žemės ūkio bendrovių asociacija</w:t>
              </w:r>
              <w:r>
                <w:rPr>
                  <w:rFonts w:eastAsia="Andale Sans UI" w:cs="Tahoma"/>
                  <w:szCs w:val="24"/>
                  <w:lang w:bidi="en-US"/>
                </w:rPr>
                <w:t>i</w:t>
              </w: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Lietuvos žemės ūkio technikos asociacija</w:t>
              </w:r>
              <w:r>
                <w:rPr>
                  <w:rFonts w:eastAsia="Andale Sans UI" w:cs="Tahoma"/>
                  <w:szCs w:val="24"/>
                  <w:lang w:bidi="en-US"/>
                </w:rPr>
                <w:t>i</w:t>
              </w: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textAlignment w:val="baseline"/>
                <w:rPr>
                  <w:rFonts w:eastAsia="StarSymbol"/>
                  <w:szCs w:val="24"/>
                  <w:lang w:eastAsia="lt-LT"/>
                </w:rPr>
              </w:pP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</w:sdtContent>
        </w:sdt>
      </w:sdtContent>
    </w:sdt>
    <w:sectPr>
      <w:footnotePr>
        <w:pos w:val="beneathText"/>
        <w:numRestart w:val="eachPage"/>
      </w:footnotePr>
      <w:endnotePr>
        <w:numFmt w:val="decimal"/>
      </w:endnotePr>
      <w:pgSz w:w="11905" w:h="16837"/>
      <w:pgMar w:top="1134" w:right="567" w:bottom="1134" w:left="1701" w:header="567" w:footer="232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endnote>
  <w:endnote w:type="continuationSeparator" w:id="0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BA"/>
    <w:family w:val="swiss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StarSymbol">
    <w:charset w:val="00"/>
    <w:family w:val="auto"/>
    <w:pitch w:val="variable"/>
    <w:sig w:usb0="00000003" w:usb1="10008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jc w:val="both"/>
      <w:rPr>
        <w:rFonts w:eastAsia="Andale Sans UI" w:cs="Tahoma"/>
        <w:szCs w:val="24"/>
        <w:lang w:bidi="en-US"/>
      </w:rPr>
    </w:pPr>
    <w:r>
      <w:rPr>
        <w:rFonts w:eastAsia="Andale Sans UI" w:cs="Tahoma"/>
        <w:szCs w:val="24"/>
        <w:lang w:bidi="en-US"/>
      </w:rPr>
      <w:t xml:space="preserve">E. Šaulytė tel.  8 696 18 175, el. p. </w:t>
    </w:r>
    <w:r>
      <w:rPr>
        <w:rFonts w:eastAsia="Andale Sans UI" w:cs="Tahoma"/>
        <w:szCs w:val="24"/>
        <w:lang w:bidi="en-US"/>
      </w:rPr>
      <w:t>emilija.saulyte@am.lt</w:t>
    </w:r>
  </w:p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right"/>
      <w:rPr>
        <w:rFonts w:eastAsia="Andale Sans UI" w:cs="Tahoma"/>
        <w:szCs w:val="24"/>
        <w:lang w:bidi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footnote>
  <w:footnote w:type="continuationSeparator" w:id="0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  <w:r>
      <w:rPr>
        <w:rFonts w:eastAsia="Andale Sans UI" w:cs="Tahoma"/>
        <w:szCs w:val="24"/>
        <w:lang w:bidi="en-US"/>
      </w:rPr>
      <w:fldChar w:fldCharType="begin"/>
    </w:r>
    <w:r>
      <w:rPr>
        <w:rFonts w:eastAsia="Andale Sans UI" w:cs="Tahoma"/>
        <w:szCs w:val="24"/>
        <w:lang w:bidi="en-US"/>
      </w:rPr>
      <w:instrText xml:space="preserve">PAGE  </w:instrText>
    </w:r>
    <w:r>
      <w:rPr>
        <w:rFonts w:eastAsia="Andale Sans UI" w:cs="Tahoma"/>
        <w:szCs w:val="24"/>
        <w:lang w:bidi="en-US"/>
      </w:rPr>
      <w:fldChar w:fldCharType="end"/>
    </w:r>
  </w:p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center"/>
      <w:rPr>
        <w:rFonts w:eastAsia="Andale Sans UI" w:cs="Tahoma"/>
        <w:szCs w:val="24"/>
        <w:lang w:bidi="en-US"/>
      </w:rPr>
    </w:pPr>
    <w:r>
      <w:rPr>
        <w:rFonts w:eastAsia="Andale Sans UI" w:cs="Tahoma"/>
        <w:szCs w:val="24"/>
        <w:lang w:bidi="en-US"/>
      </w:rPr>
      <w:fldChar w:fldCharType="begin"/>
    </w:r>
    <w:r>
      <w:rPr>
        <w:rFonts w:eastAsia="Andale Sans UI" w:cs="Tahoma"/>
        <w:szCs w:val="24"/>
        <w:lang w:bidi="en-US"/>
      </w:rPr>
      <w:instrText>PAGE   \* MERGEFORMAT</w:instrText>
    </w:r>
    <w:r>
      <w:rPr>
        <w:rFonts w:eastAsia="Andale Sans UI" w:cs="Tahoma"/>
        <w:szCs w:val="24"/>
        <w:lang w:bidi="en-US"/>
      </w:rPr>
      <w:fldChar w:fldCharType="separate"/>
    </w:r>
    <w:r>
      <w:rPr>
        <w:rFonts w:eastAsia="Andale Sans UI" w:cs="Tahoma"/>
        <w:szCs w:val="24"/>
        <w:lang w:bidi="en-US"/>
      </w:rPr>
      <w:t>2</w:t>
    </w:r>
    <w:r>
      <w:rPr>
        <w:rFonts w:eastAsia="Andale Sans UI" w:cs="Tahoma"/>
        <w:szCs w:val="24"/>
        <w:lang w:bidi="en-US"/>
      </w:rPr>
      <w:fldChar w:fldCharType="end"/>
    </w:r>
  </w:p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567"/>
  <w:hyphenationZone w:val="396"/>
  <w:doNotHyphenateCaps/>
  <w:characterSpacingControl w:val="doNotCompress"/>
  <w:strictFirstAndLastChars/>
  <w:hdrShapeDefaults>
    <o:shapedefaults v:ext="edit" spidmax="2050"/>
  </w:hdrShapeDefaults>
  <w:footnotePr>
    <w:pos w:val="beneathText"/>
    <w:numRestart w:val="eachPage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5999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26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0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png"/>
  <Relationship Id="rId13" Type="http://schemas.openxmlformats.org/officeDocument/2006/relationships/header" Target="header1.xml"/>
  <Relationship Id="rId14" Type="http://schemas.openxmlformats.org/officeDocument/2006/relationships/header" Target="header2.xml"/>
  <Relationship Id="rId15" Type="http://schemas.openxmlformats.org/officeDocument/2006/relationships/footer" Target="footer1.xml"/>
  <Relationship Id="rId16" Type="http://schemas.openxmlformats.org/officeDocument/2006/relationships/footer" Target="footer2.xml"/>
  <Relationship Id="rId17" Type="http://schemas.openxmlformats.org/officeDocument/2006/relationships/header" Target="header3.xml"/>
  <Relationship Id="rId18" Type="http://schemas.openxmlformats.org/officeDocument/2006/relationships/footer" Target="footer3.xml"/>
  <Relationship Id="rId19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23" Type="http://schemas.openxmlformats.org/officeDocument/2006/relationships/fontTable" Target="fontTable.xml"/>
  <Relationship Id="rId24" Type="http://schemas.openxmlformats.org/officeDocument/2006/relationships/theme" Target="theme/theme1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9cf09c5-daa1-4028-a0ff-74a0be4ec5cc">
      <UserInfo>
        <DisplayName>Jurgita Užkurnienė</DisplayName>
        <AccountId>118</AccountId>
        <AccountType/>
      </UserInfo>
      <UserInfo>
        <DisplayName>SharingLinks.9659b0f0-1dd2-4f7e-b95c-91ff87b8efd6.OrganizationEdit.2634bcd9-bbb0-425f-8a50-d11ce396fd2d</DisplayName>
        <AccountId>345</AccountId>
        <AccountType/>
      </UserInfo>
      <UserInfo>
        <DisplayName>Emilija Šaulytė</DisplayName>
        <AccountId>231</AccountId>
        <AccountType/>
      </UserInfo>
    </SharedWithUsers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8" ma:contentTypeDescription="Kurkite naują dokumentą." ma:contentTypeScope="" ma:versionID="683f92fd3caf647d88e81fe6a076604b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9626a6d253d2442f70feac03650f5f6a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Vertinimas (0–5)" ma:decimals="2" ma:description="Visų pateiktų vertinimų vidutinė reikšmė" ma:internalName="AverageRating" ma:readOnly="true">
      <xsd:simpleType>
        <xsd:restriction base="dms:Number"/>
      </xsd:simpleType>
    </xsd:element>
    <xsd:element name="RatingCount" ma:index="17" nillable="true" ma:displayName="Vertinimų skaičius" ma:decimals="0" ma:description="Pateiktų vertinimų skaičius" ma:internalName="RatingCount" ma:readOnly="true">
      <xsd:simpleType>
        <xsd:restriction base="dms:Number"/>
      </xsd:simpleType>
    </xsd:element>
    <xsd:element name="RatedBy" ma:index="18" nillable="true" ma:displayName="Vertintojas" ma:description="Vartotojai įvertino elementą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Vartotojų vertinimai" ma:description="Elemento vartotojų vertinimai" ma:hidden="true" ma:internalName="Ratings">
      <xsd:simpleType>
        <xsd:restriction base="dms:Note"/>
      </xsd:simpleType>
    </xsd:element>
    <xsd:element name="LikesCount" ma:index="20" nillable="true" ma:displayName="Skaičius, kiek kartų vartotojai pažymėjo, kad jiems patiko elementas" ma:internalName="LikesCount">
      <xsd:simpleType>
        <xsd:restriction base="dms:Unknown"/>
      </xsd:simpleType>
    </xsd:element>
    <xsd:element name="LikedBy" ma:index="21" nillable="true" ma:displayName="Patiko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lentele" DocPartId="4dabdec49a3f45029f1db82dd6c6fb4c" PartId="07b695984dad4781bdc65da6ad649f72"/>
  <Part Type="pastraipa" DocPartId="89d157b6cfb34911a9c496ed6a810e4a" PartId="35803ee986a14474aa14b275d235c9ae"/>
  <Part Type="pastraipa" DocPartId="2c23f20103b743caaaa8bed1c827d825" PartId="776cceb9ab484feb983fb5076cd42567"/>
  <Part Type="pastraipa" DocPartId="805bf2aca6e7486d8a3185f7365b52a7" PartId="43da038b435e45fb9ff6c5ac8795f925"/>
  <Part Type="pastraipa" DocPartId="8e010a537c854fa98d5295f78e346933" PartId="6806e77d8dd44e54a6aa1b0ca07ae83e"/>
  <Part Type="pastraipa" DocPartId="3b91f8f47a0341a9b8028628f2b3d3a4" PartId="ef5cc909186a4a8b9528d0b10169235f"/>
  <Part Type="pastraipa" DocPartId="bab435f48ccf4cc784eabbef54eb8621" PartId="4158aa403d804fdbb6dcd3ff58f3f987"/>
  <Part Type="pastraipa" DocPartId="d1bf0abfcb6d44579ce129ff86e73b0e" PartId="0c521cacf446493c9cc27143e799234f"/>
  <Part Type="pastraipa" DocPartId="753051a9e99d4b9abec5a7be531bac2c" PartId="b21c6c660c314a5ba009261a4b4c0d62"/>
  <Part Type="pastraipa" DocPartId="5e177c15658f426e8d30e5b19bddd8ea" PartId="cefb466d3b3b4586a521b7aebb125ca3">
    <Part Type="punktas" Nr="1" Abbr="1 p." DocPartId="1ff412a488294885a21a87dc9eb86e2e" PartId="1ccdf3ae170a4be8982293e91b371e2c"/>
    <Part Type="punktas" Nr="2" Abbr="2 p." DocPartId="1242f6a374894d21988b83e971efe29f" PartId="60fa81259876481386416a94d4ef38fd"/>
    <Part Type="punktas" Nr="3" Abbr="3 p." DocPartId="c6d76c3c08b344c8816d3b4ed20990c3" PartId="5cfc00c64784441dba57e851f9ec9732"/>
    <Part Type="signatura" DocPartId="bd261c7e6c014b2f84e93f18c52639a6" PartId="35bd290d7bd3463986f7c91a3b8b9cac"/>
  </Part>
</Parts>
</file>

<file path=customXml/itemProps1.xml><?xml version="1.0" encoding="utf-8"?>
<ds:datastoreItem xmlns:ds="http://schemas.openxmlformats.org/officeDocument/2006/customXml" ds:itemID="{E35EB61B-BD39-4177-8CFB-B6C4C4D5B4C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66CC651-46B9-4D86-A661-D2C361907B6D}">
  <ds:schemaRefs>
    <ds:schemaRef ds:uri="http://schemas.microsoft.com/office/2006/metadata/properties"/>
    <ds:schemaRef ds:uri="http://schemas.microsoft.com/office/infopath/2007/PartnerControls"/>
    <ds:schemaRef ds:uri="19cf09c5-daa1-4028-a0ff-74a0be4ec5cc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1523158-7856-412D-A241-6BA607517F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63E9904-2216-42AD-9822-492DAFC3DC5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C038AA4-FF8A-42AE-AB27-ADFC442EE71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599</Words>
  <Characters>4325</Characters>
  <Application>Microsoft Office Word</Application>
  <DocSecurity>4</DocSecurity>
  <Lines>144</Lines>
  <Paragraphs>60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4864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2023-08-24T13:00:00Z</dcterms:created>
  <dcterms:modified xsi:type="dcterms:W3CDTF">2023-08-24T13:00:00Z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  <property fmtid="{D5CDD505-2E9C-101B-9397-08002B2CF9AE}" pid="3" name="MediaServiceImageTags">
    <vt:lpwstr/>
  </property>
</Properties>
</file>